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468" w:rsidRPr="00A82CD3" w:rsidRDefault="00C22337" w:rsidP="00FB5468">
      <w:pPr>
        <w:pBdr>
          <w:top w:val="single" w:sz="2" w:space="0" w:color="000080"/>
          <w:bottom w:val="single" w:sz="2" w:space="0" w:color="00008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82C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RESOLUÇÃO ANP Nº </w:t>
      </w:r>
      <w:r w:rsidR="003729A0" w:rsidRPr="00A82C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r w:rsidRPr="00A82C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DE </w:t>
      </w:r>
      <w:proofErr w:type="gramStart"/>
      <w:r w:rsidR="003729A0" w:rsidRPr="00A82C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r w:rsidRPr="00A82C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proofErr w:type="gramEnd"/>
      <w:r w:rsidR="003729A0" w:rsidRPr="00A82C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X.2014</w:t>
      </w:r>
      <w:r w:rsidRPr="00A82C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DOU </w:t>
      </w:r>
      <w:r w:rsidR="003729A0" w:rsidRPr="00A82C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r w:rsidRPr="00A82C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3729A0" w:rsidRPr="00A82C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r w:rsidRPr="00A82C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3729A0" w:rsidRPr="00A82C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2014</w:t>
      </w:r>
    </w:p>
    <w:p w:rsidR="00FB5468" w:rsidRPr="00A82CD3" w:rsidRDefault="00C22337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F57F21" w:rsidRPr="00A82CD3" w:rsidRDefault="00C22337" w:rsidP="00F57F2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Diretora-Geral da Agência Nacional do Petróleo, Gás </w:t>
      </w:r>
      <w:proofErr w:type="gramStart"/>
      <w:r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Natural e Biocombustíveis</w:t>
      </w:r>
      <w:proofErr w:type="gramEnd"/>
      <w:r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ANP, no uso das atribuições legais, tendo em vista as disposições da </w:t>
      </w:r>
      <w:hyperlink r:id="rId5" w:tgtFrame="_blank" w:history="1">
        <w:r w:rsidR="00797335" w:rsidRPr="00797335">
          <w:rPr>
            <w:rFonts w:ascii="Times New Roman" w:eastAsia="Times New Roman" w:hAnsi="Times New Roman" w:cs="Times New Roman"/>
            <w:iCs/>
            <w:sz w:val="24"/>
            <w:szCs w:val="24"/>
            <w:lang w:eastAsia="pt-BR"/>
          </w:rPr>
          <w:t>Lei nº 9.478, de 06 de agosto de 1997</w:t>
        </w:r>
      </w:hyperlink>
      <w:r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, e suas alterações, e com base na Reunião de Diretoria nº 280, de 03 de abril de 2014;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o interesse para o País em apresentar sucedâneos para o óleo diesel;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a Lei nº </w:t>
      </w:r>
      <w:hyperlink r:id="rId6" w:history="1">
        <w:r w:rsidR="00797335" w:rsidRPr="00797335">
          <w:rPr>
            <w:rFonts w:ascii="Times New Roman" w:eastAsia="Times New Roman" w:hAnsi="Times New Roman" w:cs="Times New Roman"/>
            <w:iCs/>
            <w:sz w:val="24"/>
            <w:szCs w:val="24"/>
            <w:lang w:eastAsia="pt-BR"/>
          </w:rPr>
          <w:t>11.097</w:t>
        </w:r>
      </w:hyperlink>
      <w:r w:rsidR="00C22337"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13 de janeiro de 2005, que define o biodiesel como um combustível derivado de biomassa renovável para uso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 motores a combustão interna com ignição por compressão, que possa substituir parcial ou totalmente o óleo diesel de origem fóssil;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as diretrizes emanadas do Conselho Nacional de Política Energética - CNPE, quanto à produção e ao percentual de biodiesel no óleo diesel a ser comercializado;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o disposto no inciso XVIII, art. </w:t>
      </w:r>
      <w:hyperlink r:id="rId7" w:history="1">
        <w:proofErr w:type="gramStart"/>
        <w:r w:rsidR="00797335" w:rsidRPr="00797335">
          <w:rPr>
            <w:rFonts w:ascii="Times New Roman" w:eastAsia="Times New Roman" w:hAnsi="Times New Roman" w:cs="Times New Roman"/>
            <w:iCs/>
            <w:sz w:val="24"/>
            <w:szCs w:val="24"/>
            <w:lang w:eastAsia="pt-BR"/>
          </w:rPr>
          <w:t>8</w:t>
        </w:r>
        <w:proofErr w:type="gramEnd"/>
      </w:hyperlink>
      <w:r w:rsidR="00C22337"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da Lei nº 9.478, de 6 de agosto de 1997, alterada pela Lei nº </w:t>
      </w:r>
      <w:hyperlink r:id="rId8" w:history="1">
        <w:r w:rsidR="00797335" w:rsidRPr="00797335">
          <w:rPr>
            <w:rFonts w:ascii="Times New Roman" w:eastAsia="Times New Roman" w:hAnsi="Times New Roman" w:cs="Times New Roman"/>
            <w:iCs/>
            <w:sz w:val="24"/>
            <w:szCs w:val="24"/>
            <w:lang w:eastAsia="pt-BR"/>
          </w:rPr>
          <w:t>11.097</w:t>
        </w:r>
      </w:hyperlink>
      <w:r w:rsidR="00C22337"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13 de janeiro de 2005, que estabelece </w:t>
      </w:r>
      <w:r w:rsidR="00E228C5"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a atribuição da</w:t>
      </w:r>
      <w:r w:rsidR="00C22337"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ANP</w:t>
      </w:r>
      <w:r w:rsidR="00E228C5"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="00C22337"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especificar a qualidade do biodiesel, e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a Lei </w:t>
      </w:r>
      <w:hyperlink r:id="rId9" w:history="1">
        <w:r w:rsidR="00797335" w:rsidRPr="00797335">
          <w:rPr>
            <w:rFonts w:ascii="Times New Roman" w:eastAsia="Times New Roman" w:hAnsi="Times New Roman" w:cs="Times New Roman"/>
            <w:iCs/>
            <w:sz w:val="24"/>
            <w:szCs w:val="24"/>
            <w:lang w:eastAsia="pt-BR"/>
          </w:rPr>
          <w:t>12.490</w:t>
        </w:r>
      </w:hyperlink>
      <w:r w:rsidR="00C22337"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16 de setembro de 2011 que, acrescenta e dá nova redação a dispositivos previstos na Lei nº </w:t>
      </w:r>
      <w:hyperlink r:id="rId10" w:history="1">
        <w:r w:rsidR="00797335" w:rsidRPr="00797335">
          <w:rPr>
            <w:rFonts w:ascii="Times New Roman" w:eastAsia="Times New Roman" w:hAnsi="Times New Roman" w:cs="Times New Roman"/>
            <w:iCs/>
            <w:sz w:val="24"/>
            <w:szCs w:val="24"/>
            <w:lang w:eastAsia="pt-BR"/>
          </w:rPr>
          <w:t>9.478</w:t>
        </w:r>
      </w:hyperlink>
      <w:r w:rsidR="00C22337"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/1997, além de ampliar a competência da ANP para toda a Indústria de Biocombustíveis, definida como o conjunto de atividades econômicas relacionadas com produção, importação, exportação, transferência, transporte, armazenagem, comercialização, distribuição,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avaliação de conformidade e certificação da qualidade de biocombustíveis,</w:t>
      </w:r>
    </w:p>
    <w:p w:rsidR="003D3139" w:rsidRPr="00A82CD3" w:rsidRDefault="003D3139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Resolve:</w:t>
      </w:r>
    </w:p>
    <w:p w:rsidR="00D725A3" w:rsidRPr="00A82CD3" w:rsidRDefault="00D725A3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25A3" w:rsidRPr="00A82CD3" w:rsidRDefault="001D665F" w:rsidP="00D725A3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Seção I</w:t>
      </w:r>
    </w:p>
    <w:p w:rsidR="00D725A3" w:rsidRPr="00A82CD3" w:rsidRDefault="001D665F" w:rsidP="00D725A3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Das disposições preliminares</w:t>
      </w:r>
    </w:p>
    <w:p w:rsidR="00B276FA" w:rsidRPr="00A82CD3" w:rsidRDefault="00B276FA" w:rsidP="00D725A3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Ficam estabelecidas, por meio da presente Resolução, a especificação do biodiesel contida no Regulamento Técnico ANP nº 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pt-BR"/>
        </w:rPr>
        <w:t>XX/2014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as obrigações quanto ao controle da qualidade a serem atendidas pelos diversos agentes econômicos que comercializam o produto em todo o território nacional.</w:t>
      </w:r>
    </w:p>
    <w:p w:rsidR="00D725A3" w:rsidRPr="00A82CD3" w:rsidRDefault="00D725A3" w:rsidP="00D725A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25A3" w:rsidRPr="00A82CD3" w:rsidRDefault="001D665F" w:rsidP="00D725A3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Seção II</w:t>
      </w:r>
    </w:p>
    <w:p w:rsidR="00D725A3" w:rsidRPr="00A82CD3" w:rsidRDefault="001D665F" w:rsidP="00D725A3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Das definições</w:t>
      </w:r>
    </w:p>
    <w:p w:rsidR="00B276FA" w:rsidRPr="00A82CD3" w:rsidRDefault="00B276FA" w:rsidP="00D725A3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art2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efeitos desta Resolução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define-se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Biodiesel: combustível composto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alquil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ésteres de ácidos carboxílicos de cadeia longa, produzido a partir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transesterificação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C22337"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ou</w:t>
      </w:r>
      <w:r w:rsid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22337"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esterificação de matérias graxas, de gorduras de origem vegetal ou animal, e que atenda a especificação contida no 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egulamento Técnico nº 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pt-BR"/>
        </w:rPr>
        <w:t>XX/2014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parte integrante desta Resolução</w:t>
      </w:r>
      <w:r w:rsid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II - Óleo diesel A: combustível de uso rodoviário, destinado a veículos dotados de motores do ciclo Diesel e produzido por processos de refino de petróleo e processamento de gás natural. Não deve conter biodiesel</w:t>
      </w:r>
      <w:r w:rsid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III - Óleo diesel B: combustível de uso rodoviário, destinado a veículos dotados de motores do ciclo Diesel e produzido por processos de refino de petróleo e processamento de gás natural. Deve conter biodiesel no teor estabelecido pela legislação vigente</w:t>
      </w:r>
      <w:r w:rsid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IV - Óleo diesel BX: combustível de uso rodoviário, destinado a veículos dotados de motores do ciclo Diesel e produzido por processos de refino de petróleo e processamento de gás natural. Deve conter biodiesel em proporção definida (X%) quando autorizado o uso específico ou experimental conforme legislação vigente</w:t>
      </w:r>
      <w:r w:rsid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 - Produtor: pessoa jurídica ou consórcios autorizados pela ANP a exercerem a atividade de produção e comercialização de biodiesel</w:t>
      </w:r>
      <w:r w:rsid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 - Distribuidor: pessoa jurídica autorizada pela ANP ao exercício da atividade de distribuição de combustíveis líquidos derivados de petróleo, biocombustíveis e outros combustíveis automotivos especificados ou autorizados pela ANP</w:t>
      </w:r>
      <w:r w:rsid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VII - Revendedor: pessoa jurídica autorizada pela ANP para o exercício da atividade de revenda varejista que consiste na comercialização de combustível automotivo em estabelecimento denominado posto revendedor</w:t>
      </w:r>
      <w:r w:rsid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VIII - Transportador-Revendedor-Retalhista (TRR): pessoa jurídica autorizada pela ANP para o exercício das atividades de transporte e revenda retalhista de combustíveis,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óleos lubrificantes e graxas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envasados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óleo diesel B e óleo diesel BX</w:t>
      </w:r>
      <w:r w:rsid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B5468" w:rsidRPr="00A82CD3" w:rsidRDefault="00C22337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IX - Importador: empresa autorizada pela ANP para o exercício da atividade de importação</w:t>
      </w:r>
      <w:r w:rsid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B5468" w:rsidRPr="00A82CD3" w:rsidRDefault="00C22337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X - Exportador: empresa autorizada pela ANP para o exercício da atividade de exportação</w:t>
      </w:r>
      <w:r w:rsid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XI - Refinaria: pessoa jurídica autorizada pela ANP para o exercício da atividade de refino de petróleo</w:t>
      </w:r>
      <w:r w:rsid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XII - Adquirente: pessoa jurídica autorizada pela ANP, responsável pela aquisição e armazenamento de biodiesel, para garantir o estoque regulatório necessário a fim de assegurar o abastecimento nacional de biodiesel</w:t>
      </w:r>
      <w:r w:rsid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XIII - Boletim de Análise: documento da qualidade emitido por laboratório cadastrado na ANP de acordo com a Resolução ANP nº </w:t>
      </w:r>
      <w:hyperlink r:id="rId11" w:history="1">
        <w:r w:rsidR="00797335" w:rsidRPr="00797335">
          <w:rPr>
            <w:rFonts w:ascii="Times New Roman" w:eastAsia="Times New Roman" w:hAnsi="Times New Roman" w:cs="Times New Roman"/>
            <w:iCs/>
            <w:sz w:val="24"/>
            <w:szCs w:val="24"/>
            <w:lang w:eastAsia="pt-BR"/>
          </w:rPr>
          <w:t>06</w:t>
        </w:r>
      </w:hyperlink>
      <w:r w:rsidR="00C22337"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</w:t>
      </w:r>
      <w:r w:rsidR="00632F28"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05</w:t>
      </w:r>
      <w:r w:rsidR="00C22337"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632F28"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  <w:r w:rsidR="00C22337"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632F28"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="00C22337"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ou outra que venha substituí-la, </w:t>
      </w:r>
      <w:r w:rsidR="00E228C5"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com</w:t>
      </w:r>
      <w:r w:rsidR="00C22337"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="00C22337"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informação(</w:t>
      </w:r>
      <w:proofErr w:type="spellStart"/>
      <w:proofErr w:type="gramEnd"/>
      <w:r w:rsidR="00C22337"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ões</w:t>
      </w:r>
      <w:proofErr w:type="spellEnd"/>
      <w:r w:rsidR="00C22337"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) e resultado(s) do(s) ensaio(s) realizado(s), conforme Regulamento Técnico, parte integrante desta Resolução</w:t>
      </w:r>
      <w:r w:rsid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XIV - Certificado da Qualidade: documento emitido por Produtor, Adquirente e Importador que comprove o atendimento do produto comercializado à especificação da ANP, com todos os requisitos constantes do Artigo 5º, § 6º, da presente Resolução</w:t>
      </w:r>
      <w:r w:rsid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XV - Volume Certificado: quantidade segregada de produto em um único tanque, caracterizada por Certificado da Qualidade</w:t>
      </w:r>
      <w:r w:rsid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D460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XVI - Firma inspetora: pessoa jurídica credenciada pela ANP, para realização de atividades de controle da qualidade na importação e exportação de derivados de petróleo, e biocombustíveis, de adição de marcador aos Produtos de Marcação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Compulsória (PMC) indicados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pela ANP, e de adição de corante ao etanol anidro combustível, conforme legislação vigente</w:t>
      </w:r>
      <w:r w:rsid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XVII - Aditivo: produto que contém componentes ativos, com ou sem fluido carreador ou diluente, que confere aos combustíveis propriedades benéficas ou que oferece ao veículo algum tipo de benefício, destinado a ser adicionado ao combustível em concentração que não exceda a 5.000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μL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/L (0,5 % v/v)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;.</w:t>
      </w:r>
      <w:proofErr w:type="gramEnd"/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XVIII - Componente ativo: composto químico ou combinação de compostos químicos responsável pelas propriedades benéficas do aditivo</w:t>
      </w:r>
      <w:r w:rsid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XIX - Diluente: veículo no qual o componente ativo do aditivo é diluído, com a finalidade de facilitar sua mistura com o combustível ou seu bombeamento e movimentação</w:t>
      </w:r>
      <w:r w:rsid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XX - Terminal de carregamento: local de carregamento do produto, no país de origem.</w:t>
      </w:r>
    </w:p>
    <w:p w:rsidR="00FB5468" w:rsidRPr="00A82CD3" w:rsidRDefault="00FB5468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B5468" w:rsidRPr="00A82CD3" w:rsidRDefault="00FB5468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25A3" w:rsidRPr="00A82CD3" w:rsidRDefault="001D665F" w:rsidP="00D725A3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Seção III</w:t>
      </w:r>
    </w:p>
    <w:p w:rsidR="00D725A3" w:rsidRPr="00A82CD3" w:rsidRDefault="001D665F" w:rsidP="00D725A3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 comercialização</w:t>
      </w:r>
    </w:p>
    <w:p w:rsidR="00B276FA" w:rsidRPr="00A82CD3" w:rsidRDefault="00B276FA" w:rsidP="00D725A3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biodiesel só poderá ser comercializado pelos Produtores, Distribuidores, Refinarias,</w:t>
      </w:r>
      <w:r w:rsidR="005662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Adquirentes,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Importadores e Exportadores de biodiesel autorizados pela ANP.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 Somente os Distribuidores e as Refinarias autorizados pela ANP poderão realizar a mistura óleo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diesel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A/biodiesel para efetivar sua comercialização.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2º É vedado ao Produtor, Refinaria, </w:t>
      </w:r>
      <w:r w:rsidR="005662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Adquirente,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Distribuidor ou Importador comercializar biodiesel com Revendedor e Transportador-Revendedor-Retalhista.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Distribuidor e o Adquirente ficam obrigados a recusar o recebimento do produto caso constatem qualquer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não-conformidade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presente no Certificado da Qualidade ou após realização de análise de amostra representativa. Tal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não-conformidade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deverá ser comunicada a ANP por meio de endereço eletrônico disponibilizado no sítio </w:t>
      </w:r>
      <w:hyperlink r:id="rId12" w:history="1">
        <w:r w:rsidR="00797335" w:rsidRPr="00797335">
          <w:rPr>
            <w:rFonts w:ascii="Times New Roman" w:eastAsia="Times New Roman" w:hAnsi="Times New Roman" w:cs="Times New Roman"/>
            <w:iCs/>
            <w:sz w:val="24"/>
            <w:szCs w:val="24"/>
            <w:lang w:eastAsia="pt-BR"/>
          </w:rPr>
          <w:t>www.anp.gov.br</w:t>
        </w:r>
      </w:hyperlink>
      <w:r w:rsidR="00C22337"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, no prazo máximo de 48 (quarenta e oito) horas, considerando-se somente os dias úteis, e informando: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 - Data da ocorrência;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II - Número e data de emissão da Nota Fiscal e;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III - CNPJ do emitente da Nota Fiscal.</w:t>
      </w:r>
    </w:p>
    <w:p w:rsidR="00BC2A7F" w:rsidRPr="00A82CD3" w:rsidRDefault="00BC2A7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25A3" w:rsidRPr="00A82CD3" w:rsidRDefault="001D665F" w:rsidP="00D725A3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Seção IV</w:t>
      </w:r>
    </w:p>
    <w:p w:rsidR="00D725A3" w:rsidRPr="00A82CD3" w:rsidRDefault="001D665F" w:rsidP="00D725A3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 certificação do biodiesel</w:t>
      </w:r>
    </w:p>
    <w:p w:rsidR="00B276FA" w:rsidRPr="00A82CD3" w:rsidRDefault="00B276FA" w:rsidP="00D725A3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Produtor, o Adquirente e o Importador ficam obrigados a garantir a qualidade do biodiesel a ser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comercializado em todo o território nacional e a emitir o Certificado da Qualidade de amostra representativa, cujos resultados deverão atender aos limites estabelecidos da especificação constante no Regulamento Técnico ANP nº 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pt-BR"/>
        </w:rPr>
        <w:t>XX/2014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parte integrante desta Resolução.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O produto somente poderá ser liberado para a comercialização após a sua certificação, com a emissão do respectivo Certificado da Qualidade, que deverá acompanhar o produto.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2º As análises constantes do Certificado da Qualidade só poderão ser realizadas em laboratório próprio do Produtor, do Adquirente ou outro(s) contratado(s) por estes, o(s)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qual(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is) deverá(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ser cadastrado(s) pela ANP conforme Resolução ANP nº </w:t>
      </w:r>
      <w:hyperlink r:id="rId13" w:history="1">
        <w:r w:rsidR="00797335" w:rsidRPr="00797335">
          <w:rPr>
            <w:rFonts w:ascii="Times New Roman" w:eastAsia="Times New Roman" w:hAnsi="Times New Roman" w:cs="Times New Roman"/>
            <w:iCs/>
            <w:sz w:val="24"/>
            <w:szCs w:val="24"/>
            <w:lang w:eastAsia="pt-BR"/>
          </w:rPr>
          <w:t>06</w:t>
        </w:r>
      </w:hyperlink>
      <w:r w:rsidR="00C22337"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</w:t>
      </w:r>
      <w:r w:rsidR="00A129F1"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05</w:t>
      </w:r>
      <w:r w:rsidR="00C22337"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 de 2014, ou outra que venha a substituí-la.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3º No caso de certificação do biodiesel utilizando laboratório próprio e contratado, o Produtor e o Adquirente deverão emitir Certificado da Qualidade único, agrupando todos os resultados constantes do(s)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Boletim(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de Análise que tenham recebido do(s) laboratório(s) cadastrado(s) pela ANP. Esse Certificado deverá indicar o(s) laboratório(s)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responsável(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is) por cada ensaio.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4º Caso o produto não seja comercializado no prazo máximo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(um) mês, a partir da data de certificação constante do Certificado da Qualidade, a característica massa específica a 20 ºC deverá ser novamente analisada:</w:t>
      </w:r>
    </w:p>
    <w:p w:rsidR="000D6A43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 – Se a diferença encontrada com relação à massa específica a 20 ºC do Certificado da Qualidade for inferior a 3,0 kg/m³, deverão ser novamente avaliados o teor de água, o índice de acidez e a estabilidade à oxidação a 110 ºC.</w:t>
      </w:r>
    </w:p>
    <w:p w:rsidR="000D6A43" w:rsidRPr="00A82CD3" w:rsidRDefault="001D665F" w:rsidP="000D6A4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Se a diferença for superior a 3,0 kg/m³, deverá ser realizada a recertificação completa segundo esta Resolução.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§ 5º No caso da importação de biodiesel, a análise de amostra representativa e a emissão do Certificado da Qualidade deverão ser realizadas por Firma Inspetora, contratada pelo Importador, atestando que o produto atende ao Regulamento Técnico ANP nº 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pt-BR"/>
        </w:rPr>
        <w:t>XX/2014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parte integrante desta Resolução.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 - A Firma Inspetora deverá ser cadastrada na ANP ou poderá contratar laboratório cadastrado junto à ANP para emissão do Boletim de Análise.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II - A Firma Inspetora ficará obrigada a apresentar os Boletins de Análise emitidos pelo(s) laboratório(s) contratado(s), caso seja solicitado pela ANP.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 6º O Certificado da Qualidade referente ao produto comercializado deverá conter: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os resultados das análises dos parâmetros especificados, com indicação dos métodos empregados e os respectivos limites constantes da especificação, conforme Regulamento Técnico ANP nº 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pt-BR"/>
        </w:rPr>
        <w:t>XX/2014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parte integrante desta Resolução;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II - o tanque de origem e a identificação do lacre da amostra-testemunha, previsto no art. 6º deste regulamento;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III - a data de produção do biodiesel;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IV - o material graxo e o álcool utilizado para obtenção do biodiesel;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a) Caso seja usado mais de um tipo de material graxo, devem ser informadas suas respectivas proporções;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 - a identificação do aditivo utilizado na fase de produção, quando for o caso, cabendo classificar o tipo;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a) Após a aditivação, o biodiesel deverá permanecer de acordo com a sua especificação técnica.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 - identificação própria por meio de numeração sequencial anual, inclusive no caso de cópia emitida eletronicamente;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assinatura do químico responsável pela qualidade do produto na empresa, com indicação legível de seu nome e número de inscrição no Conselho Regional de Química;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VIII - indicação do laboratório cadastrado na ANP responsável por cada ensaio efetuado e da identificação de cada Boletim de Análise utilizado para compor o respectivo Certificado da Qualidade.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7º Em qualquer situação, o Boletim de Análise deverá ser emitido por laboratório cadastrado conforme as regras estabelecidas na Resolução ANP nº </w:t>
      </w:r>
      <w:hyperlink r:id="rId14" w:history="1">
        <w:r w:rsidR="00797335" w:rsidRPr="00797335">
          <w:rPr>
            <w:rFonts w:ascii="Times New Roman" w:eastAsia="Times New Roman" w:hAnsi="Times New Roman" w:cs="Times New Roman"/>
            <w:iCs/>
            <w:sz w:val="24"/>
            <w:szCs w:val="24"/>
            <w:lang w:eastAsia="pt-BR"/>
          </w:rPr>
          <w:t>06</w:t>
        </w:r>
      </w:hyperlink>
      <w:r w:rsidR="00C22337"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632F28"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05</w:t>
      </w:r>
      <w:r w:rsidR="00C22337"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 de 2014, ou regulamentação superveniente que venha a substituí-la.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 8º O Boletim de Análise deverá ser firmado pelo químico responsável pelos ensaios laboratoriais efetuados, com indicação legível de seu nome e número da inscrição no órgão de classe.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 9º Para documentos emitidos eletronicamente, é obrigatória a assinatura digital, efetivada mediante utilização de certificado digital válido, de propriedade do responsável pela assinatura do Certificado da Qualidade ou do Boletim de Análise.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 10º O Produtor, o Adquirente e a Firma Inspetora somente poderão utilizar o Boletim da Análise como Certificado da Qualidade quando o mesmo for emitido por laboratório próprio, cadastrado na ANP, e contemplar todas as características necessárias à certificação do produto.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6º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Deverão ser mantidas pelo Produtor, Adquirente e Importador, em local protegido de luminosidade e de aquecimento, duas amostras-testemunha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(um) litro cada, representativas do Volume Certificado, devidamente identificadas com o número do Certificado da Qualidade e de seu respectivo lacre.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 Cada amostra-testemunha deverá ser armazenada em recipiente de cor âmbar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(um) litro de capacidade, com batoque e tampa plástica.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§ 2º O recipiente indicado no § 1º deste artigo deverá ser lacrado, com lacre de numeração controlada, que deixe evidências no caso de violação.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 3º Deverão ficar à disposição da ANP para qualquer verificação julgada necessária: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as amostras-testemunha, pelo prazo mínimo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mês, a contar da data de saída do produto das instalações do Produtor, Adquirente e Importador;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II - o Certificado da Qualidade, acompanhado dos originais dos Boletins de Análise utilizados na sua composição, quando for o caso, pelo prazo mínimo de 12 meses, a contar da data de saída do produto das instalações do Produtor, Importador e Adquirente.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4º O Certificado da Qualidade deverá ser obrigatoriamente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rastreável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às suas respectivas amostras-testemunha e Boletins de Análise.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Produtor, o Importador e o Adquirente deverão enviar mensalmente à ANP, até o 15º (décimo quinto) dia do mês subseqüente à comercialização do produto, todas as informações constantes dos Certificados da Qualidade emitidos no mês de referência e respectivos Volumes Certificados, por meio de endereço eletrônico disponibilizado no sítio </w:t>
      </w:r>
      <w:hyperlink r:id="rId15" w:history="1">
        <w:r w:rsidR="00797335" w:rsidRPr="00797335">
          <w:rPr>
            <w:rFonts w:ascii="Times New Roman" w:eastAsia="Times New Roman" w:hAnsi="Times New Roman" w:cs="Times New Roman"/>
            <w:iCs/>
            <w:sz w:val="24"/>
            <w:szCs w:val="24"/>
            <w:lang w:eastAsia="pt-BR"/>
          </w:rPr>
          <w:t>www.anp.gov.br</w:t>
        </w:r>
      </w:hyperlink>
      <w:r w:rsidR="00C22337"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27EC8" w:rsidRPr="00A82CD3" w:rsidRDefault="001D665F" w:rsidP="00127EC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 O Adquirente só deverá enviar as informações citadas no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deste artigo no caso em que este armazenar o produto em instalação própria. No caso em que o produto adquirido pelo Adquirente ficar armazenado em instalação do produtor de biodiesel, a certificação deverá ser feita pelo Produtor.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2º Os agentes citados no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deste artigo deverão enviar os dados, em formato eletrônico, segundo orientações de preenchimento disponibilizadas no sítio da ANP </w:t>
      </w:r>
      <w:hyperlink r:id="rId16" w:history="1">
        <w:r w:rsidR="00797335" w:rsidRPr="00797335">
          <w:rPr>
            <w:rFonts w:ascii="Times New Roman" w:eastAsia="Times New Roman" w:hAnsi="Times New Roman" w:cs="Times New Roman"/>
            <w:iCs/>
            <w:sz w:val="24"/>
            <w:szCs w:val="24"/>
            <w:lang w:eastAsia="pt-BR"/>
          </w:rPr>
          <w:t>www.anp.gov.br</w:t>
        </w:r>
      </w:hyperlink>
      <w:r w:rsidR="00C22337"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17091" w:rsidRPr="00A82CD3" w:rsidRDefault="001D665F" w:rsidP="00C1709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3º Quando não houver comercialização de biodiesel em um determinado mês, o Produtor e o Adquirente deverão obrigatoriamente comunicar à ANP por meio de endereço eletrônico disponibilizado no sítio </w:t>
      </w:r>
      <w:hyperlink r:id="rId17" w:history="1">
        <w:r w:rsidR="00797335" w:rsidRPr="00797335">
          <w:rPr>
            <w:rFonts w:ascii="Times New Roman" w:eastAsia="Times New Roman" w:hAnsi="Times New Roman" w:cs="Times New Roman"/>
            <w:iCs/>
            <w:sz w:val="24"/>
            <w:szCs w:val="24"/>
            <w:lang w:eastAsia="pt-BR"/>
          </w:rPr>
          <w:t>www.anp.gov.br</w:t>
        </w:r>
      </w:hyperlink>
      <w:r w:rsidR="00C22337"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 4º No caso da importação do biodiesel, quando houver comercialização do produto, o Importador ficará obrigado a enviar o formulário eletrônico citado no § 1º deste artigo.</w:t>
      </w:r>
    </w:p>
    <w:p w:rsidR="004B4578" w:rsidRPr="00A82CD3" w:rsidRDefault="004B4578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2337" w:rsidRPr="00A82CD3" w:rsidRDefault="001D665F" w:rsidP="00C2233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Seção V</w:t>
      </w:r>
    </w:p>
    <w:p w:rsidR="00C22337" w:rsidRPr="00A82CD3" w:rsidRDefault="001D665F" w:rsidP="00C2233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Dos Documentos Fiscais</w:t>
      </w:r>
    </w:p>
    <w:p w:rsidR="00B276FA" w:rsidRPr="00A82CD3" w:rsidRDefault="00B276FA" w:rsidP="00C2233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8º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documentação fiscal e o Documento Auxiliar da Nota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Fiscal Eletrônica (DANFE) emitidos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Produtor, Adquirente e Importador, para fins de entrega e referentes às operações de comercialização do produto, deverão indicar o número do Certificado da Qualidade e do lacre da amostra-testemunha correspondentes ao produto.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 O produto, ao ser transportado, deverá ser acompanhado de cópia legível do respectivo Certificado da Qualidade, atestando que o produto comercializado atende a especificação estabelecida no Regulamento Técnico nº 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pt-BR"/>
        </w:rPr>
        <w:t>XX/2014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parte constante desta Resolução.</w:t>
      </w:r>
    </w:p>
    <w:p w:rsidR="004B4578" w:rsidRPr="00A82CD3" w:rsidRDefault="004B4578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7F21" w:rsidRPr="00A82CD3" w:rsidRDefault="001D665F" w:rsidP="00F57F21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Seção VI</w:t>
      </w:r>
      <w:proofErr w:type="gramEnd"/>
    </w:p>
    <w:p w:rsidR="00F57F21" w:rsidRPr="00A82CD3" w:rsidRDefault="001D665F" w:rsidP="00F57F21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Das disposições finais</w:t>
      </w:r>
    </w:p>
    <w:p w:rsidR="00B276FA" w:rsidRPr="00A82CD3" w:rsidRDefault="00B276FA" w:rsidP="00F57F21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9º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não atendimento às regras estabelecidas na presente Resolução sujeita os infratores às sanções administrativas previstas na Lei nº </w:t>
      </w:r>
      <w:hyperlink r:id="rId18" w:history="1">
        <w:r w:rsidR="00797335" w:rsidRPr="00797335">
          <w:rPr>
            <w:rFonts w:ascii="Times New Roman" w:eastAsia="Times New Roman" w:hAnsi="Times New Roman" w:cs="Times New Roman"/>
            <w:iCs/>
            <w:sz w:val="24"/>
            <w:szCs w:val="24"/>
            <w:lang w:eastAsia="pt-BR"/>
          </w:rPr>
          <w:t>9.847</w:t>
        </w:r>
      </w:hyperlink>
      <w:r w:rsidR="00C22337"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26 de outubro de 1999, alterada pela Lei nº </w:t>
      </w:r>
      <w:hyperlink r:id="rId19" w:history="1">
        <w:r w:rsidR="00797335" w:rsidRPr="00797335">
          <w:rPr>
            <w:rFonts w:ascii="Times New Roman" w:eastAsia="Times New Roman" w:hAnsi="Times New Roman" w:cs="Times New Roman"/>
            <w:iCs/>
            <w:sz w:val="24"/>
            <w:szCs w:val="24"/>
            <w:lang w:eastAsia="pt-BR"/>
          </w:rPr>
          <w:t>11.097</w:t>
        </w:r>
      </w:hyperlink>
      <w:r w:rsidR="00C22337"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13 de janeiro de 2005, e no Decreto nº </w:t>
      </w:r>
      <w:hyperlink r:id="rId20" w:history="1">
        <w:r w:rsidR="00797335" w:rsidRPr="00797335">
          <w:rPr>
            <w:rFonts w:ascii="Times New Roman" w:eastAsia="Times New Roman" w:hAnsi="Times New Roman" w:cs="Times New Roman"/>
            <w:iCs/>
            <w:sz w:val="24"/>
            <w:szCs w:val="24"/>
            <w:lang w:eastAsia="pt-BR"/>
          </w:rPr>
          <w:t>2.953</w:t>
        </w:r>
      </w:hyperlink>
      <w:r w:rsidR="00C22337"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, de 28 de janeiro de 1999, sem prejuízo das penalidades de natureza civil e penal.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10.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casos não contemplados nesta Resolução serão analisados pela Diretoria da ANP.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Art. 11.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Resolução entra em vigor na data de sua publicação no Diário Oficial da União.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12.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revogada a Resolução ANP nº 14 de 11 de maio de 2012.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FB5468" w:rsidRPr="00A82CD3" w:rsidRDefault="00797335" w:rsidP="00FB5468">
      <w:pPr>
        <w:snapToGrid w:val="0"/>
        <w:spacing w:before="261" w:after="4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7335">
        <w:rPr>
          <w:rFonts w:ascii="Times New Roman" w:eastAsia="Times New Roman" w:hAnsi="Times New Roman" w:cs="Times New Roman"/>
          <w:sz w:val="24"/>
          <w:szCs w:val="24"/>
          <w:lang w:eastAsia="pt-BR"/>
        </w:rPr>
        <w:t>MAGDA MARIA DE REGINA CHAMBRIARD</w:t>
      </w:r>
    </w:p>
    <w:p w:rsidR="00FB5468" w:rsidRPr="00A82CD3" w:rsidRDefault="00C22337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2CD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FB5468" w:rsidRPr="00A82CD3" w:rsidRDefault="001D665F" w:rsidP="00FB5468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ANEXO</w:t>
      </w:r>
    </w:p>
    <w:p w:rsidR="00FB5468" w:rsidRPr="00A82CD3" w:rsidRDefault="001D665F" w:rsidP="00FB5468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REGULAMENTO TÉCNICO ANP Nº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pt-BR"/>
        </w:rPr>
        <w:t>XX/2014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Objetivo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Este Regulamento Técnico aplica-se ao biodiesel nacional ou importado e estabelece a sua especificação.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Normas Aplicáveis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determinação das características do biodiesel deverá ser feita mediante o emprego das normas da Associação Brasileira de Normas Técnicas (ABNT), das normas internacionais da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American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Society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Testing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Materials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" (ASTM), da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International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Organization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Standardization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" (ISO) e do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Comité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Européen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Normalisation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" (CEN).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dados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repetibilidade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 reprodutibilidade fornecidos nos métodos relacionados neste Regulamento devem ser usados somente como guia para aceitação das determinações em duplicata do ensaio e não devem ser considerados como tolerância aplicada aos limites especificados neste Regulamento.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análise do produto deverá ser realizada em amostra representativa obtida segundo os métodos ABNT NBR 14883 - Petróleo e produtos de petróleo - Amostragem manual, ASTM D 4057 -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Practice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 Manual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Sampling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Petroleum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Petroleum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Products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ISO 5555 - Animal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vegetable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fats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oils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Sampling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 características constantes da Tabela I de Especificação do Biodiesel deverão ser determinadas de acordo com a publicação mais recente dos seguintes métodos de ensaio: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2.1. Métodos ABNT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5000" w:type="pct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/>
      </w:tblPr>
      <w:tblGrid>
        <w:gridCol w:w="1976"/>
        <w:gridCol w:w="8445"/>
      </w:tblGrid>
      <w:tr w:rsidR="00FB5468" w:rsidRPr="00A82CD3" w:rsidTr="00FB5468">
        <w:trPr>
          <w:jc w:val="center"/>
        </w:trPr>
        <w:tc>
          <w:tcPr>
            <w:tcW w:w="948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br/>
              <w:t>MÉTODO</w:t>
            </w:r>
          </w:p>
        </w:tc>
        <w:tc>
          <w:tcPr>
            <w:tcW w:w="4654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TÍTULO</w:t>
            </w:r>
          </w:p>
        </w:tc>
      </w:tr>
      <w:tr w:rsidR="00FB5468" w:rsidRPr="00A82CD3" w:rsidTr="00FB5468">
        <w:trPr>
          <w:jc w:val="center"/>
        </w:trPr>
        <w:tc>
          <w:tcPr>
            <w:tcW w:w="948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NBR 6294 </w:t>
            </w:r>
          </w:p>
        </w:tc>
        <w:tc>
          <w:tcPr>
            <w:tcW w:w="4654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Óleos lubrificantes e aditivos - Determinação de cinza sulfatada </w:t>
            </w:r>
          </w:p>
        </w:tc>
      </w:tr>
      <w:tr w:rsidR="00FB5468" w:rsidRPr="00A82CD3" w:rsidTr="00FB5468">
        <w:trPr>
          <w:jc w:val="center"/>
        </w:trPr>
        <w:tc>
          <w:tcPr>
            <w:tcW w:w="948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NBR 7148 </w:t>
            </w:r>
          </w:p>
        </w:tc>
        <w:tc>
          <w:tcPr>
            <w:tcW w:w="4654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Petróleo e produtos de petróleo - Determinação da massa específica, densidade relativa e ºAPI - Método do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densímetro</w:t>
            </w:r>
            <w:proofErr w:type="spellEnd"/>
            <w:proofErr w:type="gramEnd"/>
          </w:p>
        </w:tc>
      </w:tr>
      <w:tr w:rsidR="00FB5468" w:rsidRPr="00A82CD3" w:rsidTr="00FB5468">
        <w:trPr>
          <w:jc w:val="center"/>
        </w:trPr>
        <w:tc>
          <w:tcPr>
            <w:tcW w:w="948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NBR 10441 </w:t>
            </w:r>
          </w:p>
        </w:tc>
        <w:tc>
          <w:tcPr>
            <w:tcW w:w="4654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Produtos de petróleo - Líquidos transparentes e opacos - Determinação da viscosidade cinemática e cálculo da viscosidade dinâmica</w:t>
            </w:r>
          </w:p>
        </w:tc>
      </w:tr>
      <w:tr w:rsidR="00FB5468" w:rsidRPr="00A82CD3" w:rsidTr="00FB5468">
        <w:trPr>
          <w:jc w:val="center"/>
        </w:trPr>
        <w:tc>
          <w:tcPr>
            <w:tcW w:w="948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NBR 14065 </w:t>
            </w:r>
          </w:p>
        </w:tc>
        <w:tc>
          <w:tcPr>
            <w:tcW w:w="4654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Destilados de petróleo e óleos viscosos - Determinação da massa específica e da densidade relativa pelo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densímetro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digital.</w:t>
            </w:r>
          </w:p>
        </w:tc>
      </w:tr>
      <w:tr w:rsidR="00FB5468" w:rsidRPr="00A82CD3" w:rsidTr="00FB5468">
        <w:trPr>
          <w:jc w:val="center"/>
        </w:trPr>
        <w:tc>
          <w:tcPr>
            <w:tcW w:w="948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NBR 14359 </w:t>
            </w:r>
          </w:p>
        </w:tc>
        <w:tc>
          <w:tcPr>
            <w:tcW w:w="4654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Produtos de petróleo - Determinação 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corrosividade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Método da lâmina de cobre </w:t>
            </w:r>
          </w:p>
        </w:tc>
      </w:tr>
      <w:tr w:rsidR="00FB5468" w:rsidRPr="00A82CD3" w:rsidTr="00FB5468">
        <w:trPr>
          <w:jc w:val="center"/>
        </w:trPr>
        <w:tc>
          <w:tcPr>
            <w:tcW w:w="948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NBR 14448 </w:t>
            </w:r>
          </w:p>
        </w:tc>
        <w:tc>
          <w:tcPr>
            <w:tcW w:w="4654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Produtos de petróleo - Determinação do índice de acidez pelo método de titulação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potenciométrica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FB5468" w:rsidRPr="00A82CD3" w:rsidTr="00FB5468">
        <w:trPr>
          <w:jc w:val="center"/>
        </w:trPr>
        <w:tc>
          <w:tcPr>
            <w:tcW w:w="948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NBR 14598 </w:t>
            </w:r>
          </w:p>
        </w:tc>
        <w:tc>
          <w:tcPr>
            <w:tcW w:w="4654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Produtos de petróleo - Determinação do ponto de fulgor pelo aparelho de vaso fechado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Pensky-Martens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FB5468" w:rsidRPr="00A82CD3" w:rsidTr="00FB5468">
        <w:trPr>
          <w:jc w:val="center"/>
        </w:trPr>
        <w:tc>
          <w:tcPr>
            <w:tcW w:w="948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NBR 14747 </w:t>
            </w:r>
          </w:p>
        </w:tc>
        <w:tc>
          <w:tcPr>
            <w:tcW w:w="4654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Óleo Diesel - Determinação do ponto de entupimento de filtro a frio </w:t>
            </w:r>
          </w:p>
        </w:tc>
      </w:tr>
      <w:tr w:rsidR="00FB5468" w:rsidRPr="00A82CD3" w:rsidTr="00FB5468">
        <w:trPr>
          <w:jc w:val="center"/>
        </w:trPr>
        <w:tc>
          <w:tcPr>
            <w:tcW w:w="948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NBR 15341 </w:t>
            </w:r>
          </w:p>
        </w:tc>
        <w:tc>
          <w:tcPr>
            <w:tcW w:w="4654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Biodiesel - Determinação de glicerina livre em biodiesel de mamona por cromatografia em fase gasosa </w:t>
            </w:r>
          </w:p>
        </w:tc>
      </w:tr>
      <w:tr w:rsidR="00FB5468" w:rsidRPr="00A82CD3" w:rsidTr="00FB5468">
        <w:trPr>
          <w:jc w:val="center"/>
        </w:trPr>
        <w:tc>
          <w:tcPr>
            <w:tcW w:w="948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NBR 15342 </w:t>
            </w:r>
          </w:p>
        </w:tc>
        <w:tc>
          <w:tcPr>
            <w:tcW w:w="4654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Biodiesel - Determinação de monoglicerídeos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diglicerídeos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em biodiesel de mamona por cromatografia gasosa </w:t>
            </w:r>
          </w:p>
        </w:tc>
      </w:tr>
      <w:tr w:rsidR="00FB5468" w:rsidRPr="00A82CD3" w:rsidTr="00FB5468">
        <w:trPr>
          <w:jc w:val="center"/>
        </w:trPr>
        <w:tc>
          <w:tcPr>
            <w:tcW w:w="948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NBR 15343 </w:t>
            </w:r>
          </w:p>
        </w:tc>
        <w:tc>
          <w:tcPr>
            <w:tcW w:w="4654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Biodiesel - Determinação da concentração de metanol e/ou etanol por cromatografia gasosa </w:t>
            </w:r>
          </w:p>
        </w:tc>
      </w:tr>
      <w:tr w:rsidR="00FB5468" w:rsidRPr="00A82CD3" w:rsidTr="00FB5468">
        <w:trPr>
          <w:jc w:val="center"/>
        </w:trPr>
        <w:tc>
          <w:tcPr>
            <w:tcW w:w="948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NBR 15344 </w:t>
            </w:r>
          </w:p>
        </w:tc>
        <w:tc>
          <w:tcPr>
            <w:tcW w:w="4654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Biodiesel - Determinação de glicerina total e do teor de triglicerídeos em biodiesel </w:t>
            </w:r>
          </w:p>
        </w:tc>
      </w:tr>
      <w:tr w:rsidR="00FB5468" w:rsidRPr="00A82CD3" w:rsidTr="00FB5468">
        <w:trPr>
          <w:jc w:val="center"/>
        </w:trPr>
        <w:tc>
          <w:tcPr>
            <w:tcW w:w="948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NBR 15553 </w:t>
            </w:r>
          </w:p>
        </w:tc>
        <w:tc>
          <w:tcPr>
            <w:tcW w:w="4654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Produtos derivados de óleos e gorduras - Ésteres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metílicos/etílicos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ácidos graxos - Determinação dos teores de cálcio, magnésio, sódio, fósforo e potássio por espectrometria de emissão ótica com plasma indutivamente acoplado (ICP-OES)</w:t>
            </w:r>
          </w:p>
        </w:tc>
      </w:tr>
      <w:tr w:rsidR="00FB5468" w:rsidRPr="00A82CD3" w:rsidTr="00FB5468">
        <w:trPr>
          <w:jc w:val="center"/>
        </w:trPr>
        <w:tc>
          <w:tcPr>
            <w:tcW w:w="948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NBR 15554 </w:t>
            </w:r>
          </w:p>
        </w:tc>
        <w:tc>
          <w:tcPr>
            <w:tcW w:w="4654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Produtos derivados de óleos 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gorduras -Ésteres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metílicos/etílicos de ácidos graxos -Determinação do teor de sódio por espectrometria de absorção atômica</w:t>
            </w:r>
          </w:p>
        </w:tc>
      </w:tr>
      <w:tr w:rsidR="00FB5468" w:rsidRPr="00A82CD3" w:rsidTr="002723AC">
        <w:trPr>
          <w:jc w:val="center"/>
        </w:trPr>
        <w:tc>
          <w:tcPr>
            <w:tcW w:w="948" w:type="pct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NBR 15555 </w:t>
            </w:r>
          </w:p>
        </w:tc>
        <w:tc>
          <w:tcPr>
            <w:tcW w:w="4654" w:type="pct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Produtos derivados de óleos 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gorduras -Ésteres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metílicos/etílicos de ácidos graxos -Determinação do teor de potássio por espectrometria de absorção atômica</w:t>
            </w:r>
          </w:p>
        </w:tc>
      </w:tr>
      <w:tr w:rsidR="00FB5468" w:rsidRPr="00A82CD3" w:rsidTr="002723AC">
        <w:trPr>
          <w:jc w:val="center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NBR 15556 </w:t>
            </w:r>
          </w:p>
        </w:tc>
        <w:tc>
          <w:tcPr>
            <w:tcW w:w="4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Produtos derivados de óleos 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gorduras -Ésteres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metílicos/etílicos de ácidos graxos -Determinação do teor de sódio, potássio, magnésio e cálcio por espectrometria de absorção atômica</w:t>
            </w:r>
          </w:p>
        </w:tc>
      </w:tr>
      <w:tr w:rsidR="00FB5468" w:rsidRPr="00A82CD3" w:rsidTr="002723AC">
        <w:trPr>
          <w:jc w:val="center"/>
        </w:trPr>
        <w:tc>
          <w:tcPr>
            <w:tcW w:w="948" w:type="pct"/>
            <w:tcBorders>
              <w:top w:val="single" w:sz="4" w:space="0" w:color="auto"/>
              <w:left w:val="single" w:sz="4" w:space="0" w:color="000080"/>
              <w:bottom w:val="nil"/>
              <w:right w:val="single" w:sz="6" w:space="0" w:color="000080"/>
            </w:tcBorders>
            <w:hideMark/>
          </w:tcPr>
          <w:p w:rsidR="00FB5468" w:rsidRPr="00A82CD3" w:rsidRDefault="00FB5468" w:rsidP="003E5683">
            <w:pPr>
              <w:keepNext/>
              <w:keepLines/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54" w:type="pct"/>
            <w:tcBorders>
              <w:top w:val="single" w:sz="4" w:space="0" w:color="auto"/>
              <w:left w:val="single" w:sz="4" w:space="0" w:color="000080"/>
              <w:bottom w:val="nil"/>
              <w:right w:val="single" w:sz="6" w:space="0" w:color="000080"/>
            </w:tcBorders>
            <w:hideMark/>
          </w:tcPr>
          <w:p w:rsidR="00FB5468" w:rsidRPr="00A82CD3" w:rsidRDefault="00FB5468" w:rsidP="003E5683">
            <w:pPr>
              <w:keepNext/>
              <w:keepLines/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B5468" w:rsidRPr="00A82CD3" w:rsidTr="002723AC">
        <w:trPr>
          <w:jc w:val="center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NBR 15764 </w:t>
            </w:r>
          </w:p>
        </w:tc>
        <w:tc>
          <w:tcPr>
            <w:tcW w:w="4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Biodiesel - Determinação do teor total de ésteres por cromatografia gasosa </w:t>
            </w:r>
          </w:p>
        </w:tc>
      </w:tr>
      <w:tr w:rsidR="00FB5468" w:rsidRPr="00A82CD3" w:rsidTr="002723AC">
        <w:trPr>
          <w:jc w:val="center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NBR 15771 </w:t>
            </w:r>
          </w:p>
        </w:tc>
        <w:tc>
          <w:tcPr>
            <w:tcW w:w="4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Biodiesel - Determinação de glicerina livre - Método Volumétrico </w:t>
            </w:r>
          </w:p>
        </w:tc>
      </w:tr>
      <w:tr w:rsidR="00FB5468" w:rsidRPr="00A82CD3" w:rsidTr="002723AC">
        <w:trPr>
          <w:jc w:val="center"/>
        </w:trPr>
        <w:tc>
          <w:tcPr>
            <w:tcW w:w="948" w:type="pct"/>
            <w:tcBorders>
              <w:top w:val="single" w:sz="4" w:space="0" w:color="auto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NBR 15867 </w:t>
            </w:r>
          </w:p>
        </w:tc>
        <w:tc>
          <w:tcPr>
            <w:tcW w:w="4654" w:type="pct"/>
            <w:tcBorders>
              <w:top w:val="single" w:sz="4" w:space="0" w:color="auto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Biodiesel - Determinação do teor de enxofre por espectrometria de emissão ótica com plasma indutivamente acoplado (ICP-OES)</w:t>
            </w:r>
          </w:p>
        </w:tc>
      </w:tr>
      <w:tr w:rsidR="00FB5468" w:rsidRPr="00A82CD3" w:rsidTr="00FB5468">
        <w:trPr>
          <w:jc w:val="center"/>
        </w:trPr>
        <w:tc>
          <w:tcPr>
            <w:tcW w:w="948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NBR 15908 </w:t>
            </w:r>
          </w:p>
        </w:tc>
        <w:tc>
          <w:tcPr>
            <w:tcW w:w="4654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Biodiesel - Determinação da glicerina livre, monoglicerídeos,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diglicerídeos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triglicerídeos e glicerina total por cromatografia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gasosa</w:t>
            </w:r>
            <w:proofErr w:type="gramEnd"/>
          </w:p>
        </w:tc>
      </w:tr>
      <w:tr w:rsidR="00FB5468" w:rsidRPr="00A82CD3" w:rsidTr="00FB5468">
        <w:trPr>
          <w:jc w:val="center"/>
        </w:trPr>
        <w:tc>
          <w:tcPr>
            <w:tcW w:w="948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NBR 15995 </w:t>
            </w:r>
          </w:p>
        </w:tc>
        <w:tc>
          <w:tcPr>
            <w:tcW w:w="4654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Biodiesel - Determinação da contaminação total </w:t>
            </w:r>
          </w:p>
        </w:tc>
      </w:tr>
    </w:tbl>
    <w:p w:rsidR="00FB5468" w:rsidRPr="00A82CD3" w:rsidRDefault="00FB5468" w:rsidP="00FB5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2.2. Métodos ASTM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5000" w:type="pct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/>
      </w:tblPr>
      <w:tblGrid>
        <w:gridCol w:w="1917"/>
        <w:gridCol w:w="8504"/>
      </w:tblGrid>
      <w:tr w:rsidR="00FB5468" w:rsidRPr="00A82CD3" w:rsidTr="00FB5468">
        <w:trPr>
          <w:jc w:val="center"/>
        </w:trPr>
        <w:tc>
          <w:tcPr>
            <w:tcW w:w="92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br/>
              <w:t xml:space="preserve">MÉTODO </w:t>
            </w:r>
          </w:p>
        </w:tc>
        <w:tc>
          <w:tcPr>
            <w:tcW w:w="468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TÍTULO </w:t>
            </w:r>
          </w:p>
        </w:tc>
      </w:tr>
      <w:tr w:rsidR="00FB5468" w:rsidRPr="00526960" w:rsidTr="00FB5468">
        <w:trPr>
          <w:jc w:val="center"/>
        </w:trPr>
        <w:tc>
          <w:tcPr>
            <w:tcW w:w="92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ASTM D93 </w:t>
            </w:r>
          </w:p>
        </w:tc>
        <w:tc>
          <w:tcPr>
            <w:tcW w:w="468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Flash point by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Pensky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-Martens closed cup tester </w:t>
            </w:r>
          </w:p>
        </w:tc>
      </w:tr>
      <w:tr w:rsidR="00FB5468" w:rsidRPr="00526960" w:rsidTr="00FB5468">
        <w:trPr>
          <w:jc w:val="center"/>
        </w:trPr>
        <w:tc>
          <w:tcPr>
            <w:tcW w:w="92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C22337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2C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ASTM D130 </w:t>
            </w:r>
          </w:p>
        </w:tc>
        <w:tc>
          <w:tcPr>
            <w:tcW w:w="468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Corrosiveness to copper from petroleum products by copper strip test </w:t>
            </w:r>
          </w:p>
        </w:tc>
      </w:tr>
      <w:tr w:rsidR="00FB5468" w:rsidRPr="00526960" w:rsidTr="00FB5468">
        <w:trPr>
          <w:jc w:val="center"/>
        </w:trPr>
        <w:tc>
          <w:tcPr>
            <w:tcW w:w="92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C22337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2C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ASTM D445 </w:t>
            </w:r>
          </w:p>
        </w:tc>
        <w:tc>
          <w:tcPr>
            <w:tcW w:w="468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Kinematic viscosity of transparent and opaque liquids (and calculation of dynamic viscosity </w:t>
            </w:r>
          </w:p>
        </w:tc>
      </w:tr>
      <w:tr w:rsidR="00FB5468" w:rsidRPr="00526960" w:rsidTr="00FB5468">
        <w:trPr>
          <w:jc w:val="center"/>
        </w:trPr>
        <w:tc>
          <w:tcPr>
            <w:tcW w:w="92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C22337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2C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ASTM D613 </w:t>
            </w:r>
          </w:p>
        </w:tc>
        <w:tc>
          <w:tcPr>
            <w:tcW w:w="468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Cetane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number of Diesel fuel oil </w:t>
            </w:r>
          </w:p>
        </w:tc>
      </w:tr>
      <w:tr w:rsidR="00FB5468" w:rsidRPr="00526960" w:rsidTr="00FB5468">
        <w:trPr>
          <w:jc w:val="center"/>
        </w:trPr>
        <w:tc>
          <w:tcPr>
            <w:tcW w:w="92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C22337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2C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ASTM D664 </w:t>
            </w:r>
          </w:p>
        </w:tc>
        <w:tc>
          <w:tcPr>
            <w:tcW w:w="468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Acid number of petroleum products by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potentiometric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titration </w:t>
            </w:r>
          </w:p>
        </w:tc>
      </w:tr>
      <w:tr w:rsidR="00FB5468" w:rsidRPr="00526960" w:rsidTr="003E5683">
        <w:trPr>
          <w:jc w:val="center"/>
        </w:trPr>
        <w:tc>
          <w:tcPr>
            <w:tcW w:w="92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C22337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2C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ASTM D874 </w:t>
            </w:r>
          </w:p>
        </w:tc>
        <w:tc>
          <w:tcPr>
            <w:tcW w:w="4682" w:type="pct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Sulfated ash from lubricating oils and additives </w:t>
            </w:r>
          </w:p>
        </w:tc>
      </w:tr>
      <w:tr w:rsidR="00FB5468" w:rsidRPr="00526960" w:rsidTr="00137670">
        <w:trPr>
          <w:jc w:val="center"/>
        </w:trPr>
        <w:tc>
          <w:tcPr>
            <w:tcW w:w="920" w:type="pct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auto"/>
            </w:tcBorders>
            <w:hideMark/>
          </w:tcPr>
          <w:p w:rsidR="00FB5468" w:rsidRPr="00A82CD3" w:rsidRDefault="00C22337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2C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ASTM D1298 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Density, relative density (specific gravity) or API gravity of crude petroleum and liquid petroleum products by hydrometer</w:t>
            </w:r>
          </w:p>
        </w:tc>
      </w:tr>
      <w:tr w:rsidR="00FB5468" w:rsidRPr="00526960" w:rsidTr="00137670">
        <w:trPr>
          <w:jc w:val="center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6" w:space="0" w:color="FFFFFF" w:themeColor="background1"/>
              <w:right w:val="single" w:sz="4" w:space="0" w:color="auto"/>
            </w:tcBorders>
            <w:hideMark/>
          </w:tcPr>
          <w:p w:rsidR="00FB5468" w:rsidRPr="00A82CD3" w:rsidRDefault="00C22337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2C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ASTM D4052 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6" w:space="0" w:color="FFFFFF" w:themeColor="background1"/>
              <w:right w:val="single" w:sz="4" w:space="0" w:color="auto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Density and relative density of liquids by digital density meter </w:t>
            </w:r>
          </w:p>
        </w:tc>
      </w:tr>
      <w:tr w:rsidR="00FB5468" w:rsidRPr="00526960" w:rsidTr="00137670">
        <w:trPr>
          <w:jc w:val="center"/>
        </w:trPr>
        <w:tc>
          <w:tcPr>
            <w:tcW w:w="920" w:type="pct"/>
            <w:tcBorders>
              <w:top w:val="single" w:sz="6" w:space="0" w:color="FFFFFF" w:themeColor="background1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FB5468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4682" w:type="pct"/>
            <w:tcBorders>
              <w:top w:val="single" w:sz="6" w:space="0" w:color="FFFFFF" w:themeColor="background1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FB5468" w:rsidP="003E5683">
            <w:pPr>
              <w:keepNext/>
              <w:keepLines/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</w:tr>
      <w:tr w:rsidR="00FB5468" w:rsidRPr="00526960" w:rsidTr="00FB5468">
        <w:trPr>
          <w:jc w:val="center"/>
        </w:trPr>
        <w:tc>
          <w:tcPr>
            <w:tcW w:w="92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C22337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2C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ASTM D4951 </w:t>
            </w:r>
          </w:p>
        </w:tc>
        <w:tc>
          <w:tcPr>
            <w:tcW w:w="468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Determination of additive elements in lubricating oils by inductively coupled plasma atomic emission spectrometry</w:t>
            </w:r>
          </w:p>
        </w:tc>
      </w:tr>
      <w:tr w:rsidR="00FB5468" w:rsidRPr="00526960" w:rsidTr="00FB5468">
        <w:trPr>
          <w:jc w:val="center"/>
        </w:trPr>
        <w:tc>
          <w:tcPr>
            <w:tcW w:w="92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C22337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2C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ASTM D5453 </w:t>
            </w:r>
          </w:p>
        </w:tc>
        <w:tc>
          <w:tcPr>
            <w:tcW w:w="468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8D4867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Determination of total sulfur in light hydrocarbons, spark ignition engine fuel, diesel engine fuel, and engine oil by ultraviolet fluorescence</w:t>
            </w:r>
          </w:p>
        </w:tc>
      </w:tr>
      <w:tr w:rsidR="00FB5468" w:rsidRPr="00526960" w:rsidTr="00FB5468">
        <w:trPr>
          <w:jc w:val="center"/>
        </w:trPr>
        <w:tc>
          <w:tcPr>
            <w:tcW w:w="92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C22337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2C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ASTM D6304 </w:t>
            </w:r>
          </w:p>
        </w:tc>
        <w:tc>
          <w:tcPr>
            <w:tcW w:w="468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8D4867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Determination of water in petroleum products, lubricating oils, and additives by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coulometric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Karl Fisher titration</w:t>
            </w:r>
          </w:p>
        </w:tc>
      </w:tr>
      <w:tr w:rsidR="00FB5468" w:rsidRPr="00526960" w:rsidTr="00FB5468">
        <w:trPr>
          <w:jc w:val="center"/>
        </w:trPr>
        <w:tc>
          <w:tcPr>
            <w:tcW w:w="92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C22337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2C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ASTM D6371 </w:t>
            </w:r>
          </w:p>
        </w:tc>
        <w:tc>
          <w:tcPr>
            <w:tcW w:w="468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8D4867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Cold filter plugging point of Diesel and heating fuels </w:t>
            </w:r>
          </w:p>
        </w:tc>
      </w:tr>
      <w:tr w:rsidR="00FB5468" w:rsidRPr="00526960" w:rsidTr="00FB5468">
        <w:trPr>
          <w:jc w:val="center"/>
        </w:trPr>
        <w:tc>
          <w:tcPr>
            <w:tcW w:w="92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C22337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2C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ASTM D6584 </w:t>
            </w:r>
          </w:p>
        </w:tc>
        <w:tc>
          <w:tcPr>
            <w:tcW w:w="468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8D4867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Determination of total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monoglyceride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, total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diglyceride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, total triglyceride, and free and total glycerin in b-100 biodiesel methyl esters by gas chromatography</w:t>
            </w:r>
          </w:p>
        </w:tc>
      </w:tr>
      <w:tr w:rsidR="00FB5468" w:rsidRPr="00526960" w:rsidTr="00FB5468">
        <w:trPr>
          <w:jc w:val="center"/>
        </w:trPr>
        <w:tc>
          <w:tcPr>
            <w:tcW w:w="92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C22337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2C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ASTM D6890 </w:t>
            </w:r>
          </w:p>
        </w:tc>
        <w:tc>
          <w:tcPr>
            <w:tcW w:w="468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8D4867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Determination of ignition delay and derived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cetane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number (DCN) of Diesel fuel oils by combustion in a constant volume chamber</w:t>
            </w:r>
          </w:p>
        </w:tc>
      </w:tr>
    </w:tbl>
    <w:p w:rsidR="00FB5468" w:rsidRPr="00A82CD3" w:rsidRDefault="00FB5468" w:rsidP="00FB5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 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2.3. Métodos EN/ISO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5000" w:type="pct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/>
      </w:tblPr>
      <w:tblGrid>
        <w:gridCol w:w="1942"/>
        <w:gridCol w:w="8479"/>
      </w:tblGrid>
      <w:tr w:rsidR="00FB5468" w:rsidRPr="00A82CD3" w:rsidTr="00FB5468">
        <w:trPr>
          <w:jc w:val="center"/>
        </w:trPr>
        <w:tc>
          <w:tcPr>
            <w:tcW w:w="93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FB546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br/>
              <w:t xml:space="preserve">MÉTODO </w:t>
            </w:r>
          </w:p>
        </w:tc>
        <w:tc>
          <w:tcPr>
            <w:tcW w:w="46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FB546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TÍTULO </w:t>
            </w:r>
          </w:p>
        </w:tc>
      </w:tr>
      <w:tr w:rsidR="00FB5468" w:rsidRPr="00526960" w:rsidTr="00FB5468">
        <w:trPr>
          <w:jc w:val="center"/>
        </w:trPr>
        <w:tc>
          <w:tcPr>
            <w:tcW w:w="93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 116</w:t>
            </w:r>
          </w:p>
        </w:tc>
        <w:tc>
          <w:tcPr>
            <w:tcW w:w="46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Determination of cold filter plugging point</w:t>
            </w:r>
          </w:p>
        </w:tc>
      </w:tr>
      <w:tr w:rsidR="00FB5468" w:rsidRPr="00526960" w:rsidTr="00FB5468">
        <w:trPr>
          <w:jc w:val="center"/>
        </w:trPr>
        <w:tc>
          <w:tcPr>
            <w:tcW w:w="93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C22337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2C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 ISO 2160</w:t>
            </w:r>
          </w:p>
        </w:tc>
        <w:tc>
          <w:tcPr>
            <w:tcW w:w="46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Petroleum products - Corrosiveness to copper - Copper strip test</w:t>
            </w:r>
          </w:p>
        </w:tc>
      </w:tr>
      <w:tr w:rsidR="00FB5468" w:rsidRPr="00526960" w:rsidTr="00FB5468">
        <w:trPr>
          <w:jc w:val="center"/>
        </w:trPr>
        <w:tc>
          <w:tcPr>
            <w:tcW w:w="93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C22337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2C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 ISO 3104</w:t>
            </w:r>
          </w:p>
        </w:tc>
        <w:tc>
          <w:tcPr>
            <w:tcW w:w="46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Petroleum products - Transparent and opaque liquids - Determination of kinematic viscosity and calculation of dynamic viscosity</w:t>
            </w:r>
          </w:p>
        </w:tc>
      </w:tr>
      <w:tr w:rsidR="00FB5468" w:rsidRPr="00526960" w:rsidTr="00FB5468">
        <w:trPr>
          <w:jc w:val="center"/>
        </w:trPr>
        <w:tc>
          <w:tcPr>
            <w:tcW w:w="93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C22337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2C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 ISO 3675</w:t>
            </w:r>
          </w:p>
        </w:tc>
        <w:tc>
          <w:tcPr>
            <w:tcW w:w="46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Crude petroleum and liquid petroleum products - Laboratory determination of density - Hydrometer method</w:t>
            </w:r>
          </w:p>
        </w:tc>
      </w:tr>
      <w:tr w:rsidR="00FB5468" w:rsidRPr="00526960" w:rsidTr="00FB5468">
        <w:trPr>
          <w:jc w:val="center"/>
        </w:trPr>
        <w:tc>
          <w:tcPr>
            <w:tcW w:w="93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C22337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2C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 ISO 3679</w:t>
            </w:r>
          </w:p>
        </w:tc>
        <w:tc>
          <w:tcPr>
            <w:tcW w:w="46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Determination of flash point - Rapid equilibrium closed cup method</w:t>
            </w:r>
          </w:p>
        </w:tc>
      </w:tr>
      <w:tr w:rsidR="00FB5468" w:rsidRPr="00526960" w:rsidTr="00FB5468">
        <w:trPr>
          <w:jc w:val="center"/>
        </w:trPr>
        <w:tc>
          <w:tcPr>
            <w:tcW w:w="93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C22337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2C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 ISO 3987</w:t>
            </w:r>
          </w:p>
        </w:tc>
        <w:tc>
          <w:tcPr>
            <w:tcW w:w="46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Petroleum products - Lubricating oils and additives - Determination of sulfated ash</w:t>
            </w:r>
          </w:p>
        </w:tc>
      </w:tr>
      <w:tr w:rsidR="00FB5468" w:rsidRPr="00526960" w:rsidTr="00FB5468">
        <w:trPr>
          <w:jc w:val="center"/>
        </w:trPr>
        <w:tc>
          <w:tcPr>
            <w:tcW w:w="93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C22337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2C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 ISO 5165</w:t>
            </w:r>
          </w:p>
        </w:tc>
        <w:tc>
          <w:tcPr>
            <w:tcW w:w="46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Diesel fuels - Determination of the ignition quality of diesel fuels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Cetane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engine method</w:t>
            </w:r>
          </w:p>
        </w:tc>
      </w:tr>
      <w:tr w:rsidR="00FB5468" w:rsidRPr="00526960" w:rsidTr="00FB5468">
        <w:trPr>
          <w:jc w:val="center"/>
        </w:trPr>
        <w:tc>
          <w:tcPr>
            <w:tcW w:w="93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C22337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2C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 10370</w:t>
            </w:r>
          </w:p>
        </w:tc>
        <w:tc>
          <w:tcPr>
            <w:tcW w:w="46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Petroleum Products - Determination of carbon residue - Micro Method</w:t>
            </w:r>
          </w:p>
        </w:tc>
      </w:tr>
      <w:tr w:rsidR="00FB5468" w:rsidRPr="00A82CD3" w:rsidTr="00FB5468">
        <w:trPr>
          <w:jc w:val="center"/>
        </w:trPr>
        <w:tc>
          <w:tcPr>
            <w:tcW w:w="93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C22337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2C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 ISO 12185</w:t>
            </w:r>
          </w:p>
        </w:tc>
        <w:tc>
          <w:tcPr>
            <w:tcW w:w="46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Crude petroleum and liquid petroleum products.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Oscillating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U-tube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method</w:t>
            </w:r>
            <w:proofErr w:type="spellEnd"/>
          </w:p>
        </w:tc>
      </w:tr>
      <w:tr w:rsidR="00FB5468" w:rsidRPr="00526960" w:rsidTr="00FB5468">
        <w:trPr>
          <w:jc w:val="center"/>
        </w:trPr>
        <w:tc>
          <w:tcPr>
            <w:tcW w:w="93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 ISO 12662</w:t>
            </w:r>
          </w:p>
        </w:tc>
        <w:tc>
          <w:tcPr>
            <w:tcW w:w="46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Liquid Petroleum Products - Determination of contamination in middle distillates</w:t>
            </w:r>
          </w:p>
        </w:tc>
      </w:tr>
      <w:tr w:rsidR="00FB5468" w:rsidRPr="00526960" w:rsidTr="00FB5468">
        <w:trPr>
          <w:jc w:val="center"/>
        </w:trPr>
        <w:tc>
          <w:tcPr>
            <w:tcW w:w="93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C22337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2C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 ISO 12937</w:t>
            </w:r>
          </w:p>
        </w:tc>
        <w:tc>
          <w:tcPr>
            <w:tcW w:w="46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Petroleum Products - Determination of water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Coulometric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Karl Fischer titration method</w:t>
            </w:r>
          </w:p>
        </w:tc>
      </w:tr>
      <w:tr w:rsidR="00FB5468" w:rsidRPr="00526960" w:rsidTr="00FB5468">
        <w:trPr>
          <w:jc w:val="center"/>
        </w:trPr>
        <w:tc>
          <w:tcPr>
            <w:tcW w:w="93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C22337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2C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 14103</w:t>
            </w:r>
          </w:p>
        </w:tc>
        <w:tc>
          <w:tcPr>
            <w:tcW w:w="46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Fat and oil derivatives - Fatty acid methyl esters (FAME) - Determination of ester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linolenic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acid methyl ester contents</w:t>
            </w:r>
          </w:p>
        </w:tc>
      </w:tr>
      <w:tr w:rsidR="00FB5468" w:rsidRPr="00526960" w:rsidTr="00FB5468">
        <w:trPr>
          <w:jc w:val="center"/>
        </w:trPr>
        <w:tc>
          <w:tcPr>
            <w:tcW w:w="93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C22337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2C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EN 14104</w:t>
            </w:r>
          </w:p>
        </w:tc>
        <w:tc>
          <w:tcPr>
            <w:tcW w:w="46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Fat and oil derivatives - Fatty acid methyl esters (FAME) - Determination of acid value</w:t>
            </w:r>
          </w:p>
        </w:tc>
      </w:tr>
      <w:tr w:rsidR="00FB5468" w:rsidRPr="00526960" w:rsidTr="00FB5468">
        <w:trPr>
          <w:jc w:val="center"/>
        </w:trPr>
        <w:tc>
          <w:tcPr>
            <w:tcW w:w="93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C22337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2C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 14105</w:t>
            </w:r>
          </w:p>
        </w:tc>
        <w:tc>
          <w:tcPr>
            <w:tcW w:w="46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Fat and oil derivatives - Fatty acid methyl esters (FAME) - Determination of free and total glycerol and mono-,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- and triglyceride content - (Reference Method)</w:t>
            </w:r>
          </w:p>
        </w:tc>
      </w:tr>
      <w:tr w:rsidR="00FB5468" w:rsidRPr="00526960" w:rsidTr="00FB5468">
        <w:trPr>
          <w:jc w:val="center"/>
        </w:trPr>
        <w:tc>
          <w:tcPr>
            <w:tcW w:w="93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C22337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2C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 14106</w:t>
            </w:r>
          </w:p>
        </w:tc>
        <w:tc>
          <w:tcPr>
            <w:tcW w:w="46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Fat and oil derivatives - Fatty acid methyl esters (FAME) - Determination of free glycerol content</w:t>
            </w:r>
          </w:p>
        </w:tc>
      </w:tr>
      <w:tr w:rsidR="00FB5468" w:rsidRPr="00526960" w:rsidTr="00FB5468">
        <w:trPr>
          <w:jc w:val="center"/>
        </w:trPr>
        <w:tc>
          <w:tcPr>
            <w:tcW w:w="93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C22337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2C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 14107</w:t>
            </w:r>
          </w:p>
        </w:tc>
        <w:tc>
          <w:tcPr>
            <w:tcW w:w="46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Fat and oil derivatives - Fatty acid methyl esters (FAME) - Determination of phosphorous content by inductively coupled plasma (ICP) emission spectrometry</w:t>
            </w:r>
          </w:p>
        </w:tc>
      </w:tr>
      <w:tr w:rsidR="00FB5468" w:rsidRPr="00526960" w:rsidTr="00FB5468">
        <w:trPr>
          <w:jc w:val="center"/>
        </w:trPr>
        <w:tc>
          <w:tcPr>
            <w:tcW w:w="93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C22337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2C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 14108</w:t>
            </w:r>
          </w:p>
        </w:tc>
        <w:tc>
          <w:tcPr>
            <w:tcW w:w="46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Fat and oil derivatives - Fatty acid methyl esters (FAME) - Determination of sodium content by atomic absorption spectrometry</w:t>
            </w:r>
          </w:p>
        </w:tc>
      </w:tr>
      <w:tr w:rsidR="00FB5468" w:rsidRPr="00526960" w:rsidTr="00FB5468">
        <w:trPr>
          <w:jc w:val="center"/>
        </w:trPr>
        <w:tc>
          <w:tcPr>
            <w:tcW w:w="93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C22337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2C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 14109</w:t>
            </w:r>
          </w:p>
        </w:tc>
        <w:tc>
          <w:tcPr>
            <w:tcW w:w="46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Fat and oil derivatives -Fatty acid methyl esters (FAME) - Determination of potassium content by atomic absorption spectrometry</w:t>
            </w:r>
          </w:p>
        </w:tc>
      </w:tr>
      <w:tr w:rsidR="00FB5468" w:rsidRPr="00526960" w:rsidTr="00FB5468">
        <w:trPr>
          <w:jc w:val="center"/>
        </w:trPr>
        <w:tc>
          <w:tcPr>
            <w:tcW w:w="93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C22337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2C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 14110</w:t>
            </w:r>
          </w:p>
        </w:tc>
        <w:tc>
          <w:tcPr>
            <w:tcW w:w="46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Fat and oil derivatives - Fatty acid methyl esters (FAME) - Determination of methanol content</w:t>
            </w:r>
          </w:p>
        </w:tc>
      </w:tr>
      <w:tr w:rsidR="00FB5468" w:rsidRPr="00526960" w:rsidTr="00FB5468">
        <w:trPr>
          <w:jc w:val="center"/>
        </w:trPr>
        <w:tc>
          <w:tcPr>
            <w:tcW w:w="93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C22337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2C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 14111</w:t>
            </w:r>
          </w:p>
        </w:tc>
        <w:tc>
          <w:tcPr>
            <w:tcW w:w="46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Fat and oil derivatives - Fatty acid methyl esters (FAME) - Determination of iodine value</w:t>
            </w:r>
          </w:p>
        </w:tc>
      </w:tr>
      <w:tr w:rsidR="00FB5468" w:rsidRPr="00526960" w:rsidTr="00FB5468">
        <w:trPr>
          <w:jc w:val="center"/>
        </w:trPr>
        <w:tc>
          <w:tcPr>
            <w:tcW w:w="93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C22337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2C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 14112</w:t>
            </w:r>
          </w:p>
        </w:tc>
        <w:tc>
          <w:tcPr>
            <w:tcW w:w="46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Fat and oil derivatives - Fatty acid methyl esters (FAME) - Determination of oxidation stability (accelerated oxidation test)</w:t>
            </w:r>
          </w:p>
        </w:tc>
      </w:tr>
      <w:tr w:rsidR="00FB5468" w:rsidRPr="00526960" w:rsidTr="00FB5468">
        <w:trPr>
          <w:jc w:val="center"/>
        </w:trPr>
        <w:tc>
          <w:tcPr>
            <w:tcW w:w="93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C22337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2C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 14538</w:t>
            </w:r>
          </w:p>
        </w:tc>
        <w:tc>
          <w:tcPr>
            <w:tcW w:w="46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Fat and oil derivatives - Fatty acid methyl esters (FAME) - Determination of Ca, K, Mg and Na content by optical emission spectral analysis with inductively coupled plasma (ICP-OES)</w:t>
            </w:r>
          </w:p>
        </w:tc>
      </w:tr>
      <w:tr w:rsidR="00FB5468" w:rsidRPr="00A82CD3" w:rsidTr="00FB5468">
        <w:trPr>
          <w:jc w:val="center"/>
        </w:trPr>
        <w:tc>
          <w:tcPr>
            <w:tcW w:w="93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C22337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2C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 15751</w:t>
            </w:r>
          </w:p>
        </w:tc>
        <w:tc>
          <w:tcPr>
            <w:tcW w:w="46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Fat and oil derivatives - Fatty acid methyl esters (FAME) and blends with diesel fuel.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Determination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oxidation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stability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accelerated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oxidation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method</w:t>
            </w:r>
            <w:proofErr w:type="spellEnd"/>
          </w:p>
        </w:tc>
      </w:tr>
      <w:tr w:rsidR="00216204" w:rsidRPr="00526960" w:rsidTr="00FB5468">
        <w:trPr>
          <w:jc w:val="center"/>
        </w:trPr>
        <w:tc>
          <w:tcPr>
            <w:tcW w:w="93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C22337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 16294</w:t>
            </w:r>
          </w:p>
        </w:tc>
        <w:tc>
          <w:tcPr>
            <w:tcW w:w="46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16204" w:rsidRPr="00137670" w:rsidRDefault="00797335" w:rsidP="003E5683">
            <w:pPr>
              <w:pStyle w:val="Ttulo1"/>
              <w:suppressAutoHyphens/>
              <w:jc w:val="both"/>
              <w:rPr>
                <w:sz w:val="24"/>
                <w:szCs w:val="24"/>
                <w:lang w:val="en-US"/>
              </w:rPr>
            </w:pPr>
            <w:r w:rsidRPr="00137670">
              <w:rPr>
                <w:rFonts w:eastAsiaTheme="minorHAnsi"/>
                <w:b w:val="0"/>
                <w:bCs w:val="0"/>
                <w:color w:val="auto"/>
                <w:kern w:val="0"/>
                <w:sz w:val="24"/>
                <w:szCs w:val="24"/>
                <w:lang w:val="en-US" w:eastAsia="en-US"/>
              </w:rPr>
              <w:t xml:space="preserve">Petroleum Products </w:t>
            </w:r>
            <w:proofErr w:type="gramStart"/>
            <w:r w:rsidRPr="00137670">
              <w:rPr>
                <w:rFonts w:eastAsiaTheme="minorHAnsi"/>
                <w:b w:val="0"/>
                <w:bCs w:val="0"/>
                <w:color w:val="auto"/>
                <w:kern w:val="0"/>
                <w:sz w:val="24"/>
                <w:szCs w:val="24"/>
                <w:lang w:val="en-US" w:eastAsia="en-US"/>
              </w:rPr>
              <w:t>And</w:t>
            </w:r>
            <w:proofErr w:type="gramEnd"/>
            <w:r w:rsidRPr="00137670">
              <w:rPr>
                <w:rFonts w:eastAsiaTheme="minorHAnsi"/>
                <w:b w:val="0"/>
                <w:bCs w:val="0"/>
                <w:color w:val="auto"/>
                <w:kern w:val="0"/>
                <w:sz w:val="24"/>
                <w:szCs w:val="24"/>
                <w:lang w:val="en-US" w:eastAsia="en-US"/>
              </w:rPr>
              <w:t xml:space="preserve"> Fat And Oil Derivatives - Determination of Phosphorus Content In Fatty Acid Methyl Esters (Fame) - Optical Emission Spectral Analysis With Inductively Coupled Plasma (ICP OES)</w:t>
            </w:r>
          </w:p>
        </w:tc>
      </w:tr>
      <w:tr w:rsidR="00FB5468" w:rsidRPr="00526960" w:rsidTr="00FB5468">
        <w:trPr>
          <w:jc w:val="center"/>
        </w:trPr>
        <w:tc>
          <w:tcPr>
            <w:tcW w:w="93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 ISO 20846</w:t>
            </w:r>
          </w:p>
        </w:tc>
        <w:tc>
          <w:tcPr>
            <w:tcW w:w="46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Petroleum Products - Determination of sulfur content of automotive fuels - Ultraviolet fluorescence method</w:t>
            </w:r>
          </w:p>
        </w:tc>
      </w:tr>
      <w:tr w:rsidR="00FB5468" w:rsidRPr="00526960" w:rsidTr="00FB5468">
        <w:trPr>
          <w:jc w:val="center"/>
        </w:trPr>
        <w:tc>
          <w:tcPr>
            <w:tcW w:w="93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C22337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2C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 ISO 20884</w:t>
            </w:r>
          </w:p>
        </w:tc>
        <w:tc>
          <w:tcPr>
            <w:tcW w:w="46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3E5683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Petroleum Products -Determination of sulfur content of automotive fuels - Wavelength-dispersive X -ray fluorescence spectrometry</w:t>
            </w:r>
          </w:p>
        </w:tc>
      </w:tr>
    </w:tbl>
    <w:p w:rsidR="00FB5468" w:rsidRPr="00A82CD3" w:rsidRDefault="00FB5468" w:rsidP="00FB5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173741" w:rsidRPr="00A82CD3" w:rsidRDefault="00173741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76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Tabela I</w:t>
      </w:r>
      <w:r w:rsidR="001376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Especificação do Biodiesel</w:t>
      </w:r>
    </w:p>
    <w:tbl>
      <w:tblPr>
        <w:tblW w:w="5202" w:type="pct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/>
      </w:tblPr>
      <w:tblGrid>
        <w:gridCol w:w="2838"/>
        <w:gridCol w:w="1789"/>
        <w:gridCol w:w="1522"/>
        <w:gridCol w:w="1542"/>
        <w:gridCol w:w="1416"/>
        <w:gridCol w:w="1735"/>
      </w:tblGrid>
      <w:tr w:rsidR="00137670" w:rsidRPr="003D3139" w:rsidTr="00137670">
        <w:trPr>
          <w:jc w:val="center"/>
        </w:trPr>
        <w:tc>
          <w:tcPr>
            <w:tcW w:w="1309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br/>
              <w:t xml:space="preserve">CARACTERÍSTICA </w:t>
            </w:r>
          </w:p>
        </w:tc>
        <w:tc>
          <w:tcPr>
            <w:tcW w:w="825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UNIDADE </w:t>
            </w:r>
          </w:p>
        </w:tc>
        <w:tc>
          <w:tcPr>
            <w:tcW w:w="702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LIMITE </w:t>
            </w:r>
          </w:p>
        </w:tc>
        <w:tc>
          <w:tcPr>
            <w:tcW w:w="2164" w:type="pct"/>
            <w:gridSpan w:val="3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MÉTODO </w:t>
            </w:r>
          </w:p>
        </w:tc>
      </w:tr>
      <w:tr w:rsidR="00137670" w:rsidRPr="003D3139" w:rsidTr="00137670">
        <w:trPr>
          <w:jc w:val="center"/>
        </w:trPr>
        <w:tc>
          <w:tcPr>
            <w:tcW w:w="1309" w:type="pct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37670" w:rsidRPr="003D3139" w:rsidRDefault="00137670" w:rsidP="00526960">
            <w:pPr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37670" w:rsidRPr="003D3139" w:rsidRDefault="00137670" w:rsidP="00526960">
            <w:pPr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37670" w:rsidRPr="003D3139" w:rsidRDefault="00137670" w:rsidP="00526960">
            <w:pPr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71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13767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ABNT NBR</w:t>
            </w:r>
          </w:p>
        </w:tc>
        <w:tc>
          <w:tcPr>
            <w:tcW w:w="65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13767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ASTM D</w:t>
            </w:r>
          </w:p>
        </w:tc>
        <w:tc>
          <w:tcPr>
            <w:tcW w:w="80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13767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EN/ISO</w:t>
            </w:r>
          </w:p>
        </w:tc>
      </w:tr>
      <w:tr w:rsidR="00137670" w:rsidRPr="003D3139" w:rsidTr="00137670">
        <w:trPr>
          <w:jc w:val="center"/>
        </w:trPr>
        <w:tc>
          <w:tcPr>
            <w:tcW w:w="130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Aspecto </w:t>
            </w:r>
          </w:p>
        </w:tc>
        <w:tc>
          <w:tcPr>
            <w:tcW w:w="825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0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LII (1) </w:t>
            </w:r>
          </w:p>
        </w:tc>
        <w:tc>
          <w:tcPr>
            <w:tcW w:w="71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5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0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</w:tr>
      <w:tr w:rsidR="00137670" w:rsidRPr="003D3139" w:rsidTr="00137670">
        <w:trPr>
          <w:jc w:val="center"/>
        </w:trPr>
        <w:tc>
          <w:tcPr>
            <w:tcW w:w="130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Massa específica a 20º C </w:t>
            </w:r>
          </w:p>
        </w:tc>
        <w:tc>
          <w:tcPr>
            <w:tcW w:w="825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kg/m</w:t>
            </w:r>
            <w:proofErr w:type="gramEnd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³ </w:t>
            </w:r>
          </w:p>
        </w:tc>
        <w:tc>
          <w:tcPr>
            <w:tcW w:w="70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850 a 900 </w:t>
            </w:r>
          </w:p>
        </w:tc>
        <w:tc>
          <w:tcPr>
            <w:tcW w:w="71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7148 </w:t>
            </w:r>
          </w:p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14065 </w:t>
            </w:r>
          </w:p>
        </w:tc>
        <w:tc>
          <w:tcPr>
            <w:tcW w:w="65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1298 </w:t>
            </w:r>
          </w:p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4052 </w:t>
            </w:r>
          </w:p>
        </w:tc>
        <w:tc>
          <w:tcPr>
            <w:tcW w:w="80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 ISO 3675 </w:t>
            </w:r>
          </w:p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 ISO 12185 </w:t>
            </w:r>
          </w:p>
        </w:tc>
      </w:tr>
      <w:tr w:rsidR="00137670" w:rsidRPr="003D3139" w:rsidTr="00137670">
        <w:trPr>
          <w:jc w:val="center"/>
        </w:trPr>
        <w:tc>
          <w:tcPr>
            <w:tcW w:w="130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Viscosidade Cinemática a 40ºC </w:t>
            </w:r>
          </w:p>
        </w:tc>
        <w:tc>
          <w:tcPr>
            <w:tcW w:w="825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mm²</w:t>
            </w:r>
            <w:proofErr w:type="gramEnd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/s </w:t>
            </w:r>
          </w:p>
        </w:tc>
        <w:tc>
          <w:tcPr>
            <w:tcW w:w="70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3,0 a 6,0 </w:t>
            </w:r>
          </w:p>
        </w:tc>
        <w:tc>
          <w:tcPr>
            <w:tcW w:w="71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10441 </w:t>
            </w:r>
          </w:p>
        </w:tc>
        <w:tc>
          <w:tcPr>
            <w:tcW w:w="65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445 </w:t>
            </w:r>
          </w:p>
        </w:tc>
        <w:tc>
          <w:tcPr>
            <w:tcW w:w="80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 ISO 3104 </w:t>
            </w:r>
          </w:p>
        </w:tc>
      </w:tr>
      <w:tr w:rsidR="00137670" w:rsidRPr="003D3139" w:rsidTr="00137670">
        <w:trPr>
          <w:jc w:val="center"/>
        </w:trPr>
        <w:tc>
          <w:tcPr>
            <w:tcW w:w="130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Teor de água, máx. </w:t>
            </w:r>
          </w:p>
        </w:tc>
        <w:tc>
          <w:tcPr>
            <w:tcW w:w="825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mg</w:t>
            </w:r>
            <w:proofErr w:type="spellEnd"/>
            <w:proofErr w:type="gramEnd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/kg </w:t>
            </w:r>
          </w:p>
        </w:tc>
        <w:tc>
          <w:tcPr>
            <w:tcW w:w="70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200,0 (2) </w:t>
            </w:r>
          </w:p>
        </w:tc>
        <w:tc>
          <w:tcPr>
            <w:tcW w:w="71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5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6304 </w:t>
            </w:r>
          </w:p>
        </w:tc>
        <w:tc>
          <w:tcPr>
            <w:tcW w:w="80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 ISO 12937 </w:t>
            </w:r>
          </w:p>
        </w:tc>
      </w:tr>
      <w:tr w:rsidR="00137670" w:rsidRPr="003D3139" w:rsidTr="00137670">
        <w:trPr>
          <w:jc w:val="center"/>
        </w:trPr>
        <w:tc>
          <w:tcPr>
            <w:tcW w:w="130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Contaminação Total, máx. </w:t>
            </w:r>
          </w:p>
        </w:tc>
        <w:tc>
          <w:tcPr>
            <w:tcW w:w="825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mg</w:t>
            </w:r>
            <w:proofErr w:type="spellEnd"/>
            <w:proofErr w:type="gramEnd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/kg </w:t>
            </w:r>
          </w:p>
        </w:tc>
        <w:tc>
          <w:tcPr>
            <w:tcW w:w="70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24 </w:t>
            </w:r>
          </w:p>
        </w:tc>
        <w:tc>
          <w:tcPr>
            <w:tcW w:w="71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5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0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 ISO 12662 </w:t>
            </w:r>
          </w:p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NBR 15995</w:t>
            </w:r>
          </w:p>
        </w:tc>
      </w:tr>
      <w:tr w:rsidR="00137670" w:rsidRPr="003D3139" w:rsidTr="00137670">
        <w:trPr>
          <w:jc w:val="center"/>
        </w:trPr>
        <w:tc>
          <w:tcPr>
            <w:tcW w:w="130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Ponto de fulgor, mín. (3</w:t>
            </w:r>
            <w:proofErr w:type="gramStart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</w:t>
            </w:r>
            <w:proofErr w:type="gramEnd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825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ºC </w:t>
            </w:r>
          </w:p>
        </w:tc>
        <w:tc>
          <w:tcPr>
            <w:tcW w:w="70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100,0 </w:t>
            </w:r>
          </w:p>
        </w:tc>
        <w:tc>
          <w:tcPr>
            <w:tcW w:w="71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14598 </w:t>
            </w:r>
          </w:p>
        </w:tc>
        <w:tc>
          <w:tcPr>
            <w:tcW w:w="65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93 </w:t>
            </w:r>
          </w:p>
        </w:tc>
        <w:tc>
          <w:tcPr>
            <w:tcW w:w="80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 ISO 3679 </w:t>
            </w:r>
          </w:p>
        </w:tc>
      </w:tr>
      <w:tr w:rsidR="00137670" w:rsidRPr="003D3139" w:rsidTr="00137670">
        <w:trPr>
          <w:jc w:val="center"/>
        </w:trPr>
        <w:tc>
          <w:tcPr>
            <w:tcW w:w="130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Teor de éster, </w:t>
            </w:r>
            <w:proofErr w:type="spellStart"/>
            <w:proofErr w:type="gramStart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mín</w:t>
            </w:r>
            <w:proofErr w:type="spellEnd"/>
            <w:proofErr w:type="gramEnd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825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% massa </w:t>
            </w:r>
          </w:p>
        </w:tc>
        <w:tc>
          <w:tcPr>
            <w:tcW w:w="70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96,5 </w:t>
            </w:r>
          </w:p>
        </w:tc>
        <w:tc>
          <w:tcPr>
            <w:tcW w:w="71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15764 </w:t>
            </w:r>
          </w:p>
        </w:tc>
        <w:tc>
          <w:tcPr>
            <w:tcW w:w="65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0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 14103 </w:t>
            </w:r>
          </w:p>
        </w:tc>
      </w:tr>
      <w:tr w:rsidR="00137670" w:rsidRPr="003D3139" w:rsidTr="00137670">
        <w:trPr>
          <w:jc w:val="center"/>
        </w:trPr>
        <w:tc>
          <w:tcPr>
            <w:tcW w:w="130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Cinzas sulfatadas, máx. </w:t>
            </w:r>
          </w:p>
        </w:tc>
        <w:tc>
          <w:tcPr>
            <w:tcW w:w="825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% massa </w:t>
            </w:r>
          </w:p>
        </w:tc>
        <w:tc>
          <w:tcPr>
            <w:tcW w:w="70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0,020 </w:t>
            </w:r>
          </w:p>
        </w:tc>
        <w:tc>
          <w:tcPr>
            <w:tcW w:w="71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6294 </w:t>
            </w:r>
          </w:p>
        </w:tc>
        <w:tc>
          <w:tcPr>
            <w:tcW w:w="65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874 </w:t>
            </w:r>
          </w:p>
        </w:tc>
        <w:tc>
          <w:tcPr>
            <w:tcW w:w="80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 ISO 3987 </w:t>
            </w:r>
          </w:p>
        </w:tc>
      </w:tr>
      <w:tr w:rsidR="00137670" w:rsidRPr="003D3139" w:rsidTr="00137670">
        <w:trPr>
          <w:jc w:val="center"/>
        </w:trPr>
        <w:tc>
          <w:tcPr>
            <w:tcW w:w="130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Enxofre total, máx. </w:t>
            </w:r>
          </w:p>
        </w:tc>
        <w:tc>
          <w:tcPr>
            <w:tcW w:w="825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mg</w:t>
            </w:r>
            <w:proofErr w:type="spellEnd"/>
            <w:proofErr w:type="gramEnd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/kg </w:t>
            </w:r>
          </w:p>
        </w:tc>
        <w:tc>
          <w:tcPr>
            <w:tcW w:w="70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 </w:t>
            </w:r>
          </w:p>
        </w:tc>
        <w:tc>
          <w:tcPr>
            <w:tcW w:w="71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15867 </w:t>
            </w:r>
          </w:p>
        </w:tc>
        <w:tc>
          <w:tcPr>
            <w:tcW w:w="65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5453 </w:t>
            </w:r>
          </w:p>
        </w:tc>
        <w:tc>
          <w:tcPr>
            <w:tcW w:w="80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 ISO 20846 </w:t>
            </w:r>
          </w:p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 ISO 20884 </w:t>
            </w:r>
          </w:p>
        </w:tc>
      </w:tr>
      <w:tr w:rsidR="00137670" w:rsidRPr="003D3139" w:rsidTr="00137670">
        <w:trPr>
          <w:jc w:val="center"/>
        </w:trPr>
        <w:tc>
          <w:tcPr>
            <w:tcW w:w="130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Sódio + Potássio, máx. </w:t>
            </w:r>
          </w:p>
        </w:tc>
        <w:tc>
          <w:tcPr>
            <w:tcW w:w="825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mg</w:t>
            </w:r>
            <w:proofErr w:type="spellEnd"/>
            <w:proofErr w:type="gramEnd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/kg </w:t>
            </w:r>
          </w:p>
        </w:tc>
        <w:tc>
          <w:tcPr>
            <w:tcW w:w="70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proofErr w:type="gramEnd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71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15554 </w:t>
            </w:r>
          </w:p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15555 </w:t>
            </w:r>
          </w:p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15553 </w:t>
            </w:r>
          </w:p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15556 </w:t>
            </w:r>
          </w:p>
        </w:tc>
        <w:tc>
          <w:tcPr>
            <w:tcW w:w="65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0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 14108 </w:t>
            </w:r>
          </w:p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 14109 </w:t>
            </w:r>
          </w:p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 14538 </w:t>
            </w:r>
          </w:p>
        </w:tc>
      </w:tr>
      <w:tr w:rsidR="00137670" w:rsidRPr="003D3139" w:rsidTr="00137670">
        <w:trPr>
          <w:jc w:val="center"/>
        </w:trPr>
        <w:tc>
          <w:tcPr>
            <w:tcW w:w="130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Cálcio + Magnésio, máx. </w:t>
            </w:r>
          </w:p>
        </w:tc>
        <w:tc>
          <w:tcPr>
            <w:tcW w:w="825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mg</w:t>
            </w:r>
            <w:proofErr w:type="spellEnd"/>
            <w:proofErr w:type="gramEnd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/kg </w:t>
            </w:r>
          </w:p>
        </w:tc>
        <w:tc>
          <w:tcPr>
            <w:tcW w:w="70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proofErr w:type="gramEnd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71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15553 </w:t>
            </w:r>
          </w:p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15556 </w:t>
            </w:r>
          </w:p>
        </w:tc>
        <w:tc>
          <w:tcPr>
            <w:tcW w:w="65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0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 14538 </w:t>
            </w:r>
          </w:p>
        </w:tc>
      </w:tr>
      <w:tr w:rsidR="00137670" w:rsidRPr="003D3139" w:rsidTr="00137670">
        <w:trPr>
          <w:jc w:val="center"/>
        </w:trPr>
        <w:tc>
          <w:tcPr>
            <w:tcW w:w="130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Fósforo, máx. </w:t>
            </w:r>
          </w:p>
        </w:tc>
        <w:tc>
          <w:tcPr>
            <w:tcW w:w="825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mg</w:t>
            </w:r>
            <w:proofErr w:type="spellEnd"/>
            <w:proofErr w:type="gramEnd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/kg </w:t>
            </w:r>
          </w:p>
        </w:tc>
        <w:tc>
          <w:tcPr>
            <w:tcW w:w="70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 </w:t>
            </w:r>
          </w:p>
        </w:tc>
        <w:tc>
          <w:tcPr>
            <w:tcW w:w="71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15553 </w:t>
            </w:r>
          </w:p>
        </w:tc>
        <w:tc>
          <w:tcPr>
            <w:tcW w:w="65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4951 </w:t>
            </w:r>
          </w:p>
        </w:tc>
        <w:tc>
          <w:tcPr>
            <w:tcW w:w="80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 14107</w:t>
            </w:r>
          </w:p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 16294 </w:t>
            </w:r>
          </w:p>
        </w:tc>
      </w:tr>
      <w:tr w:rsidR="00137670" w:rsidRPr="003D3139" w:rsidTr="00137670">
        <w:trPr>
          <w:jc w:val="center"/>
        </w:trPr>
        <w:tc>
          <w:tcPr>
            <w:tcW w:w="130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Corrosividade</w:t>
            </w:r>
            <w:proofErr w:type="spellEnd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ao cobre, 3h a 50 ºC, máx. </w:t>
            </w:r>
          </w:p>
        </w:tc>
        <w:tc>
          <w:tcPr>
            <w:tcW w:w="825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0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71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14359 </w:t>
            </w:r>
          </w:p>
        </w:tc>
        <w:tc>
          <w:tcPr>
            <w:tcW w:w="65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130 </w:t>
            </w:r>
          </w:p>
        </w:tc>
        <w:tc>
          <w:tcPr>
            <w:tcW w:w="80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 ISO 2160 </w:t>
            </w:r>
          </w:p>
        </w:tc>
      </w:tr>
      <w:tr w:rsidR="00137670" w:rsidRPr="003D3139" w:rsidTr="00137670">
        <w:trPr>
          <w:jc w:val="center"/>
        </w:trPr>
        <w:tc>
          <w:tcPr>
            <w:tcW w:w="130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Número </w:t>
            </w:r>
            <w:proofErr w:type="spellStart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Cetano</w:t>
            </w:r>
            <w:proofErr w:type="spellEnd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(4) </w:t>
            </w:r>
          </w:p>
        </w:tc>
        <w:tc>
          <w:tcPr>
            <w:tcW w:w="825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0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Anotar </w:t>
            </w:r>
          </w:p>
        </w:tc>
        <w:tc>
          <w:tcPr>
            <w:tcW w:w="71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5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613 </w:t>
            </w:r>
          </w:p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6890 (5) </w:t>
            </w:r>
          </w:p>
        </w:tc>
        <w:tc>
          <w:tcPr>
            <w:tcW w:w="80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 ISO 5165 </w:t>
            </w:r>
          </w:p>
        </w:tc>
      </w:tr>
      <w:tr w:rsidR="00137670" w:rsidRPr="003D3139" w:rsidTr="00137670">
        <w:trPr>
          <w:jc w:val="center"/>
        </w:trPr>
        <w:tc>
          <w:tcPr>
            <w:tcW w:w="130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Ponto de entupimento de filtro a frio, máx. </w:t>
            </w:r>
          </w:p>
        </w:tc>
        <w:tc>
          <w:tcPr>
            <w:tcW w:w="825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ºC </w:t>
            </w:r>
          </w:p>
        </w:tc>
        <w:tc>
          <w:tcPr>
            <w:tcW w:w="70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(6) </w:t>
            </w:r>
          </w:p>
        </w:tc>
        <w:tc>
          <w:tcPr>
            <w:tcW w:w="71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14747 </w:t>
            </w:r>
          </w:p>
        </w:tc>
        <w:tc>
          <w:tcPr>
            <w:tcW w:w="65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6371 </w:t>
            </w:r>
          </w:p>
        </w:tc>
        <w:tc>
          <w:tcPr>
            <w:tcW w:w="80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 116 </w:t>
            </w:r>
          </w:p>
        </w:tc>
      </w:tr>
      <w:tr w:rsidR="00137670" w:rsidRPr="003D3139" w:rsidTr="00137670">
        <w:trPr>
          <w:jc w:val="center"/>
        </w:trPr>
        <w:tc>
          <w:tcPr>
            <w:tcW w:w="130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Índice de acidez, máx. </w:t>
            </w:r>
          </w:p>
        </w:tc>
        <w:tc>
          <w:tcPr>
            <w:tcW w:w="825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mg</w:t>
            </w:r>
            <w:proofErr w:type="spellEnd"/>
            <w:proofErr w:type="gramEnd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KOH/g </w:t>
            </w:r>
          </w:p>
        </w:tc>
        <w:tc>
          <w:tcPr>
            <w:tcW w:w="70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71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14448 </w:t>
            </w:r>
          </w:p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5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664 </w:t>
            </w:r>
          </w:p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0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 14104 (7) </w:t>
            </w:r>
          </w:p>
        </w:tc>
      </w:tr>
      <w:tr w:rsidR="00137670" w:rsidRPr="003D3139" w:rsidTr="00137670">
        <w:trPr>
          <w:jc w:val="center"/>
        </w:trPr>
        <w:tc>
          <w:tcPr>
            <w:tcW w:w="130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Glicerol livre, máx. </w:t>
            </w:r>
          </w:p>
        </w:tc>
        <w:tc>
          <w:tcPr>
            <w:tcW w:w="825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% massa </w:t>
            </w:r>
          </w:p>
        </w:tc>
        <w:tc>
          <w:tcPr>
            <w:tcW w:w="70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0,02 </w:t>
            </w:r>
          </w:p>
        </w:tc>
        <w:tc>
          <w:tcPr>
            <w:tcW w:w="71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15341 (7) </w:t>
            </w:r>
          </w:p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15771 </w:t>
            </w:r>
          </w:p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5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6584 (7) </w:t>
            </w:r>
          </w:p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0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 14105 (8) </w:t>
            </w:r>
          </w:p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 14106 (7) </w:t>
            </w:r>
          </w:p>
        </w:tc>
      </w:tr>
      <w:tr w:rsidR="00137670" w:rsidRPr="003D3139" w:rsidTr="00137670">
        <w:trPr>
          <w:jc w:val="center"/>
        </w:trPr>
        <w:tc>
          <w:tcPr>
            <w:tcW w:w="130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Glicerol total, máx. (8) </w:t>
            </w:r>
          </w:p>
        </w:tc>
        <w:tc>
          <w:tcPr>
            <w:tcW w:w="825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% massa </w:t>
            </w:r>
          </w:p>
        </w:tc>
        <w:tc>
          <w:tcPr>
            <w:tcW w:w="70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71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15344 </w:t>
            </w:r>
          </w:p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15908 </w:t>
            </w:r>
          </w:p>
        </w:tc>
        <w:tc>
          <w:tcPr>
            <w:tcW w:w="65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6584 (7) </w:t>
            </w:r>
          </w:p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0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 14105 (7) </w:t>
            </w:r>
          </w:p>
        </w:tc>
      </w:tr>
      <w:tr w:rsidR="00137670" w:rsidRPr="003D3139" w:rsidTr="00137670">
        <w:trPr>
          <w:jc w:val="center"/>
        </w:trPr>
        <w:tc>
          <w:tcPr>
            <w:tcW w:w="130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Monoacilglicerol</w:t>
            </w:r>
            <w:proofErr w:type="spellEnd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máx. </w:t>
            </w:r>
          </w:p>
        </w:tc>
        <w:tc>
          <w:tcPr>
            <w:tcW w:w="825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% massa </w:t>
            </w:r>
          </w:p>
        </w:tc>
        <w:tc>
          <w:tcPr>
            <w:tcW w:w="70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52696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0,7</w:t>
            </w:r>
            <w:r w:rsidR="00137670"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71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15342 (7) </w:t>
            </w:r>
          </w:p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15344 </w:t>
            </w:r>
          </w:p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15908 </w:t>
            </w:r>
          </w:p>
        </w:tc>
        <w:tc>
          <w:tcPr>
            <w:tcW w:w="65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6584 (7) </w:t>
            </w:r>
          </w:p>
        </w:tc>
        <w:tc>
          <w:tcPr>
            <w:tcW w:w="80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 14105 (7) </w:t>
            </w:r>
          </w:p>
        </w:tc>
      </w:tr>
      <w:tr w:rsidR="00137670" w:rsidRPr="003D3139" w:rsidTr="00137670">
        <w:trPr>
          <w:jc w:val="center"/>
        </w:trPr>
        <w:tc>
          <w:tcPr>
            <w:tcW w:w="130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Diacilglicerol</w:t>
            </w:r>
            <w:proofErr w:type="spellEnd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á</w:t>
            </w: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x. </w:t>
            </w:r>
          </w:p>
        </w:tc>
        <w:tc>
          <w:tcPr>
            <w:tcW w:w="825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% massa </w:t>
            </w:r>
          </w:p>
        </w:tc>
        <w:tc>
          <w:tcPr>
            <w:tcW w:w="70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0,20 </w:t>
            </w:r>
          </w:p>
        </w:tc>
        <w:tc>
          <w:tcPr>
            <w:tcW w:w="71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15342 (7) </w:t>
            </w:r>
          </w:p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15344 </w:t>
            </w:r>
          </w:p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15908 </w:t>
            </w:r>
          </w:p>
        </w:tc>
        <w:tc>
          <w:tcPr>
            <w:tcW w:w="65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6584 (7) </w:t>
            </w:r>
          </w:p>
        </w:tc>
        <w:tc>
          <w:tcPr>
            <w:tcW w:w="80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 14105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</w:t>
            </w: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7) </w:t>
            </w:r>
          </w:p>
        </w:tc>
      </w:tr>
      <w:tr w:rsidR="00137670" w:rsidRPr="003D3139" w:rsidTr="00137670">
        <w:trPr>
          <w:jc w:val="center"/>
        </w:trPr>
        <w:tc>
          <w:tcPr>
            <w:tcW w:w="130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Triacilglicerol</w:t>
            </w:r>
            <w:proofErr w:type="spellEnd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máx. </w:t>
            </w:r>
          </w:p>
        </w:tc>
        <w:tc>
          <w:tcPr>
            <w:tcW w:w="825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% massa </w:t>
            </w:r>
          </w:p>
        </w:tc>
        <w:tc>
          <w:tcPr>
            <w:tcW w:w="70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0,20 </w:t>
            </w:r>
          </w:p>
        </w:tc>
        <w:tc>
          <w:tcPr>
            <w:tcW w:w="71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15342 (7) </w:t>
            </w:r>
          </w:p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15344 </w:t>
            </w:r>
          </w:p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15908 </w:t>
            </w:r>
          </w:p>
        </w:tc>
        <w:tc>
          <w:tcPr>
            <w:tcW w:w="65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6584 (7) </w:t>
            </w:r>
          </w:p>
        </w:tc>
        <w:tc>
          <w:tcPr>
            <w:tcW w:w="80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 14105 (7) </w:t>
            </w:r>
          </w:p>
        </w:tc>
      </w:tr>
      <w:tr w:rsidR="00137670" w:rsidRPr="003D3139" w:rsidTr="00137670">
        <w:trPr>
          <w:jc w:val="center"/>
        </w:trPr>
        <w:tc>
          <w:tcPr>
            <w:tcW w:w="130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Metanol e/ou Etanol, máx. </w:t>
            </w:r>
          </w:p>
        </w:tc>
        <w:tc>
          <w:tcPr>
            <w:tcW w:w="825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% massa </w:t>
            </w:r>
          </w:p>
        </w:tc>
        <w:tc>
          <w:tcPr>
            <w:tcW w:w="70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0,20 </w:t>
            </w:r>
          </w:p>
        </w:tc>
        <w:tc>
          <w:tcPr>
            <w:tcW w:w="71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15343 </w:t>
            </w:r>
          </w:p>
        </w:tc>
        <w:tc>
          <w:tcPr>
            <w:tcW w:w="65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0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 14110 (7) </w:t>
            </w:r>
          </w:p>
        </w:tc>
      </w:tr>
      <w:tr w:rsidR="00137670" w:rsidRPr="003D3139" w:rsidTr="00137670">
        <w:trPr>
          <w:jc w:val="center"/>
        </w:trPr>
        <w:tc>
          <w:tcPr>
            <w:tcW w:w="130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Índice de Iodo </w:t>
            </w:r>
          </w:p>
        </w:tc>
        <w:tc>
          <w:tcPr>
            <w:tcW w:w="825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  <w:proofErr w:type="gramEnd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/100g </w:t>
            </w:r>
          </w:p>
        </w:tc>
        <w:tc>
          <w:tcPr>
            <w:tcW w:w="70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Anotar </w:t>
            </w:r>
          </w:p>
        </w:tc>
        <w:tc>
          <w:tcPr>
            <w:tcW w:w="71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5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0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 14111 (7) </w:t>
            </w:r>
          </w:p>
        </w:tc>
      </w:tr>
      <w:tr w:rsidR="00137670" w:rsidRPr="003D3139" w:rsidTr="00137670">
        <w:trPr>
          <w:jc w:val="center"/>
        </w:trPr>
        <w:tc>
          <w:tcPr>
            <w:tcW w:w="130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Estabilidade à oxidação a 110ºC, mín.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  <w:proofErr w:type="gramStart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</w:t>
            </w:r>
            <w:proofErr w:type="gramEnd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825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h </w:t>
            </w:r>
          </w:p>
        </w:tc>
        <w:tc>
          <w:tcPr>
            <w:tcW w:w="70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  <w:proofErr w:type="gramEnd"/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71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5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0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37670" w:rsidRPr="003D3139" w:rsidRDefault="00137670" w:rsidP="00526960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23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 14112 EN 15751 (7) </w:t>
            </w:r>
          </w:p>
        </w:tc>
      </w:tr>
    </w:tbl>
    <w:p w:rsidR="00FB5468" w:rsidRPr="00A82CD3" w:rsidRDefault="00FB5468" w:rsidP="00FB5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Nota: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(1) Límpido e isento de impurezas, com anotação da temperatura de ensaio.</w:t>
      </w:r>
    </w:p>
    <w:p w:rsidR="000D460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(2) Para efeito de fiscalização nas autuações por não conformidade, será admitida variação de +150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/kg no limite da característica teor de água no biodiesel no distribuidor.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(3) Quando a análise de ponto de fulgor resultar em valor superior a 130ºC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fica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dispensada a análise de teor de metanol ou etanol.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(4) Estas características devem ser analisadas em conjunto com as demais constantes da Tabela de Especificação a cada trimestre civil. Os resultados devem ser enviados à ANP pelo Produtor de biodiesel, tomando uma amostra do biodiesel comercializado no trimestre e, em caso de neste período haver mudança de tipo de material graxo, o Produtor deverá analisar número de amostras correspondente ao número de tipos de materiais graxos utilizados.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(5) O método ASTM D6890 poderá ser utilizado como método alternativo para determinação do número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cetano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(6) Limites conforme Tabela II. Para os estados não contemplados na tabela o ponto de entupimento a frio permanecerá 19ºC.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(7) Os métodos referenciados demandam validação para os materiais graxos não previstos no método e rota de produção etílica.</w:t>
      </w:r>
    </w:p>
    <w:p w:rsidR="00173741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(8) Poderá ser determinado pelos métodos ABNT NBR 15908, ABNT NBR 15344, ASTM D6584 ou EN14105, sendo aplicável o limite de 0,25% em massa. Para biodiesel oriundo de material graxo predominantemente láurico, deve ser utilizado método ABNT NBR 15908 ou ABNT NBR 15344, sendo aplicável o limite de 0,30% em massa.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(9) O limite estabelecido deverá ser atendido em toda a cadeia de abastecimento do combustível.</w:t>
      </w:r>
    </w:p>
    <w:p w:rsidR="00D41D51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(10) A estabilidade à oxidação a 110 ºC terá seu limite mínimo de 8 horas, caso o teor obrigatório de biodiesel a ser adicionado ao óleo diesel seja igual ou superior a 7%, em volume.</w:t>
      </w:r>
    </w:p>
    <w:p w:rsidR="00520A9C" w:rsidRDefault="00520A9C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1437" w:rsidRDefault="00971437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1437" w:rsidRDefault="00971437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1437" w:rsidRDefault="00971437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1437" w:rsidRDefault="00971437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1437" w:rsidRPr="00A82CD3" w:rsidRDefault="00971437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76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Tabela II -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Ponto de Entupimento de Filtro a Frio</w:t>
      </w:r>
    </w:p>
    <w:tbl>
      <w:tblPr>
        <w:tblW w:w="0" w:type="auto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/>
      </w:tblPr>
      <w:tblGrid>
        <w:gridCol w:w="1650"/>
        <w:gridCol w:w="703"/>
        <w:gridCol w:w="714"/>
        <w:gridCol w:w="792"/>
        <w:gridCol w:w="748"/>
        <w:gridCol w:w="725"/>
        <w:gridCol w:w="703"/>
        <w:gridCol w:w="681"/>
        <w:gridCol w:w="770"/>
        <w:gridCol w:w="692"/>
        <w:gridCol w:w="748"/>
        <w:gridCol w:w="770"/>
        <w:gridCol w:w="725"/>
      </w:tblGrid>
      <w:tr w:rsidR="00FB5468" w:rsidRPr="00A82CD3" w:rsidTr="00B276FA">
        <w:trPr>
          <w:trHeight w:val="436"/>
          <w:jc w:val="center"/>
        </w:trPr>
        <w:tc>
          <w:tcPr>
            <w:tcW w:w="0" w:type="auto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UNIDADES DA FEDERAÇÃO</w:t>
            </w:r>
          </w:p>
        </w:tc>
        <w:tc>
          <w:tcPr>
            <w:tcW w:w="0" w:type="auto"/>
            <w:gridSpan w:val="12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FB546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t-BR"/>
              </w:rPr>
              <w:t>LIMITE MÁXIMO, ºC</w:t>
            </w:r>
          </w:p>
        </w:tc>
      </w:tr>
      <w:tr w:rsidR="00B276FA" w:rsidRPr="00A82CD3" w:rsidTr="00B276FA">
        <w:trPr>
          <w:trHeight w:val="161"/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FB5468" w:rsidP="00FB5468">
            <w:pPr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FB546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JAN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FB546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FEV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FB546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MAR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FB546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ABR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FB546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MAI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FB546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JUN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FB546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JUL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FB546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AGO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FB546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SET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FB546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OUT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FB546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NOV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B5468" w:rsidRPr="00A82CD3" w:rsidRDefault="001D665F" w:rsidP="00FB546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DEZ</w:t>
            </w:r>
          </w:p>
        </w:tc>
      </w:tr>
      <w:tr w:rsidR="00B276FA" w:rsidRPr="00A82CD3" w:rsidTr="00B276FA">
        <w:trPr>
          <w:trHeight w:val="453"/>
          <w:jc w:val="center"/>
        </w:trPr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SP - MG - MS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14</w:t>
            </w:r>
          </w:p>
        </w:tc>
      </w:tr>
      <w:tr w:rsidR="00B276FA" w:rsidRPr="00A82CD3" w:rsidTr="00B276FA">
        <w:trPr>
          <w:trHeight w:val="755"/>
          <w:jc w:val="center"/>
        </w:trPr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lang w:val="en-US" w:eastAsia="pt-BR"/>
              </w:rPr>
              <w:t>GO/DF - MT - ES - RJ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14</w:t>
            </w:r>
          </w:p>
        </w:tc>
      </w:tr>
      <w:tr w:rsidR="00B276FA" w:rsidRPr="00A82CD3" w:rsidTr="00B276FA">
        <w:trPr>
          <w:trHeight w:val="436"/>
          <w:jc w:val="center"/>
        </w:trPr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PR - SC - RS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B5468" w:rsidRPr="00A82CD3" w:rsidRDefault="001D665F" w:rsidP="00B276F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14</w:t>
            </w:r>
          </w:p>
        </w:tc>
      </w:tr>
    </w:tbl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FB5468" w:rsidRPr="00A82CD3" w:rsidRDefault="001D665F" w:rsidP="00FB546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FB5468" w:rsidRPr="00A82CD3" w:rsidRDefault="00FB5468">
      <w:pPr>
        <w:rPr>
          <w:rFonts w:ascii="Times New Roman" w:hAnsi="Times New Roman" w:cs="Times New Roman"/>
          <w:sz w:val="24"/>
          <w:szCs w:val="24"/>
        </w:rPr>
      </w:pPr>
    </w:p>
    <w:sectPr w:rsidR="00FB5468" w:rsidRPr="00A82CD3" w:rsidSect="003D3139"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5468"/>
    <w:rsid w:val="00040D36"/>
    <w:rsid w:val="000635C0"/>
    <w:rsid w:val="000C5CA1"/>
    <w:rsid w:val="000D4608"/>
    <w:rsid w:val="000D6A43"/>
    <w:rsid w:val="000E1BF0"/>
    <w:rsid w:val="00127EC8"/>
    <w:rsid w:val="00137670"/>
    <w:rsid w:val="0015418E"/>
    <w:rsid w:val="00173741"/>
    <w:rsid w:val="001B0043"/>
    <w:rsid w:val="001D665F"/>
    <w:rsid w:val="001E6F42"/>
    <w:rsid w:val="001F2537"/>
    <w:rsid w:val="00216204"/>
    <w:rsid w:val="00242A80"/>
    <w:rsid w:val="00266393"/>
    <w:rsid w:val="002723AC"/>
    <w:rsid w:val="00315DE3"/>
    <w:rsid w:val="00356715"/>
    <w:rsid w:val="003729A0"/>
    <w:rsid w:val="003773AC"/>
    <w:rsid w:val="003D3139"/>
    <w:rsid w:val="003E5683"/>
    <w:rsid w:val="004052E5"/>
    <w:rsid w:val="00482054"/>
    <w:rsid w:val="004B1DF3"/>
    <w:rsid w:val="004B4578"/>
    <w:rsid w:val="00520A9C"/>
    <w:rsid w:val="00526960"/>
    <w:rsid w:val="00541D32"/>
    <w:rsid w:val="0056625D"/>
    <w:rsid w:val="00603621"/>
    <w:rsid w:val="00632F28"/>
    <w:rsid w:val="006B26D2"/>
    <w:rsid w:val="006D335C"/>
    <w:rsid w:val="00797335"/>
    <w:rsid w:val="007D3A49"/>
    <w:rsid w:val="00850744"/>
    <w:rsid w:val="008D4867"/>
    <w:rsid w:val="00910B1A"/>
    <w:rsid w:val="00934694"/>
    <w:rsid w:val="00971437"/>
    <w:rsid w:val="009770F1"/>
    <w:rsid w:val="009B4559"/>
    <w:rsid w:val="00A129F1"/>
    <w:rsid w:val="00A20625"/>
    <w:rsid w:val="00A32128"/>
    <w:rsid w:val="00A45D78"/>
    <w:rsid w:val="00A81D3D"/>
    <w:rsid w:val="00A82CD3"/>
    <w:rsid w:val="00AD0FE2"/>
    <w:rsid w:val="00B25738"/>
    <w:rsid w:val="00B276FA"/>
    <w:rsid w:val="00B81915"/>
    <w:rsid w:val="00BC2543"/>
    <w:rsid w:val="00BC2A7F"/>
    <w:rsid w:val="00BD71A9"/>
    <w:rsid w:val="00C03D22"/>
    <w:rsid w:val="00C05052"/>
    <w:rsid w:val="00C17091"/>
    <w:rsid w:val="00C22337"/>
    <w:rsid w:val="00C23E30"/>
    <w:rsid w:val="00C9364C"/>
    <w:rsid w:val="00CF4482"/>
    <w:rsid w:val="00D21082"/>
    <w:rsid w:val="00D41D51"/>
    <w:rsid w:val="00D725A3"/>
    <w:rsid w:val="00DA5E54"/>
    <w:rsid w:val="00DF1A66"/>
    <w:rsid w:val="00DF640B"/>
    <w:rsid w:val="00E228C5"/>
    <w:rsid w:val="00E3457A"/>
    <w:rsid w:val="00E44AF0"/>
    <w:rsid w:val="00EC129E"/>
    <w:rsid w:val="00ED334F"/>
    <w:rsid w:val="00F57F21"/>
    <w:rsid w:val="00F63A7E"/>
    <w:rsid w:val="00F87A9F"/>
    <w:rsid w:val="00FB5468"/>
    <w:rsid w:val="00FB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93"/>
  </w:style>
  <w:style w:type="paragraph" w:styleId="Ttulo1">
    <w:name w:val="heading 1"/>
    <w:basedOn w:val="Normal"/>
    <w:link w:val="Ttulo1Char"/>
    <w:uiPriority w:val="9"/>
    <w:qFormat/>
    <w:rsid w:val="00216204"/>
    <w:pPr>
      <w:spacing w:before="100" w:beforeAutospacing="1" w:after="120" w:line="240" w:lineRule="auto"/>
      <w:outlineLvl w:val="0"/>
    </w:pPr>
    <w:rPr>
      <w:rFonts w:ascii="Times New Roman" w:eastAsia="Times New Roman" w:hAnsi="Times New Roman" w:cs="Times New Roman"/>
      <w:b/>
      <w:bCs/>
      <w:color w:val="D12B2C"/>
      <w:kern w:val="36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B5468"/>
    <w:rPr>
      <w:i/>
      <w:iCs/>
      <w:color w:val="0000FF"/>
      <w:u w:val="single"/>
    </w:rPr>
  </w:style>
  <w:style w:type="paragraph" w:customStyle="1" w:styleId="assinatura">
    <w:name w:val="assinatura"/>
    <w:basedOn w:val="Normal"/>
    <w:rsid w:val="00FB5468"/>
    <w:pPr>
      <w:snapToGrid w:val="0"/>
      <w:spacing w:before="261" w:after="40" w:line="240" w:lineRule="auto"/>
      <w:ind w:firstLine="357"/>
      <w:jc w:val="center"/>
    </w:pPr>
    <w:rPr>
      <w:rFonts w:ascii="Arial" w:eastAsia="Times New Roman" w:hAnsi="Arial" w:cs="Times New Roman"/>
      <w:i/>
      <w:color w:val="000080"/>
      <w:sz w:val="20"/>
      <w:szCs w:val="24"/>
      <w:lang w:eastAsia="pt-BR"/>
    </w:rPr>
  </w:style>
  <w:style w:type="paragraph" w:customStyle="1" w:styleId="anexo">
    <w:name w:val="anexo"/>
    <w:basedOn w:val="Normal"/>
    <w:rsid w:val="00FB5468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240" w:after="120" w:line="240" w:lineRule="auto"/>
      <w:jc w:val="center"/>
    </w:pPr>
    <w:rPr>
      <w:rFonts w:ascii="Arial" w:eastAsia="Times New Roman" w:hAnsi="Arial" w:cs="Times New Roman"/>
      <w:b/>
      <w:color w:val="000080"/>
      <w:sz w:val="24"/>
      <w:szCs w:val="24"/>
      <w:lang w:eastAsia="pt-BR"/>
    </w:rPr>
  </w:style>
  <w:style w:type="paragraph" w:customStyle="1" w:styleId="Norma">
    <w:name w:val="Norma"/>
    <w:rsid w:val="00FB5468"/>
    <w:pPr>
      <w:pBdr>
        <w:top w:val="single" w:sz="2" w:space="0" w:color="000080"/>
        <w:bottom w:val="single" w:sz="2" w:space="0" w:color="000080"/>
      </w:pBdr>
      <w:suppressAutoHyphens/>
      <w:spacing w:after="0" w:line="240" w:lineRule="auto"/>
      <w:jc w:val="center"/>
    </w:pPr>
    <w:rPr>
      <w:rFonts w:ascii="Arial" w:eastAsia="Times New Roman" w:hAnsi="Arial" w:cs="Times New Roman"/>
      <w:b/>
      <w:color w:val="000080"/>
      <w:sz w:val="26"/>
      <w:szCs w:val="20"/>
      <w:lang w:eastAsia="pt-BR"/>
    </w:rPr>
  </w:style>
  <w:style w:type="paragraph" w:customStyle="1" w:styleId="Tabela-Texto">
    <w:name w:val="Tabela-Texto"/>
    <w:rsid w:val="00FB5468"/>
    <w:pPr>
      <w:widowControl w:val="0"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60" w:after="60" w:line="240" w:lineRule="auto"/>
      <w:ind w:left="60" w:right="60"/>
    </w:pPr>
    <w:rPr>
      <w:rFonts w:ascii="Arial" w:eastAsia="Times New Roman" w:hAnsi="Arial" w:cs="Times New Roman"/>
      <w:color w:val="0000FF"/>
      <w:sz w:val="20"/>
      <w:szCs w:val="20"/>
      <w:lang w:eastAsia="pt-BR"/>
    </w:rPr>
  </w:style>
  <w:style w:type="paragraph" w:customStyle="1" w:styleId="Tabela-Titulo">
    <w:name w:val="Tabela-Titulo"/>
    <w:basedOn w:val="Tabela-Texto"/>
    <w:rsid w:val="00FB5468"/>
    <w:pPr>
      <w:jc w:val="center"/>
    </w:pPr>
    <w:rPr>
      <w:b/>
    </w:rPr>
  </w:style>
  <w:style w:type="paragraph" w:customStyle="1" w:styleId="Texto">
    <w:name w:val="Texto"/>
    <w:basedOn w:val="Normal"/>
    <w:autoRedefine/>
    <w:rsid w:val="00FB5468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 w:line="240" w:lineRule="auto"/>
      <w:ind w:firstLine="567"/>
      <w:jc w:val="both"/>
    </w:pPr>
    <w:rPr>
      <w:rFonts w:ascii="Arial" w:eastAsia="Times New Roman" w:hAnsi="Arial" w:cs="Times New Roman"/>
      <w:color w:val="00008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773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73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73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73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73A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7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3A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216204"/>
    <w:rPr>
      <w:rFonts w:ascii="Times New Roman" w:eastAsia="Times New Roman" w:hAnsi="Times New Roman" w:cs="Times New Roman"/>
      <w:b/>
      <w:bCs/>
      <w:color w:val="D12B2C"/>
      <w:kern w:val="36"/>
      <w:sz w:val="26"/>
      <w:szCs w:val="26"/>
      <w:lang w:eastAsia="pt-BR"/>
    </w:rPr>
  </w:style>
  <w:style w:type="character" w:customStyle="1" w:styleId="subtitle1">
    <w:name w:val="subtitle1"/>
    <w:basedOn w:val="Fontepargpadro"/>
    <w:rsid w:val="00216204"/>
    <w:rPr>
      <w:b/>
      <w:bCs/>
      <w:color w:val="D12B2C"/>
      <w:sz w:val="23"/>
      <w:szCs w:val="23"/>
    </w:rPr>
  </w:style>
  <w:style w:type="paragraph" w:styleId="NormalWeb">
    <w:name w:val="Normal (Web)"/>
    <w:basedOn w:val="Normal"/>
    <w:uiPriority w:val="99"/>
    <w:semiHidden/>
    <w:unhideWhenUsed/>
    <w:rsid w:val="00D72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D0F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86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xt.anp.gov.br/nxt/gateway.dll?f=id$id=Lei%2011.097%20-%202005" TargetMode="External"/><Relationship Id="rId13" Type="http://schemas.openxmlformats.org/officeDocument/2006/relationships/hyperlink" Target="http://nxt.anp.gov.br/nxt/gateway.dll?f=id$id=RANP%2046%20-%202011" TargetMode="External"/><Relationship Id="rId18" Type="http://schemas.openxmlformats.org/officeDocument/2006/relationships/hyperlink" Target="http://nxt.anp.gov.br/nxt/gateway.dll?f=id$id=Lei%209.847%20-%20199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nxt.anp.gov.br/nxt/gateway.dll/leg/leis/nxt/gateway.dll?f=id$id=Lei%209.478%20-%201997$an=art8" TargetMode="External"/><Relationship Id="rId12" Type="http://schemas.openxmlformats.org/officeDocument/2006/relationships/hyperlink" Target="http://www.anp.gov.br" TargetMode="External"/><Relationship Id="rId17" Type="http://schemas.openxmlformats.org/officeDocument/2006/relationships/hyperlink" Target="http://www.anp.gov.b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np.gov.br" TargetMode="External"/><Relationship Id="rId20" Type="http://schemas.openxmlformats.org/officeDocument/2006/relationships/hyperlink" Target="http://nxt.anp.gov.br/nxt/gateway.dll?f=id$id=Dec%202.953%20-%20199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nxt.anp.gov.br/nxt/gateway.dll?f=id$id=Lei%2011.097%20-%202005" TargetMode="External"/><Relationship Id="rId11" Type="http://schemas.openxmlformats.org/officeDocument/2006/relationships/hyperlink" Target="http://nxt.anp.gov.br/nxt/gateway.dll?f=id$id=RANP%2046%20-%202011" TargetMode="External"/><Relationship Id="rId5" Type="http://schemas.openxmlformats.org/officeDocument/2006/relationships/hyperlink" Target="https://www.legisweb.com.br/legislacao/?legislacao=84873" TargetMode="External"/><Relationship Id="rId15" Type="http://schemas.openxmlformats.org/officeDocument/2006/relationships/hyperlink" Target="http://www.anp.gov.br" TargetMode="External"/><Relationship Id="rId10" Type="http://schemas.openxmlformats.org/officeDocument/2006/relationships/hyperlink" Target="http://nxt.anp.gov.br/nxt/gateway.dll?f=id$id=Lei%209.478%20-%201997" TargetMode="External"/><Relationship Id="rId19" Type="http://schemas.openxmlformats.org/officeDocument/2006/relationships/hyperlink" Target="http://nxt.anp.gov.br/nxt/gateway.dll?f=id$id=Lei%2011.097%20-%202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xt.anp.gov.br/nxt/gateway.dll?f=id$id=Lei%2012.490%20-%202011" TargetMode="External"/><Relationship Id="rId14" Type="http://schemas.openxmlformats.org/officeDocument/2006/relationships/hyperlink" Target="http://nxt.anp.gov.br/nxt/gateway.dll?f=id$id=RANP%2046%20-%20201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F2712-F7D5-4AAE-B02F-8D704CA11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4578</Words>
  <Characters>24724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29244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lmsouza</dc:creator>
  <cp:lastModifiedBy>lmsouza</cp:lastModifiedBy>
  <cp:revision>4</cp:revision>
  <cp:lastPrinted>2014-05-12T20:25:00Z</cp:lastPrinted>
  <dcterms:created xsi:type="dcterms:W3CDTF">2014-05-21T13:33:00Z</dcterms:created>
  <dcterms:modified xsi:type="dcterms:W3CDTF">2014-05-27T12:02:00Z</dcterms:modified>
</cp:coreProperties>
</file>