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27B" w:rsidRPr="001162AD" w:rsidRDefault="0059227B" w:rsidP="006333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162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AGÊNCIA NACIONAL DO PETRÓLEO, GÁS NATURAL E BIOCOMBUSTÍVEIS</w:t>
      </w:r>
    </w:p>
    <w:p w:rsidR="006333F0" w:rsidRDefault="0059227B" w:rsidP="006333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162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RESOLUÇÃO Nº  XX, DE  XX  DE  XXXXXXX  DE 201</w:t>
      </w:r>
      <w:r w:rsidR="00884E93" w:rsidRPr="001162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F634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F92E10" w:rsidRDefault="00E839B1" w:rsidP="006333F0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Times New Roman"/>
          <w:color w:val="000080"/>
          <w:sz w:val="20"/>
          <w:szCs w:val="20"/>
          <w:lang w:eastAsia="pt-BR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textWrapping" w:clear="all"/>
      </w:r>
      <w:r w:rsidR="0059227B" w:rsidRPr="002C5B62">
        <w:rPr>
          <w:rFonts w:ascii="Arial" w:eastAsia="Times New Roman" w:hAnsi="Arial" w:cs="Times New Roman"/>
          <w:color w:val="000080"/>
          <w:sz w:val="20"/>
          <w:szCs w:val="20"/>
          <w:lang w:eastAsia="pt-BR"/>
        </w:rPr>
        <w:t> </w:t>
      </w:r>
    </w:p>
    <w:p w:rsidR="0059227B" w:rsidRPr="002C5B62" w:rsidRDefault="00884E93" w:rsidP="006333F0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59227B" w:rsidRPr="00EE54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DIRETOR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GERAL</w:t>
      </w:r>
      <w:r w:rsidR="0059227B" w:rsidRPr="002C5B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AGÊNCIA NACIONAL DO PETRÓLEO, GÁS NATURAL E BIOCOMBUSTÍVEIS - ANP, no uso das atribuições </w:t>
      </w:r>
      <w:r w:rsidR="0059227B" w:rsidRPr="00EE5465">
        <w:rPr>
          <w:rFonts w:ascii="Times New Roman" w:hAnsi="Times New Roman" w:cs="Times New Roman"/>
          <w:color w:val="000000"/>
          <w:sz w:val="24"/>
          <w:szCs w:val="24"/>
        </w:rPr>
        <w:t xml:space="preserve">que lhe foram conferidas pela </w:t>
      </w:r>
      <w:r w:rsidR="0059227B" w:rsidRPr="002C5B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Lei nº </w:t>
      </w:r>
      <w:hyperlink r:id="rId6" w:history="1">
        <w:r w:rsidR="0059227B" w:rsidRPr="00664936">
          <w:rPr>
            <w:rFonts w:ascii="Times New Roman" w:eastAsia="Times New Roman" w:hAnsi="Times New Roman" w:cs="Times New Roman"/>
            <w:iCs/>
            <w:sz w:val="24"/>
            <w:szCs w:val="24"/>
            <w:lang w:eastAsia="pt-BR"/>
          </w:rPr>
          <w:t>9.478</w:t>
        </w:r>
      </w:hyperlink>
      <w:r w:rsidR="0059227B" w:rsidRPr="002C5B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06 de agosto de 1997, </w:t>
      </w:r>
      <w:r w:rsidR="0059227B">
        <w:rPr>
          <w:rFonts w:ascii="Times New Roman" w:eastAsia="Times New Roman" w:hAnsi="Times New Roman" w:cs="Times New Roman"/>
          <w:sz w:val="24"/>
          <w:szCs w:val="24"/>
          <w:lang w:eastAsia="pt-BR"/>
        </w:rPr>
        <w:t>e suas alterações</w:t>
      </w:r>
      <w:r w:rsidR="0059227B" w:rsidRPr="002C5B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base na Resolução de Diretoria nº </w:t>
      </w:r>
      <w:r w:rsidR="0059227B" w:rsidRPr="00EE5465">
        <w:rPr>
          <w:rFonts w:ascii="Times New Roman" w:eastAsia="Times New Roman" w:hAnsi="Times New Roman" w:cs="Times New Roman"/>
          <w:sz w:val="24"/>
          <w:szCs w:val="24"/>
          <w:lang w:eastAsia="pt-BR"/>
        </w:rPr>
        <w:t>xxx</w:t>
      </w:r>
      <w:r w:rsidR="0059227B" w:rsidRPr="002C5B62">
        <w:rPr>
          <w:rFonts w:ascii="Times New Roman" w:eastAsia="Times New Roman" w:hAnsi="Times New Roman" w:cs="Times New Roman"/>
          <w:sz w:val="24"/>
          <w:szCs w:val="24"/>
          <w:lang w:eastAsia="pt-BR"/>
        </w:rPr>
        <w:t>, de</w:t>
      </w:r>
      <w:r w:rsidR="003806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xx</w:t>
      </w:r>
      <w:r w:rsidR="0059227B" w:rsidRPr="002C5B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80662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="009E2F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xxxx</w:t>
      </w:r>
      <w:r w:rsidR="0059227B" w:rsidRPr="002C5B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="0059227B" w:rsidRPr="002C5B62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</w:p>
    <w:p w:rsidR="00664936" w:rsidRDefault="00664936" w:rsidP="006333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935348" w:rsidRDefault="00935348" w:rsidP="000908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59227B">
        <w:rPr>
          <w:rFonts w:ascii="Times New Roman" w:hAnsi="Times New Roman" w:cs="Times New Roman"/>
          <w:iCs/>
          <w:color w:val="000000"/>
          <w:sz w:val="24"/>
          <w:szCs w:val="24"/>
        </w:rPr>
        <w:t>Considerando que compete à ANP a regulação e a fiscalização das atividades econômicas integrantes da indústria do petróleo, gás natural e biocombustíveis e do abastecimento nacional de combustíveis;</w:t>
      </w:r>
    </w:p>
    <w:p w:rsidR="00935348" w:rsidRPr="0059227B" w:rsidRDefault="00935348" w:rsidP="006333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59227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Considerando a necessidade de conferir tratamento isonômico </w:t>
      </w:r>
      <w:r w:rsidR="001B354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a agentes econômicos </w:t>
      </w:r>
      <w:r w:rsidRPr="0059227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que </w:t>
      </w:r>
      <w:r w:rsidR="004E2E6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eventualmente </w:t>
      </w:r>
      <w:r w:rsidRPr="0059227B">
        <w:rPr>
          <w:rFonts w:ascii="Times New Roman" w:hAnsi="Times New Roman" w:cs="Times New Roman"/>
          <w:iCs/>
          <w:color w:val="000000"/>
          <w:sz w:val="24"/>
          <w:szCs w:val="24"/>
        </w:rPr>
        <w:t>concorr</w:t>
      </w:r>
      <w:r w:rsidR="001B3548">
        <w:rPr>
          <w:rFonts w:ascii="Times New Roman" w:hAnsi="Times New Roman" w:cs="Times New Roman"/>
          <w:iCs/>
          <w:color w:val="000000"/>
          <w:sz w:val="24"/>
          <w:szCs w:val="24"/>
        </w:rPr>
        <w:t>a</w:t>
      </w:r>
      <w:r w:rsidRPr="0059227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m para a disseminação de recipientes transportáveis de </w:t>
      </w:r>
      <w:r w:rsidR="004E2E68">
        <w:rPr>
          <w:rFonts w:ascii="Times New Roman" w:hAnsi="Times New Roman" w:cs="Times New Roman"/>
          <w:iCs/>
          <w:color w:val="000000"/>
          <w:sz w:val="24"/>
          <w:szCs w:val="24"/>
        </w:rPr>
        <w:t>gás liquefeito de petróleo (</w:t>
      </w:r>
      <w:r w:rsidRPr="0059227B">
        <w:rPr>
          <w:rFonts w:ascii="Times New Roman" w:hAnsi="Times New Roman" w:cs="Times New Roman"/>
          <w:iCs/>
          <w:color w:val="000000"/>
          <w:sz w:val="24"/>
          <w:szCs w:val="24"/>
        </w:rPr>
        <w:t>GLP</w:t>
      </w:r>
      <w:r w:rsidR="004E2E68">
        <w:rPr>
          <w:rFonts w:ascii="Times New Roman" w:hAnsi="Times New Roman" w:cs="Times New Roman"/>
          <w:iCs/>
          <w:color w:val="000000"/>
          <w:sz w:val="24"/>
          <w:szCs w:val="24"/>
        </w:rPr>
        <w:t>)</w:t>
      </w:r>
      <w:r w:rsidRPr="0059227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664936">
        <w:rPr>
          <w:rFonts w:ascii="Times New Roman" w:hAnsi="Times New Roman" w:cs="Times New Roman"/>
          <w:iCs/>
          <w:color w:val="000000"/>
          <w:sz w:val="24"/>
          <w:szCs w:val="24"/>
        </w:rPr>
        <w:t>sem observância às</w:t>
      </w:r>
      <w:r w:rsidRPr="0059227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condições </w:t>
      </w:r>
      <w:r w:rsidR="00664936">
        <w:rPr>
          <w:rFonts w:ascii="Times New Roman" w:hAnsi="Times New Roman" w:cs="Times New Roman"/>
          <w:iCs/>
          <w:color w:val="000000"/>
          <w:sz w:val="24"/>
          <w:szCs w:val="24"/>
        </w:rPr>
        <w:t>de qualidade</w:t>
      </w:r>
      <w:r w:rsidR="004E2E68"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:rsidR="00F92E10" w:rsidRDefault="004E2E68" w:rsidP="006333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Considerando o que dispõem a Resolução ANP nº 15, de 18 de maio de 2005,                  bem como as normas técnicas relacionadas com a requalificação de recipientes transportáveis de GLP</w:t>
      </w:r>
      <w:r w:rsidR="0066493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; </w:t>
      </w:r>
    </w:p>
    <w:p w:rsidR="006360BF" w:rsidRPr="006360BF" w:rsidRDefault="006360BF" w:rsidP="006360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60BF">
        <w:rPr>
          <w:rFonts w:ascii="Times New Roman" w:hAnsi="Times New Roman" w:cs="Times New Roman"/>
          <w:bCs/>
          <w:sz w:val="24"/>
          <w:szCs w:val="24"/>
        </w:rPr>
        <w:t xml:space="preserve">          Considerando que a Portaria ANP nº 297, de 18 de novembro de 2003, não dispõe explicitamente sobre as obrigações do revendedor de GLP relacionadas com a qualidade do recipiente transportável de GLP; </w:t>
      </w:r>
    </w:p>
    <w:p w:rsidR="00F92E10" w:rsidRDefault="00935348" w:rsidP="006333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59227B">
        <w:rPr>
          <w:rFonts w:ascii="Times New Roman" w:hAnsi="Times New Roman" w:cs="Times New Roman"/>
          <w:iCs/>
          <w:color w:val="000000"/>
          <w:sz w:val="24"/>
          <w:szCs w:val="24"/>
        </w:rPr>
        <w:t>Considerando a inflamabilidade do GLP e a</w:t>
      </w:r>
      <w:r w:rsidR="00015D7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consequente</w:t>
      </w:r>
      <w:r w:rsidRPr="0059227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necessidade de ser transportado em recipientes </w:t>
      </w:r>
      <w:r w:rsidR="004E2E68">
        <w:rPr>
          <w:rFonts w:ascii="Times New Roman" w:hAnsi="Times New Roman" w:cs="Times New Roman"/>
          <w:iCs/>
          <w:color w:val="000000"/>
          <w:sz w:val="24"/>
          <w:szCs w:val="24"/>
        </w:rPr>
        <w:t>dotados da devida qualidade a fim de</w:t>
      </w:r>
      <w:r w:rsidR="001B354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resguardar a segurança de instalações</w:t>
      </w:r>
      <w:r w:rsidR="004E2E68">
        <w:rPr>
          <w:rFonts w:ascii="Times New Roman" w:hAnsi="Times New Roman" w:cs="Times New Roman"/>
          <w:iCs/>
          <w:color w:val="000000"/>
          <w:sz w:val="24"/>
          <w:szCs w:val="24"/>
        </w:rPr>
        <w:t>, seus funcionários</w:t>
      </w:r>
      <w:r w:rsidR="001B354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e do </w:t>
      </w:r>
      <w:r w:rsidR="00F92E10">
        <w:rPr>
          <w:rFonts w:ascii="Times New Roman" w:hAnsi="Times New Roman" w:cs="Times New Roman"/>
          <w:iCs/>
          <w:color w:val="000000"/>
          <w:sz w:val="24"/>
          <w:szCs w:val="24"/>
        </w:rPr>
        <w:t>consumidor; e</w:t>
      </w:r>
    </w:p>
    <w:p w:rsidR="00935348" w:rsidRDefault="00F92E10" w:rsidP="006333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Considerando a necessidade de instituir mecanismos legais que resultem em maior eficácia nas ações de fiscalização voltadas à qualidade dos já referidos recipientes,</w:t>
      </w:r>
      <w:r w:rsidR="00935348" w:rsidRPr="0059227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</w:p>
    <w:p w:rsidR="00AC7454" w:rsidRPr="005F1573" w:rsidRDefault="00AC7454" w:rsidP="00AC7454">
      <w:pPr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5F157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:rsidR="00935348" w:rsidRDefault="00935348" w:rsidP="006333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59227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Resolve: </w:t>
      </w:r>
    </w:p>
    <w:p w:rsidR="006333F0" w:rsidRPr="0059227B" w:rsidRDefault="006333F0" w:rsidP="006333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E6678F" w:rsidRDefault="006333F0" w:rsidP="006333F0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314EA" w:rsidRPr="00144CA1">
        <w:rPr>
          <w:rFonts w:ascii="Times New Roman" w:hAnsi="Times New Roman" w:cs="Times New Roman"/>
          <w:sz w:val="24"/>
          <w:szCs w:val="24"/>
        </w:rPr>
        <w:t>Art.</w:t>
      </w:r>
      <w:r w:rsidR="00E84204">
        <w:rPr>
          <w:rFonts w:ascii="Times New Roman" w:hAnsi="Times New Roman" w:cs="Times New Roman"/>
          <w:sz w:val="24"/>
          <w:szCs w:val="24"/>
        </w:rPr>
        <w:t xml:space="preserve"> </w:t>
      </w:r>
      <w:r w:rsidR="007314EA" w:rsidRPr="00144CA1">
        <w:rPr>
          <w:rFonts w:ascii="Times New Roman" w:hAnsi="Times New Roman" w:cs="Times New Roman"/>
          <w:sz w:val="24"/>
          <w:szCs w:val="24"/>
        </w:rPr>
        <w:t>1º</w:t>
      </w:r>
      <w:r w:rsidR="00636C2F" w:rsidRPr="00144CA1">
        <w:rPr>
          <w:rFonts w:ascii="Times New Roman" w:hAnsi="Times New Roman" w:cs="Times New Roman"/>
          <w:sz w:val="24"/>
          <w:szCs w:val="24"/>
        </w:rPr>
        <w:t xml:space="preserve"> </w:t>
      </w:r>
      <w:r w:rsidR="007314EA" w:rsidRPr="00144CA1">
        <w:rPr>
          <w:rFonts w:ascii="Times New Roman" w:hAnsi="Times New Roman" w:cs="Times New Roman"/>
          <w:sz w:val="24"/>
          <w:szCs w:val="24"/>
        </w:rPr>
        <w:t xml:space="preserve">É </w:t>
      </w:r>
      <w:r w:rsidR="00FB294E">
        <w:rPr>
          <w:rFonts w:ascii="Times New Roman" w:hAnsi="Times New Roman" w:cs="Times New Roman"/>
          <w:sz w:val="24"/>
          <w:szCs w:val="24"/>
        </w:rPr>
        <w:t>vedado ao distribuidor de GLP, autorizado pela ANP</w:t>
      </w:r>
      <w:r w:rsidR="00FB294E" w:rsidRPr="00144CA1">
        <w:rPr>
          <w:rFonts w:ascii="Times New Roman" w:hAnsi="Times New Roman" w:cs="Times New Roman"/>
          <w:sz w:val="24"/>
          <w:szCs w:val="24"/>
        </w:rPr>
        <w:t>,</w:t>
      </w:r>
      <w:r w:rsidR="00FB294E">
        <w:rPr>
          <w:rFonts w:ascii="Times New Roman" w:hAnsi="Times New Roman" w:cs="Times New Roman"/>
          <w:sz w:val="24"/>
          <w:szCs w:val="24"/>
        </w:rPr>
        <w:t xml:space="preserve"> o envasilhamento e</w:t>
      </w:r>
      <w:r w:rsidR="00FB294E" w:rsidRPr="00144CA1">
        <w:rPr>
          <w:rFonts w:ascii="Times New Roman" w:hAnsi="Times New Roman" w:cs="Times New Roman"/>
          <w:sz w:val="24"/>
          <w:szCs w:val="24"/>
        </w:rPr>
        <w:t xml:space="preserve"> </w:t>
      </w:r>
      <w:r w:rsidR="007314EA" w:rsidRPr="00144CA1">
        <w:rPr>
          <w:rFonts w:ascii="Times New Roman" w:hAnsi="Times New Roman" w:cs="Times New Roman"/>
          <w:sz w:val="24"/>
          <w:szCs w:val="24"/>
        </w:rPr>
        <w:t xml:space="preserve">a comercialização de recipientes transportáveis de GLP </w:t>
      </w:r>
      <w:r w:rsidR="007C5220">
        <w:rPr>
          <w:rFonts w:ascii="Times New Roman" w:hAnsi="Times New Roman" w:cs="Times New Roman"/>
          <w:sz w:val="24"/>
          <w:szCs w:val="24"/>
        </w:rPr>
        <w:t>que apresentem requisitos para requalificação</w:t>
      </w:r>
      <w:r w:rsidR="00E6678F">
        <w:rPr>
          <w:rFonts w:ascii="Times New Roman" w:hAnsi="Times New Roman" w:cs="Times New Roman"/>
          <w:sz w:val="24"/>
          <w:szCs w:val="24"/>
        </w:rPr>
        <w:t>.</w:t>
      </w:r>
    </w:p>
    <w:p w:rsidR="00BB79F9" w:rsidRDefault="002B06DE" w:rsidP="006333F0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314EA" w:rsidRDefault="00BB79F9" w:rsidP="006333F0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6678F">
        <w:rPr>
          <w:rFonts w:ascii="Times New Roman" w:hAnsi="Times New Roman" w:cs="Times New Roman"/>
          <w:sz w:val="24"/>
          <w:szCs w:val="24"/>
        </w:rPr>
        <w:t xml:space="preserve">Parágrafo único. Aplicam-se aos recipientes transportáveis de GLP, que apresentem requisitos para requalificação, o tratamento e procedimentos previstos nos atos pertinentes da ANP e do Instituto Nacional de Metrologia, Normalização e Qualidade Industrial – INMETRO, bem como nas normas da </w:t>
      </w:r>
      <w:r w:rsidR="00C0465A">
        <w:rPr>
          <w:rFonts w:ascii="Times New Roman" w:hAnsi="Times New Roman" w:cs="Times New Roman"/>
          <w:sz w:val="24"/>
          <w:szCs w:val="24"/>
        </w:rPr>
        <w:t xml:space="preserve">Associação Brasileira de Normas Técnicas – </w:t>
      </w:r>
      <w:r w:rsidR="00E6678F">
        <w:rPr>
          <w:rFonts w:ascii="Times New Roman" w:hAnsi="Times New Roman" w:cs="Times New Roman"/>
          <w:sz w:val="24"/>
          <w:szCs w:val="24"/>
        </w:rPr>
        <w:t>ABNT</w:t>
      </w:r>
      <w:r w:rsidR="00BD434F">
        <w:rPr>
          <w:rFonts w:ascii="Times New Roman" w:hAnsi="Times New Roman" w:cs="Times New Roman"/>
          <w:sz w:val="24"/>
          <w:szCs w:val="24"/>
        </w:rPr>
        <w:t>, especificamente a</w:t>
      </w:r>
      <w:r w:rsidR="00E6678F">
        <w:rPr>
          <w:rFonts w:ascii="Times New Roman" w:hAnsi="Times New Roman" w:cs="Times New Roman"/>
          <w:sz w:val="24"/>
          <w:szCs w:val="24"/>
        </w:rPr>
        <w:t xml:space="preserve"> ABNT</w:t>
      </w:r>
      <w:r w:rsidR="008E1A7D">
        <w:rPr>
          <w:rFonts w:ascii="Times New Roman" w:hAnsi="Times New Roman" w:cs="Times New Roman"/>
          <w:sz w:val="24"/>
          <w:szCs w:val="24"/>
        </w:rPr>
        <w:t xml:space="preserve"> </w:t>
      </w:r>
      <w:r w:rsidR="007C5220">
        <w:rPr>
          <w:rFonts w:ascii="Times New Roman" w:hAnsi="Times New Roman" w:cs="Times New Roman"/>
          <w:sz w:val="24"/>
          <w:szCs w:val="24"/>
        </w:rPr>
        <w:t>NBR 8865</w:t>
      </w:r>
      <w:r w:rsidR="00E6678F">
        <w:rPr>
          <w:rFonts w:ascii="Times New Roman" w:hAnsi="Times New Roman" w:cs="Times New Roman"/>
          <w:sz w:val="24"/>
          <w:szCs w:val="24"/>
        </w:rPr>
        <w:t xml:space="preserve"> (</w:t>
      </w:r>
      <w:r w:rsidR="00C0465A">
        <w:rPr>
          <w:rFonts w:ascii="Times New Roman" w:hAnsi="Times New Roman" w:cs="Times New Roman"/>
          <w:sz w:val="24"/>
          <w:szCs w:val="24"/>
        </w:rPr>
        <w:t xml:space="preserve">Recipientes transportáveis de aço para gás liquefeito de petróleo (GLP) – Requalificação </w:t>
      </w:r>
      <w:r w:rsidR="00386FD7">
        <w:rPr>
          <w:rFonts w:ascii="Times New Roman" w:hAnsi="Times New Roman" w:cs="Times New Roman"/>
          <w:sz w:val="24"/>
          <w:szCs w:val="24"/>
        </w:rPr>
        <w:t>–</w:t>
      </w:r>
      <w:r w:rsidR="00C0465A">
        <w:rPr>
          <w:rFonts w:ascii="Times New Roman" w:hAnsi="Times New Roman" w:cs="Times New Roman"/>
          <w:sz w:val="24"/>
          <w:szCs w:val="24"/>
        </w:rPr>
        <w:t xml:space="preserve"> Procedimento</w:t>
      </w:r>
      <w:r w:rsidR="00E6678F">
        <w:rPr>
          <w:rFonts w:ascii="Times New Roman" w:hAnsi="Times New Roman" w:cs="Times New Roman"/>
          <w:sz w:val="24"/>
          <w:szCs w:val="24"/>
        </w:rPr>
        <w:t>)</w:t>
      </w:r>
      <w:r w:rsidR="00413F52">
        <w:rPr>
          <w:rFonts w:ascii="Times New Roman" w:hAnsi="Times New Roman" w:cs="Times New Roman"/>
          <w:sz w:val="24"/>
          <w:szCs w:val="24"/>
        </w:rPr>
        <w:t xml:space="preserve"> e </w:t>
      </w:r>
      <w:r w:rsidR="00BD434F">
        <w:rPr>
          <w:rFonts w:ascii="Times New Roman" w:hAnsi="Times New Roman" w:cs="Times New Roman"/>
          <w:sz w:val="24"/>
          <w:szCs w:val="24"/>
        </w:rPr>
        <w:t xml:space="preserve">a </w:t>
      </w:r>
      <w:r w:rsidR="00E6678F">
        <w:rPr>
          <w:rFonts w:ascii="Times New Roman" w:hAnsi="Times New Roman" w:cs="Times New Roman"/>
          <w:sz w:val="24"/>
          <w:szCs w:val="24"/>
        </w:rPr>
        <w:t>ABNT NBR</w:t>
      </w:r>
      <w:r w:rsidR="00413F52">
        <w:rPr>
          <w:rFonts w:ascii="Times New Roman" w:hAnsi="Times New Roman" w:cs="Times New Roman"/>
          <w:sz w:val="24"/>
          <w:szCs w:val="24"/>
        </w:rPr>
        <w:t>8866</w:t>
      </w:r>
      <w:r w:rsidR="008C466D">
        <w:rPr>
          <w:rFonts w:ascii="Times New Roman" w:hAnsi="Times New Roman" w:cs="Times New Roman"/>
          <w:sz w:val="24"/>
          <w:szCs w:val="24"/>
        </w:rPr>
        <w:t xml:space="preserve"> (</w:t>
      </w:r>
      <w:r w:rsidR="00C0465A">
        <w:rPr>
          <w:rFonts w:ascii="Times New Roman" w:hAnsi="Times New Roman" w:cs="Times New Roman"/>
          <w:sz w:val="24"/>
          <w:szCs w:val="24"/>
        </w:rPr>
        <w:t>Recipientes transportáveis para gás liquefeito de petróleo (GLP</w:t>
      </w:r>
      <w:r w:rsidR="00D850D1">
        <w:rPr>
          <w:rFonts w:ascii="Times New Roman" w:hAnsi="Times New Roman" w:cs="Times New Roman"/>
          <w:sz w:val="24"/>
          <w:szCs w:val="24"/>
        </w:rPr>
        <w:t>)</w:t>
      </w:r>
      <w:r w:rsidR="00C0465A">
        <w:rPr>
          <w:rFonts w:ascii="Times New Roman" w:hAnsi="Times New Roman" w:cs="Times New Roman"/>
          <w:sz w:val="24"/>
          <w:szCs w:val="24"/>
        </w:rPr>
        <w:t xml:space="preserve"> – Seleção visual das condições de uso</w:t>
      </w:r>
      <w:r w:rsidR="008C466D">
        <w:rPr>
          <w:rFonts w:ascii="Times New Roman" w:hAnsi="Times New Roman" w:cs="Times New Roman"/>
          <w:sz w:val="24"/>
          <w:szCs w:val="24"/>
        </w:rPr>
        <w:t>)</w:t>
      </w:r>
      <w:r w:rsidR="007C5220">
        <w:rPr>
          <w:rFonts w:ascii="Times New Roman" w:hAnsi="Times New Roman" w:cs="Times New Roman"/>
          <w:sz w:val="24"/>
          <w:szCs w:val="24"/>
        </w:rPr>
        <w:t>.</w:t>
      </w:r>
    </w:p>
    <w:p w:rsidR="00DD4394" w:rsidRDefault="00DD4394" w:rsidP="00DD4394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0F2C" w:rsidRDefault="00DD4394" w:rsidP="00BD0F2C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636C2F">
        <w:rPr>
          <w:rFonts w:ascii="Times New Roman" w:hAnsi="Times New Roman" w:cs="Times New Roman"/>
          <w:sz w:val="24"/>
          <w:szCs w:val="24"/>
        </w:rPr>
        <w:t>Art.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434F">
        <w:rPr>
          <w:rFonts w:ascii="Times New Roman" w:hAnsi="Times New Roman" w:cs="Times New Roman"/>
          <w:sz w:val="24"/>
          <w:szCs w:val="24"/>
        </w:rPr>
        <w:t>2</w:t>
      </w:r>
      <w:r w:rsidRPr="00636C2F">
        <w:rPr>
          <w:rFonts w:ascii="Times New Roman" w:hAnsi="Times New Roman" w:cs="Times New Roman"/>
          <w:sz w:val="24"/>
          <w:szCs w:val="24"/>
        </w:rPr>
        <w:t>º O distribuidor deverá retirar de circulação e encaminhar</w:t>
      </w:r>
      <w:r>
        <w:rPr>
          <w:rFonts w:ascii="Times New Roman" w:hAnsi="Times New Roman" w:cs="Times New Roman"/>
          <w:sz w:val="24"/>
          <w:szCs w:val="24"/>
        </w:rPr>
        <w:t xml:space="preserve"> para requalificação </w:t>
      </w:r>
      <w:r w:rsidRPr="00144CA1">
        <w:rPr>
          <w:rFonts w:ascii="Times New Roman" w:hAnsi="Times New Roman" w:cs="Times New Roman"/>
          <w:sz w:val="24"/>
          <w:szCs w:val="24"/>
        </w:rPr>
        <w:t>recipientes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A1">
        <w:rPr>
          <w:rFonts w:ascii="Times New Roman" w:hAnsi="Times New Roman" w:cs="Times New Roman"/>
          <w:sz w:val="24"/>
          <w:szCs w:val="24"/>
        </w:rPr>
        <w:t>transportáveis de GLP</w:t>
      </w:r>
      <w:r w:rsidR="00BD434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434F" w:rsidRPr="00144CA1">
        <w:rPr>
          <w:rFonts w:ascii="Times New Roman" w:hAnsi="Times New Roman" w:cs="Times New Roman"/>
          <w:sz w:val="24"/>
          <w:szCs w:val="24"/>
        </w:rPr>
        <w:t>de sua marca ou marca de cujo uso seja contratante</w:t>
      </w:r>
      <w:r w:rsidR="00BD434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que apresentem requisitos para requalificação.</w:t>
      </w:r>
    </w:p>
    <w:p w:rsidR="00BD0F2C" w:rsidRDefault="00BD0F2C" w:rsidP="00F212B3">
      <w:pPr>
        <w:tabs>
          <w:tab w:val="left" w:pos="851"/>
          <w:tab w:val="right" w:pos="850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62210" w:rsidRDefault="006333F0" w:rsidP="00B85262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314EA" w:rsidRPr="00636C2F">
        <w:rPr>
          <w:rFonts w:ascii="Times New Roman" w:hAnsi="Times New Roman" w:cs="Times New Roman"/>
          <w:sz w:val="24"/>
          <w:szCs w:val="24"/>
        </w:rPr>
        <w:t>Art.</w:t>
      </w:r>
      <w:r w:rsidR="00E84204">
        <w:rPr>
          <w:rFonts w:ascii="Times New Roman" w:hAnsi="Times New Roman" w:cs="Times New Roman"/>
          <w:sz w:val="24"/>
          <w:szCs w:val="24"/>
        </w:rPr>
        <w:t xml:space="preserve"> </w:t>
      </w:r>
      <w:r w:rsidR="00BD434F">
        <w:rPr>
          <w:rFonts w:ascii="Times New Roman" w:hAnsi="Times New Roman" w:cs="Times New Roman"/>
          <w:sz w:val="24"/>
          <w:szCs w:val="24"/>
        </w:rPr>
        <w:t>3</w:t>
      </w:r>
      <w:r w:rsidR="00BD434F" w:rsidRPr="00636C2F">
        <w:rPr>
          <w:rFonts w:ascii="Times New Roman" w:hAnsi="Times New Roman" w:cs="Times New Roman"/>
          <w:sz w:val="24"/>
          <w:szCs w:val="24"/>
        </w:rPr>
        <w:t xml:space="preserve">º </w:t>
      </w:r>
      <w:r w:rsidR="00936B27">
        <w:rPr>
          <w:rFonts w:ascii="Times New Roman" w:hAnsi="Times New Roman" w:cs="Times New Roman"/>
          <w:sz w:val="24"/>
          <w:szCs w:val="24"/>
        </w:rPr>
        <w:t>São vedadas</w:t>
      </w:r>
      <w:r w:rsidR="007314EA" w:rsidRPr="00636C2F">
        <w:rPr>
          <w:rFonts w:ascii="Times New Roman" w:hAnsi="Times New Roman" w:cs="Times New Roman"/>
          <w:sz w:val="24"/>
          <w:szCs w:val="24"/>
        </w:rPr>
        <w:t xml:space="preserve"> </w:t>
      </w:r>
      <w:r w:rsidR="001523EF" w:rsidRPr="00636C2F">
        <w:rPr>
          <w:rFonts w:ascii="Times New Roman" w:hAnsi="Times New Roman" w:cs="Times New Roman"/>
          <w:sz w:val="24"/>
          <w:szCs w:val="24"/>
        </w:rPr>
        <w:t>ao revendedor</w:t>
      </w:r>
      <w:r w:rsidR="007C5220">
        <w:rPr>
          <w:rFonts w:ascii="Times New Roman" w:hAnsi="Times New Roman" w:cs="Times New Roman"/>
          <w:sz w:val="24"/>
          <w:szCs w:val="24"/>
        </w:rPr>
        <w:t xml:space="preserve"> de GLP</w:t>
      </w:r>
      <w:r w:rsidR="00BD434F">
        <w:rPr>
          <w:rFonts w:ascii="Times New Roman" w:hAnsi="Times New Roman" w:cs="Times New Roman"/>
          <w:sz w:val="24"/>
          <w:szCs w:val="24"/>
        </w:rPr>
        <w:t>, autorizado pela ANP</w:t>
      </w:r>
      <w:r w:rsidR="00BD434F" w:rsidRPr="00144CA1">
        <w:rPr>
          <w:rFonts w:ascii="Times New Roman" w:hAnsi="Times New Roman" w:cs="Times New Roman"/>
          <w:sz w:val="24"/>
          <w:szCs w:val="24"/>
        </w:rPr>
        <w:t>,</w:t>
      </w:r>
      <w:r w:rsidR="001523EF" w:rsidRPr="00636C2F">
        <w:rPr>
          <w:rFonts w:ascii="Times New Roman" w:hAnsi="Times New Roman" w:cs="Times New Roman"/>
          <w:sz w:val="24"/>
          <w:szCs w:val="24"/>
        </w:rPr>
        <w:t xml:space="preserve"> </w:t>
      </w:r>
      <w:r w:rsidR="00BD434F">
        <w:rPr>
          <w:rFonts w:ascii="Times New Roman" w:hAnsi="Times New Roman" w:cs="Times New Roman"/>
          <w:sz w:val="24"/>
          <w:szCs w:val="24"/>
        </w:rPr>
        <w:t xml:space="preserve">a </w:t>
      </w:r>
      <w:r w:rsidR="008412A8">
        <w:rPr>
          <w:rFonts w:ascii="Times New Roman" w:hAnsi="Times New Roman" w:cs="Times New Roman"/>
          <w:sz w:val="24"/>
          <w:szCs w:val="24"/>
        </w:rPr>
        <w:t>aquisição</w:t>
      </w:r>
      <w:r w:rsidR="003B37A0">
        <w:rPr>
          <w:rFonts w:ascii="Times New Roman" w:hAnsi="Times New Roman" w:cs="Times New Roman"/>
          <w:sz w:val="24"/>
          <w:szCs w:val="24"/>
        </w:rPr>
        <w:t xml:space="preserve"> e</w:t>
      </w:r>
      <w:r w:rsidR="008412A8">
        <w:rPr>
          <w:rFonts w:ascii="Times New Roman" w:hAnsi="Times New Roman" w:cs="Times New Roman"/>
          <w:sz w:val="24"/>
          <w:szCs w:val="24"/>
        </w:rPr>
        <w:t xml:space="preserve"> </w:t>
      </w:r>
      <w:r w:rsidR="003B37A0">
        <w:rPr>
          <w:rFonts w:ascii="Times New Roman" w:hAnsi="Times New Roman" w:cs="Times New Roman"/>
          <w:sz w:val="24"/>
          <w:szCs w:val="24"/>
        </w:rPr>
        <w:t xml:space="preserve">a </w:t>
      </w:r>
      <w:r w:rsidR="003B37A0" w:rsidRPr="00636C2F">
        <w:rPr>
          <w:rFonts w:ascii="Times New Roman" w:hAnsi="Times New Roman" w:cs="Times New Roman"/>
          <w:sz w:val="24"/>
          <w:szCs w:val="24"/>
        </w:rPr>
        <w:t xml:space="preserve">comercialização </w:t>
      </w:r>
      <w:r w:rsidR="008412A8" w:rsidRPr="00636C2F">
        <w:rPr>
          <w:rFonts w:ascii="Times New Roman" w:hAnsi="Times New Roman" w:cs="Times New Roman"/>
          <w:sz w:val="24"/>
          <w:szCs w:val="24"/>
        </w:rPr>
        <w:t>de recipientes transportáveis de GLP</w:t>
      </w:r>
      <w:r w:rsidR="008412A8">
        <w:rPr>
          <w:rFonts w:ascii="Times New Roman" w:hAnsi="Times New Roman" w:cs="Times New Roman"/>
          <w:sz w:val="24"/>
          <w:szCs w:val="24"/>
        </w:rPr>
        <w:t>,</w:t>
      </w:r>
      <w:r w:rsidR="008412A8" w:rsidRPr="00636C2F">
        <w:rPr>
          <w:rFonts w:ascii="Times New Roman" w:hAnsi="Times New Roman" w:cs="Times New Roman"/>
          <w:sz w:val="24"/>
          <w:szCs w:val="24"/>
        </w:rPr>
        <w:t xml:space="preserve"> </w:t>
      </w:r>
      <w:r w:rsidR="003B37A0">
        <w:rPr>
          <w:rFonts w:ascii="Times New Roman" w:hAnsi="Times New Roman" w:cs="Times New Roman"/>
          <w:sz w:val="24"/>
          <w:szCs w:val="24"/>
        </w:rPr>
        <w:t xml:space="preserve">cheios, </w:t>
      </w:r>
      <w:r w:rsidR="008412A8">
        <w:rPr>
          <w:rFonts w:ascii="Times New Roman" w:hAnsi="Times New Roman" w:cs="Times New Roman"/>
          <w:sz w:val="24"/>
          <w:szCs w:val="24"/>
        </w:rPr>
        <w:t>que não obs</w:t>
      </w:r>
      <w:r w:rsidR="003B37A0">
        <w:rPr>
          <w:rFonts w:ascii="Times New Roman" w:hAnsi="Times New Roman" w:cs="Times New Roman"/>
          <w:sz w:val="24"/>
          <w:szCs w:val="24"/>
        </w:rPr>
        <w:t>ervem o prazo de requalificação</w:t>
      </w:r>
      <w:r w:rsidR="001523EF" w:rsidRPr="00636C2F">
        <w:rPr>
          <w:rFonts w:ascii="Times New Roman" w:hAnsi="Times New Roman" w:cs="Times New Roman"/>
          <w:sz w:val="24"/>
          <w:szCs w:val="24"/>
        </w:rPr>
        <w:t>.</w:t>
      </w:r>
    </w:p>
    <w:p w:rsidR="00F212B3" w:rsidRDefault="00F212B3" w:rsidP="00B85262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3528" w:rsidRDefault="006333F0" w:rsidP="006333F0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§</w:t>
      </w:r>
      <w:r w:rsidR="00F63528">
        <w:rPr>
          <w:rFonts w:ascii="Times New Roman" w:hAnsi="Times New Roman" w:cs="Times New Roman"/>
          <w:sz w:val="24"/>
          <w:szCs w:val="24"/>
        </w:rPr>
        <w:t xml:space="preserve"> 1º </w:t>
      </w:r>
      <w:r w:rsidR="00862210">
        <w:rPr>
          <w:rFonts w:ascii="Times New Roman" w:hAnsi="Times New Roman" w:cs="Times New Roman"/>
          <w:sz w:val="24"/>
          <w:szCs w:val="24"/>
        </w:rPr>
        <w:t>A verificação</w:t>
      </w:r>
      <w:r w:rsidR="006109AA">
        <w:rPr>
          <w:rFonts w:ascii="Times New Roman" w:hAnsi="Times New Roman" w:cs="Times New Roman"/>
          <w:sz w:val="24"/>
          <w:szCs w:val="24"/>
        </w:rPr>
        <w:t xml:space="preserve"> da</w:t>
      </w:r>
      <w:r w:rsidR="00F63528">
        <w:rPr>
          <w:rFonts w:ascii="Times New Roman" w:hAnsi="Times New Roman" w:cs="Times New Roman"/>
          <w:sz w:val="24"/>
          <w:szCs w:val="24"/>
        </w:rPr>
        <w:t xml:space="preserve"> data</w:t>
      </w:r>
      <w:r w:rsidR="00862210">
        <w:rPr>
          <w:rFonts w:ascii="Times New Roman" w:hAnsi="Times New Roman" w:cs="Times New Roman"/>
          <w:sz w:val="24"/>
          <w:szCs w:val="24"/>
        </w:rPr>
        <w:t xml:space="preserve"> deverá ocorrer no momento d</w:t>
      </w:r>
      <w:r w:rsidR="00EB2C28">
        <w:rPr>
          <w:rFonts w:ascii="Times New Roman" w:hAnsi="Times New Roman" w:cs="Times New Roman"/>
          <w:sz w:val="24"/>
          <w:szCs w:val="24"/>
        </w:rPr>
        <w:t xml:space="preserve">a entrega do recipiente, </w:t>
      </w:r>
      <w:r w:rsidR="00862210">
        <w:rPr>
          <w:rFonts w:ascii="Times New Roman" w:hAnsi="Times New Roman" w:cs="Times New Roman"/>
          <w:sz w:val="24"/>
          <w:szCs w:val="24"/>
        </w:rPr>
        <w:t xml:space="preserve"> </w:t>
      </w:r>
      <w:r w:rsidR="00F63528">
        <w:rPr>
          <w:rFonts w:ascii="Times New Roman" w:hAnsi="Times New Roman" w:cs="Times New Roman"/>
          <w:sz w:val="24"/>
          <w:szCs w:val="24"/>
        </w:rPr>
        <w:t>sendo vedado</w:t>
      </w:r>
      <w:r w:rsidR="00862210">
        <w:rPr>
          <w:rFonts w:ascii="Times New Roman" w:hAnsi="Times New Roman" w:cs="Times New Roman"/>
          <w:sz w:val="24"/>
          <w:szCs w:val="24"/>
        </w:rPr>
        <w:t xml:space="preserve"> </w:t>
      </w:r>
      <w:r w:rsidR="00F63528">
        <w:rPr>
          <w:rFonts w:ascii="Times New Roman" w:hAnsi="Times New Roman" w:cs="Times New Roman"/>
          <w:sz w:val="24"/>
          <w:szCs w:val="24"/>
        </w:rPr>
        <w:t xml:space="preserve">o </w:t>
      </w:r>
      <w:r w:rsidR="00EB2C28">
        <w:rPr>
          <w:rFonts w:ascii="Times New Roman" w:hAnsi="Times New Roman" w:cs="Times New Roman"/>
          <w:sz w:val="24"/>
          <w:szCs w:val="24"/>
        </w:rPr>
        <w:t xml:space="preserve">seu </w:t>
      </w:r>
      <w:r w:rsidR="00F63528">
        <w:rPr>
          <w:rFonts w:ascii="Times New Roman" w:hAnsi="Times New Roman" w:cs="Times New Roman"/>
          <w:sz w:val="24"/>
          <w:szCs w:val="24"/>
        </w:rPr>
        <w:t xml:space="preserve">recebimento </w:t>
      </w:r>
      <w:r w:rsidR="00EB2C28">
        <w:rPr>
          <w:rFonts w:ascii="Times New Roman" w:hAnsi="Times New Roman" w:cs="Times New Roman"/>
          <w:sz w:val="24"/>
          <w:szCs w:val="24"/>
        </w:rPr>
        <w:t>quando</w:t>
      </w:r>
      <w:r w:rsidR="00F63528">
        <w:rPr>
          <w:rFonts w:ascii="Times New Roman" w:hAnsi="Times New Roman" w:cs="Times New Roman"/>
          <w:sz w:val="24"/>
          <w:szCs w:val="24"/>
        </w:rPr>
        <w:t xml:space="preserve"> fora do prazo </w:t>
      </w:r>
      <w:r w:rsidR="008B0F2D">
        <w:rPr>
          <w:rFonts w:ascii="Times New Roman" w:hAnsi="Times New Roman" w:cs="Times New Roman"/>
          <w:sz w:val="24"/>
          <w:szCs w:val="24"/>
        </w:rPr>
        <w:t xml:space="preserve">para </w:t>
      </w:r>
      <w:r w:rsidR="00F63528">
        <w:rPr>
          <w:rFonts w:ascii="Times New Roman" w:hAnsi="Times New Roman" w:cs="Times New Roman"/>
          <w:sz w:val="24"/>
          <w:szCs w:val="24"/>
        </w:rPr>
        <w:t>requalificação</w:t>
      </w:r>
      <w:r w:rsidR="00862210">
        <w:rPr>
          <w:rFonts w:ascii="Times New Roman" w:hAnsi="Times New Roman" w:cs="Times New Roman"/>
          <w:sz w:val="24"/>
          <w:szCs w:val="24"/>
        </w:rPr>
        <w:t>.</w:t>
      </w:r>
    </w:p>
    <w:p w:rsidR="007314E4" w:rsidRDefault="006333F0" w:rsidP="006333F0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§</w:t>
      </w:r>
      <w:r w:rsidR="00F63528">
        <w:rPr>
          <w:rFonts w:ascii="Times New Roman" w:hAnsi="Times New Roman" w:cs="Times New Roman"/>
          <w:sz w:val="24"/>
          <w:szCs w:val="24"/>
        </w:rPr>
        <w:t xml:space="preserve"> 2º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09AA">
        <w:rPr>
          <w:rFonts w:ascii="Times New Roman" w:hAnsi="Times New Roman" w:cs="Times New Roman"/>
          <w:sz w:val="24"/>
          <w:szCs w:val="24"/>
        </w:rPr>
        <w:t xml:space="preserve">Os prazos </w:t>
      </w:r>
      <w:r w:rsidR="008C466D">
        <w:rPr>
          <w:rFonts w:ascii="Times New Roman" w:hAnsi="Times New Roman" w:cs="Times New Roman"/>
          <w:sz w:val="24"/>
          <w:szCs w:val="24"/>
        </w:rPr>
        <w:t xml:space="preserve">para </w:t>
      </w:r>
      <w:r w:rsidR="006109AA">
        <w:rPr>
          <w:rFonts w:ascii="Times New Roman" w:hAnsi="Times New Roman" w:cs="Times New Roman"/>
          <w:sz w:val="24"/>
          <w:szCs w:val="24"/>
        </w:rPr>
        <w:t>requalificação são:</w:t>
      </w:r>
    </w:p>
    <w:p w:rsidR="006109AA" w:rsidRPr="008748BF" w:rsidRDefault="006333F0" w:rsidP="006333F0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109AA" w:rsidRPr="008748BF">
        <w:rPr>
          <w:rFonts w:ascii="Times New Roman" w:hAnsi="Times New Roman" w:cs="Times New Roman"/>
          <w:sz w:val="24"/>
          <w:szCs w:val="24"/>
        </w:rPr>
        <w:t>I – no caso de recipiente</w:t>
      </w:r>
      <w:r w:rsidR="00FC2CB5" w:rsidRPr="008748BF">
        <w:rPr>
          <w:rFonts w:ascii="Times New Roman" w:hAnsi="Times New Roman" w:cs="Times New Roman"/>
          <w:sz w:val="24"/>
          <w:szCs w:val="24"/>
        </w:rPr>
        <w:t xml:space="preserve"> sem medalhão em torno da válvula de conexão que indique ter sido requalificado</w:t>
      </w:r>
      <w:r w:rsidR="006109AA" w:rsidRPr="008748BF">
        <w:rPr>
          <w:rFonts w:ascii="Times New Roman" w:hAnsi="Times New Roman" w:cs="Times New Roman"/>
          <w:sz w:val="24"/>
          <w:szCs w:val="24"/>
        </w:rPr>
        <w:t xml:space="preserve">: 15 (quinze) anos contados a partir da data de fabricação </w:t>
      </w:r>
      <w:r w:rsidR="008C466D" w:rsidRPr="008748BF">
        <w:rPr>
          <w:rFonts w:ascii="Times New Roman" w:hAnsi="Times New Roman" w:cs="Times New Roman"/>
          <w:sz w:val="24"/>
          <w:szCs w:val="24"/>
        </w:rPr>
        <w:t xml:space="preserve">estampada em alto relevo </w:t>
      </w:r>
      <w:r w:rsidR="006109AA" w:rsidRPr="008748BF">
        <w:rPr>
          <w:rFonts w:ascii="Times New Roman" w:hAnsi="Times New Roman" w:cs="Times New Roman"/>
          <w:sz w:val="24"/>
          <w:szCs w:val="24"/>
        </w:rPr>
        <w:t>no corpo do recipiente; e</w:t>
      </w:r>
    </w:p>
    <w:p w:rsidR="006109AA" w:rsidRPr="008748BF" w:rsidRDefault="006333F0" w:rsidP="006333F0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48BF">
        <w:rPr>
          <w:rFonts w:ascii="Times New Roman" w:hAnsi="Times New Roman" w:cs="Times New Roman"/>
          <w:sz w:val="24"/>
          <w:szCs w:val="24"/>
        </w:rPr>
        <w:tab/>
      </w:r>
      <w:r w:rsidR="006109AA" w:rsidRPr="008748BF">
        <w:rPr>
          <w:rFonts w:ascii="Times New Roman" w:hAnsi="Times New Roman" w:cs="Times New Roman"/>
          <w:sz w:val="24"/>
          <w:szCs w:val="24"/>
        </w:rPr>
        <w:t xml:space="preserve">II – no caso de recipiente </w:t>
      </w:r>
      <w:r w:rsidR="000C0CDC" w:rsidRPr="008748BF">
        <w:rPr>
          <w:rFonts w:ascii="Times New Roman" w:hAnsi="Times New Roman" w:cs="Times New Roman"/>
          <w:sz w:val="24"/>
          <w:szCs w:val="24"/>
        </w:rPr>
        <w:t>com medalhão</w:t>
      </w:r>
      <w:r w:rsidR="005861E0" w:rsidRPr="008748BF">
        <w:rPr>
          <w:rFonts w:ascii="Times New Roman" w:hAnsi="Times New Roman" w:cs="Times New Roman"/>
          <w:sz w:val="24"/>
          <w:szCs w:val="24"/>
        </w:rPr>
        <w:t xml:space="preserve"> de requalificação</w:t>
      </w:r>
      <w:r w:rsidR="006109AA" w:rsidRPr="008748BF">
        <w:rPr>
          <w:rFonts w:ascii="Times New Roman" w:hAnsi="Times New Roman" w:cs="Times New Roman"/>
          <w:sz w:val="24"/>
          <w:szCs w:val="24"/>
        </w:rPr>
        <w:t>: o ano</w:t>
      </w:r>
      <w:r w:rsidR="00063E3B" w:rsidRPr="008748BF">
        <w:rPr>
          <w:rFonts w:ascii="Times New Roman" w:hAnsi="Times New Roman" w:cs="Times New Roman"/>
          <w:sz w:val="24"/>
          <w:szCs w:val="24"/>
        </w:rPr>
        <w:t xml:space="preserve"> estampado no</w:t>
      </w:r>
      <w:r w:rsidR="000C0CDC" w:rsidRPr="008748BF">
        <w:rPr>
          <w:rFonts w:ascii="Times New Roman" w:hAnsi="Times New Roman" w:cs="Times New Roman"/>
          <w:sz w:val="24"/>
          <w:szCs w:val="24"/>
        </w:rPr>
        <w:t xml:space="preserve"> próprio</w:t>
      </w:r>
      <w:r w:rsidR="00063E3B" w:rsidRPr="008748BF">
        <w:rPr>
          <w:rFonts w:ascii="Times New Roman" w:hAnsi="Times New Roman" w:cs="Times New Roman"/>
          <w:sz w:val="24"/>
          <w:szCs w:val="24"/>
        </w:rPr>
        <w:t xml:space="preserve"> medalhão.</w:t>
      </w:r>
    </w:p>
    <w:p w:rsidR="00063E3B" w:rsidRDefault="006333F0" w:rsidP="006333F0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§</w:t>
      </w:r>
      <w:r w:rsidR="00063E3B">
        <w:rPr>
          <w:rFonts w:ascii="Times New Roman" w:hAnsi="Times New Roman" w:cs="Times New Roman"/>
          <w:sz w:val="24"/>
          <w:szCs w:val="24"/>
        </w:rPr>
        <w:t xml:space="preserve"> </w:t>
      </w:r>
      <w:r w:rsidR="008C70D2">
        <w:rPr>
          <w:rFonts w:ascii="Times New Roman" w:hAnsi="Times New Roman" w:cs="Times New Roman"/>
          <w:sz w:val="24"/>
          <w:szCs w:val="24"/>
        </w:rPr>
        <w:t>3</w:t>
      </w:r>
      <w:r w:rsidR="00BE6E3D">
        <w:rPr>
          <w:rFonts w:ascii="Times New Roman" w:hAnsi="Times New Roman" w:cs="Times New Roman"/>
          <w:sz w:val="24"/>
          <w:szCs w:val="24"/>
        </w:rPr>
        <w:t xml:space="preserve">º </w:t>
      </w:r>
      <w:r w:rsidR="00063E3B">
        <w:rPr>
          <w:rFonts w:ascii="Times New Roman" w:hAnsi="Times New Roman" w:cs="Times New Roman"/>
          <w:sz w:val="24"/>
          <w:szCs w:val="24"/>
        </w:rPr>
        <w:t>Caso identifique recipiente que não se encontre dentro dos prazos descritos no parágrafo anterior,</w:t>
      </w:r>
      <w:r w:rsidR="00912252">
        <w:rPr>
          <w:rFonts w:ascii="Times New Roman" w:hAnsi="Times New Roman" w:cs="Times New Roman"/>
          <w:sz w:val="24"/>
          <w:szCs w:val="24"/>
        </w:rPr>
        <w:t xml:space="preserve"> ou sem identificação </w:t>
      </w:r>
      <w:r w:rsidR="00FA46AD">
        <w:rPr>
          <w:rFonts w:ascii="Times New Roman" w:hAnsi="Times New Roman" w:cs="Times New Roman"/>
          <w:sz w:val="24"/>
          <w:szCs w:val="24"/>
        </w:rPr>
        <w:t xml:space="preserve">legível </w:t>
      </w:r>
      <w:r w:rsidR="00912252">
        <w:rPr>
          <w:rFonts w:ascii="Times New Roman" w:hAnsi="Times New Roman" w:cs="Times New Roman"/>
          <w:sz w:val="24"/>
          <w:szCs w:val="24"/>
        </w:rPr>
        <w:t xml:space="preserve">dos prazos, </w:t>
      </w:r>
      <w:r w:rsidR="00063E3B">
        <w:rPr>
          <w:rFonts w:ascii="Times New Roman" w:hAnsi="Times New Roman" w:cs="Times New Roman"/>
          <w:sz w:val="24"/>
          <w:szCs w:val="24"/>
        </w:rPr>
        <w:t xml:space="preserve">o revendedor </w:t>
      </w:r>
      <w:r w:rsidR="00BE6E3D">
        <w:rPr>
          <w:rFonts w:ascii="Times New Roman" w:hAnsi="Times New Roman" w:cs="Times New Roman"/>
          <w:sz w:val="24"/>
          <w:szCs w:val="24"/>
        </w:rPr>
        <w:t xml:space="preserve">de GLP </w:t>
      </w:r>
      <w:r w:rsidR="00063E3B">
        <w:rPr>
          <w:rFonts w:ascii="Times New Roman" w:hAnsi="Times New Roman" w:cs="Times New Roman"/>
          <w:sz w:val="24"/>
          <w:szCs w:val="24"/>
        </w:rPr>
        <w:t>deverá devolv</w:t>
      </w:r>
      <w:r w:rsidR="006F3F43">
        <w:rPr>
          <w:rFonts w:ascii="Times New Roman" w:hAnsi="Times New Roman" w:cs="Times New Roman"/>
          <w:sz w:val="24"/>
          <w:szCs w:val="24"/>
        </w:rPr>
        <w:t>ê-lo</w:t>
      </w:r>
      <w:r w:rsidR="00063E3B">
        <w:rPr>
          <w:rFonts w:ascii="Times New Roman" w:hAnsi="Times New Roman" w:cs="Times New Roman"/>
          <w:sz w:val="24"/>
          <w:szCs w:val="24"/>
        </w:rPr>
        <w:t xml:space="preserve"> ao distribuidor</w:t>
      </w:r>
      <w:r w:rsidR="00BE6E3D">
        <w:rPr>
          <w:rFonts w:ascii="Times New Roman" w:hAnsi="Times New Roman" w:cs="Times New Roman"/>
          <w:sz w:val="24"/>
          <w:szCs w:val="24"/>
        </w:rPr>
        <w:t xml:space="preserve"> de GLP.</w:t>
      </w:r>
    </w:p>
    <w:p w:rsidR="00C0465A" w:rsidRDefault="006333F0" w:rsidP="006333F0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44CA1" w:rsidRPr="00636C2F" w:rsidRDefault="00C0465A" w:rsidP="00C0465A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314EA" w:rsidRPr="00636C2F">
        <w:rPr>
          <w:rFonts w:ascii="Times New Roman" w:hAnsi="Times New Roman" w:cs="Times New Roman"/>
          <w:sz w:val="24"/>
          <w:szCs w:val="24"/>
        </w:rPr>
        <w:t>Art.</w:t>
      </w:r>
      <w:r w:rsidR="00E84204">
        <w:rPr>
          <w:rFonts w:ascii="Times New Roman" w:hAnsi="Times New Roman" w:cs="Times New Roman"/>
          <w:sz w:val="24"/>
          <w:szCs w:val="24"/>
        </w:rPr>
        <w:t xml:space="preserve"> </w:t>
      </w:r>
      <w:r w:rsidR="008C70D2">
        <w:rPr>
          <w:rFonts w:ascii="Times New Roman" w:hAnsi="Times New Roman" w:cs="Times New Roman"/>
          <w:sz w:val="24"/>
          <w:szCs w:val="24"/>
        </w:rPr>
        <w:t>4</w:t>
      </w:r>
      <w:r w:rsidR="00BE6E3D" w:rsidRPr="00636C2F">
        <w:rPr>
          <w:rFonts w:ascii="Times New Roman" w:hAnsi="Times New Roman" w:cs="Times New Roman"/>
          <w:sz w:val="24"/>
          <w:szCs w:val="24"/>
        </w:rPr>
        <w:t xml:space="preserve">º </w:t>
      </w:r>
      <w:r w:rsidR="00144CA1" w:rsidRPr="00636C2F">
        <w:rPr>
          <w:rFonts w:ascii="Times New Roman" w:hAnsi="Times New Roman" w:cs="Times New Roman"/>
          <w:sz w:val="24"/>
          <w:szCs w:val="24"/>
        </w:rPr>
        <w:t xml:space="preserve">O distribuidor </w:t>
      </w:r>
      <w:r w:rsidR="00884E93" w:rsidRPr="00636C2F">
        <w:rPr>
          <w:rFonts w:ascii="Times New Roman" w:hAnsi="Times New Roman" w:cs="Times New Roman"/>
          <w:sz w:val="24"/>
          <w:szCs w:val="24"/>
        </w:rPr>
        <w:t xml:space="preserve">se </w:t>
      </w:r>
      <w:r w:rsidR="00144CA1" w:rsidRPr="00636C2F">
        <w:rPr>
          <w:rFonts w:ascii="Times New Roman" w:hAnsi="Times New Roman" w:cs="Times New Roman"/>
          <w:sz w:val="24"/>
          <w:szCs w:val="24"/>
        </w:rPr>
        <w:t>obriga a receber em devolução</w:t>
      </w:r>
      <w:r w:rsidR="00884E93" w:rsidRPr="00636C2F">
        <w:rPr>
          <w:rFonts w:ascii="Times New Roman" w:hAnsi="Times New Roman" w:cs="Times New Roman"/>
          <w:sz w:val="24"/>
          <w:szCs w:val="24"/>
        </w:rPr>
        <w:t xml:space="preserve">, de revendedor </w:t>
      </w:r>
      <w:r w:rsidR="00BE6E3D">
        <w:rPr>
          <w:rFonts w:ascii="Times New Roman" w:hAnsi="Times New Roman" w:cs="Times New Roman"/>
          <w:sz w:val="24"/>
          <w:szCs w:val="24"/>
        </w:rPr>
        <w:t xml:space="preserve">de GLP </w:t>
      </w:r>
      <w:r w:rsidR="0024373A">
        <w:rPr>
          <w:rFonts w:ascii="Times New Roman" w:hAnsi="Times New Roman" w:cs="Times New Roman"/>
          <w:sz w:val="24"/>
          <w:szCs w:val="24"/>
        </w:rPr>
        <w:t>e de</w:t>
      </w:r>
      <w:r w:rsidR="00884E93" w:rsidRPr="00636C2F">
        <w:rPr>
          <w:rFonts w:ascii="Times New Roman" w:hAnsi="Times New Roman" w:cs="Times New Roman"/>
          <w:sz w:val="24"/>
          <w:szCs w:val="24"/>
        </w:rPr>
        <w:t xml:space="preserve"> consumidor, sem lhes impor quaisquer ônus financeiros, </w:t>
      </w:r>
      <w:r w:rsidR="00144CA1" w:rsidRPr="00636C2F">
        <w:rPr>
          <w:rFonts w:ascii="Times New Roman" w:hAnsi="Times New Roman" w:cs="Times New Roman"/>
          <w:sz w:val="24"/>
          <w:szCs w:val="24"/>
        </w:rPr>
        <w:t>recipientes</w:t>
      </w:r>
      <w:r w:rsidR="001523EF" w:rsidRPr="00636C2F">
        <w:rPr>
          <w:rFonts w:ascii="Times New Roman" w:hAnsi="Times New Roman" w:cs="Times New Roman"/>
          <w:sz w:val="24"/>
          <w:szCs w:val="24"/>
        </w:rPr>
        <w:t xml:space="preserve"> transportáveis de GLP</w:t>
      </w:r>
      <w:r w:rsidR="00BE6E3D" w:rsidRPr="00636C2F">
        <w:rPr>
          <w:rFonts w:ascii="Times New Roman" w:hAnsi="Times New Roman" w:cs="Times New Roman"/>
          <w:sz w:val="24"/>
          <w:szCs w:val="24"/>
        </w:rPr>
        <w:t>, de sua marca ou marca de cujo uso seja contratante</w:t>
      </w:r>
      <w:r w:rsidR="001523EF" w:rsidRPr="00636C2F">
        <w:rPr>
          <w:rFonts w:ascii="Times New Roman" w:hAnsi="Times New Roman" w:cs="Times New Roman"/>
          <w:sz w:val="24"/>
          <w:szCs w:val="24"/>
        </w:rPr>
        <w:t xml:space="preserve">, </w:t>
      </w:r>
      <w:r w:rsidR="007C5220">
        <w:rPr>
          <w:rFonts w:ascii="Times New Roman" w:hAnsi="Times New Roman" w:cs="Times New Roman"/>
          <w:sz w:val="24"/>
          <w:szCs w:val="24"/>
        </w:rPr>
        <w:t>que não observem o prazo de requalificação</w:t>
      </w:r>
      <w:r w:rsidR="001523EF" w:rsidRPr="00636C2F">
        <w:rPr>
          <w:rFonts w:ascii="Times New Roman" w:hAnsi="Times New Roman" w:cs="Times New Roman"/>
          <w:sz w:val="24"/>
          <w:szCs w:val="24"/>
        </w:rPr>
        <w:t>.</w:t>
      </w:r>
    </w:p>
    <w:p w:rsidR="00C0465A" w:rsidRDefault="006333F0" w:rsidP="006333F0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523EF" w:rsidRDefault="001523EF" w:rsidP="00C0465A">
      <w:pPr>
        <w:tabs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E1A7D">
        <w:rPr>
          <w:rFonts w:ascii="Times New Roman" w:hAnsi="Times New Roman" w:cs="Times New Roman"/>
          <w:sz w:val="24"/>
          <w:szCs w:val="24"/>
        </w:rPr>
        <w:t>Art.</w:t>
      </w:r>
      <w:r w:rsidR="00E84204" w:rsidRPr="008E1A7D">
        <w:rPr>
          <w:rFonts w:ascii="Times New Roman" w:hAnsi="Times New Roman" w:cs="Times New Roman"/>
          <w:sz w:val="24"/>
          <w:szCs w:val="24"/>
        </w:rPr>
        <w:t xml:space="preserve"> </w:t>
      </w:r>
      <w:r w:rsidR="008C70D2">
        <w:rPr>
          <w:rFonts w:ascii="Times New Roman" w:hAnsi="Times New Roman" w:cs="Times New Roman"/>
          <w:sz w:val="24"/>
          <w:szCs w:val="24"/>
        </w:rPr>
        <w:t>5</w:t>
      </w:r>
      <w:r w:rsidR="00BE6E3D" w:rsidRPr="008E1A7D">
        <w:rPr>
          <w:rFonts w:ascii="Times New Roman" w:hAnsi="Times New Roman" w:cs="Times New Roman"/>
          <w:sz w:val="24"/>
          <w:szCs w:val="24"/>
        </w:rPr>
        <w:t xml:space="preserve">º </w:t>
      </w:r>
      <w:r w:rsidRPr="008E1A7D">
        <w:rPr>
          <w:rFonts w:ascii="Times New Roman" w:hAnsi="Times New Roman" w:cs="Times New Roman"/>
          <w:sz w:val="24"/>
          <w:szCs w:val="24"/>
        </w:rPr>
        <w:t xml:space="preserve">O revendedor </w:t>
      </w:r>
      <w:r w:rsidR="00BE6E3D">
        <w:rPr>
          <w:rFonts w:ascii="Times New Roman" w:hAnsi="Times New Roman" w:cs="Times New Roman"/>
          <w:sz w:val="24"/>
          <w:szCs w:val="24"/>
        </w:rPr>
        <w:t xml:space="preserve">de GLP </w:t>
      </w:r>
      <w:r w:rsidRPr="008E1A7D">
        <w:rPr>
          <w:rFonts w:ascii="Times New Roman" w:hAnsi="Times New Roman" w:cs="Times New Roman"/>
          <w:sz w:val="24"/>
          <w:szCs w:val="24"/>
        </w:rPr>
        <w:t>fica obrigado a receber em devolução</w:t>
      </w:r>
      <w:r w:rsidR="000B3035" w:rsidRPr="008E1A7D">
        <w:rPr>
          <w:rFonts w:ascii="Times New Roman" w:hAnsi="Times New Roman" w:cs="Times New Roman"/>
          <w:sz w:val="24"/>
          <w:szCs w:val="24"/>
        </w:rPr>
        <w:t>,</w:t>
      </w:r>
      <w:r w:rsidRPr="008E1A7D">
        <w:rPr>
          <w:rFonts w:ascii="Times New Roman" w:hAnsi="Times New Roman" w:cs="Times New Roman"/>
          <w:sz w:val="24"/>
          <w:szCs w:val="24"/>
        </w:rPr>
        <w:t xml:space="preserve"> de consumidor</w:t>
      </w:r>
      <w:r w:rsidR="00BF3C7F" w:rsidRPr="008E1A7D">
        <w:rPr>
          <w:rFonts w:ascii="Times New Roman" w:hAnsi="Times New Roman" w:cs="Times New Roman"/>
          <w:sz w:val="24"/>
          <w:szCs w:val="24"/>
        </w:rPr>
        <w:t xml:space="preserve"> e de outro revendedor com quem tenha comercializado</w:t>
      </w:r>
      <w:r w:rsidR="000B3035" w:rsidRPr="008E1A7D">
        <w:rPr>
          <w:rFonts w:ascii="Times New Roman" w:hAnsi="Times New Roman" w:cs="Times New Roman"/>
          <w:sz w:val="24"/>
          <w:szCs w:val="24"/>
        </w:rPr>
        <w:t>,</w:t>
      </w:r>
      <w:r w:rsidRPr="008E1A7D">
        <w:rPr>
          <w:rFonts w:ascii="Times New Roman" w:hAnsi="Times New Roman" w:cs="Times New Roman"/>
          <w:sz w:val="24"/>
          <w:szCs w:val="24"/>
        </w:rPr>
        <w:t xml:space="preserve"> recipientes transportáveis de GLP, </w:t>
      </w:r>
      <w:r w:rsidR="00BA142C" w:rsidRPr="008E1A7D">
        <w:rPr>
          <w:rFonts w:ascii="Times New Roman" w:hAnsi="Times New Roman" w:cs="Times New Roman"/>
          <w:sz w:val="24"/>
          <w:szCs w:val="24"/>
        </w:rPr>
        <w:t>que não observem o prazo de requalificação,</w:t>
      </w:r>
      <w:r w:rsidRPr="008E1A7D">
        <w:rPr>
          <w:rFonts w:ascii="Times New Roman" w:hAnsi="Times New Roman" w:cs="Times New Roman"/>
          <w:sz w:val="24"/>
          <w:szCs w:val="24"/>
        </w:rPr>
        <w:t xml:space="preserve"> sem lhes impor quaisquer ônus financeiros.</w:t>
      </w:r>
    </w:p>
    <w:p w:rsidR="00144CA1" w:rsidRDefault="006333F0" w:rsidP="006333F0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314EA" w:rsidRPr="006360BF" w:rsidRDefault="006333F0" w:rsidP="00B85262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314EA" w:rsidRPr="006360BF">
        <w:rPr>
          <w:rFonts w:ascii="Times New Roman" w:hAnsi="Times New Roman" w:cs="Times New Roman"/>
          <w:sz w:val="24"/>
          <w:szCs w:val="24"/>
        </w:rPr>
        <w:t xml:space="preserve">Art. </w:t>
      </w:r>
      <w:r w:rsidR="008C70D2" w:rsidRPr="006360BF">
        <w:rPr>
          <w:rFonts w:ascii="Times New Roman" w:hAnsi="Times New Roman" w:cs="Times New Roman"/>
          <w:sz w:val="24"/>
          <w:szCs w:val="24"/>
        </w:rPr>
        <w:t>6</w:t>
      </w:r>
      <w:r w:rsidR="00636C2F" w:rsidRPr="006360BF">
        <w:rPr>
          <w:rFonts w:ascii="Times New Roman" w:hAnsi="Times New Roman" w:cs="Times New Roman"/>
          <w:sz w:val="24"/>
          <w:szCs w:val="24"/>
        </w:rPr>
        <w:t xml:space="preserve">º </w:t>
      </w:r>
      <w:r w:rsidR="007314EA" w:rsidRPr="006360BF">
        <w:rPr>
          <w:rFonts w:ascii="Times New Roman" w:hAnsi="Times New Roman" w:cs="Times New Roman"/>
          <w:sz w:val="24"/>
          <w:szCs w:val="24"/>
        </w:rPr>
        <w:t xml:space="preserve">O descumprimento da presente Resolução sujeitará o </w:t>
      </w:r>
      <w:r w:rsidR="006360BF" w:rsidRPr="006360BF">
        <w:rPr>
          <w:rFonts w:ascii="Times New Roman" w:hAnsi="Times New Roman" w:cs="Times New Roman"/>
          <w:sz w:val="24"/>
          <w:szCs w:val="24"/>
        </w:rPr>
        <w:t>infrator</w:t>
      </w:r>
      <w:r w:rsidR="007314EA" w:rsidRPr="006360BF">
        <w:rPr>
          <w:rFonts w:ascii="Times New Roman" w:hAnsi="Times New Roman" w:cs="Times New Roman"/>
          <w:sz w:val="24"/>
          <w:szCs w:val="24"/>
        </w:rPr>
        <w:t xml:space="preserve"> às penalidades previstas na Lei nº 9.847</w:t>
      </w:r>
      <w:r w:rsidR="004E2E68" w:rsidRPr="006360BF">
        <w:rPr>
          <w:rFonts w:ascii="Times New Roman" w:hAnsi="Times New Roman" w:cs="Times New Roman"/>
          <w:sz w:val="24"/>
          <w:szCs w:val="24"/>
        </w:rPr>
        <w:t xml:space="preserve">, de 26 de outubro de </w:t>
      </w:r>
      <w:r w:rsidR="007314EA" w:rsidRPr="006360BF">
        <w:rPr>
          <w:rFonts w:ascii="Times New Roman" w:hAnsi="Times New Roman" w:cs="Times New Roman"/>
          <w:sz w:val="24"/>
          <w:szCs w:val="24"/>
        </w:rPr>
        <w:t>1999</w:t>
      </w:r>
      <w:r w:rsidR="006360BF" w:rsidRPr="006360BF">
        <w:rPr>
          <w:rFonts w:ascii="Times New Roman" w:hAnsi="Times New Roman" w:cs="Times New Roman"/>
          <w:sz w:val="24"/>
          <w:szCs w:val="24"/>
        </w:rPr>
        <w:t>.</w:t>
      </w:r>
    </w:p>
    <w:p w:rsidR="006360BF" w:rsidRDefault="006360BF" w:rsidP="00F212B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C7454" w:rsidRPr="006360BF" w:rsidRDefault="006360BF" w:rsidP="00F212B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Parágrafo único. </w:t>
      </w:r>
      <w:r w:rsidR="005F1573" w:rsidRPr="006360BF">
        <w:rPr>
          <w:rFonts w:ascii="Times New Roman" w:hAnsi="Times New Roman" w:cs="Times New Roman"/>
          <w:sz w:val="24"/>
          <w:szCs w:val="24"/>
        </w:rPr>
        <w:t xml:space="preserve">  O revendedor </w:t>
      </w:r>
      <w:r w:rsidR="00AC7454" w:rsidRPr="006360BF">
        <w:rPr>
          <w:rFonts w:ascii="Times New Roman" w:hAnsi="Times New Roman" w:cs="Times New Roman"/>
          <w:sz w:val="24"/>
          <w:szCs w:val="24"/>
        </w:rPr>
        <w:t xml:space="preserve">de GLP </w:t>
      </w:r>
      <w:r w:rsidR="005F1573" w:rsidRPr="006360BF">
        <w:rPr>
          <w:rFonts w:ascii="Times New Roman" w:hAnsi="Times New Roman" w:cs="Times New Roman"/>
          <w:sz w:val="24"/>
          <w:szCs w:val="24"/>
        </w:rPr>
        <w:t xml:space="preserve">terá prazo de 90 (noventa) dias, a contar da </w:t>
      </w:r>
      <w:r>
        <w:rPr>
          <w:rFonts w:ascii="Times New Roman" w:hAnsi="Times New Roman" w:cs="Times New Roman"/>
          <w:sz w:val="24"/>
          <w:szCs w:val="24"/>
        </w:rPr>
        <w:t xml:space="preserve">data de </w:t>
      </w:r>
      <w:r w:rsidR="005F1573" w:rsidRPr="006360BF">
        <w:rPr>
          <w:rFonts w:ascii="Times New Roman" w:hAnsi="Times New Roman" w:cs="Times New Roman"/>
          <w:sz w:val="24"/>
          <w:szCs w:val="24"/>
        </w:rPr>
        <w:t>publicação da presente Resolução, para se adequar às obrigações que lhes são imputadas por este ato</w:t>
      </w:r>
      <w:r w:rsidR="00AC7454" w:rsidRPr="006360BF">
        <w:rPr>
          <w:rFonts w:ascii="Times New Roman" w:hAnsi="Times New Roman" w:cs="Times New Roman"/>
          <w:sz w:val="24"/>
          <w:szCs w:val="24"/>
        </w:rPr>
        <w:t>.</w:t>
      </w:r>
    </w:p>
    <w:p w:rsidR="00AC7454" w:rsidRPr="006360BF" w:rsidRDefault="00AC7454" w:rsidP="00AC745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F1573" w:rsidRPr="006360BF" w:rsidRDefault="00AC7454" w:rsidP="00F212B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360BF">
        <w:rPr>
          <w:rFonts w:ascii="Times New Roman" w:hAnsi="Times New Roman" w:cs="Times New Roman"/>
          <w:sz w:val="24"/>
          <w:szCs w:val="24"/>
        </w:rPr>
        <w:t xml:space="preserve">Art. </w:t>
      </w:r>
      <w:r w:rsidR="006360BF">
        <w:rPr>
          <w:rFonts w:ascii="Times New Roman" w:hAnsi="Times New Roman" w:cs="Times New Roman"/>
          <w:sz w:val="24"/>
          <w:szCs w:val="24"/>
        </w:rPr>
        <w:t>7</w:t>
      </w:r>
      <w:r w:rsidRPr="006360BF">
        <w:rPr>
          <w:rFonts w:ascii="Times New Roman" w:hAnsi="Times New Roman" w:cs="Times New Roman"/>
          <w:sz w:val="24"/>
          <w:szCs w:val="24"/>
        </w:rPr>
        <w:t xml:space="preserve">º </w:t>
      </w:r>
      <w:r w:rsidR="00F212B3" w:rsidRPr="006360BF">
        <w:rPr>
          <w:rFonts w:ascii="Times New Roman" w:hAnsi="Times New Roman" w:cs="Times New Roman"/>
          <w:sz w:val="24"/>
          <w:szCs w:val="24"/>
        </w:rPr>
        <w:t xml:space="preserve">  </w:t>
      </w:r>
      <w:r w:rsidRPr="006360BF">
        <w:rPr>
          <w:rFonts w:ascii="Times New Roman" w:hAnsi="Times New Roman" w:cs="Times New Roman"/>
          <w:sz w:val="24"/>
          <w:szCs w:val="24"/>
        </w:rPr>
        <w:t>Esta Resolução entra em vigor na data de sua publicação no Diário Oficial da União.</w:t>
      </w:r>
      <w:r w:rsidR="005F1573" w:rsidRPr="006360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5262" w:rsidRDefault="00B85262" w:rsidP="006333F0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360BF" w:rsidRDefault="006360BF" w:rsidP="006333F0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9227B" w:rsidRPr="002C5B62" w:rsidRDefault="00884E93" w:rsidP="006333F0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MAGDA MARIA DE REGINA CHAMBRIARD</w:t>
      </w:r>
    </w:p>
    <w:p w:rsidR="005F1573" w:rsidRDefault="005F1573" w:rsidP="005F1573">
      <w:pPr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sectPr w:rsidR="005F1573" w:rsidSect="007C34B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EAE" w:rsidRDefault="009E0EAE" w:rsidP="00E02401">
      <w:pPr>
        <w:spacing w:after="0" w:line="240" w:lineRule="auto"/>
      </w:pPr>
      <w:r>
        <w:separator/>
      </w:r>
    </w:p>
  </w:endnote>
  <w:endnote w:type="continuationSeparator" w:id="1">
    <w:p w:rsidR="009E0EAE" w:rsidRDefault="009E0EAE" w:rsidP="00E02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EAE" w:rsidRDefault="009E0EAE" w:rsidP="00E02401">
      <w:pPr>
        <w:spacing w:after="0" w:line="240" w:lineRule="auto"/>
      </w:pPr>
      <w:r>
        <w:separator/>
      </w:r>
    </w:p>
  </w:footnote>
  <w:footnote w:type="continuationSeparator" w:id="1">
    <w:p w:rsidR="009E0EAE" w:rsidRDefault="009E0EAE" w:rsidP="00E02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6AD" w:rsidRPr="00CE5754" w:rsidRDefault="00FA46AD" w:rsidP="00E02401">
    <w:pPr>
      <w:pStyle w:val="Cabealho"/>
      <w:jc w:val="right"/>
      <w:rPr>
        <w:rFonts w:ascii="Times New Roman" w:hAnsi="Times New Roman" w:cs="Times New Roman"/>
        <w:b/>
        <w:color w:val="FF0000"/>
      </w:rPr>
    </w:pPr>
    <w:r w:rsidRPr="00CE5754">
      <w:rPr>
        <w:rFonts w:ascii="Times New Roman" w:hAnsi="Times New Roman" w:cs="Times New Roman"/>
        <w:b/>
        <w:color w:val="FF0000"/>
      </w:rPr>
      <w:t>MINUTA</w:t>
    </w:r>
  </w:p>
  <w:p w:rsidR="00FA46AD" w:rsidRDefault="00FA46A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5348"/>
    <w:rsid w:val="00000901"/>
    <w:rsid w:val="00015B95"/>
    <w:rsid w:val="00015D7D"/>
    <w:rsid w:val="000230EF"/>
    <w:rsid w:val="00024BD5"/>
    <w:rsid w:val="000328C3"/>
    <w:rsid w:val="00044D33"/>
    <w:rsid w:val="00054CDA"/>
    <w:rsid w:val="00054D92"/>
    <w:rsid w:val="00060F64"/>
    <w:rsid w:val="0006252F"/>
    <w:rsid w:val="00063E3B"/>
    <w:rsid w:val="00063F1E"/>
    <w:rsid w:val="00077F23"/>
    <w:rsid w:val="00090845"/>
    <w:rsid w:val="000A6E30"/>
    <w:rsid w:val="000B3035"/>
    <w:rsid w:val="000B6A95"/>
    <w:rsid w:val="000C0CDC"/>
    <w:rsid w:val="000C1214"/>
    <w:rsid w:val="000D454A"/>
    <w:rsid w:val="000D7919"/>
    <w:rsid w:val="000E14C0"/>
    <w:rsid w:val="000E18FC"/>
    <w:rsid w:val="000E6C03"/>
    <w:rsid w:val="00101114"/>
    <w:rsid w:val="00101BE3"/>
    <w:rsid w:val="001076B8"/>
    <w:rsid w:val="00107E73"/>
    <w:rsid w:val="001162AD"/>
    <w:rsid w:val="00144CA1"/>
    <w:rsid w:val="001523EF"/>
    <w:rsid w:val="00162563"/>
    <w:rsid w:val="00173E44"/>
    <w:rsid w:val="00174A57"/>
    <w:rsid w:val="001851F6"/>
    <w:rsid w:val="0018607C"/>
    <w:rsid w:val="0019550A"/>
    <w:rsid w:val="001A3B4B"/>
    <w:rsid w:val="001A3E41"/>
    <w:rsid w:val="001A7E13"/>
    <w:rsid w:val="001B3548"/>
    <w:rsid w:val="001C50E4"/>
    <w:rsid w:val="001D7CBE"/>
    <w:rsid w:val="001E6257"/>
    <w:rsid w:val="00202AB9"/>
    <w:rsid w:val="00202ED3"/>
    <w:rsid w:val="00205CB4"/>
    <w:rsid w:val="00216CA3"/>
    <w:rsid w:val="00217D21"/>
    <w:rsid w:val="00240608"/>
    <w:rsid w:val="0024373A"/>
    <w:rsid w:val="00244DE5"/>
    <w:rsid w:val="002555CF"/>
    <w:rsid w:val="00264C5B"/>
    <w:rsid w:val="002714BD"/>
    <w:rsid w:val="00274391"/>
    <w:rsid w:val="0029394A"/>
    <w:rsid w:val="002B06DE"/>
    <w:rsid w:val="002D7D3C"/>
    <w:rsid w:val="002E119E"/>
    <w:rsid w:val="002E39FA"/>
    <w:rsid w:val="002F6298"/>
    <w:rsid w:val="002F6A3D"/>
    <w:rsid w:val="00300E7E"/>
    <w:rsid w:val="00311410"/>
    <w:rsid w:val="00317806"/>
    <w:rsid w:val="00322521"/>
    <w:rsid w:val="003331A0"/>
    <w:rsid w:val="003438DC"/>
    <w:rsid w:val="0034696F"/>
    <w:rsid w:val="0036313D"/>
    <w:rsid w:val="00380662"/>
    <w:rsid w:val="00386FD7"/>
    <w:rsid w:val="003B37A0"/>
    <w:rsid w:val="004073F3"/>
    <w:rsid w:val="00413F52"/>
    <w:rsid w:val="00415C68"/>
    <w:rsid w:val="00422035"/>
    <w:rsid w:val="00426B31"/>
    <w:rsid w:val="00441C0B"/>
    <w:rsid w:val="00444DC9"/>
    <w:rsid w:val="0045336A"/>
    <w:rsid w:val="004875D2"/>
    <w:rsid w:val="00487CA9"/>
    <w:rsid w:val="004938D9"/>
    <w:rsid w:val="004A0582"/>
    <w:rsid w:val="004A061F"/>
    <w:rsid w:val="004A330E"/>
    <w:rsid w:val="004C3338"/>
    <w:rsid w:val="004D2F62"/>
    <w:rsid w:val="004E2E68"/>
    <w:rsid w:val="004F25E9"/>
    <w:rsid w:val="00501D1E"/>
    <w:rsid w:val="00510D63"/>
    <w:rsid w:val="00524FA7"/>
    <w:rsid w:val="00534283"/>
    <w:rsid w:val="0054020E"/>
    <w:rsid w:val="0054075A"/>
    <w:rsid w:val="0054218C"/>
    <w:rsid w:val="005461CF"/>
    <w:rsid w:val="00570C7D"/>
    <w:rsid w:val="005861E0"/>
    <w:rsid w:val="0059227B"/>
    <w:rsid w:val="005B20DA"/>
    <w:rsid w:val="005D1AB9"/>
    <w:rsid w:val="005E3537"/>
    <w:rsid w:val="005F1573"/>
    <w:rsid w:val="006055E3"/>
    <w:rsid w:val="00605760"/>
    <w:rsid w:val="006109AA"/>
    <w:rsid w:val="006128FA"/>
    <w:rsid w:val="00622248"/>
    <w:rsid w:val="006333F0"/>
    <w:rsid w:val="006360BF"/>
    <w:rsid w:val="00636C2F"/>
    <w:rsid w:val="0063704C"/>
    <w:rsid w:val="00646F63"/>
    <w:rsid w:val="006554D2"/>
    <w:rsid w:val="00664936"/>
    <w:rsid w:val="0068161A"/>
    <w:rsid w:val="00691D1F"/>
    <w:rsid w:val="006A5316"/>
    <w:rsid w:val="006B242B"/>
    <w:rsid w:val="006B7D8A"/>
    <w:rsid w:val="006D0B76"/>
    <w:rsid w:val="006E1151"/>
    <w:rsid w:val="006E1B97"/>
    <w:rsid w:val="006F3F43"/>
    <w:rsid w:val="00714840"/>
    <w:rsid w:val="00725663"/>
    <w:rsid w:val="007310EE"/>
    <w:rsid w:val="007314E4"/>
    <w:rsid w:val="007314EA"/>
    <w:rsid w:val="00745B07"/>
    <w:rsid w:val="00754061"/>
    <w:rsid w:val="007644F6"/>
    <w:rsid w:val="0077268A"/>
    <w:rsid w:val="00772CE9"/>
    <w:rsid w:val="00785415"/>
    <w:rsid w:val="007A59A8"/>
    <w:rsid w:val="007B70B0"/>
    <w:rsid w:val="007C34B1"/>
    <w:rsid w:val="007C5220"/>
    <w:rsid w:val="007C6F43"/>
    <w:rsid w:val="00806511"/>
    <w:rsid w:val="00820205"/>
    <w:rsid w:val="008228FA"/>
    <w:rsid w:val="00826D92"/>
    <w:rsid w:val="00827A7B"/>
    <w:rsid w:val="008412A8"/>
    <w:rsid w:val="00844AFB"/>
    <w:rsid w:val="00850C76"/>
    <w:rsid w:val="00851268"/>
    <w:rsid w:val="00862210"/>
    <w:rsid w:val="00864349"/>
    <w:rsid w:val="00865625"/>
    <w:rsid w:val="0086620E"/>
    <w:rsid w:val="0087166D"/>
    <w:rsid w:val="00871DAA"/>
    <w:rsid w:val="00872629"/>
    <w:rsid w:val="0087393B"/>
    <w:rsid w:val="008748BF"/>
    <w:rsid w:val="008800E3"/>
    <w:rsid w:val="00884E93"/>
    <w:rsid w:val="008865F3"/>
    <w:rsid w:val="008B0F2D"/>
    <w:rsid w:val="008B4560"/>
    <w:rsid w:val="008B5F28"/>
    <w:rsid w:val="008C466D"/>
    <w:rsid w:val="008C4A79"/>
    <w:rsid w:val="008C70D2"/>
    <w:rsid w:val="008D298E"/>
    <w:rsid w:val="008D4590"/>
    <w:rsid w:val="008E1A7D"/>
    <w:rsid w:val="008F0206"/>
    <w:rsid w:val="0090591B"/>
    <w:rsid w:val="00912252"/>
    <w:rsid w:val="0092472F"/>
    <w:rsid w:val="00927968"/>
    <w:rsid w:val="00932BB6"/>
    <w:rsid w:val="00933AC5"/>
    <w:rsid w:val="00935348"/>
    <w:rsid w:val="00936B27"/>
    <w:rsid w:val="00937287"/>
    <w:rsid w:val="0094423A"/>
    <w:rsid w:val="00975801"/>
    <w:rsid w:val="0098355D"/>
    <w:rsid w:val="0098408F"/>
    <w:rsid w:val="00984C5E"/>
    <w:rsid w:val="00995EF3"/>
    <w:rsid w:val="009A52C7"/>
    <w:rsid w:val="009B0229"/>
    <w:rsid w:val="009C0C1D"/>
    <w:rsid w:val="009E0EAE"/>
    <w:rsid w:val="009E2F27"/>
    <w:rsid w:val="009E3A79"/>
    <w:rsid w:val="009F663A"/>
    <w:rsid w:val="00A06896"/>
    <w:rsid w:val="00A27D62"/>
    <w:rsid w:val="00A3088B"/>
    <w:rsid w:val="00A56EA8"/>
    <w:rsid w:val="00A84164"/>
    <w:rsid w:val="00A86A06"/>
    <w:rsid w:val="00A928F3"/>
    <w:rsid w:val="00A95576"/>
    <w:rsid w:val="00AB55B2"/>
    <w:rsid w:val="00AC7454"/>
    <w:rsid w:val="00AE6BD4"/>
    <w:rsid w:val="00B01437"/>
    <w:rsid w:val="00B0516D"/>
    <w:rsid w:val="00B054AE"/>
    <w:rsid w:val="00B249A2"/>
    <w:rsid w:val="00B27738"/>
    <w:rsid w:val="00B3276B"/>
    <w:rsid w:val="00B44B2B"/>
    <w:rsid w:val="00B51156"/>
    <w:rsid w:val="00B51F8B"/>
    <w:rsid w:val="00B56E03"/>
    <w:rsid w:val="00B601E9"/>
    <w:rsid w:val="00B61A09"/>
    <w:rsid w:val="00B833E8"/>
    <w:rsid w:val="00B85262"/>
    <w:rsid w:val="00B932DC"/>
    <w:rsid w:val="00BA142C"/>
    <w:rsid w:val="00BA64C0"/>
    <w:rsid w:val="00BB4658"/>
    <w:rsid w:val="00BB79F9"/>
    <w:rsid w:val="00BC1279"/>
    <w:rsid w:val="00BC1DD8"/>
    <w:rsid w:val="00BD0F2C"/>
    <w:rsid w:val="00BD1DC3"/>
    <w:rsid w:val="00BD411C"/>
    <w:rsid w:val="00BD434F"/>
    <w:rsid w:val="00BD74A8"/>
    <w:rsid w:val="00BE5445"/>
    <w:rsid w:val="00BE6E3D"/>
    <w:rsid w:val="00BF3C7F"/>
    <w:rsid w:val="00C014BD"/>
    <w:rsid w:val="00C0465A"/>
    <w:rsid w:val="00C067C5"/>
    <w:rsid w:val="00C10607"/>
    <w:rsid w:val="00C47A31"/>
    <w:rsid w:val="00C500A8"/>
    <w:rsid w:val="00C5587B"/>
    <w:rsid w:val="00C558F3"/>
    <w:rsid w:val="00C601E6"/>
    <w:rsid w:val="00C7794A"/>
    <w:rsid w:val="00C81D50"/>
    <w:rsid w:val="00C965AC"/>
    <w:rsid w:val="00C97D85"/>
    <w:rsid w:val="00CA10AE"/>
    <w:rsid w:val="00CD3E03"/>
    <w:rsid w:val="00CE5754"/>
    <w:rsid w:val="00CE6383"/>
    <w:rsid w:val="00CF0C35"/>
    <w:rsid w:val="00CF4A2D"/>
    <w:rsid w:val="00D00B28"/>
    <w:rsid w:val="00D17AC8"/>
    <w:rsid w:val="00D339DE"/>
    <w:rsid w:val="00D7559E"/>
    <w:rsid w:val="00D7784A"/>
    <w:rsid w:val="00D820B1"/>
    <w:rsid w:val="00D850D1"/>
    <w:rsid w:val="00D928E4"/>
    <w:rsid w:val="00D93186"/>
    <w:rsid w:val="00D95D0F"/>
    <w:rsid w:val="00DC1A52"/>
    <w:rsid w:val="00DC472E"/>
    <w:rsid w:val="00DD4394"/>
    <w:rsid w:val="00DE0B33"/>
    <w:rsid w:val="00DE7195"/>
    <w:rsid w:val="00E02401"/>
    <w:rsid w:val="00E045EE"/>
    <w:rsid w:val="00E30E46"/>
    <w:rsid w:val="00E40E81"/>
    <w:rsid w:val="00E43088"/>
    <w:rsid w:val="00E5014A"/>
    <w:rsid w:val="00E60E90"/>
    <w:rsid w:val="00E6678F"/>
    <w:rsid w:val="00E839B1"/>
    <w:rsid w:val="00E84204"/>
    <w:rsid w:val="00E9730B"/>
    <w:rsid w:val="00EA4A4E"/>
    <w:rsid w:val="00EB2C28"/>
    <w:rsid w:val="00ED2CF6"/>
    <w:rsid w:val="00EE3FAA"/>
    <w:rsid w:val="00EE7E6C"/>
    <w:rsid w:val="00F212B3"/>
    <w:rsid w:val="00F21FA3"/>
    <w:rsid w:val="00F25249"/>
    <w:rsid w:val="00F2794F"/>
    <w:rsid w:val="00F37ACE"/>
    <w:rsid w:val="00F45688"/>
    <w:rsid w:val="00F5095B"/>
    <w:rsid w:val="00F6341C"/>
    <w:rsid w:val="00F63528"/>
    <w:rsid w:val="00F6455D"/>
    <w:rsid w:val="00F6721B"/>
    <w:rsid w:val="00F92E10"/>
    <w:rsid w:val="00FA1B0A"/>
    <w:rsid w:val="00FA3364"/>
    <w:rsid w:val="00FA46AD"/>
    <w:rsid w:val="00FB294E"/>
    <w:rsid w:val="00FC2CB5"/>
    <w:rsid w:val="00FD6067"/>
    <w:rsid w:val="00FD7235"/>
    <w:rsid w:val="00FD74E9"/>
    <w:rsid w:val="00FE3923"/>
    <w:rsid w:val="00FE7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4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24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2401"/>
  </w:style>
  <w:style w:type="paragraph" w:styleId="Rodap">
    <w:name w:val="footer"/>
    <w:basedOn w:val="Normal"/>
    <w:link w:val="RodapChar"/>
    <w:uiPriority w:val="99"/>
    <w:semiHidden/>
    <w:unhideWhenUsed/>
    <w:rsid w:val="00E024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2401"/>
  </w:style>
  <w:style w:type="paragraph" w:styleId="Textodebalo">
    <w:name w:val="Balloon Text"/>
    <w:basedOn w:val="Normal"/>
    <w:link w:val="TextodebaloChar"/>
    <w:uiPriority w:val="99"/>
    <w:semiHidden/>
    <w:unhideWhenUsed/>
    <w:rsid w:val="00E02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24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xt.anp.gov.br/NXT/gateway.dll?f=id$id=Lei%209.478%20-%20199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718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feoliveira</dc:creator>
  <cp:lastModifiedBy>cosilva</cp:lastModifiedBy>
  <cp:revision>3</cp:revision>
  <cp:lastPrinted>2013-09-27T13:57:00Z</cp:lastPrinted>
  <dcterms:created xsi:type="dcterms:W3CDTF">2014-02-12T16:07:00Z</dcterms:created>
  <dcterms:modified xsi:type="dcterms:W3CDTF">2014-02-13T21:26:00Z</dcterms:modified>
</cp:coreProperties>
</file>