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Pr="009B33A2" w:rsidRDefault="00624BE1" w:rsidP="00482F43">
      <w:pPr>
        <w:jc w:val="center"/>
        <w:rPr>
          <w:rFonts w:asciiTheme="minorHAnsi" w:hAnsiTheme="minorHAnsi"/>
          <w:sz w:val="22"/>
          <w:szCs w:val="22"/>
        </w:rPr>
      </w:pPr>
      <w:r w:rsidRPr="00624BE1">
        <w:rPr>
          <w:rFonts w:asciiTheme="minorHAnsi" w:hAnsiTheme="minorHAns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20.45pt;width:77.3pt;height:107.6pt;z-index:251657728;mso-position-vertical-relative:page" o:allowincell="f">
            <v:imagedata r:id="rId8" o:title=""/>
            <w10:wrap type="square" anchory="page"/>
          </v:shape>
          <o:OLEObject Type="Embed" ProgID="MSPhotoEd.3" ShapeID="_x0000_s1026" DrawAspect="Content" ObjectID="_1476780734" r:id="rId9"/>
        </w:pict>
      </w:r>
      <w:r w:rsidR="00482F43" w:rsidRPr="009B33A2">
        <w:rPr>
          <w:rFonts w:asciiTheme="minorHAnsi" w:hAnsiTheme="minorHAnsi"/>
          <w:sz w:val="22"/>
          <w:szCs w:val="22"/>
        </w:rPr>
        <w:t>FORMULÁRIO DE COMENTÁRIOS E SUGESTÕES</w:t>
      </w:r>
    </w:p>
    <w:p w:rsidR="001F74A0" w:rsidRDefault="00A41273" w:rsidP="00BB004F">
      <w:pPr>
        <w:jc w:val="center"/>
        <w:rPr>
          <w:rFonts w:asciiTheme="minorHAnsi" w:hAnsiTheme="minorHAnsi"/>
          <w:noProof/>
          <w:sz w:val="22"/>
          <w:szCs w:val="22"/>
        </w:rPr>
      </w:pPr>
      <w:r w:rsidRPr="009B33A2">
        <w:rPr>
          <w:rFonts w:asciiTheme="minorHAnsi" w:hAnsiTheme="minorHAnsi"/>
          <w:sz w:val="22"/>
          <w:szCs w:val="22"/>
        </w:rPr>
        <w:t>AUDIÊNCIA</w:t>
      </w:r>
      <w:r w:rsidR="002808DC" w:rsidRPr="009B33A2">
        <w:rPr>
          <w:rFonts w:asciiTheme="minorHAnsi" w:hAnsiTheme="minorHAnsi"/>
          <w:sz w:val="22"/>
          <w:szCs w:val="22"/>
        </w:rPr>
        <w:t xml:space="preserve"> PÚ</w:t>
      </w:r>
      <w:r w:rsidR="00482F43" w:rsidRPr="009B33A2">
        <w:rPr>
          <w:rFonts w:asciiTheme="minorHAnsi" w:hAnsiTheme="minorHAnsi"/>
          <w:sz w:val="22"/>
          <w:szCs w:val="22"/>
        </w:rPr>
        <w:t>BLICA N°</w:t>
      </w:r>
      <w:r w:rsidR="004854A9" w:rsidRPr="009B33A2">
        <w:rPr>
          <w:rFonts w:asciiTheme="minorHAnsi" w:hAnsiTheme="minorHAnsi"/>
          <w:sz w:val="22"/>
          <w:szCs w:val="22"/>
        </w:rPr>
        <w:t xml:space="preserve"> </w:t>
      </w:r>
      <w:r w:rsidR="00281F21" w:rsidRPr="009B33A2">
        <w:rPr>
          <w:rFonts w:asciiTheme="minorHAnsi" w:hAnsiTheme="minorHAnsi"/>
          <w:sz w:val="22"/>
          <w:szCs w:val="22"/>
        </w:rPr>
        <w:t>17</w:t>
      </w:r>
      <w:r w:rsidR="00482F43" w:rsidRPr="009B33A2">
        <w:rPr>
          <w:rFonts w:asciiTheme="minorHAnsi" w:hAnsiTheme="minorHAnsi"/>
          <w:sz w:val="22"/>
          <w:szCs w:val="22"/>
        </w:rPr>
        <w:t>/</w:t>
      </w:r>
      <w:r w:rsidR="004854A9" w:rsidRPr="009B33A2">
        <w:rPr>
          <w:rFonts w:asciiTheme="minorHAnsi" w:hAnsiTheme="minorHAnsi"/>
          <w:sz w:val="22"/>
          <w:szCs w:val="22"/>
        </w:rPr>
        <w:t>201</w:t>
      </w:r>
      <w:r w:rsidRPr="009B33A2">
        <w:rPr>
          <w:rFonts w:asciiTheme="minorHAnsi" w:hAnsiTheme="minorHAnsi"/>
          <w:sz w:val="22"/>
          <w:szCs w:val="22"/>
        </w:rPr>
        <w:t xml:space="preserve">4 </w:t>
      </w:r>
      <w:r w:rsidR="006922D5" w:rsidRPr="009B33A2">
        <w:rPr>
          <w:rFonts w:asciiTheme="minorHAnsi" w:hAnsiTheme="minorHAnsi"/>
          <w:sz w:val="22"/>
          <w:szCs w:val="22"/>
        </w:rPr>
        <w:t>–</w:t>
      </w:r>
      <w:r w:rsidRPr="009B33A2">
        <w:rPr>
          <w:rFonts w:asciiTheme="minorHAnsi" w:hAnsiTheme="minorHAnsi"/>
          <w:sz w:val="22"/>
          <w:szCs w:val="22"/>
        </w:rPr>
        <w:t xml:space="preserve"> </w:t>
      </w:r>
      <w:r w:rsidR="001E739F">
        <w:rPr>
          <w:rFonts w:asciiTheme="minorHAnsi" w:hAnsiTheme="minorHAnsi"/>
          <w:sz w:val="22"/>
          <w:szCs w:val="22"/>
        </w:rPr>
        <w:t>10</w:t>
      </w:r>
      <w:r w:rsidR="006922D5" w:rsidRPr="009B33A2">
        <w:rPr>
          <w:rFonts w:asciiTheme="minorHAnsi" w:hAnsiTheme="minorHAnsi"/>
          <w:noProof/>
          <w:sz w:val="22"/>
          <w:szCs w:val="22"/>
        </w:rPr>
        <w:t>/</w:t>
      </w:r>
      <w:r w:rsidR="00313D10" w:rsidRPr="009B33A2">
        <w:rPr>
          <w:rFonts w:asciiTheme="minorHAnsi" w:hAnsiTheme="minorHAnsi"/>
          <w:noProof/>
          <w:sz w:val="22"/>
          <w:szCs w:val="22"/>
        </w:rPr>
        <w:t>1</w:t>
      </w:r>
      <w:r w:rsidR="001E739F">
        <w:rPr>
          <w:rFonts w:asciiTheme="minorHAnsi" w:hAnsiTheme="minorHAnsi"/>
          <w:noProof/>
          <w:sz w:val="22"/>
          <w:szCs w:val="22"/>
        </w:rPr>
        <w:t>1</w:t>
      </w:r>
      <w:r w:rsidRPr="009B33A2">
        <w:rPr>
          <w:rFonts w:asciiTheme="minorHAnsi" w:hAnsiTheme="minorHAnsi"/>
          <w:noProof/>
          <w:sz w:val="22"/>
          <w:szCs w:val="22"/>
        </w:rPr>
        <w:t>/2014</w:t>
      </w:r>
    </w:p>
    <w:p w:rsidR="00525160" w:rsidRDefault="00525160" w:rsidP="00BB004F">
      <w:pPr>
        <w:jc w:val="center"/>
        <w:rPr>
          <w:rFonts w:asciiTheme="minorHAnsi" w:hAnsiTheme="minorHAnsi"/>
          <w:noProof/>
          <w:sz w:val="22"/>
          <w:szCs w:val="22"/>
        </w:rPr>
      </w:pPr>
    </w:p>
    <w:p w:rsidR="00525160" w:rsidRDefault="00525160" w:rsidP="00BB004F">
      <w:pPr>
        <w:jc w:val="center"/>
        <w:rPr>
          <w:rFonts w:asciiTheme="minorHAnsi" w:hAnsiTheme="minorHAnsi"/>
          <w:noProof/>
          <w:sz w:val="22"/>
          <w:szCs w:val="22"/>
        </w:rPr>
      </w:pPr>
    </w:p>
    <w:p w:rsidR="00525160" w:rsidRDefault="00525160" w:rsidP="00525160">
      <w:pPr>
        <w:jc w:val="center"/>
        <w:rPr>
          <w:rFonts w:asciiTheme="minorHAnsi" w:hAnsiTheme="minorHAnsi"/>
          <w:noProof/>
          <w:sz w:val="22"/>
          <w:szCs w:val="22"/>
        </w:rPr>
      </w:pPr>
    </w:p>
    <w:tbl>
      <w:tblPr>
        <w:tblW w:w="15310" w:type="dxa"/>
        <w:tblInd w:w="-846" w:type="dxa"/>
        <w:tblCellMar>
          <w:left w:w="0" w:type="dxa"/>
          <w:right w:w="0" w:type="dxa"/>
        </w:tblCellMar>
        <w:tblLook w:val="0000"/>
      </w:tblPr>
      <w:tblGrid>
        <w:gridCol w:w="1266"/>
        <w:gridCol w:w="1582"/>
        <w:gridCol w:w="7926"/>
        <w:gridCol w:w="4536"/>
      </w:tblGrid>
      <w:tr w:rsidR="00525160" w:rsidRPr="009B33A2" w:rsidTr="00525160">
        <w:trPr>
          <w:trHeight w:val="375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Cs/>
                <w:sz w:val="22"/>
                <w:szCs w:val="22"/>
              </w:rPr>
              <w:t>Audiência pública da minuta de resolução que visa estabelece a obrigatoriedade de formação de estoque pelo produtor e distribuidor de GLP.</w:t>
            </w:r>
          </w:p>
        </w:tc>
      </w:tr>
      <w:tr w:rsidR="00525160" w:rsidRPr="009B33A2" w:rsidTr="00525160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Cs/>
                <w:sz w:val="22"/>
                <w:szCs w:val="22"/>
              </w:rPr>
              <w:t>AGENTE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Cs/>
                <w:sz w:val="22"/>
                <w:szCs w:val="22"/>
              </w:rPr>
              <w:t>ARTIGO DA MINUTA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Cs/>
                <w:sz w:val="22"/>
                <w:szCs w:val="22"/>
              </w:rPr>
              <w:t>PROPOSTA DE ALTERAÇÃO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Cs/>
                <w:sz w:val="22"/>
                <w:szCs w:val="22"/>
              </w:rPr>
              <w:t>JUSTIFICATIVA</w:t>
            </w:r>
          </w:p>
        </w:tc>
      </w:tr>
      <w:tr w:rsidR="00525160" w:rsidRPr="009B33A2" w:rsidTr="00525160">
        <w:trPr>
          <w:cantSplit/>
          <w:trHeight w:val="113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COPAGAZ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Art. 4º</w:t>
            </w: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ind w:right="240" w:firstLine="56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sz w:val="22"/>
                <w:szCs w:val="22"/>
              </w:rPr>
              <w:t>Alterar a unidade de medição do GLP de metro cubico (m³) para tonelada (</w:t>
            </w:r>
            <w:proofErr w:type="spellStart"/>
            <w:r w:rsidRPr="009B33A2">
              <w:rPr>
                <w:rFonts w:asciiTheme="minorHAnsi" w:hAnsiTheme="minorHAnsi" w:cs="Arial"/>
                <w:sz w:val="22"/>
                <w:szCs w:val="22"/>
              </w:rPr>
              <w:t>t</w:t>
            </w:r>
            <w:r>
              <w:rPr>
                <w:rFonts w:asciiTheme="minorHAnsi" w:hAnsiTheme="minorHAnsi" w:cs="Arial"/>
                <w:sz w:val="22"/>
                <w:szCs w:val="22"/>
              </w:rPr>
              <w:t>on</w:t>
            </w:r>
            <w:proofErr w:type="spellEnd"/>
            <w:r w:rsidRPr="009B33A2">
              <w:rPr>
                <w:rFonts w:asciiTheme="minorHAnsi" w:hAnsiTheme="minorHAnsi" w:cs="Arial"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nas definições de </w:t>
            </w:r>
            <w:proofErr w:type="spellStart"/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59033E">
              <w:rPr>
                <w:rFonts w:asciiTheme="minorHAnsi" w:hAnsiTheme="minorHAnsi" w:cs="Arial"/>
                <w:sz w:val="22"/>
                <w:szCs w:val="22"/>
                <w:vertAlign w:val="subscript"/>
              </w:rPr>
              <w:t>minimoP</w:t>
            </w:r>
            <w:proofErr w:type="spellEnd"/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, C</w:t>
            </w:r>
            <w:r w:rsidRPr="0059033E">
              <w:rPr>
                <w:rFonts w:asciiTheme="minorHAnsi" w:hAnsiTheme="minorHAnsi" w:cs="Arial"/>
                <w:sz w:val="22"/>
                <w:szCs w:val="22"/>
                <w:vertAlign w:val="subscript"/>
              </w:rPr>
              <w:t>P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59033E">
              <w:rPr>
                <w:rFonts w:asciiTheme="minorHAnsi" w:hAnsiTheme="minorHAnsi" w:cs="Arial"/>
                <w:sz w:val="22"/>
                <w:szCs w:val="22"/>
                <w:vertAlign w:val="subscript"/>
              </w:rPr>
              <w:t>smP</w:t>
            </w:r>
            <w:proofErr w:type="spellEnd"/>
            <w:r w:rsidRPr="009B33A2">
              <w:rPr>
                <w:rFonts w:asciiTheme="minorHAnsi" w:hAnsiTheme="minorHAnsi" w:cs="Arial"/>
                <w:sz w:val="22"/>
                <w:szCs w:val="22"/>
              </w:rPr>
              <w:t xml:space="preserve"> conforme segue:</w:t>
            </w:r>
          </w:p>
          <w:p w:rsidR="00525160" w:rsidRPr="009B33A2" w:rsidRDefault="00525160" w:rsidP="00525160">
            <w:pPr>
              <w:ind w:firstLine="56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Default="00525160" w:rsidP="00525160">
            <w:pPr>
              <w:ind w:left="406" w:right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(...)</w:t>
            </w:r>
          </w:p>
          <w:p w:rsidR="00525160" w:rsidRPr="008E59E8" w:rsidRDefault="00525160" w:rsidP="00525160">
            <w:pPr>
              <w:spacing w:before="60" w:after="60"/>
              <w:ind w:left="408" w:right="238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proofErr w:type="gramStart"/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E</w:t>
            </w:r>
            <w:r w:rsidRPr="008E59E8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mínimoP</w:t>
            </w:r>
            <w:proofErr w:type="spellEnd"/>
            <w:proofErr w:type="gramEnd"/>
            <w:r w:rsidRPr="008E59E8">
              <w:rPr>
                <w:rFonts w:asciiTheme="minorHAnsi" w:hAnsiTheme="minorHAnsi"/>
                <w:i/>
                <w:sz w:val="22"/>
                <w:szCs w:val="22"/>
              </w:rPr>
              <w:t xml:space="preserve">: estoque mínimo requerido, em </w:t>
            </w:r>
            <w:proofErr w:type="spellStart"/>
            <w:r w:rsidRPr="008E59E8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on</w:t>
            </w:r>
            <w:proofErr w:type="spellEnd"/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, a ser mantido pelo produtor, no mês corrente do ano atual e por local de manutenção de estoques;</w:t>
            </w:r>
          </w:p>
          <w:p w:rsidR="00525160" w:rsidRPr="008E59E8" w:rsidRDefault="00525160" w:rsidP="00525160">
            <w:pPr>
              <w:spacing w:before="60" w:after="60"/>
              <w:ind w:left="408" w:right="238"/>
              <w:jc w:val="center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C</w:t>
            </w:r>
            <w:r w:rsidRPr="008E59E8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P</w:t>
            </w:r>
            <w:r w:rsidRPr="008E59E8">
              <w:rPr>
                <w:rFonts w:asciiTheme="minorHAnsi" w:hAnsiTheme="minorHAnsi"/>
                <w:i/>
                <w:sz w:val="22"/>
                <w:szCs w:val="22"/>
              </w:rPr>
              <w:t xml:space="preserve">: volume de GLP, em </w:t>
            </w:r>
            <w:proofErr w:type="spellStart"/>
            <w:r w:rsidRPr="008E59E8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on</w:t>
            </w:r>
            <w:proofErr w:type="spellEnd"/>
            <w:r w:rsidRPr="008E59E8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 xml:space="preserve"> (tonelada)</w:t>
            </w:r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, comercializado entre produtores de GLP e distribuidores de GLP, de acordo com as informações declaradas no "Demonstrativo de Produção e Movimentação de Produtos - DPMP", nos termos da Resolução ANP nº </w:t>
            </w:r>
            <w:hyperlink r:id="rId10" w:history="1">
              <w:r w:rsidRPr="008E59E8">
                <w:rPr>
                  <w:rFonts w:asciiTheme="minorHAnsi" w:hAnsiTheme="minorHAnsi"/>
                  <w:i/>
                  <w:sz w:val="22"/>
                  <w:szCs w:val="22"/>
                </w:rPr>
                <w:t>17</w:t>
              </w:r>
            </w:hyperlink>
            <w:r w:rsidRPr="008E59E8">
              <w:rPr>
                <w:rFonts w:asciiTheme="minorHAnsi" w:hAnsiTheme="minorHAnsi"/>
                <w:i/>
                <w:sz w:val="22"/>
                <w:szCs w:val="22"/>
              </w:rPr>
              <w:t xml:space="preserve">, de 31 de agosto de 2004, no mês corrente do ano anterior, por unidade(s) federada(s). A Coluna B da Tabela 1 discrimina as unidades federadas que serão consideradas para a totalização do volume comercializado; </w:t>
            </w:r>
            <w:proofErr w:type="gramStart"/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e</w:t>
            </w:r>
            <w:proofErr w:type="gramEnd"/>
          </w:p>
          <w:p w:rsidR="00525160" w:rsidRDefault="00525160" w:rsidP="00525160">
            <w:pPr>
              <w:ind w:left="406" w:right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(...)</w:t>
            </w:r>
          </w:p>
          <w:p w:rsidR="00525160" w:rsidRPr="008E59E8" w:rsidRDefault="00525160" w:rsidP="00525160">
            <w:pPr>
              <w:spacing w:before="60" w:after="60"/>
              <w:ind w:left="408" w:right="238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proofErr w:type="gramStart"/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E</w:t>
            </w:r>
            <w:r w:rsidRPr="008E59E8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smP</w:t>
            </w:r>
            <w:proofErr w:type="spellEnd"/>
            <w:proofErr w:type="gramEnd"/>
            <w:r w:rsidRPr="008E59E8">
              <w:rPr>
                <w:rFonts w:asciiTheme="minorHAnsi" w:hAnsiTheme="minorHAnsi"/>
                <w:i/>
                <w:sz w:val="22"/>
                <w:szCs w:val="22"/>
              </w:rPr>
              <w:t xml:space="preserve">: estoque semanal médio de GLP em cada semana do mês corrente do ano atual, em </w:t>
            </w:r>
            <w:proofErr w:type="spellStart"/>
            <w:r w:rsidRPr="008E59E8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on</w:t>
            </w:r>
            <w:proofErr w:type="spellEnd"/>
            <w:r w:rsidRPr="008E59E8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 xml:space="preserve"> (tonelada)</w:t>
            </w:r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, a ser mantido nos locais especificados na Coluna A da Tabela 1;</w:t>
            </w:r>
          </w:p>
          <w:p w:rsidR="00525160" w:rsidRDefault="00525160" w:rsidP="00525160">
            <w:pPr>
              <w:ind w:left="406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(...)</w:t>
            </w:r>
          </w:p>
          <w:p w:rsidR="00525160" w:rsidRPr="009B33A2" w:rsidRDefault="00525160" w:rsidP="00525160">
            <w:pPr>
              <w:ind w:left="406"/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Todo o processo de faturamento e recebimento do GLP da Petrobras é calculado e transformado de m³ para toneladas.</w:t>
            </w:r>
          </w:p>
          <w:p w:rsidR="00525160" w:rsidRDefault="00525160" w:rsidP="00525160">
            <w:pPr>
              <w:ind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 relação ao Distribuidor de GLP, todos os controles de estoques e vendas são mantidos em toneladas, sendo inviável a transformação da massa em m³, devido a uma quantidade de variáveis para que o mesmo possa ser atendido na sua exatidão, tornando esta medição inaplicável e pouco usual para o GLP.</w:t>
            </w:r>
          </w:p>
        </w:tc>
      </w:tr>
      <w:tr w:rsidR="00525160" w:rsidRPr="009B33A2" w:rsidTr="00525160">
        <w:trPr>
          <w:trHeight w:val="70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COPAGAZ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Art. 4º,</w:t>
            </w: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Tabela 2</w:t>
            </w: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Alterar o Estado do TO para a Região Centro Oeste e corrigir erro de K</w:t>
            </w:r>
            <w:r>
              <w:rPr>
                <w:rFonts w:asciiTheme="minorHAnsi" w:hAnsiTheme="minorHAnsi" w:cs="Arial"/>
                <w:sz w:val="22"/>
                <w:szCs w:val="22"/>
                <w:vertAlign w:val="subscript"/>
              </w:rPr>
              <w:t>P</w:t>
            </w:r>
          </w:p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8E59E8" w:rsidRDefault="00525160" w:rsidP="00525160">
            <w:pPr>
              <w:ind w:left="406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B33A2">
              <w:rPr>
                <w:rFonts w:asciiTheme="minorHAnsi" w:hAnsiTheme="minorHAnsi"/>
                <w:sz w:val="22"/>
                <w:szCs w:val="22"/>
              </w:rPr>
              <w:t>T</w:t>
            </w:r>
            <w:r w:rsidRPr="008E59E8">
              <w:rPr>
                <w:rFonts w:asciiTheme="minorHAnsi" w:hAnsiTheme="minorHAnsi"/>
                <w:i/>
                <w:sz w:val="22"/>
                <w:szCs w:val="22"/>
              </w:rPr>
              <w:t>abela 2 - Estoque do Distribuidor de GLP</w:t>
            </w:r>
          </w:p>
          <w:tbl>
            <w:tblPr>
              <w:tblStyle w:val="Tabelacomgrade"/>
              <w:tblW w:w="4078" w:type="pct"/>
              <w:tblInd w:w="684" w:type="dxa"/>
              <w:tblLook w:val="04A0"/>
            </w:tblPr>
            <w:tblGrid>
              <w:gridCol w:w="808"/>
              <w:gridCol w:w="2263"/>
              <w:gridCol w:w="51"/>
              <w:gridCol w:w="2174"/>
              <w:gridCol w:w="1128"/>
            </w:tblGrid>
            <w:tr w:rsidR="00525160" w:rsidRPr="00B972B7" w:rsidTr="008E59E8">
              <w:tc>
                <w:tcPr>
                  <w:tcW w:w="2395" w:type="pct"/>
                  <w:gridSpan w:val="2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Coluna A</w:t>
                  </w:r>
                </w:p>
              </w:tc>
              <w:tc>
                <w:tcPr>
                  <w:tcW w:w="1735" w:type="pct"/>
                  <w:gridSpan w:val="2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Coluna B</w:t>
                  </w:r>
                </w:p>
              </w:tc>
              <w:tc>
                <w:tcPr>
                  <w:tcW w:w="870" w:type="pct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Coluna C</w:t>
                  </w:r>
                </w:p>
              </w:tc>
            </w:tr>
            <w:tr w:rsidR="00525160" w:rsidRPr="00B972B7" w:rsidTr="008E59E8">
              <w:tc>
                <w:tcPr>
                  <w:tcW w:w="2395" w:type="pct"/>
                  <w:gridSpan w:val="2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  <w:vertAlign w:val="superscript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 xml:space="preserve">Local de manutenção de </w:t>
                  </w: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estoques</w:t>
                  </w:r>
                  <w:r w:rsidRPr="00B972B7">
                    <w:rPr>
                      <w:rFonts w:cs="Times New Roman"/>
                      <w:i/>
                      <w:sz w:val="18"/>
                      <w:szCs w:val="18"/>
                      <w:vertAlign w:val="superscript"/>
                    </w:rPr>
                    <w:t>(</w:t>
                  </w:r>
                  <w:proofErr w:type="gramEnd"/>
                  <w:r w:rsidRPr="00B972B7">
                    <w:rPr>
                      <w:rFonts w:cs="Times New Roman"/>
                      <w:i/>
                      <w:sz w:val="18"/>
                      <w:szCs w:val="18"/>
                      <w:vertAlign w:val="superscript"/>
                    </w:rPr>
                    <w:t>1)</w:t>
                  </w:r>
                </w:p>
              </w:tc>
              <w:tc>
                <w:tcPr>
                  <w:tcW w:w="1735" w:type="pct"/>
                  <w:gridSpan w:val="2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  <w:vertAlign w:val="superscript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Unidade Federada (UF</w:t>
                  </w: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)</w:t>
                  </w:r>
                  <w:r w:rsidRPr="00B972B7">
                    <w:rPr>
                      <w:rFonts w:cs="Times New Roman"/>
                      <w:i/>
                      <w:sz w:val="18"/>
                      <w:szCs w:val="18"/>
                      <w:vertAlign w:val="superscript"/>
                    </w:rPr>
                    <w:t>(</w:t>
                  </w:r>
                  <w:proofErr w:type="gramEnd"/>
                  <w:r w:rsidRPr="00B972B7">
                    <w:rPr>
                      <w:rFonts w:cs="Times New Roman"/>
                      <w:i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870" w:type="pct"/>
                  <w:vAlign w:val="center"/>
                </w:tcPr>
                <w:p w:rsidR="00525160" w:rsidRPr="00B972B7" w:rsidRDefault="00525160" w:rsidP="00525160">
                  <w:pPr>
                    <w:ind w:left="-26" w:firstLine="2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K</w:t>
                  </w:r>
                  <w:r w:rsidRPr="00B972B7">
                    <w:rPr>
                      <w:rFonts w:cs="Times New Roman"/>
                      <w:i/>
                      <w:color w:val="FF0000"/>
                      <w:sz w:val="18"/>
                      <w:szCs w:val="18"/>
                      <w:vertAlign w:val="subscript"/>
                    </w:rPr>
                    <w:t>D</w:t>
                  </w: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 xml:space="preserve"> (dias)</w:t>
                  </w:r>
                </w:p>
              </w:tc>
            </w:tr>
            <w:tr w:rsidR="00525160" w:rsidRPr="00B972B7" w:rsidTr="008E59E8">
              <w:tc>
                <w:tcPr>
                  <w:tcW w:w="631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lastRenderedPageBreak/>
                    <w:t>1</w:t>
                  </w:r>
                  <w:proofErr w:type="gramEnd"/>
                </w:p>
              </w:tc>
              <w:tc>
                <w:tcPr>
                  <w:tcW w:w="1805" w:type="pct"/>
                  <w:gridSpan w:val="2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Unidades Federadas da Região Norte</w:t>
                  </w:r>
                </w:p>
              </w:tc>
              <w:tc>
                <w:tcPr>
                  <w:tcW w:w="1694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  <w:lang w:val="en-US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  <w:lang w:val="en-US"/>
                    </w:rPr>
                    <w:t>AC, AM, RO, RR, PA, AP</w:t>
                  </w:r>
                </w:p>
              </w:tc>
              <w:tc>
                <w:tcPr>
                  <w:tcW w:w="870" w:type="pct"/>
                  <w:vAlign w:val="center"/>
                </w:tcPr>
                <w:p w:rsidR="00525160" w:rsidRPr="00B972B7" w:rsidRDefault="00525160" w:rsidP="00525160">
                  <w:pPr>
                    <w:ind w:left="406" w:firstLine="2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6</w:t>
                  </w:r>
                  <w:proofErr w:type="gramEnd"/>
                </w:p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525160" w:rsidRPr="00B972B7" w:rsidTr="008E59E8">
              <w:tc>
                <w:tcPr>
                  <w:tcW w:w="631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1805" w:type="pct"/>
                  <w:gridSpan w:val="2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Unidades Federadas da Região Nordeste</w:t>
                  </w:r>
                </w:p>
              </w:tc>
              <w:tc>
                <w:tcPr>
                  <w:tcW w:w="1694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 xml:space="preserve">BA, SE, AL, PE, PB, RN, CE, PI e </w:t>
                  </w: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MA</w:t>
                  </w:r>
                  <w:proofErr w:type="gramEnd"/>
                </w:p>
              </w:tc>
              <w:tc>
                <w:tcPr>
                  <w:tcW w:w="870" w:type="pct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5</w:t>
                  </w:r>
                  <w:proofErr w:type="gramEnd"/>
                </w:p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525160" w:rsidRPr="00B972B7" w:rsidTr="008E59E8">
              <w:tc>
                <w:tcPr>
                  <w:tcW w:w="631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1805" w:type="pct"/>
                  <w:gridSpan w:val="2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Unidades Federadas da Região Centro-Oeste e Sudeste</w:t>
                  </w:r>
                </w:p>
              </w:tc>
              <w:tc>
                <w:tcPr>
                  <w:tcW w:w="1694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  <w:lang w:val="en-US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  <w:lang w:val="en-US"/>
                    </w:rPr>
                    <w:t xml:space="preserve">ES, MG, MS, MT, RJ, SP, DF, GO e </w:t>
                  </w:r>
                  <w:r w:rsidRPr="00B972B7">
                    <w:rPr>
                      <w:rFonts w:cs="Times New Roman"/>
                      <w:b/>
                      <w:i/>
                      <w:color w:val="FF0000"/>
                      <w:sz w:val="18"/>
                      <w:szCs w:val="18"/>
                      <w:lang w:val="en-US"/>
                    </w:rPr>
                    <w:t>TO</w:t>
                  </w:r>
                </w:p>
              </w:tc>
              <w:tc>
                <w:tcPr>
                  <w:tcW w:w="870" w:type="pct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</w:tr>
            <w:tr w:rsidR="00525160" w:rsidRPr="00B972B7" w:rsidTr="008E59E8">
              <w:tc>
                <w:tcPr>
                  <w:tcW w:w="631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4</w:t>
                  </w:r>
                  <w:proofErr w:type="gramEnd"/>
                </w:p>
              </w:tc>
              <w:tc>
                <w:tcPr>
                  <w:tcW w:w="1805" w:type="pct"/>
                  <w:gridSpan w:val="2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Unidades Federadas da Região Sul</w:t>
                  </w:r>
                </w:p>
              </w:tc>
              <w:tc>
                <w:tcPr>
                  <w:tcW w:w="1694" w:type="pct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 xml:space="preserve">PR, SC e </w:t>
                  </w: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RS</w:t>
                  </w:r>
                  <w:proofErr w:type="gramEnd"/>
                </w:p>
              </w:tc>
              <w:tc>
                <w:tcPr>
                  <w:tcW w:w="870" w:type="pct"/>
                  <w:vAlign w:val="center"/>
                </w:tcPr>
                <w:p w:rsidR="00525160" w:rsidRPr="00B972B7" w:rsidRDefault="00525160" w:rsidP="00525160">
                  <w:pPr>
                    <w:ind w:left="406"/>
                    <w:jc w:val="center"/>
                    <w:rPr>
                      <w:rFonts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B972B7">
                    <w:rPr>
                      <w:rFonts w:cs="Times New Roman"/>
                      <w:i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</w:tr>
          </w:tbl>
          <w:p w:rsidR="00525160" w:rsidRPr="008E59E8" w:rsidRDefault="00525160" w:rsidP="00525160">
            <w:pPr>
              <w:ind w:left="406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(...)</w:t>
            </w: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624">
              <w:rPr>
                <w:rFonts w:asciiTheme="minorHAnsi" w:hAnsiTheme="minorHAnsi" w:cs="Arial"/>
                <w:sz w:val="22"/>
                <w:szCs w:val="22"/>
              </w:rPr>
              <w:lastRenderedPageBreak/>
              <w:t>No Estado do Tocantins não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há base de engarrafamento de GLP e o atendimento desta região, na sua maioria, ou realizada através dos Estados localizados no Centro-Oeste, principalmente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Goias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e DF, ou então pelos Estados do Nordeste, especialmente Maranhã.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Assim, incluir a necessidade de estoque do TO na região Norte é excluir “players” desse mercado que, ao não terem atuação no N, fazem o abastecimento desse Estado através da região NO e CO. Por isso, fica prejudicado o atendimento desta resolução caso TO não seja modificada de região.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caso da Copagaz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 por exemplo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>, que não tem atuação e nenhuma base operacional na Região Norte, não há condições viáveis de atendimento da Resolução para continuar a abastecer o Estado de TO.</w:t>
            </w:r>
          </w:p>
        </w:tc>
      </w:tr>
      <w:tr w:rsidR="00525160" w:rsidRPr="009B33A2" w:rsidTr="00525160">
        <w:trPr>
          <w:trHeight w:val="6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lastRenderedPageBreak/>
              <w:t>COPAGAZ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Art. 7º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B24010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Incluir o </w:t>
            </w:r>
            <w:bookmarkStart w:id="0" w:name="_GoBack"/>
            <w:bookmarkEnd w:id="0"/>
            <w:r w:rsidRPr="00B24010">
              <w:rPr>
                <w:rFonts w:asciiTheme="minorHAnsi" w:hAnsiTheme="minorHAnsi" w:cs="Arial"/>
                <w:sz w:val="22"/>
                <w:szCs w:val="22"/>
              </w:rPr>
              <w:t>parágrafo único:</w:t>
            </w:r>
          </w:p>
          <w:p w:rsidR="00525160" w:rsidRDefault="00525160" w:rsidP="005251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25160" w:rsidRPr="00D97C18" w:rsidRDefault="00525160" w:rsidP="00525160">
            <w:pPr>
              <w:ind w:left="406" w:right="240"/>
              <w:jc w:val="center"/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</w:pPr>
            <w:r w:rsidRPr="00D97C18"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  <w:t>Parágrafo único. Em caso de desabastecimento por parte do produtor/importador o Distribuidor de GLP fica desobrigado de cumprir com o estoque mínimo, devendo comunicar o fato à ANP.</w:t>
            </w:r>
          </w:p>
          <w:p w:rsidR="00525160" w:rsidRPr="00D97C18" w:rsidRDefault="00525160" w:rsidP="005251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spacing w:before="120"/>
              <w:ind w:left="147" w:right="13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624">
              <w:rPr>
                <w:rFonts w:asciiTheme="minorHAnsi" w:hAnsiTheme="minorHAnsi" w:cs="Arial"/>
                <w:sz w:val="22"/>
                <w:szCs w:val="22"/>
              </w:rPr>
              <w:t>A Resolução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não deixa clara qual será a condição para não infringir esta nova norma quando houver uma falha de entrega de exclusiva responsabilidade do produtor, seja motivado por problemas operacionais, nacionalização de produto 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, e que dificulta ou impeça a manutenção do estoque no distribuidor de acordo com a Resolução.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Assim, entendemos que deve haver previsão de uma condição na qual o Distribuidor de GLP fique isento de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quaisquer sansões previstas na resolução no período que persistir a oferta menor do produto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que o previsto por parte do produtor.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spacing w:after="120"/>
              <w:ind w:left="147" w:right="13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Vale ressaltar que a avaliação das falhas de entrega do produtor deve ser considerada para as mesmas regiões prevista na Resolução.</w:t>
            </w:r>
          </w:p>
        </w:tc>
      </w:tr>
      <w:tr w:rsidR="00525160" w:rsidRPr="009B33A2" w:rsidTr="00525160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lastRenderedPageBreak/>
              <w:t>COPAGAZ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Art. 8º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Deixar claro que as informações a serem remetidas referem ao mês anterior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remessa:</w:t>
            </w:r>
          </w:p>
          <w:p w:rsidR="00525160" w:rsidRDefault="00525160" w:rsidP="00525160">
            <w:pPr>
              <w:ind w:firstLine="56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D5650A" w:rsidRDefault="00525160" w:rsidP="00525160">
            <w:pPr>
              <w:ind w:left="406" w:right="240" w:firstLine="161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D5650A">
              <w:rPr>
                <w:rFonts w:asciiTheme="minorHAnsi" w:hAnsiTheme="minorHAnsi"/>
                <w:i/>
                <w:sz w:val="22"/>
                <w:szCs w:val="22"/>
              </w:rPr>
              <w:t xml:space="preserve">Art. 8º.  Os produtores e os distribuidores de GLP deverão enviar à ANP, mensalmente, por meio do e-mail </w:t>
            </w:r>
            <w:hyperlink r:id="rId11" w:history="1">
              <w:r w:rsidRPr="00D5650A">
                <w:rPr>
                  <w:rFonts w:asciiTheme="minorHAnsi" w:hAnsiTheme="minorHAnsi"/>
                  <w:i/>
                  <w:sz w:val="22"/>
                  <w:szCs w:val="22"/>
                </w:rPr>
                <w:t>estoquesglp@anp.gov.br</w:t>
              </w:r>
            </w:hyperlink>
            <w:r w:rsidRPr="00D5650A">
              <w:rPr>
                <w:rFonts w:asciiTheme="minorHAnsi" w:hAnsiTheme="minorHAnsi"/>
                <w:i/>
                <w:sz w:val="22"/>
                <w:szCs w:val="22"/>
              </w:rPr>
              <w:t xml:space="preserve"> ou de sistema eletrônico a ser </w:t>
            </w:r>
            <w:proofErr w:type="gramStart"/>
            <w:r w:rsidRPr="00D5650A">
              <w:rPr>
                <w:rFonts w:asciiTheme="minorHAnsi" w:hAnsiTheme="minorHAnsi"/>
                <w:i/>
                <w:sz w:val="22"/>
                <w:szCs w:val="22"/>
              </w:rPr>
              <w:t>disponibilizado, as informações de estoques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5650A">
              <w:rPr>
                <w:rFonts w:asciiTheme="minorHAnsi" w:hAnsiTheme="minorHAnsi"/>
                <w:i/>
                <w:sz w:val="22"/>
                <w:szCs w:val="22"/>
              </w:rPr>
              <w:t xml:space="preserve">semanais </w:t>
            </w:r>
            <w:r w:rsidRPr="00D5650A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do mês anterior</w:t>
            </w:r>
            <w:r w:rsidRPr="00D5650A">
              <w:rPr>
                <w:rFonts w:asciiTheme="minorHAnsi" w:hAnsiTheme="minorHAnsi"/>
                <w:i/>
                <w:sz w:val="22"/>
                <w:szCs w:val="22"/>
              </w:rPr>
              <w:t xml:space="preserve">, por local de manutenção, até o décimo dia do mês </w:t>
            </w:r>
            <w:r w:rsidRPr="00D5650A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subsequente</w:t>
            </w:r>
            <w:r w:rsidRPr="00D5650A">
              <w:rPr>
                <w:rFonts w:asciiTheme="minorHAnsi" w:hAnsiTheme="minorHAnsi"/>
                <w:i/>
                <w:sz w:val="22"/>
                <w:szCs w:val="22"/>
              </w:rPr>
              <w:t>, ou primeiro dia útil subsequente</w:t>
            </w:r>
            <w:proofErr w:type="gramEnd"/>
            <w:r w:rsidRPr="00D5650A">
              <w:rPr>
                <w:rFonts w:asciiTheme="minorHAnsi" w:hAnsiTheme="minorHAnsi"/>
                <w:i/>
                <w:sz w:val="22"/>
                <w:szCs w:val="22"/>
              </w:rPr>
              <w:t xml:space="preserve">, conforme modelo disponível no endereço eletrônico </w:t>
            </w:r>
            <w:hyperlink r:id="rId12" w:history="1">
              <w:r w:rsidRPr="00D5650A">
                <w:rPr>
                  <w:rFonts w:asciiTheme="minorHAnsi" w:hAnsiTheme="minorHAnsi"/>
                  <w:i/>
                  <w:sz w:val="22"/>
                  <w:szCs w:val="22"/>
                </w:rPr>
                <w:t>www.anp.gov.br</w:t>
              </w:r>
            </w:hyperlink>
            <w:r w:rsidRPr="00D5650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spacing w:before="120"/>
              <w:ind w:left="147" w:right="27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Necessidade de deixar de forma mais clara e objetiva a metodologia de envio da informação, pois o texto original causou algumas dúvidas.</w:t>
            </w:r>
          </w:p>
          <w:p w:rsidR="00525160" w:rsidRDefault="00525160" w:rsidP="00525160">
            <w:pPr>
              <w:ind w:left="145" w:right="2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spacing w:after="120"/>
              <w:ind w:left="147" w:right="27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Assim, a interpretação é que apesar das informações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serem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segregadas em semanas, a remessa dessas informações seria mensal e se reportariam ao mês anterior a remessa das informações. Caso realmente este seja o desejo da ANP, a redação ora proposta detém a intenção de deixar sem dúvidas sobre esse procedimento.</w:t>
            </w:r>
          </w:p>
        </w:tc>
      </w:tr>
      <w:tr w:rsidR="00525160" w:rsidRPr="009B33A2" w:rsidTr="00525160">
        <w:trPr>
          <w:trHeight w:val="60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B33A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COPAGAZ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Art. 9º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Incluir o parágrafo único:</w:t>
            </w:r>
          </w:p>
          <w:p w:rsidR="00525160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ind w:left="406" w:right="240"/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D97C18"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  <w:t>Parágrafo único.</w:t>
            </w:r>
            <w:r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  <w:t xml:space="preserve"> Os Distribuidores de GLP que se encontram nas situações do artigo 5º, §§2º e 3º observarão os prazos definidos nestes parágrafos para atendimento desta Resolução.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spacing w:before="120"/>
              <w:ind w:left="147" w:right="13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Talvez esta situação seja a real intenção da ANP ao dispor os prazos nos §§ 2º e 3º do artigo 5º, contudo, diante da redação do artigo 9º que concede somente 120 dias para o Distribuidor de GLP se adaptar a Resolução, consideramos essencial por uma questão de logística temporal que a Resolução não fosse aplicada em 120 dias para os casos dos §§ 2º 3º do artigo 5º, deixando claríssima essa posição para não gerar dúvidas sobre a correta obrigação.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Assim, se uma instalação não detiver armazenagem possível de cumprir com os estoques mínimos, havendo a necessidade de adequação, levará tempo para encontrar uma solução pertinente, seja aumento de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tancagem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, seja aumento de área / terreno para aumento de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tancagem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, seja tentativa de arrendamento de cessão de espaço com terceiros etc.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Ainda, caso o distribuidor não possuir capacidade operacional de manutenção do estoque mínimo, faz necessário esses prazos para que sejam alocados os investimentos com a finalidade de adequação e cumprimento da resolução, principalmente quando não houve intenção de locação ou cessão de espaço do produtor ou de outros distribuidores, não onerando os custos operacionais.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Por fim, como é de notório conhecimento, todas essas adequações exigem autorizações de diversos órgãos públicos, que detém procedimentos próprios que demanda tempo para sua obtenção,</w:t>
            </w:r>
          </w:p>
          <w:p w:rsidR="00525160" w:rsidRDefault="00525160" w:rsidP="00525160">
            <w:pPr>
              <w:ind w:left="145" w:right="13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25160" w:rsidRPr="009B33A2" w:rsidRDefault="00525160" w:rsidP="00525160">
            <w:pPr>
              <w:spacing w:after="120"/>
              <w:ind w:left="147" w:right="13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Assim, sendo improvável a execução e finalização de todo esse processo de adaptação de uma instalação para que esteja apta a estocar o volume mínimo em 120 dias, a utilização dos prazos previstos nos §§ 2º 3º do artigo 5º prazo para cumprimento desta resolução para as instalações sem condições de estoque mínimo é essencial.</w:t>
            </w:r>
          </w:p>
        </w:tc>
      </w:tr>
      <w:tr w:rsidR="00525160" w:rsidRPr="009B33A2" w:rsidTr="00525160">
        <w:trPr>
          <w:trHeight w:val="60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PETROBRAS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9B33A2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Art. 10</w:t>
            </w:r>
          </w:p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Incluir Parágrafo Único: Em caso de parada não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</w:rPr>
            </w:pPr>
            <w:proofErr w:type="gramStart"/>
            <w:r>
              <w:rPr>
                <w:rFonts w:ascii="Arial" w:hAnsi="Arial" w:cs="Arial"/>
                <w:color w:val="0000FF"/>
              </w:rPr>
              <w:t>programada</w:t>
            </w:r>
            <w:proofErr w:type="gramEnd"/>
            <w:r>
              <w:rPr>
                <w:rFonts w:ascii="Arial" w:hAnsi="Arial" w:cs="Arial"/>
                <w:color w:val="0000FF"/>
              </w:rPr>
              <w:t xml:space="preserve"> de unidade de produção do PRODUTOR, caso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</w:rPr>
            </w:pPr>
            <w:proofErr w:type="gramStart"/>
            <w:r>
              <w:rPr>
                <w:rFonts w:ascii="Arial" w:hAnsi="Arial" w:cs="Arial"/>
                <w:color w:val="0000FF"/>
              </w:rPr>
              <w:t>fortuito</w:t>
            </w:r>
            <w:proofErr w:type="gramEnd"/>
            <w:r>
              <w:rPr>
                <w:rFonts w:ascii="Arial" w:hAnsi="Arial" w:cs="Arial"/>
                <w:color w:val="0000FF"/>
              </w:rPr>
              <w:t xml:space="preserve"> ou força maior, a obrigatoriedade de manutenção</w:t>
            </w:r>
          </w:p>
          <w:p w:rsidR="00525160" w:rsidRPr="009B33A2" w:rsidRDefault="00525160" w:rsidP="0052516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FF"/>
              </w:rPr>
              <w:t>de</w:t>
            </w:r>
            <w:proofErr w:type="gramEnd"/>
            <w:r>
              <w:rPr>
                <w:rFonts w:ascii="Arial" w:hAnsi="Arial" w:cs="Arial"/>
                <w:color w:val="0000FF"/>
              </w:rPr>
              <w:t xml:space="preserve"> estoques mínimos fica suspensa para aquela região.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inclusão viabiliza o abastecimento do mercado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mesmo</w:t>
            </w:r>
            <w:proofErr w:type="gramEnd"/>
            <w:r>
              <w:rPr>
                <w:rFonts w:ascii="Arial" w:hAnsi="Arial" w:cs="Arial"/>
              </w:rPr>
              <w:t xml:space="preserve"> em casos de força maior ou paradas nãoprogramadas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que</w:t>
            </w:r>
            <w:proofErr w:type="gramEnd"/>
            <w:r>
              <w:rPr>
                <w:rFonts w:ascii="Arial" w:hAnsi="Arial" w:cs="Arial"/>
              </w:rPr>
              <w:t xml:space="preserve"> afetem os produtores, pois, de outro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modo</w:t>
            </w:r>
            <w:proofErr w:type="gramEnd"/>
            <w:r>
              <w:rPr>
                <w:rFonts w:ascii="Arial" w:hAnsi="Arial" w:cs="Arial"/>
              </w:rPr>
              <w:t>, o produtor que sofresse com tais eventos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acabaria</w:t>
            </w:r>
            <w:proofErr w:type="gramEnd"/>
            <w:r>
              <w:rPr>
                <w:rFonts w:ascii="Arial" w:hAnsi="Arial" w:cs="Arial"/>
              </w:rPr>
              <w:t xml:space="preserve"> tendo que protocolizar justificativa junto a ANP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para</w:t>
            </w:r>
            <w:proofErr w:type="gramEnd"/>
            <w:r>
              <w:rPr>
                <w:rFonts w:ascii="Arial" w:hAnsi="Arial" w:cs="Arial"/>
              </w:rPr>
              <w:t xml:space="preserve"> garantir o abastecimento do mercado com seu</w:t>
            </w:r>
          </w:p>
          <w:p w:rsidR="00525160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estoque</w:t>
            </w:r>
            <w:proofErr w:type="gramEnd"/>
            <w:r>
              <w:rPr>
                <w:rFonts w:ascii="Arial" w:hAnsi="Arial" w:cs="Arial"/>
              </w:rPr>
              <w:t xml:space="preserve">, a fim de não descumprir a resolução e </w:t>
            </w:r>
            <w:r>
              <w:rPr>
                <w:rFonts w:ascii="Arial" w:hAnsi="Arial" w:cs="Arial"/>
              </w:rPr>
              <w:lastRenderedPageBreak/>
              <w:t>evitar as</w:t>
            </w:r>
          </w:p>
          <w:p w:rsidR="00525160" w:rsidRPr="009B33A2" w:rsidRDefault="00525160" w:rsidP="005251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</w:rPr>
              <w:t>penalidades</w:t>
            </w:r>
            <w:proofErr w:type="gramEnd"/>
            <w:r>
              <w:rPr>
                <w:rFonts w:ascii="Arial" w:hAnsi="Arial" w:cs="Arial"/>
              </w:rPr>
              <w:t xml:space="preserve"> aplicáveis. Tal conduta contrariaria os objetivos da resolução, que é garantir o </w:t>
            </w:r>
            <w:proofErr w:type="gramStart"/>
            <w:r>
              <w:rPr>
                <w:rFonts w:ascii="Arial" w:hAnsi="Arial" w:cs="Arial"/>
              </w:rPr>
              <w:t>abastecimento</w:t>
            </w:r>
            <w:proofErr w:type="gramEnd"/>
          </w:p>
        </w:tc>
      </w:tr>
      <w:tr w:rsidR="00525160" w:rsidRPr="009B33A2" w:rsidTr="00525160">
        <w:trPr>
          <w:trHeight w:val="60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177F18">
              <w:rPr>
                <w:rFonts w:ascii="Cambria" w:hAnsi="Cambria" w:cs="Arial"/>
                <w:b/>
                <w:bCs/>
              </w:rPr>
              <w:t>SINDIGÁS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b/>
                <w:bCs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b/>
                <w:bCs/>
                <w:sz w:val="24"/>
                <w:szCs w:val="24"/>
              </w:rPr>
            </w:pPr>
            <w:r w:rsidRPr="00177F18">
              <w:rPr>
                <w:rFonts w:ascii="Cambria" w:hAnsi="Cambria" w:cs="Arial"/>
                <w:b/>
                <w:bCs/>
              </w:rPr>
              <w:t>CONSIDERANDO - INSERÇÃO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Considerando que, nos últimos anos eventos de diversas naturezas afetaram os fluxos do GLP, implicando em medidas emergenciais de contingenciamento direcionadas a corrigir as falhas e garantir o abastecimento;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Considerando que essas medidas produziram resultados efetivos, mas há expedientes de natureza regulatória que podem aprimorar tais resultados;</w:t>
            </w: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 constituição e manutenção de estoques adicionais de GLP não nos parece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a medida mais eficiente, e, por outro lado, cálculos de custo-benefício indicam que se trata de uma aparente solução de alto custo de implementação e manutenção.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>Todos estes fundamentos constam dos materiais adicionais desta Consulta Pública: Relatório de Impactos Normativos e Parecer LCA.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Diante destas razões, a inserção desses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considerandos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aqui contidos torna-se importantes, para indicar a motivação da adoção da regulação proposta.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No entanto os mesmos carecem de esclarecimento e quantificação. Referem-se a uma teórica observação de </w:t>
            </w:r>
            <w:r w:rsidRPr="00177F18">
              <w:rPr>
                <w:rFonts w:ascii="Cambria" w:hAnsi="Cambria"/>
                <w:sz w:val="24"/>
                <w:szCs w:val="24"/>
                <w:u w:val="single"/>
              </w:rPr>
              <w:t>turbulências</w:t>
            </w:r>
            <w:r w:rsidRPr="00177F18">
              <w:rPr>
                <w:rFonts w:ascii="Cambria" w:hAnsi="Cambria"/>
                <w:sz w:val="24"/>
                <w:szCs w:val="24"/>
              </w:rPr>
              <w:t xml:space="preserve"> no abastecimento, sem apresentar em nenhum momento fatos, dados e efeitos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donosos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à sociedade e ao abastecimento em geral.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>A generalização pode conduzir a aplicação de soluções custosas para situações que já são contornadas com ferramentas existentes, ou menos custosas à sociedade.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525160" w:rsidRPr="009B33A2" w:rsidTr="00525160">
        <w:trPr>
          <w:trHeight w:val="60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SINDIGÁ</w:t>
            </w:r>
            <w:r w:rsidRPr="00177F18">
              <w:rPr>
                <w:rFonts w:ascii="Cambria" w:hAnsi="Cambria" w:cs="Arial"/>
                <w:b/>
              </w:rPr>
              <w:t>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b/>
                <w:bCs/>
              </w:rPr>
            </w:pPr>
            <w:r w:rsidRPr="00177F18">
              <w:rPr>
                <w:rFonts w:ascii="Cambria" w:hAnsi="Cambria" w:cs="Arial"/>
                <w:b/>
                <w:bCs/>
              </w:rPr>
              <w:t>ART. 4, § 1°, § 2°, § 3°, § 4°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Art. 4º. No caso de impossibilidade de operação de </w:t>
            </w:r>
            <w:proofErr w:type="spell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 por uma unidade de um distribuidor de GLP, por quaisquer fatores imprevisíveis e alheios à sua vontade, fica autorizado o </w:t>
            </w:r>
            <w:proofErr w:type="spell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 dos recipientes transportáveis da sua marca, ou de marca sobre a qual detenha direito de </w:t>
            </w:r>
            <w:proofErr w:type="spell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, pelo distribuidor com melhores condições logísticas de atendimento para esta operação, em regime de urgência, sem observância das condições previstas nos parágrafos 1º a 4º do Art. 21 da Resolução ANP n. 15, de 18.05.2005, ou norma que a suceder.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§ 1º A operação de </w:t>
            </w:r>
            <w:proofErr w:type="spell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 previsto no caput deverá ser informada à ANP, por meio do e-mail estoquesglp@anp.gov.br.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§ 2º A ANP poderá, se constatada a inexistência dos fatores motivadores da autorização excepcional de </w:t>
            </w:r>
            <w:proofErr w:type="spell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, determinar a sustação da contratação e condicioná-la ao regime dos parágrafos 1º a 4º do Art. 21 da Resolução ANP n. 15, de 18.05.2005, ou norma que a suceder.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§ 2º A autorização excepcional de operação de </w:t>
            </w:r>
            <w:proofErr w:type="spell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 a que se refere o caput deste artigo não exime o detentor da marca estampada no corpo do recipiente transportável de responsabilização em caso de sinistro, na forma da lei.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§ 3º A autorização excepcional não isenta os distribuidores da celebração do contrato previsto nos parágrafos 1º a 4º do Art. 21 da Resolução ANP n. 15, de 18.05.2005, ou norma que a suceder, e posterior encaminhamento para conhecimento pela ANP.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1" w:name="_Toc401129803"/>
            <w:bookmarkStart w:id="2" w:name="_Toc401134489"/>
            <w:bookmarkStart w:id="3" w:name="_Toc401577312"/>
            <w:bookmarkStart w:id="4" w:name="_Toc401827972"/>
            <w:bookmarkStart w:id="5" w:name="_Toc401852644"/>
            <w:bookmarkStart w:id="6" w:name="_Toc401828010"/>
            <w:bookmarkStart w:id="7" w:name="_Toc401852682"/>
            <w:r>
              <w:rPr>
                <w:rFonts w:ascii="Cambria" w:hAnsi="Cambria"/>
                <w:color w:val="000000"/>
                <w:sz w:val="24"/>
                <w:szCs w:val="24"/>
              </w:rPr>
              <w:t>As decisões administrativas em geral precisam atender aos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princípios constitucionais e infraconstitucionais (eficiência, razoabilidade, proporcionalidade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, economicidade, dentre outros). Isto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é requisito de validade do ato administrativo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em geral, e também do ato regulatório. Pode-se aferir o cumprimento de tais benefícios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pela verificação da presença de um trinômio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Necessidade, Utilidade e Custo/Benefício favorável.</w:t>
            </w:r>
            <w:bookmarkEnd w:id="1"/>
            <w:bookmarkEnd w:id="2"/>
            <w:bookmarkEnd w:id="3"/>
            <w:bookmarkEnd w:id="4"/>
            <w:bookmarkEnd w:id="5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525160" w:rsidRPr="00BE6047" w:rsidRDefault="00525160" w:rsidP="00525160">
            <w:pPr>
              <w:jc w:val="center"/>
              <w:outlineLvl w:val="0"/>
              <w:rPr>
                <w:color w:val="000000"/>
              </w:rPr>
            </w:pPr>
            <w:bookmarkStart w:id="8" w:name="_Toc401129804"/>
            <w:bookmarkStart w:id="9" w:name="_Toc401134490"/>
            <w:bookmarkStart w:id="10" w:name="_Toc401577313"/>
            <w:bookmarkStart w:id="11" w:name="_Toc401827973"/>
            <w:bookmarkStart w:id="12" w:name="_Toc401852645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Da perspectiva da Necessidade, caberá avaliar se o problema que se pretende resolver ou mitigar realmente demanda intervenção. Acerca da Utilidade, por sua vez, faz-se imprescindível verificar se a medida seria capaz de atingir os resultados almejados. Quanto ao custo benefício, este dependerá muito da presença dos requisitos Necessidade e Utilidade (se estes não estiverem presentes não é sequer válido calcular os custos e benefícios da medida), e decorrerá de uma análise dos fatores monetizáveis dos riscos e custos eventuais de inação do estado em cotejo comparativo com os custos decorrentes da ação.</w:t>
            </w:r>
            <w:bookmarkEnd w:id="8"/>
            <w:bookmarkEnd w:id="9"/>
            <w:bookmarkEnd w:id="10"/>
            <w:bookmarkEnd w:id="11"/>
            <w:bookmarkEnd w:id="12"/>
          </w:p>
          <w:p w:rsidR="00525160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Não há e nunca haverá recursos suficientes para satisfazer todas as necessidades e o querer do ser humano. Estudar e comparar os custos e os benefícios de um projeto ou programa para decidir a conveniência de 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sua execução. A avaliação econômica consiste num conjunto de técnicas e procedimentos </w:t>
            </w:r>
            <w:proofErr w:type="gram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metodológicos destinadas a avaliar o impacto ou cursos alternativos de ação sobre o bem-estar da sociedade</w:t>
            </w:r>
            <w:proofErr w:type="gram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. O objetivo das avaliações econômicas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é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o de ajudar a tomar ações racionais, isto é, decidir de forma coerente, levando em conta determinados objetivos e restrições.</w:t>
            </w:r>
            <w:bookmarkEnd w:id="6"/>
            <w:bookmarkEnd w:id="7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13" w:name="_Toc401828011"/>
            <w:bookmarkStart w:id="14" w:name="_Toc401852683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A avaliação econômica se centra na identificação, medição ou valorização dos efeitos que se supõe tenham uma relação direta com o bem-estar da sociedade. A avaliação consiste em </w:t>
            </w:r>
            <w:proofErr w:type="gram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determinar-se</w:t>
            </w:r>
            <w:proofErr w:type="gram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os efeitos derivados de se seguir uma das várias opções possíveis em uma situação que envolva escolha e compará-los em termos de sua eficiência social, isto é, de maximização do bem-estar-social. As avaliações econômicas se centram na determinação da eficiência. A eficiência consiste precisamente na relação entre os benefícios obtidos em termos de recursos necessários para mantê-la ou melhorá-la.</w:t>
            </w:r>
            <w:bookmarkEnd w:id="13"/>
            <w:bookmarkEnd w:id="14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15" w:name="_Toc401828012"/>
            <w:bookmarkStart w:id="16" w:name="_Toc401852684"/>
            <w:r w:rsidRPr="00177F18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Para dar suporte </w:t>
            </w:r>
            <w:proofErr w:type="gramStart"/>
            <w:r w:rsidRPr="00177F18">
              <w:rPr>
                <w:rFonts w:ascii="Cambria" w:hAnsi="Cambria"/>
                <w:b/>
                <w:color w:val="000000"/>
                <w:sz w:val="24"/>
                <w:szCs w:val="24"/>
              </w:rPr>
              <w:t>a</w:t>
            </w:r>
            <w:proofErr w:type="gramEnd"/>
            <w:r w:rsidRPr="00177F18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 tomada de decisões governamentais, o método de análise custo-benefício é o que cumpre melhor as exigências, embora se utilize de técnicas de avaliação de projetos privados para atribuir valor social a todos os efeitos de um determinado projeto. 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Também, devem ser considerados </w:t>
            </w:r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métodos que levem em conta </w:t>
            </w:r>
            <w:proofErr w:type="gram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o efeitos</w:t>
            </w:r>
            <w:proofErr w:type="gram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externos do projeto. Os efeitos externos, ou melhor, </w:t>
            </w:r>
            <w:proofErr w:type="spellStart"/>
            <w:proofErr w:type="gram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não-intencionais</w:t>
            </w:r>
            <w:proofErr w:type="spellEnd"/>
            <w:proofErr w:type="gram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produzidos por um projeto são chamados de </w:t>
            </w:r>
            <w:proofErr w:type="spell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externalidades</w:t>
            </w:r>
            <w:proofErr w:type="spell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.</w:t>
            </w:r>
            <w:bookmarkEnd w:id="15"/>
            <w:bookmarkEnd w:id="16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bookmarkStart w:id="17" w:name="_Toc401828013"/>
            <w:bookmarkStart w:id="18" w:name="_Toc401852685"/>
            <w:r w:rsidRPr="00177F18">
              <w:rPr>
                <w:rFonts w:ascii="Cambria" w:hAnsi="Cambria"/>
                <w:sz w:val="24"/>
                <w:szCs w:val="24"/>
              </w:rPr>
              <w:t>A análise de custo benefício é um conjunto de técnicas que visam gerar informações sobre a relevância social de projetos públicos. Ela se constitui num instrumento importante para balizar a tomada de decisão de entes públicos com função regulatória.</w:t>
            </w:r>
            <w:bookmarkEnd w:id="17"/>
            <w:bookmarkEnd w:id="18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bookmarkStart w:id="19" w:name="_Toc401828014"/>
            <w:bookmarkStart w:id="20" w:name="_Toc401852686"/>
            <w:r w:rsidRPr="00177F18">
              <w:rPr>
                <w:rFonts w:ascii="Cambria" w:hAnsi="Cambria"/>
                <w:b/>
                <w:sz w:val="24"/>
                <w:szCs w:val="24"/>
              </w:rPr>
              <w:t>Uma decisão regulatória deveria ser tomada se seus benefícios totais excederem seus custos totais, ou se a razão benefício-custo exceder a unidade. A Análise Custo Benefício é</w:t>
            </w:r>
            <w:proofErr w:type="gramStart"/>
            <w:r w:rsidRPr="00177F18"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proofErr w:type="gramEnd"/>
            <w:r w:rsidRPr="00177F18">
              <w:rPr>
                <w:rFonts w:ascii="Cambria" w:hAnsi="Cambria"/>
                <w:b/>
                <w:sz w:val="24"/>
                <w:szCs w:val="24"/>
              </w:rPr>
              <w:t xml:space="preserve">em geral de difícil realização porque requer que custos e benefícios sejam mensurados (ou convertidos) em termos monetários. Entretanto, no caso presente, os parâmetros para esta mensuração já se encontram estabelecidos pela metodologia utilizada pelo "Estudo </w:t>
            </w:r>
            <w:proofErr w:type="spellStart"/>
            <w:r w:rsidRPr="00177F18">
              <w:rPr>
                <w:rFonts w:ascii="Cambria" w:hAnsi="Cambria"/>
                <w:b/>
                <w:sz w:val="24"/>
                <w:szCs w:val="24"/>
              </w:rPr>
              <w:t>PUC-Rio</w:t>
            </w:r>
            <w:proofErr w:type="spellEnd"/>
            <w:r w:rsidRPr="00177F18">
              <w:rPr>
                <w:rFonts w:ascii="Cambria" w:hAnsi="Cambria"/>
                <w:b/>
                <w:sz w:val="24"/>
                <w:szCs w:val="24"/>
              </w:rPr>
              <w:t>".</w:t>
            </w:r>
            <w:bookmarkEnd w:id="19"/>
            <w:bookmarkEnd w:id="20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bookmarkStart w:id="21" w:name="_Toc401828015"/>
            <w:bookmarkStart w:id="22" w:name="_Toc401852687"/>
            <w:r w:rsidRPr="00177F18">
              <w:rPr>
                <w:rFonts w:ascii="Cambria" w:hAnsi="Cambria"/>
                <w:sz w:val="24"/>
                <w:szCs w:val="24"/>
              </w:rPr>
              <w:t xml:space="preserve">A despeito disso, para a avaliação de Custo/Benefício da proposta de regulação ora em análise, além de verificação das premissas acima expostas (Necessidade e Utilidade) da medida, bem como da monetização de potenciais custos e </w:t>
            </w:r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 xml:space="preserve">benefícios da mesma, é importante também a compreensão dos diferentes tipos de estoque existentes (conforme os conceitos técnicos adequados). Não tem lógica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adotar-se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critérios de cálculo de um tipo de estoque para se calcular outro tipo.</w:t>
            </w:r>
            <w:bookmarkEnd w:id="21"/>
            <w:bookmarkEnd w:id="22"/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23" w:name="_Toc401129841"/>
            <w:bookmarkStart w:id="24" w:name="_Toc401134527"/>
            <w:bookmarkStart w:id="25" w:name="_Toc401577350"/>
            <w:bookmarkStart w:id="26" w:name="_Toc401828016"/>
            <w:bookmarkStart w:id="27" w:name="_Toc401852688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Não obstante, os mecanismos de cálculo dos custos dos estoques que excedam o uso operacional normal (que é o caso tanto de Estoques de Segurança quanto de Estoques Estratégicos). Portanto, para efeito de cálculo da razão Custo/Benefício da medida, as premissas e conclusões adotadas pelo "Estudo </w:t>
            </w:r>
            <w:proofErr w:type="spell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PUC-Rio</w:t>
            </w:r>
            <w:proofErr w:type="spell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" são absolutamente válidas.</w:t>
            </w:r>
            <w:bookmarkEnd w:id="23"/>
            <w:bookmarkEnd w:id="24"/>
            <w:bookmarkEnd w:id="25"/>
            <w:bookmarkEnd w:id="26"/>
            <w:bookmarkEnd w:id="27"/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 w:cs="Arial"/>
                <w:sz w:val="24"/>
                <w:szCs w:val="24"/>
              </w:rPr>
              <w:t xml:space="preserve">Segundo a Nota Técnica SAB n.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201/14 ,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 "recomenda-se que o distribuidor aumente sua capacidade de armazenagem, para se tornar independente de cessão de espaço no produtor. Para tal, deveria ser concedido ao distribuidor prazo de três anos para a ampliação de sua capacidade de armazenagem, período no qual seria permitido que o distribuidor comprovasse parte de seus estoques em instalações do produtor, inclusive em navios-cisterna." (grifou-se)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 w:cs="Arial"/>
                <w:sz w:val="24"/>
                <w:szCs w:val="24"/>
              </w:rPr>
              <w:t xml:space="preserve">Em primeiro lugar, é preciso considerar que o prazo de três anos muito provavelmente não atenderá à necessidade </w:t>
            </w:r>
            <w:r w:rsidRPr="00177F18">
              <w:rPr>
                <w:rFonts w:ascii="Cambria" w:hAnsi="Cambria" w:cs="Arial"/>
                <w:sz w:val="24"/>
                <w:szCs w:val="24"/>
              </w:rPr>
              <w:lastRenderedPageBreak/>
              <w:t>real para construção da infraestrutura projetada pela ANP. Há fatores diversos que podem atrasar a execução desses investimentos, tais como as autorizações e licenças de outros entes públicos (municipais, estaduais e federais), fatores imponderáveis, tais como questões climáticas e etc.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 w:cs="Arial"/>
                <w:sz w:val="24"/>
                <w:szCs w:val="24"/>
              </w:rPr>
              <w:t xml:space="preserve">De outro lado, os dados produzidos pela Empresa de Pesquisa Energética conduzem à conclusão de que, em um prazo de aproximadamente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4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 anos o Brasil irá ter uma produção excedente de GLP. Como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visto,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 o perfil de crescimento da demanda residencial do GLP (que responde por praticamente 80% do consumo), se alinha com a curva do crescimento vegetativo do país. Desta forma, no momento em que a produção exceder à demanda, o país provavelmente terá que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1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incentivar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 os outros usos (não residencial) do GLP; e, 2.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ao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 mesmo tempo tornar-se exportador do produto.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 w:cs="Arial"/>
                <w:sz w:val="24"/>
                <w:szCs w:val="24"/>
              </w:rPr>
              <w:t xml:space="preserve">Portanto, mesmo considerando que toda a infraestrutura necessária para dar cumprimento à exigência normativa pudesse ser concluída nos três anos que prevê a citada Nota Técnica, torna-se necessário avaliar com absoluto cuidado a racionalidade (necessidade e custo/benefício) de se fazer esse investimento se, em um prazo que </w:t>
            </w:r>
            <w:r w:rsidRPr="00177F18">
              <w:rPr>
                <w:rFonts w:ascii="Cambria" w:hAnsi="Cambria" w:cs="Arial"/>
                <w:sz w:val="24"/>
                <w:szCs w:val="24"/>
              </w:rPr>
              <w:lastRenderedPageBreak/>
              <w:t>praticamente coincide com os três anos estimados para construção da infraestrutura, o país se tornará superavitário na produção do GLP. Não faz sentido algum aumentar a estocagem operacional de um energético, que, na realidade, precisará ter escoada sua produção.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 w:cs="Arial"/>
                <w:sz w:val="24"/>
                <w:szCs w:val="24"/>
              </w:rPr>
              <w:t xml:space="preserve">Mesmo havendo competência por parte da ANP para definir parâmetros regulatórios sobre o tema, o que não se discute, o requisito Necessidade dessa medida não se encontra presente. Diante de todos os fatos e dados aqui apresentados, não se verifica que os riscos incidentes sobre os fluxos logísticos com potencial de gerar interrupções no abastecimento de GLP apresentem projeção de crescimento. Ao contrário disto, </w:t>
            </w:r>
            <w:proofErr w:type="gramStart"/>
            <w:r w:rsidRPr="00177F18">
              <w:rPr>
                <w:rFonts w:ascii="Cambria" w:hAnsi="Cambria" w:cs="Arial"/>
                <w:sz w:val="24"/>
                <w:szCs w:val="24"/>
              </w:rPr>
              <w:t>o que se verifica pelas informações trazidas nos estudos da EPE indicam</w:t>
            </w:r>
            <w:proofErr w:type="gramEnd"/>
            <w:r w:rsidRPr="00177F18">
              <w:rPr>
                <w:rFonts w:ascii="Cambria" w:hAnsi="Cambria" w:cs="Arial"/>
                <w:sz w:val="24"/>
                <w:szCs w:val="24"/>
              </w:rPr>
              <w:t xml:space="preserve"> que o Brasil irá se tornar superavitário na produção do GLP.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 w:cs="Arial"/>
                <w:sz w:val="24"/>
                <w:szCs w:val="24"/>
              </w:rPr>
              <w:t>Salvo melhor juízo, a decisão no sentido de que o país deve tornar-se um armazenador de GLP (que é uma decisão de Estado), deverá obedecer a outros critérios</w:t>
            </w:r>
            <w:r>
              <w:rPr>
                <w:rFonts w:ascii="Cambria" w:hAnsi="Cambria" w:cs="Arial"/>
                <w:sz w:val="24"/>
                <w:szCs w:val="24"/>
              </w:rPr>
              <w:t>, inclusive porque este tipo de estoque é custeado pelo Estado (vide SINEC)</w:t>
            </w:r>
            <w:r w:rsidRPr="00177F18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"</w:t>
            </w:r>
            <w:r w:rsidRPr="00177F18">
              <w:rPr>
                <w:rFonts w:ascii="Cambria" w:hAnsi="Cambria"/>
                <w:i/>
                <w:sz w:val="24"/>
                <w:szCs w:val="24"/>
              </w:rPr>
              <w:t>Em consequência disso</w:t>
            </w:r>
            <w:proofErr w:type="gramEnd"/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, ao longo de 2002, a </w:t>
            </w:r>
            <w:proofErr w:type="spellStart"/>
            <w:r w:rsidRPr="00177F18">
              <w:rPr>
                <w:rFonts w:ascii="Cambria" w:hAnsi="Cambria"/>
                <w:i/>
                <w:sz w:val="24"/>
                <w:szCs w:val="24"/>
              </w:rPr>
              <w:t>Pontificia</w:t>
            </w:r>
            <w:proofErr w:type="spellEnd"/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 Universidade Católica </w:t>
            </w:r>
            <w:proofErr w:type="spellStart"/>
            <w:r w:rsidRPr="00177F18">
              <w:rPr>
                <w:rFonts w:ascii="Cambria" w:hAnsi="Cambria"/>
                <w:i/>
                <w:sz w:val="24"/>
                <w:szCs w:val="24"/>
              </w:rPr>
              <w:t>PUC-Rio</w:t>
            </w:r>
            <w:proofErr w:type="spellEnd"/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, por encomenda da ANP, desenvolveu o </w:t>
            </w:r>
            <w:r w:rsidRPr="00177F18">
              <w:rPr>
                <w:rFonts w:ascii="Cambria" w:hAnsi="Cambria"/>
                <w:i/>
                <w:sz w:val="24"/>
                <w:szCs w:val="24"/>
              </w:rPr>
              <w:lastRenderedPageBreak/>
              <w:t>"Estudo sobre Estoques Estratégicos de Combustíveis", que teve por base a relação entre o custo, para o país, do estoque estratégico e a perda econômica associada à falta de um dado combustível, considerando cenários de contingências que afetem de forma grave a oferta interna ou externa desses produtos.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77F18">
              <w:rPr>
                <w:rFonts w:ascii="Cambria" w:hAnsi="Cambria"/>
                <w:i/>
                <w:sz w:val="24"/>
                <w:szCs w:val="24"/>
              </w:rPr>
              <w:t>O estudo trouxe dois fatos importantes a serem considerados na formação de estoques de petróleo. O primeiro é de que os eventos externos (acidentes, guerras e embargos dos países produtores de petróleo e derivados) não trouxeram risco de desabastecimento no período de estudo, de 50 (cinquenta) anos, mas apenas oscilações no preço.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77F18">
              <w:rPr>
                <w:rFonts w:ascii="Cambria" w:hAnsi="Cambria"/>
                <w:i/>
                <w:sz w:val="24"/>
                <w:szCs w:val="24"/>
              </w:rPr>
              <w:t>O segundo foi de que à época, o País apresentava elevação significativa de sua produção, com projeção de autossuficiência (produção de volume de petróleo maior que o seu equivalente em derivados) iminente, a qual foi confirmada em 2009. Postulou-se que países autossuficientes fazem estoques somente para controlar o mercado internacional, não sendo este o objetivo.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Com base nos resultados do mencionado estudo, apresentados em outubro daquele ano, o CT-04 decidiu por acatar a recomendação do Relatório Final da </w:t>
            </w:r>
            <w:proofErr w:type="spellStart"/>
            <w:r w:rsidRPr="00177F18">
              <w:rPr>
                <w:rFonts w:ascii="Cambria" w:hAnsi="Cambria"/>
                <w:i/>
                <w:sz w:val="24"/>
                <w:szCs w:val="24"/>
              </w:rPr>
              <w:t>PUC-Rio</w:t>
            </w:r>
            <w:proofErr w:type="spellEnd"/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 e recomendar ao CNPE que não fossem constituídos estoques de combustíveis.</w:t>
            </w:r>
            <w:r w:rsidRPr="00177F18">
              <w:rPr>
                <w:rFonts w:ascii="Cambria" w:hAnsi="Cambria"/>
                <w:i/>
                <w:sz w:val="24"/>
                <w:szCs w:val="24"/>
              </w:rPr>
              <w:cr/>
            </w:r>
            <w:r w:rsidRPr="00177F18">
              <w:rPr>
                <w:rFonts w:ascii="Cambria" w:hAnsi="Cambria"/>
                <w:i/>
                <w:sz w:val="24"/>
                <w:szCs w:val="24"/>
              </w:rPr>
              <w:lastRenderedPageBreak/>
              <w:t xml:space="preserve"> </w:t>
            </w:r>
          </w:p>
          <w:p w:rsidR="00525160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Neste estudo, os eventos caóticos foram divididos em dois grupos: de natureza interna e externa. No quadro 01 a seguir podem ser visualizados alguns </w:t>
            </w:r>
            <w:proofErr w:type="gramStart"/>
            <w:r w:rsidRPr="00177F18">
              <w:rPr>
                <w:rFonts w:ascii="Cambria" w:hAnsi="Cambria"/>
                <w:i/>
                <w:sz w:val="24"/>
                <w:szCs w:val="24"/>
              </w:rPr>
              <w:t>exemplos.</w:t>
            </w:r>
            <w:proofErr w:type="gramEnd"/>
            <w:r w:rsidRPr="00177F18">
              <w:rPr>
                <w:rFonts w:ascii="Cambria" w:hAnsi="Cambria"/>
                <w:i/>
                <w:sz w:val="24"/>
                <w:szCs w:val="24"/>
              </w:rPr>
              <w:t>"</w:t>
            </w:r>
            <w:r w:rsidRPr="00177F18">
              <w:rPr>
                <w:rStyle w:val="Refdenotaderodap"/>
                <w:rFonts w:eastAsia="MS Mincho"/>
                <w:i/>
              </w:rPr>
              <w:footnoteReference w:id="1"/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outlineLvl w:val="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28" w:name="_Toc401129837"/>
            <w:bookmarkStart w:id="29" w:name="_Toc401134523"/>
            <w:bookmarkStart w:id="30" w:name="_Toc401577346"/>
            <w:bookmarkStart w:id="31" w:name="_Toc401828006"/>
            <w:bookmarkStart w:id="32" w:name="_Toc401852678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Não se tem, por outro lado, demonstração alguma de que a adoção dessa medida (aumento de estoques pelos distribuidores) de forma isolada ou mesmo em conjunto com o Produtor, terá o condão de mitigar os apontados riscos atuantes sobre os fluxos logísticos. Não há nenhuma demonstração no material posto sob consulta pública pelo ente regulador, de que o fator de risco referido como ausência de excesso de estoque pelas distribuidoras de GLP</w:t>
            </w:r>
            <w:proofErr w:type="gramStart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>, tenham</w:t>
            </w:r>
            <w:proofErr w:type="gramEnd"/>
            <w:r w:rsidRPr="00177F18">
              <w:rPr>
                <w:rFonts w:ascii="Cambria" w:hAnsi="Cambria"/>
                <w:color w:val="000000"/>
                <w:sz w:val="24"/>
                <w:szCs w:val="24"/>
              </w:rPr>
              <w:t xml:space="preserve"> ocasionado ou mesmo contribuído para ocasionar restrições ou a interrupção no abastecimento do combustível.</w:t>
            </w:r>
            <w:bookmarkEnd w:id="28"/>
            <w:bookmarkEnd w:id="29"/>
            <w:bookmarkEnd w:id="30"/>
            <w:bookmarkEnd w:id="31"/>
            <w:bookmarkEnd w:id="32"/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Com efeito, houve falta de combustíveis líquidos na capital do Amapá (Macapá) em outubro do ano de 2012. Todavia, esse evento decorreu de conjunturas peculiares: </w:t>
            </w:r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"A falta de caminhões para transportar os combustíveis e de estruturas de armazenagem no Amapá provocaram a crise de abastecimento dos produtos no Estado. A capacidade de estoque de gasolina no Amapá é de apenas </w:t>
            </w:r>
            <w:proofErr w:type="gramStart"/>
            <w:r w:rsidRPr="00177F18">
              <w:rPr>
                <w:rFonts w:ascii="Cambria" w:hAnsi="Cambria"/>
                <w:i/>
                <w:sz w:val="24"/>
                <w:szCs w:val="24"/>
              </w:rPr>
              <w:t>4</w:t>
            </w:r>
            <w:proofErr w:type="gramEnd"/>
            <w:r w:rsidRPr="00177F18">
              <w:rPr>
                <w:rFonts w:ascii="Cambria" w:hAnsi="Cambria"/>
                <w:i/>
                <w:sz w:val="24"/>
                <w:szCs w:val="24"/>
              </w:rPr>
              <w:t xml:space="preserve"> milhões de litros. Para dar conta do crescimento do consumo, a </w:t>
            </w:r>
            <w:r w:rsidRPr="00177F18">
              <w:rPr>
                <w:rFonts w:ascii="Cambria" w:hAnsi="Cambria"/>
                <w:i/>
                <w:sz w:val="24"/>
                <w:szCs w:val="24"/>
              </w:rPr>
              <w:lastRenderedPageBreak/>
              <w:t>capacidade de armazenamento do produto teria que ser cinco vezes maior, de acordo com revendedores da região."</w:t>
            </w:r>
            <w:r w:rsidRPr="00177F1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77F18">
              <w:rPr>
                <w:rStyle w:val="Refdenotaderodap"/>
                <w:rFonts w:eastAsia="MS Mincho"/>
              </w:rPr>
              <w:footnoteReference w:id="2"/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Todavia, s</w:t>
            </w:r>
            <w:r w:rsidRPr="00177F18">
              <w:rPr>
                <w:rFonts w:ascii="Cambria" w:hAnsi="Cambria"/>
                <w:sz w:val="24"/>
                <w:szCs w:val="24"/>
              </w:rPr>
              <w:t xml:space="preserve">egundo as informações contidas no PDE 2022 o país terá excedente de produção a partir de 2018, período de transição no qual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deve-se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ter a máxima prudência no investimento em capacidade de armazenamento, devido a abruptas mudanças de modais e possibilidade de transformações de polos deficitários em superavitários. Além disto, há expansão do parque de refino nacional. Quanto mais não fosse, a análise do histórico passado demonstra que não aconteceu falta de GLP em nenhuma parte do país.</w:t>
            </w: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>O mercado consumidor de GLP, recentemente, passou por algumas dificuldades operacionais (problemas de suprimento no mês de outubro do ano de 2013, por exemplo) e de catástrofes naturais (cheia excessiva em rios de alguns estados da Região Norte entre fevereiro e março de 2014, por exemplo). Mesmo assim, não ocorreu falta do produto no consumidor final. As ações de mitigação que impediram a falta de GLP não tiveram nenhuma relação com os Estoques de Segurança/Operacionais.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 xml:space="preserve">Os problemas de suprimento, ocorridos em 2013, foram mitigados por um conjunto de fatores, principalmente a sinergia do trabalho envolvendo ANP, PETROBRAS e distribuidoras de GLP, para direcionar os esforços para os mercados onde havia maior escassez de suprimento. Além disto, o que garantiu o abastecimento foi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imensa malha logística que tem o mercado de GLP, ou seja, o grande "duto virtual". As empresas distribuidoras transportaram recipientes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envasados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onde existia suprimento para onde não havia, abastecendo os mercados e impedindo que faltasse GLP aos consumidores finais.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No caso das cheias na Região Norte, o que se deu foi mais uma vez uma ação integrada da ANP com as distribuidoras de GLP. Como algumas bases de engarrafamento de uma das empresas situadas na Região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Norte estavam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sob as águas da enchente, portanto inoperantes (mesmo disponde de estoque de produto dentro dos tanques), a ANP viu-se em enormes dificuldades para autorizar regimes excepcionais pela inexistência de previsão normativa 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recipientes transportáveis de marca dessa empresa por outra empresa distribuidora de GLP local, cuja base de engarrafamento encontrava-se em condições de operar, grande parte destas operações deram-se, com produto proveniente do Sudeste (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Paulinea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),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envasado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no Centro-oeste </w:t>
            </w:r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>(Cuiabá) para suprir Rondônia.</w:t>
            </w:r>
            <w:r w:rsidRPr="00177F18">
              <w:rPr>
                <w:rStyle w:val="Refdenotaderodap"/>
                <w:rFonts w:eastAsia="MS Mincho"/>
              </w:rPr>
              <w:footnoteReference w:id="3"/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Adicione-se a tudo isto que o perfil de consumo do GLP é diferente do consumo dos combustíveis líquidos. A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freqüência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enchimento do tanque de um automóvel é variável, mas dificilmente ultrapassa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7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dias. Já no caso do GLP, a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freqüência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média de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ressuprimento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do consumidor final é de 60 dias, conforme considera a ANP.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Nos dois casos um fator de fundamental importância foi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comunicação entre os agentes de mercado (distribuidoras de GLP, PETROBRAS e ANP). Quando aconteceram problemas operacionais de suprimento em outubro de 2013, a ANP foi desde logo informada e, por isto, foi capaz de mobilizar todos os agentes para que fossem identificados os gargalos e as soluções possíveis.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Em fevereiro de 2014, quando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deu-se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uma das maiores enchentes da história em alguns estados do Norte, foi de suma importância também a comunicação entre as distribuidoras locais, 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Sindigás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e a ANP, tanto na Sede como em seus escritórios Regionais. As distribuidoras locais reportaram os problemas antes mesmo de atingirem níveis críticos, solicitando </w:t>
            </w:r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 xml:space="preserve">medidas urgentes no sentido de permissão de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por outras empresas, mesmo que não existissem contratos assinados e homologados, nos moldes da regulação. A Superintendência de Abastecimento da ANP, em uma medida de suma importância, autorizou este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em caráter excepcional.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Extrai-se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dessas duas experiências recentes acima referidas algumas coordenadas que, na opinião do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Sindigás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>, devem servir para direcionar a possível ação regulatória da ANP. Em ambos os casos foram importantes medidas tomadas pelo mercado e, ao mesmo tempo, iniciativas levadas a cabo pela própria agência reguladora, mesmo carecendo de marco regulatório adequado.</w:t>
            </w: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>Nesta linha de proposição é que caminha esta manifestação do SINDIGÁS.</w:t>
            </w:r>
          </w:p>
        </w:tc>
      </w:tr>
      <w:tr w:rsidR="00525160" w:rsidRPr="009B33A2" w:rsidTr="00525160">
        <w:trPr>
          <w:trHeight w:val="60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177F18">
              <w:rPr>
                <w:rFonts w:ascii="Cambria" w:hAnsi="Cambria" w:cs="Arial"/>
                <w:b/>
                <w:bCs/>
              </w:rPr>
              <w:t>SINDIGÁS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b/>
                <w:bCs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b/>
                <w:bCs/>
                <w:sz w:val="24"/>
                <w:szCs w:val="24"/>
              </w:rPr>
            </w:pPr>
            <w:r w:rsidRPr="00177F18">
              <w:rPr>
                <w:rFonts w:ascii="Cambria" w:hAnsi="Cambria" w:cs="Arial"/>
                <w:b/>
                <w:bCs/>
              </w:rPr>
              <w:t>ART. 7°, PARÁGRAFO ÚNICO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Art. 7 º.</w:t>
            </w: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ab/>
              <w:t>Os distribuidores de GLP deverão enviar à ANP, mensalmente com acompanhamento diário e semanal, conforme anexo xx, informações sobre os estoques de abertura</w:t>
            </w:r>
            <w:proofErr w:type="gramStart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 xml:space="preserve">  </w:t>
            </w:r>
            <w:proofErr w:type="gramEnd"/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mantidos na(s) localidade(s) de operação de distribuição, considerando-se tão somente o produto em tanques de armazenamento.</w:t>
            </w: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</w:p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Parágrafo único. Os distribuidores ficam obrigados a informar com a máxima antecedência à ANP, por meio do e-mail estoquesglp@anp.gov.br, sobre qualquer potencial aumento de incidência dos fatores de risco que possam impactar os fluxos logísticos.</w:t>
            </w: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Como já dito, o</w:t>
            </w:r>
            <w:r w:rsidRPr="00177F18">
              <w:rPr>
                <w:rFonts w:ascii="Cambria" w:hAnsi="Cambria"/>
                <w:sz w:val="24"/>
                <w:szCs w:val="24"/>
              </w:rPr>
              <w:t xml:space="preserve">s problemas de suprimento, ocorridos em 2013, foram mitigados por um conjunto de fatores, principalmente a sinergia do trabalho envolvendo ANP, PETROBRAS e distribuidoras de GLP, para direcionar os esforços para os mercados onde havia maior escassez de suprimento. Além disto, o que garantiu o abastecimento foi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imensa malha logística que tem o mercado de GLP, ou seja, o grande "duto virtual". As empresas distribuidoras transportaram recipientes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envasados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</w:t>
            </w:r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>onde existia suprimento para onde não havia, abastecendo os mercados e impedindo que faltasse GLP aos consumidores finais.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No caso das cheias na Região Norte, o que se deu foi mais uma vez uma ação integrada da ANP com as distribuidoras de GLP. Como bases de engarrafamento de uma das empresas situadas na Região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Norte estavam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sob as águas da enchente, portanto inoperantes (mesmo disponde de estoque de produto dentro dos tanques), a ANP autorizou em regime de urgência 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recipientes transportáveis de marca dessa empresa por outra empresa distribuidora de GLP local, cuja base de engarrafamento encontrava-se em condições de operar. Além disto, foi autorizada a mesma operação de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por outras distribuidoras que, muito embora não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operem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na região Norte, envasilharam os recipientes em suas bases localizadas na Região Centro-Oeste.</w:t>
            </w:r>
            <w:r w:rsidRPr="00177F18">
              <w:rPr>
                <w:rStyle w:val="Refdenotaderodap"/>
                <w:rFonts w:eastAsia="MS Mincho"/>
              </w:rPr>
              <w:footnoteReference w:id="4"/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Adicione-se a tudo isto que o perfil de consumo do GLP é diferente do consumo dos combustíveis líquidos. A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freqüência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enchimento do tanque de um automóvel é variável, mas dificilmente ultrapassa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7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dias. Já no caso do GLP, a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freqüência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média de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>ressuprimento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do consumidor final é de 60 dias, conforme considera a ANP.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Extrai-se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dessas duas experiências recentes acima referidas algumas coordenadas que, na opinião do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Sindigás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>, devem servir para direcionar a possível ação regulatória da ANP. Em ambos os casos foram importantes medidas tomadas pelo mercado e, ao mesmo tempo, iniciativas levadas a cabo pela própria agência reguladora.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Nos dois casos um fator de fundamental importância foi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comunicação entre os agentes de mercado (distribuidoras de GLP, PETROBRAS e ANP). Quando aconteceram problemas operacionais de suprimento em outubro de 2013, a ANP foi desde logo informada e, por isto, foi capaz de mobilizar todos os agentes para que fossem identificados os gargalos e as soluções possíveis.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Em fevereiro de 2014, quando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deu-se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uma das maiores enchentes da história em alguns estados do Norte, foi de suma importância também a comunicação entre as distribuidoras locais, 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Sindigás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e a ANP. As distribuidoras locais reportaram os problemas antes mesmo de atingirem níveis críticos, solicitando medidas urgentes no sentido de permissão de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por outras empresas, mesmo que não existissem contratos </w:t>
            </w:r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 xml:space="preserve">assinados e homologados, nos moldes da regulação. A Superintendência de Abastecimento da ANP, em uma medida de suma importância, autorizou este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em caráter excepcional.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Nesta linha de proposição é que caminha esta manifestação do SINDIGÁS,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pois</w:t>
            </w:r>
            <w:proofErr w:type="gramEnd"/>
          </w:p>
        </w:tc>
      </w:tr>
      <w:tr w:rsidR="00525160" w:rsidRPr="009B33A2" w:rsidTr="00525160">
        <w:trPr>
          <w:trHeight w:val="60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</w:p>
          <w:p w:rsidR="00525160" w:rsidRPr="005416FC" w:rsidRDefault="00525160" w:rsidP="00525160">
            <w:pPr>
              <w:jc w:val="center"/>
              <w:rPr>
                <w:rFonts w:ascii="Cambria" w:hAnsi="Cambria" w:cs="Arial"/>
                <w:b/>
              </w:rPr>
            </w:pPr>
            <w:r w:rsidRPr="005416FC">
              <w:rPr>
                <w:rFonts w:ascii="Cambria" w:hAnsi="Cambria" w:cs="Arial"/>
                <w:b/>
              </w:rPr>
              <w:t>SINDIGÁS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5416FC" w:rsidRDefault="00525160" w:rsidP="00525160">
            <w:pPr>
              <w:jc w:val="center"/>
              <w:rPr>
                <w:rFonts w:ascii="Cambria" w:eastAsia="Arial Unicode MS" w:hAnsi="Cambria" w:cs="Arial"/>
                <w:b/>
              </w:rPr>
            </w:pPr>
            <w:r w:rsidRPr="005416FC">
              <w:rPr>
                <w:rFonts w:ascii="Cambria" w:hAnsi="Cambria" w:cs="Arial"/>
                <w:b/>
              </w:rPr>
              <w:t>ART. 8</w:t>
            </w:r>
          </w:p>
          <w:p w:rsidR="00525160" w:rsidRPr="005416FC" w:rsidRDefault="00525160" w:rsidP="00525160">
            <w:pPr>
              <w:jc w:val="center"/>
              <w:rPr>
                <w:rFonts w:ascii="Cambria" w:eastAsia="Arial Unicode MS" w:hAnsi="Cambria" w:cs="Arial"/>
                <w:b/>
                <w:bCs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ind w:firstLine="567"/>
              <w:jc w:val="center"/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</w:pP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>Art. 8º.</w:t>
            </w:r>
            <w:r w:rsidRPr="00177F18">
              <w:rPr>
                <w:rFonts w:ascii="Cambria" w:hAnsi="Cambria"/>
                <w:b/>
                <w:i/>
                <w:color w:val="C00000"/>
                <w:sz w:val="24"/>
                <w:szCs w:val="24"/>
              </w:rPr>
              <w:tab/>
              <w:t>A ANP coordenará, através da Superintendência de Abastecimento - SAB, reuniões mensais envolvendo distribuidores e produtores de GLP, bem como outros agentes que a SAB entender pertinente, com o objetivo de acompanhar a evolução do abastecimento nacional de GLP.</w:t>
            </w:r>
          </w:p>
          <w:p w:rsidR="00525160" w:rsidRPr="00177F18" w:rsidRDefault="00525160" w:rsidP="00525160">
            <w:pPr>
              <w:jc w:val="center"/>
              <w:rPr>
                <w:rFonts w:ascii="Cambria" w:eastAsia="Arial Unicode MS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Como já dito, o</w:t>
            </w:r>
            <w:r w:rsidRPr="00177F18">
              <w:rPr>
                <w:rFonts w:ascii="Cambria" w:hAnsi="Cambria"/>
                <w:sz w:val="24"/>
                <w:szCs w:val="24"/>
              </w:rPr>
              <w:t xml:space="preserve">s problemas de suprimento, ocorridos em 2013, foram mitigados por um conjunto de fatores, principalmente a sinergia do trabalho envolvendo ANP, PETROBRAS e distribuidoras de GLP, para direcionar os esforços para os mercados onde havia maior escassez de suprimento. Além disto, o que garantiu o abastecimento foi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imensa malha logística que tem o mercado de GLP, ou seja, o grande "duto virtual". As empresas distribuidoras transportaram recipientes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envasados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onde existia suprimento para onde não havia, abastecendo os mercados e impedindo que faltasse GLP aos consumidores finais.</w:t>
            </w: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No caso das cheias na Região Norte, o que se deu foi mais uma vez uma ação integrada da ANP com as distribuidoras de GLP. Como bases de engarrafamento de uma das empresas situadas na Região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Norte estavam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sob as águas da enchente, portanto inoperantes (mesmo disponde de estoque de produto dentro dos tanques), a ANP autorizou em regime de urgência o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lastRenderedPageBreak/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de recipientes transportáveis de marca dessa empresa por outra empresa distribuidora de GLP local, cuja base de engarrafamento encontrava-se em condições de operar. Além disto, foi autorizada a mesma operação de </w:t>
            </w:r>
            <w:proofErr w:type="spellStart"/>
            <w:r w:rsidRPr="00177F18">
              <w:rPr>
                <w:rFonts w:ascii="Cambria" w:hAnsi="Cambria"/>
                <w:sz w:val="24"/>
                <w:szCs w:val="24"/>
              </w:rPr>
              <w:t>envasilhamento</w:t>
            </w:r>
            <w:proofErr w:type="spellEnd"/>
            <w:r w:rsidRPr="00177F18">
              <w:rPr>
                <w:rFonts w:ascii="Cambria" w:hAnsi="Cambria"/>
                <w:sz w:val="24"/>
                <w:szCs w:val="24"/>
              </w:rPr>
              <w:t xml:space="preserve"> por outras distribuidoras que, muito embora não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operem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na região Norte, envasilharam os recipientes em suas bases localizadas na Região Centro-Oeste.</w:t>
            </w:r>
            <w:r w:rsidRPr="00177F18">
              <w:rPr>
                <w:rStyle w:val="Refdenotaderodap"/>
                <w:rFonts w:eastAsia="MS Mincho"/>
              </w:rPr>
              <w:footnoteReference w:id="5"/>
            </w:r>
          </w:p>
          <w:p w:rsidR="00525160" w:rsidRPr="005416FC" w:rsidRDefault="00525160" w:rsidP="0052516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16FC">
              <w:rPr>
                <w:rFonts w:ascii="Cambria" w:hAnsi="Cambria" w:cs="Arial"/>
                <w:sz w:val="24"/>
                <w:szCs w:val="24"/>
              </w:rPr>
              <w:t>Tais</w:t>
            </w:r>
            <w:r w:rsidRPr="00177F18">
              <w:rPr>
                <w:rFonts w:ascii="Cambria" w:hAnsi="Cambria"/>
                <w:sz w:val="24"/>
                <w:szCs w:val="24"/>
              </w:rPr>
              <w:t xml:space="preserve"> incidentes ligados ao suprimento de GLP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, foram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superados com uma ação integrada da ANP, Petrobras e as distribuidoras de GLP.</w:t>
            </w: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 xml:space="preserve">Uma das iniciativas que permitiram a ação coordenada pela ANP foram </w:t>
            </w:r>
            <w:proofErr w:type="gramStart"/>
            <w:r w:rsidRPr="00177F18">
              <w:rPr>
                <w:rFonts w:ascii="Cambria" w:hAnsi="Cambria"/>
                <w:sz w:val="24"/>
                <w:szCs w:val="24"/>
              </w:rPr>
              <w:t>as</w:t>
            </w:r>
            <w:proofErr w:type="gramEnd"/>
            <w:r w:rsidRPr="00177F18">
              <w:rPr>
                <w:rFonts w:ascii="Cambria" w:hAnsi="Cambria"/>
                <w:sz w:val="24"/>
                <w:szCs w:val="24"/>
              </w:rPr>
              <w:t xml:space="preserve"> reuniões de acompanhamento.</w:t>
            </w: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>Esta iniciativa foi de grande importância para mitigação das falhas que existiram e vêm sendo realizadas até hoje com regularidade.</w:t>
            </w:r>
          </w:p>
          <w:p w:rsidR="00525160" w:rsidRDefault="00525160" w:rsidP="0052516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25160" w:rsidRPr="00177F18" w:rsidRDefault="00525160" w:rsidP="00525160">
            <w:pPr>
              <w:jc w:val="center"/>
              <w:rPr>
                <w:rFonts w:ascii="Cambria" w:hAnsi="Cambria" w:cs="Arial"/>
              </w:rPr>
            </w:pPr>
            <w:r w:rsidRPr="00177F18">
              <w:rPr>
                <w:rFonts w:ascii="Cambria" w:hAnsi="Cambria"/>
                <w:sz w:val="24"/>
                <w:szCs w:val="24"/>
              </w:rPr>
              <w:t>Esta proposta objetiva, assim, apenas normatizar algo que já se tornou prática, sistematizando ainda mais o assunto.</w:t>
            </w:r>
          </w:p>
        </w:tc>
      </w:tr>
    </w:tbl>
    <w:p w:rsidR="004602FD" w:rsidRPr="009B33A2" w:rsidRDefault="004602FD" w:rsidP="001E739F">
      <w:pPr>
        <w:rPr>
          <w:rFonts w:asciiTheme="minorHAnsi" w:hAnsiTheme="minorHAnsi"/>
          <w:sz w:val="22"/>
          <w:szCs w:val="22"/>
        </w:rPr>
      </w:pPr>
    </w:p>
    <w:sectPr w:rsidR="004602FD" w:rsidRPr="009B33A2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23" w:rsidRDefault="00E44423" w:rsidP="00E44423">
      <w:r>
        <w:separator/>
      </w:r>
    </w:p>
  </w:endnote>
  <w:endnote w:type="continuationSeparator" w:id="0">
    <w:p w:rsidR="00E44423" w:rsidRDefault="00E44423" w:rsidP="00E4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23" w:rsidRDefault="00E44423" w:rsidP="00E44423">
      <w:r>
        <w:separator/>
      </w:r>
    </w:p>
  </w:footnote>
  <w:footnote w:type="continuationSeparator" w:id="0">
    <w:p w:rsidR="00E44423" w:rsidRDefault="00E44423" w:rsidP="00E44423">
      <w:r>
        <w:continuationSeparator/>
      </w:r>
    </w:p>
  </w:footnote>
  <w:footnote w:id="1">
    <w:p w:rsidR="00525160" w:rsidRDefault="00525160" w:rsidP="00177F1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Style w:val="Refdenotaderodap"/>
        </w:rPr>
        <w:footnoteRef/>
      </w:r>
      <w:r w:rsidRPr="00B82E16">
        <w:rPr>
          <w:sz w:val="20"/>
          <w:szCs w:val="20"/>
        </w:rPr>
        <w:t xml:space="preserve"> </w:t>
      </w:r>
      <w:r w:rsidRPr="00B82E16">
        <w:rPr>
          <w:i/>
          <w:sz w:val="20"/>
          <w:szCs w:val="20"/>
        </w:rPr>
        <w:t xml:space="preserve">In, </w:t>
      </w:r>
      <w:r w:rsidRPr="00B82E16">
        <w:rPr>
          <w:sz w:val="20"/>
          <w:szCs w:val="20"/>
        </w:rPr>
        <w:t>NOTA TÉCNICA N2 53/2012-DCDP/SPG-MME</w:t>
      </w:r>
      <w:r>
        <w:rPr>
          <w:sz w:val="20"/>
          <w:szCs w:val="20"/>
        </w:rPr>
        <w:t xml:space="preserve">, ofertada ao TCU nos autos do </w:t>
      </w:r>
      <w:r w:rsidRPr="00E2242C">
        <w:rPr>
          <w:sz w:val="20"/>
          <w:szCs w:val="20"/>
        </w:rPr>
        <w:t>TC 041.275/2012-</w:t>
      </w:r>
      <w:proofErr w:type="gramStart"/>
      <w:r w:rsidRPr="00E2242C">
        <w:rPr>
          <w:sz w:val="20"/>
          <w:szCs w:val="20"/>
        </w:rPr>
        <w:t>8</w:t>
      </w:r>
      <w:proofErr w:type="gramEnd"/>
    </w:p>
  </w:footnote>
  <w:footnote w:id="2">
    <w:p w:rsidR="00525160" w:rsidRPr="00A211F4" w:rsidRDefault="00525160" w:rsidP="005416FC">
      <w:pPr>
        <w:pStyle w:val="Textodenotaderodap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</w:rPr>
        <w:t xml:space="preserve">Fonte: </w:t>
      </w:r>
      <w:r w:rsidRPr="00A211F4">
        <w:rPr>
          <w:sz w:val="20"/>
          <w:szCs w:val="20"/>
        </w:rPr>
        <w:t>http://www.valor.com.br/brasil/2872866/mpf-cobra-explicacoes-anp-sobre-falta-de-combustivel-no-amapa</w:t>
      </w:r>
    </w:p>
  </w:footnote>
  <w:footnote w:id="3">
    <w:p w:rsidR="00525160" w:rsidRPr="00040AC2" w:rsidRDefault="00525160" w:rsidP="00EE427C">
      <w:pPr>
        <w:pStyle w:val="Textodenotaderodap"/>
        <w:rPr>
          <w:sz w:val="20"/>
          <w:szCs w:val="20"/>
        </w:rPr>
      </w:pPr>
      <w:r w:rsidRPr="00040AC2">
        <w:rPr>
          <w:rStyle w:val="Refdenotaderodap"/>
          <w:sz w:val="20"/>
          <w:szCs w:val="20"/>
        </w:rPr>
        <w:footnoteRef/>
      </w:r>
      <w:r w:rsidRPr="00040AC2">
        <w:rPr>
          <w:sz w:val="20"/>
          <w:szCs w:val="20"/>
        </w:rPr>
        <w:t xml:space="preserve"> Em regra o </w:t>
      </w:r>
      <w:proofErr w:type="spellStart"/>
      <w:r w:rsidRPr="00040AC2">
        <w:rPr>
          <w:sz w:val="20"/>
          <w:szCs w:val="20"/>
        </w:rPr>
        <w:t>envasilhamento</w:t>
      </w:r>
      <w:proofErr w:type="spellEnd"/>
      <w:r w:rsidRPr="00040AC2">
        <w:rPr>
          <w:sz w:val="20"/>
          <w:szCs w:val="20"/>
        </w:rPr>
        <w:t xml:space="preserve"> de recipientes transportáveis de marca de que a distribuidora de GLP não é detentora só pode ser feita mediante contrato previamente firmado entre as duas empresas, devidamente homologado pela ANP (</w:t>
      </w:r>
      <w:r>
        <w:rPr>
          <w:sz w:val="20"/>
          <w:szCs w:val="20"/>
        </w:rPr>
        <w:t>art. 21, Resolução ANP n.º 15/05).</w:t>
      </w:r>
    </w:p>
  </w:footnote>
  <w:footnote w:id="4">
    <w:p w:rsidR="00525160" w:rsidRPr="00040AC2" w:rsidRDefault="00525160" w:rsidP="001A1C58">
      <w:pPr>
        <w:pStyle w:val="Textodenotaderodap"/>
        <w:rPr>
          <w:sz w:val="20"/>
          <w:szCs w:val="20"/>
        </w:rPr>
      </w:pPr>
      <w:r w:rsidRPr="00040AC2">
        <w:rPr>
          <w:rStyle w:val="Refdenotaderodap"/>
          <w:sz w:val="20"/>
          <w:szCs w:val="20"/>
        </w:rPr>
        <w:footnoteRef/>
      </w:r>
      <w:r w:rsidRPr="00040AC2">
        <w:rPr>
          <w:sz w:val="20"/>
          <w:szCs w:val="20"/>
        </w:rPr>
        <w:t xml:space="preserve"> Em regra o </w:t>
      </w:r>
      <w:proofErr w:type="spellStart"/>
      <w:r w:rsidRPr="00040AC2">
        <w:rPr>
          <w:sz w:val="20"/>
          <w:szCs w:val="20"/>
        </w:rPr>
        <w:t>envasilhamento</w:t>
      </w:r>
      <w:proofErr w:type="spellEnd"/>
      <w:r w:rsidRPr="00040AC2">
        <w:rPr>
          <w:sz w:val="20"/>
          <w:szCs w:val="20"/>
        </w:rPr>
        <w:t xml:space="preserve"> de recipientes transportáveis de marca de que a distribuidora de GLP não é detentora só pode ser feita mediante contrato previamente firmado entre as duas empresas, devidamente homologado pela ANP (</w:t>
      </w:r>
      <w:r>
        <w:rPr>
          <w:sz w:val="20"/>
          <w:szCs w:val="20"/>
        </w:rPr>
        <w:t>art. 21, Resolução ANP n.º 15/05).</w:t>
      </w:r>
    </w:p>
  </w:footnote>
  <w:footnote w:id="5">
    <w:p w:rsidR="00525160" w:rsidRPr="00040AC2" w:rsidRDefault="00525160" w:rsidP="005416FC">
      <w:pPr>
        <w:pStyle w:val="Textodenotaderodap"/>
        <w:rPr>
          <w:sz w:val="20"/>
          <w:szCs w:val="20"/>
        </w:rPr>
      </w:pPr>
      <w:r w:rsidRPr="00040AC2">
        <w:rPr>
          <w:rStyle w:val="Refdenotaderodap"/>
          <w:sz w:val="20"/>
          <w:szCs w:val="20"/>
        </w:rPr>
        <w:footnoteRef/>
      </w:r>
      <w:r w:rsidRPr="00040AC2">
        <w:rPr>
          <w:sz w:val="20"/>
          <w:szCs w:val="20"/>
        </w:rPr>
        <w:t xml:space="preserve"> Em regra o </w:t>
      </w:r>
      <w:proofErr w:type="spellStart"/>
      <w:r w:rsidRPr="00040AC2">
        <w:rPr>
          <w:sz w:val="20"/>
          <w:szCs w:val="20"/>
        </w:rPr>
        <w:t>envasilhamento</w:t>
      </w:r>
      <w:proofErr w:type="spellEnd"/>
      <w:r w:rsidRPr="00040AC2">
        <w:rPr>
          <w:sz w:val="20"/>
          <w:szCs w:val="20"/>
        </w:rPr>
        <w:t xml:space="preserve"> de recipientes transportáveis de marca de que a distribuidora de GLP não é detentora só pode ser feita mediante contrato previamente firmado entre as duas empresas, devidamente homologado pela ANP (</w:t>
      </w:r>
      <w:r>
        <w:rPr>
          <w:sz w:val="20"/>
          <w:szCs w:val="20"/>
        </w:rPr>
        <w:t>art. 21, Resolução ANP n.º 15/05).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42C"/>
    <w:rsid w:val="000303C4"/>
    <w:rsid w:val="000873C6"/>
    <w:rsid w:val="000C742C"/>
    <w:rsid w:val="000D30A1"/>
    <w:rsid w:val="000F43D7"/>
    <w:rsid w:val="00100689"/>
    <w:rsid w:val="001106F6"/>
    <w:rsid w:val="001322FE"/>
    <w:rsid w:val="001361DC"/>
    <w:rsid w:val="00192595"/>
    <w:rsid w:val="001959EF"/>
    <w:rsid w:val="001A100D"/>
    <w:rsid w:val="001A1624"/>
    <w:rsid w:val="001B6DD8"/>
    <w:rsid w:val="001D2C45"/>
    <w:rsid w:val="001D496A"/>
    <w:rsid w:val="001E739F"/>
    <w:rsid w:val="001F74A0"/>
    <w:rsid w:val="00206F72"/>
    <w:rsid w:val="002109D6"/>
    <w:rsid w:val="00241553"/>
    <w:rsid w:val="0026582D"/>
    <w:rsid w:val="002808DC"/>
    <w:rsid w:val="00281F21"/>
    <w:rsid w:val="00287B41"/>
    <w:rsid w:val="0031024E"/>
    <w:rsid w:val="00313D10"/>
    <w:rsid w:val="003B0546"/>
    <w:rsid w:val="003B51EC"/>
    <w:rsid w:val="004477EB"/>
    <w:rsid w:val="004602FD"/>
    <w:rsid w:val="00482F43"/>
    <w:rsid w:val="004854A9"/>
    <w:rsid w:val="00525160"/>
    <w:rsid w:val="00570C4C"/>
    <w:rsid w:val="00586DD3"/>
    <w:rsid w:val="0059033E"/>
    <w:rsid w:val="005E29D6"/>
    <w:rsid w:val="005E686A"/>
    <w:rsid w:val="00624BE1"/>
    <w:rsid w:val="006922D5"/>
    <w:rsid w:val="00693D0D"/>
    <w:rsid w:val="006A3B49"/>
    <w:rsid w:val="006B73C6"/>
    <w:rsid w:val="006C7878"/>
    <w:rsid w:val="00700BE3"/>
    <w:rsid w:val="00735912"/>
    <w:rsid w:val="00762754"/>
    <w:rsid w:val="00774B14"/>
    <w:rsid w:val="00780EAA"/>
    <w:rsid w:val="0085243A"/>
    <w:rsid w:val="00852D24"/>
    <w:rsid w:val="00875400"/>
    <w:rsid w:val="00880D7A"/>
    <w:rsid w:val="008C0A6C"/>
    <w:rsid w:val="008C4A1B"/>
    <w:rsid w:val="008E1D4F"/>
    <w:rsid w:val="008E59E8"/>
    <w:rsid w:val="0091396F"/>
    <w:rsid w:val="009A7203"/>
    <w:rsid w:val="009B33A2"/>
    <w:rsid w:val="009E5AD5"/>
    <w:rsid w:val="00A21653"/>
    <w:rsid w:val="00A3100A"/>
    <w:rsid w:val="00A41273"/>
    <w:rsid w:val="00A94E85"/>
    <w:rsid w:val="00AB7906"/>
    <w:rsid w:val="00B12C3E"/>
    <w:rsid w:val="00B17981"/>
    <w:rsid w:val="00B24010"/>
    <w:rsid w:val="00B74C89"/>
    <w:rsid w:val="00B972B7"/>
    <w:rsid w:val="00BB004F"/>
    <w:rsid w:val="00BD5993"/>
    <w:rsid w:val="00BE272B"/>
    <w:rsid w:val="00BE563B"/>
    <w:rsid w:val="00C01F0B"/>
    <w:rsid w:val="00C13A89"/>
    <w:rsid w:val="00C647E4"/>
    <w:rsid w:val="00CD7D9E"/>
    <w:rsid w:val="00CE545B"/>
    <w:rsid w:val="00CF2605"/>
    <w:rsid w:val="00CF534B"/>
    <w:rsid w:val="00D060D3"/>
    <w:rsid w:val="00D413C1"/>
    <w:rsid w:val="00D5650A"/>
    <w:rsid w:val="00D71436"/>
    <w:rsid w:val="00D75F27"/>
    <w:rsid w:val="00D97C18"/>
    <w:rsid w:val="00DF3010"/>
    <w:rsid w:val="00E36452"/>
    <w:rsid w:val="00E425AB"/>
    <w:rsid w:val="00E44423"/>
    <w:rsid w:val="00E51418"/>
    <w:rsid w:val="00E704E5"/>
    <w:rsid w:val="00E902DA"/>
    <w:rsid w:val="00ED7714"/>
    <w:rsid w:val="00F251FA"/>
    <w:rsid w:val="00F434C5"/>
    <w:rsid w:val="00FD2C11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14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1436"/>
  </w:style>
  <w:style w:type="table" w:styleId="Tabelacomgrade">
    <w:name w:val="Table Grid"/>
    <w:basedOn w:val="Tabelanormal"/>
    <w:uiPriority w:val="59"/>
    <w:rsid w:val="009B33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E44423"/>
    <w:rPr>
      <w:rFonts w:ascii="Cambria" w:eastAsia="MS Mincho" w:hAnsi="Cambria"/>
      <w:sz w:val="24"/>
      <w:szCs w:val="24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44423"/>
    <w:rPr>
      <w:rFonts w:ascii="Cambria" w:eastAsia="MS Mincho" w:hAnsi="Cambria"/>
      <w:sz w:val="24"/>
      <w:szCs w:val="24"/>
      <w:lang w:eastAsia="en-US"/>
    </w:rPr>
  </w:style>
  <w:style w:type="character" w:styleId="Refdenotaderodap">
    <w:name w:val="footnote reference"/>
    <w:uiPriority w:val="99"/>
    <w:unhideWhenUsed/>
    <w:rsid w:val="00E444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oques@anp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xt.anp.gov.br/NXT/gateway.dll/leg/resolucoes_anp/NXT/gateway.dll?f=id$id=RANP%2017%20-%20200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B8B62-0A4A-485B-8752-ED950B04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4576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29742</CharactersWithSpaces>
  <SharedDoc>false</SharedDoc>
  <HLinks>
    <vt:vector size="6" baseType="variant">
      <vt:variant>
        <vt:i4>8060935</vt:i4>
      </vt:variant>
      <vt:variant>
        <vt:i4>0</vt:i4>
      </vt:variant>
      <vt:variant>
        <vt:i4>0</vt:i4>
      </vt:variant>
      <vt:variant>
        <vt:i4>5</vt:i4>
      </vt:variant>
      <vt:variant>
        <vt:lpwstr>mailto:abastecimento@anp.gov.br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3</cp:revision>
  <cp:lastPrinted>2010-12-28T18:08:00Z</cp:lastPrinted>
  <dcterms:created xsi:type="dcterms:W3CDTF">2014-11-06T14:03:00Z</dcterms:created>
  <dcterms:modified xsi:type="dcterms:W3CDTF">2014-11-06T14:06:00Z</dcterms:modified>
</cp:coreProperties>
</file>