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A0" w:rsidRDefault="006D4AA0" w:rsidP="00EE436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B5A9D" w:rsidRPr="001560AF" w:rsidRDefault="00033F32" w:rsidP="00EE4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0AF">
        <w:rPr>
          <w:rFonts w:ascii="Times New Roman" w:hAnsi="Times New Roman" w:cs="Times New Roman"/>
          <w:b/>
          <w:sz w:val="28"/>
          <w:szCs w:val="28"/>
        </w:rPr>
        <w:t xml:space="preserve">NOTA TÉCNICA N° </w:t>
      </w:r>
      <w:r w:rsidR="00DD1503">
        <w:rPr>
          <w:rFonts w:ascii="Times New Roman" w:hAnsi="Times New Roman" w:cs="Times New Roman"/>
          <w:b/>
          <w:sz w:val="28"/>
          <w:szCs w:val="28"/>
        </w:rPr>
        <w:t>08</w:t>
      </w:r>
      <w:r w:rsidRPr="001560AF">
        <w:rPr>
          <w:rFonts w:ascii="Times New Roman" w:hAnsi="Times New Roman" w:cs="Times New Roman"/>
          <w:b/>
          <w:sz w:val="28"/>
          <w:szCs w:val="28"/>
        </w:rPr>
        <w:t>/2013</w:t>
      </w:r>
      <w:r>
        <w:rPr>
          <w:rFonts w:ascii="Times New Roman" w:hAnsi="Times New Roman" w:cs="Times New Roman"/>
          <w:b/>
          <w:sz w:val="28"/>
          <w:szCs w:val="28"/>
        </w:rPr>
        <w:t>/SEC</w:t>
      </w:r>
    </w:p>
    <w:p w:rsidR="00943672" w:rsidRPr="001560AF" w:rsidRDefault="00A15997" w:rsidP="00EE43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60AF">
        <w:rPr>
          <w:rFonts w:ascii="Times New Roman" w:hAnsi="Times New Roman" w:cs="Times New Roman"/>
          <w:sz w:val="28"/>
          <w:szCs w:val="28"/>
        </w:rPr>
        <w:t xml:space="preserve">Levantamento e Tratamento do </w:t>
      </w:r>
      <w:r w:rsidR="00240E39" w:rsidRPr="001560AF">
        <w:rPr>
          <w:rFonts w:ascii="Times New Roman" w:hAnsi="Times New Roman" w:cs="Times New Roman"/>
          <w:sz w:val="28"/>
          <w:szCs w:val="28"/>
        </w:rPr>
        <w:t>Estoque Regulatório</w:t>
      </w:r>
      <w:r w:rsidRPr="001560AF">
        <w:rPr>
          <w:rFonts w:ascii="Times New Roman" w:hAnsi="Times New Roman" w:cs="Times New Roman"/>
          <w:sz w:val="28"/>
          <w:szCs w:val="28"/>
        </w:rPr>
        <w:t xml:space="preserve"> da Agência Nacional do Petróleo, Gás </w:t>
      </w:r>
      <w:proofErr w:type="gramStart"/>
      <w:r w:rsidRPr="001560AF">
        <w:rPr>
          <w:rFonts w:ascii="Times New Roman" w:hAnsi="Times New Roman" w:cs="Times New Roman"/>
          <w:sz w:val="28"/>
          <w:szCs w:val="28"/>
        </w:rPr>
        <w:t>Natural e Biocombustíveis</w:t>
      </w:r>
      <w:proofErr w:type="gramEnd"/>
      <w:r w:rsidRPr="001560AF">
        <w:rPr>
          <w:rFonts w:ascii="Times New Roman" w:hAnsi="Times New Roman" w:cs="Times New Roman"/>
          <w:sz w:val="28"/>
          <w:szCs w:val="28"/>
        </w:rPr>
        <w:t xml:space="preserve"> (ANP)</w:t>
      </w:r>
    </w:p>
    <w:p w:rsidR="006D4AA0" w:rsidRDefault="006D4AA0" w:rsidP="00EE43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30AAF" w:rsidRPr="00030AAF" w:rsidRDefault="00030AAF" w:rsidP="00030A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0AAF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030AAF">
        <w:rPr>
          <w:rFonts w:ascii="Times New Roman" w:hAnsi="Times New Roman" w:cs="Times New Roman"/>
          <w:sz w:val="24"/>
          <w:szCs w:val="24"/>
        </w:rPr>
        <w:t>: Processo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AAF">
        <w:rPr>
          <w:rFonts w:ascii="Times New Roman" w:hAnsi="Times New Roman" w:cs="Times New Roman"/>
          <w:sz w:val="24"/>
          <w:szCs w:val="24"/>
        </w:rPr>
        <w:t>48610.001089/2013-01</w:t>
      </w:r>
    </w:p>
    <w:p w:rsidR="006D4AA0" w:rsidRPr="00A15997" w:rsidRDefault="006D4AA0" w:rsidP="00EE43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E4365" w:rsidRPr="00A15997" w:rsidRDefault="00E27057" w:rsidP="00AB7C12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pict>
          <v:roundrect id="_x0000_s1027" style="position:absolute;left:0;text-align:left;margin-left:-4.2pt;margin-top:10.4pt;width:429.3pt;height:19.7pt;z-index:-251658240" arcsize="10923f" fillcolor="#ddd8c2 [2894]"/>
        </w:pict>
      </w:r>
      <w:r w:rsidR="00EE4365" w:rsidRPr="00A15997">
        <w:rPr>
          <w:rFonts w:ascii="Times New Roman" w:hAnsi="Times New Roman" w:cs="Times New Roman"/>
          <w:sz w:val="28"/>
          <w:szCs w:val="28"/>
        </w:rPr>
        <w:t xml:space="preserve">I </w:t>
      </w:r>
      <w:r w:rsidR="001560AF">
        <w:rPr>
          <w:rFonts w:ascii="Times New Roman" w:hAnsi="Times New Roman" w:cs="Times New Roman"/>
          <w:sz w:val="28"/>
          <w:szCs w:val="28"/>
        </w:rPr>
        <w:t>-</w:t>
      </w:r>
      <w:r w:rsidR="00EE4365" w:rsidRPr="00A15997">
        <w:rPr>
          <w:rFonts w:ascii="Times New Roman" w:hAnsi="Times New Roman" w:cs="Times New Roman"/>
          <w:sz w:val="28"/>
          <w:szCs w:val="28"/>
        </w:rPr>
        <w:t xml:space="preserve"> Contextualização</w:t>
      </w:r>
    </w:p>
    <w:p w:rsidR="00DB6DCD" w:rsidRDefault="00DB6DCD" w:rsidP="000278D1">
      <w:pPr>
        <w:autoSpaceDE w:val="0"/>
        <w:autoSpaceDN w:val="0"/>
        <w:adjustRightInd w:val="0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A49" w:rsidRDefault="00FA5F4A" w:rsidP="000278D1">
      <w:pPr>
        <w:autoSpaceDE w:val="0"/>
        <w:autoSpaceDN w:val="0"/>
        <w:adjustRightInd w:val="0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o processo de </w:t>
      </w:r>
      <w:r w:rsidR="00A15997" w:rsidRPr="00A15997">
        <w:rPr>
          <w:rFonts w:ascii="Times New Roman" w:hAnsi="Times New Roman" w:cs="Times New Roman"/>
          <w:sz w:val="24"/>
          <w:szCs w:val="24"/>
        </w:rPr>
        <w:t xml:space="preserve">elaboração da Agenda Regulatória ANP 2013 – 2014, </w:t>
      </w:r>
      <w:r>
        <w:rPr>
          <w:rFonts w:ascii="Times New Roman" w:hAnsi="Times New Roman" w:cs="Times New Roman"/>
          <w:sz w:val="24"/>
          <w:szCs w:val="24"/>
        </w:rPr>
        <w:t xml:space="preserve">a Secretaria Executiva (SEC) realizou o levantamento </w:t>
      </w:r>
      <w:r w:rsidR="00174C05">
        <w:rPr>
          <w:rFonts w:ascii="Times New Roman" w:hAnsi="Times New Roman" w:cs="Times New Roman"/>
          <w:sz w:val="24"/>
          <w:szCs w:val="24"/>
        </w:rPr>
        <w:t>de todo o</w:t>
      </w:r>
      <w:r>
        <w:rPr>
          <w:rFonts w:ascii="Times New Roman" w:hAnsi="Times New Roman" w:cs="Times New Roman"/>
          <w:sz w:val="24"/>
          <w:szCs w:val="24"/>
        </w:rPr>
        <w:t xml:space="preserve"> Estoque Regulatório da ANP, visando</w:t>
      </w:r>
      <w:r w:rsidR="00A15997" w:rsidRPr="00A15997">
        <w:rPr>
          <w:rFonts w:ascii="Times New Roman" w:hAnsi="Times New Roman" w:cs="Times New Roman"/>
          <w:sz w:val="24"/>
          <w:szCs w:val="24"/>
        </w:rPr>
        <w:t xml:space="preserve"> </w:t>
      </w:r>
      <w:r w:rsidR="00174C05" w:rsidRPr="00A15997">
        <w:rPr>
          <w:rFonts w:ascii="Times New Roman" w:hAnsi="Times New Roman" w:cs="Times New Roman"/>
          <w:sz w:val="24"/>
          <w:szCs w:val="24"/>
        </w:rPr>
        <w:t>à</w:t>
      </w:r>
      <w:r w:rsidR="00A15997" w:rsidRPr="00A15997">
        <w:rPr>
          <w:rFonts w:ascii="Times New Roman" w:hAnsi="Times New Roman" w:cs="Times New Roman"/>
          <w:sz w:val="24"/>
          <w:szCs w:val="24"/>
        </w:rPr>
        <w:t xml:space="preserve"> identificação das normas que necessitam de revisão e que poderiam integrar a Agenda Regulatória.</w:t>
      </w:r>
    </w:p>
    <w:p w:rsidR="0015569D" w:rsidRDefault="00FA5F4A" w:rsidP="00FA5F4A">
      <w:pPr>
        <w:autoSpaceDE w:val="0"/>
        <w:autoSpaceDN w:val="0"/>
        <w:adjustRightInd w:val="0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levantamento do estoque normativo foi feito com base no sistema de legislação disponível </w:t>
      </w:r>
      <w:r w:rsidR="0015569D">
        <w:rPr>
          <w:rFonts w:ascii="Times New Roman" w:hAnsi="Times New Roman" w:cs="Times New Roman"/>
          <w:sz w:val="24"/>
          <w:szCs w:val="24"/>
        </w:rPr>
        <w:t>na página da ANP na internet</w:t>
      </w:r>
      <w:r>
        <w:rPr>
          <w:rFonts w:ascii="Times New Roman" w:hAnsi="Times New Roman" w:cs="Times New Roman"/>
          <w:sz w:val="24"/>
          <w:szCs w:val="24"/>
        </w:rPr>
        <w:t xml:space="preserve"> e inclui</w:t>
      </w:r>
      <w:r w:rsidR="00C94F5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além das normas </w:t>
      </w:r>
      <w:r w:rsidR="0015569D">
        <w:rPr>
          <w:rFonts w:ascii="Times New Roman" w:hAnsi="Times New Roman" w:cs="Times New Roman"/>
          <w:sz w:val="24"/>
          <w:szCs w:val="24"/>
        </w:rPr>
        <w:t>publicadas pela ANP</w:t>
      </w:r>
      <w:r>
        <w:rPr>
          <w:rFonts w:ascii="Times New Roman" w:hAnsi="Times New Roman" w:cs="Times New Roman"/>
          <w:sz w:val="24"/>
          <w:szCs w:val="24"/>
        </w:rPr>
        <w:t xml:space="preserve">, aquelas </w:t>
      </w:r>
      <w:proofErr w:type="gramStart"/>
      <w:r>
        <w:rPr>
          <w:rFonts w:ascii="Times New Roman" w:hAnsi="Times New Roman" w:cs="Times New Roman"/>
          <w:sz w:val="24"/>
          <w:szCs w:val="24"/>
        </w:rPr>
        <w:t>oriundas dos extintos Conselho Nacional do Petróleo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(CNP) e Departamento </w:t>
      </w:r>
      <w:r w:rsidR="0015569D">
        <w:rPr>
          <w:rFonts w:ascii="Times New Roman" w:hAnsi="Times New Roman" w:cs="Times New Roman"/>
          <w:sz w:val="24"/>
          <w:szCs w:val="24"/>
        </w:rPr>
        <w:t>Nacional de Combustíveis (DNC).</w:t>
      </w:r>
    </w:p>
    <w:p w:rsidR="0015569D" w:rsidRDefault="006923B7">
      <w:pPr>
        <w:autoSpaceDE w:val="0"/>
        <w:autoSpaceDN w:val="0"/>
        <w:adjustRightInd w:val="0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A5F4A">
        <w:rPr>
          <w:rFonts w:ascii="Times New Roman" w:hAnsi="Times New Roman" w:cs="Times New Roman"/>
          <w:sz w:val="24"/>
          <w:szCs w:val="24"/>
        </w:rPr>
        <w:t xml:space="preserve"> partir das informações prestadas pelas diversas Unidades Organizacionais (</w:t>
      </w:r>
      <w:proofErr w:type="spellStart"/>
      <w:r w:rsidR="00FA5F4A">
        <w:rPr>
          <w:rFonts w:ascii="Times New Roman" w:hAnsi="Times New Roman" w:cs="Times New Roman"/>
          <w:sz w:val="24"/>
          <w:szCs w:val="24"/>
        </w:rPr>
        <w:t>UORGs</w:t>
      </w:r>
      <w:proofErr w:type="spellEnd"/>
      <w:r w:rsidR="00FA5F4A">
        <w:rPr>
          <w:rFonts w:ascii="Times New Roman" w:hAnsi="Times New Roman" w:cs="Times New Roman"/>
          <w:sz w:val="24"/>
          <w:szCs w:val="24"/>
        </w:rPr>
        <w:t xml:space="preserve">) da </w:t>
      </w:r>
      <w:r w:rsidR="0015569D">
        <w:rPr>
          <w:rFonts w:ascii="Times New Roman" w:hAnsi="Times New Roman" w:cs="Times New Roman"/>
          <w:sz w:val="24"/>
          <w:szCs w:val="24"/>
        </w:rPr>
        <w:t>ANP</w:t>
      </w:r>
      <w:r w:rsidR="00FA5F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SEC pode também </w:t>
      </w:r>
      <w:r w:rsidR="00FA5F4A">
        <w:rPr>
          <w:rFonts w:ascii="Times New Roman" w:hAnsi="Times New Roman" w:cs="Times New Roman"/>
          <w:sz w:val="24"/>
          <w:szCs w:val="24"/>
        </w:rPr>
        <w:t xml:space="preserve">identificar normas candidatas à revogação, </w:t>
      </w:r>
      <w:r>
        <w:rPr>
          <w:rFonts w:ascii="Times New Roman" w:hAnsi="Times New Roman" w:cs="Times New Roman"/>
          <w:sz w:val="24"/>
          <w:szCs w:val="24"/>
        </w:rPr>
        <w:t>por não estarem mais coerentes com o atual arcabouço regulatório</w:t>
      </w:r>
      <w:r w:rsidR="001276E5">
        <w:rPr>
          <w:rFonts w:ascii="Times New Roman" w:hAnsi="Times New Roman" w:cs="Times New Roman"/>
          <w:sz w:val="24"/>
          <w:szCs w:val="24"/>
        </w:rPr>
        <w:t>, subsidiando proposta de tratamento do Estoque Regulatório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6DCD" w:rsidRDefault="00DB6DCD" w:rsidP="00DB6DCD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Estas iniciativas seguem as tendências internacionais que defendem a necessidade de constante atualização, consolidação 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otimização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Estoque Regulatório de forma a manter a regulação eficiente e moderna.</w:t>
      </w:r>
    </w:p>
    <w:p w:rsidR="00DB6DCD" w:rsidRDefault="00DB6DCD" w:rsidP="00DB6DCD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Experiências europeias, por exemplo, no Reino Unido, França e Portugal, adotaram a estratégia de promover ativamente a simplificação regulatória por meio da edição de leis específicas que determinam as diretrizes a serem seguidas e as metas a serem alcançadas.</w:t>
      </w:r>
    </w:p>
    <w:p w:rsidR="00DB6DCD" w:rsidRDefault="00DB6DCD" w:rsidP="00DB6DCD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Nestes casos, a simplificação regulatória envolve a aplicação de diversas técnicas, como a consolidação ou codificação de normas afetas a um mesmo segmento do mercado, a inserção nos atos normativos de cláusulas de revisão, que determinam o período de vigência e obrigam a revisão destes ao seu fim, além da adoção de linguagem mais acessível nas revisões ou novas regulamentações.</w:t>
      </w:r>
    </w:p>
    <w:p w:rsidR="00DB6DCD" w:rsidRDefault="00DB6DCD" w:rsidP="00DB6DCD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Além disso, são desenvolvidos novos modelos regulatórios que visam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real redução da sobrecarga administrativa sobre os mercados regulados, ao minimizar as exigências impostas aos agentes econômicos e simplificar os procedimentos administrativos envolvidos, inclusive harmonizando-os entre as diferentes autoridades governamentais.</w:t>
      </w:r>
    </w:p>
    <w:p w:rsidR="00DB6DCD" w:rsidRDefault="00DB6DCD" w:rsidP="00DB6DCD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Todas estas iniciativas buscam em última análise a promoção de melhorias no desempenho do mercado regulado, estimulando sua competitividade por meio do corte de custos administrativos excessivos.</w:t>
      </w:r>
    </w:p>
    <w:p w:rsidR="00DB6DCD" w:rsidRDefault="00DB6DCD" w:rsidP="00DB6DCD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caso brasileiro, apesar de não haver uma diretriz governamental expressa, medidas como a criação do Programa de Fortalecimento da Capacidade Institucional para Gestão em Regulação (PRO-REG) indicam que a preocupação com a melhoria da qualidade regulatória está presente na agenda governamental.</w:t>
      </w:r>
    </w:p>
    <w:p w:rsidR="00DB6DCD" w:rsidRDefault="00DB6DCD" w:rsidP="00DB6DCD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 caso específico da ANP, com base nos anseios da Diretoria Colegiada, a SEC vem promovendo diversas ações voltadas para a melhoria de sua regulação. Por exemplo, foram realizados com o apoio da SRH diversos treinamentos voltados para a capacitação teórica dos servidores em assuntos como Regulação e Avaliação do Impacto Regulatório (AIR). Além disso, foram desenvolvidos projetos-piloto com a aplicação da AIR no processo de regulamentação, por exemplo,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aditivação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mínima obrigatória da gasolina.</w:t>
      </w:r>
    </w:p>
    <w:p w:rsidR="00DB6DCD" w:rsidRDefault="00DB6DCD" w:rsidP="00DB6DCD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Neste mesmo contexto estão inseridos a elaboração, publicação e acompanhamento da Agenda Regulatória da ANP, assim como o tratamento do Estoque Regulatório.</w:t>
      </w:r>
    </w:p>
    <w:p w:rsidR="00DB6DCD" w:rsidRDefault="00DB6DCD">
      <w:pPr>
        <w:autoSpaceDE w:val="0"/>
        <w:autoSpaceDN w:val="0"/>
        <w:adjustRightInd w:val="0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AE9" w:rsidRPr="00A15997" w:rsidRDefault="00E27057" w:rsidP="00AB7C1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57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pict>
          <v:roundrect id="_x0000_s1028" style="position:absolute;left:0;text-align:left;margin-left:-3.95pt;margin-top:-1.85pt;width:429.3pt;height:19.7pt;z-index:-251657216" arcsize="10923f" fillcolor="#ddd8c2 [2894]"/>
        </w:pict>
      </w:r>
      <w:r w:rsidR="00EE4365" w:rsidRPr="00A15997">
        <w:rPr>
          <w:rFonts w:ascii="Times New Roman" w:hAnsi="Times New Roman" w:cs="Times New Roman"/>
          <w:sz w:val="28"/>
          <w:szCs w:val="28"/>
        </w:rPr>
        <w:t xml:space="preserve">II </w:t>
      </w:r>
      <w:r w:rsidR="001560AF">
        <w:rPr>
          <w:rFonts w:ascii="Times New Roman" w:hAnsi="Times New Roman" w:cs="Times New Roman"/>
          <w:sz w:val="28"/>
          <w:szCs w:val="28"/>
        </w:rPr>
        <w:t>–</w:t>
      </w:r>
      <w:r w:rsidR="00EE4365" w:rsidRPr="00A15997">
        <w:rPr>
          <w:rFonts w:ascii="Times New Roman" w:hAnsi="Times New Roman" w:cs="Times New Roman"/>
          <w:sz w:val="28"/>
          <w:szCs w:val="28"/>
        </w:rPr>
        <w:t xml:space="preserve"> </w:t>
      </w:r>
      <w:r w:rsidR="00A15997" w:rsidRPr="00A15997">
        <w:rPr>
          <w:rFonts w:ascii="Times New Roman" w:hAnsi="Times New Roman" w:cs="Times New Roman"/>
          <w:sz w:val="28"/>
          <w:szCs w:val="28"/>
        </w:rPr>
        <w:t>Metodologia</w:t>
      </w:r>
      <w:r w:rsidR="001560AF">
        <w:rPr>
          <w:rFonts w:ascii="Times New Roman" w:hAnsi="Times New Roman" w:cs="Times New Roman"/>
          <w:sz w:val="28"/>
          <w:szCs w:val="28"/>
        </w:rPr>
        <w:t xml:space="preserve"> de Levantamento</w:t>
      </w:r>
    </w:p>
    <w:p w:rsidR="006D4AA0" w:rsidRPr="00A15997" w:rsidRDefault="006D4AA0" w:rsidP="00AB7C1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72C5C" w:rsidRDefault="00A15997" w:rsidP="000278D1">
      <w:p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2C5C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FA5F4A">
        <w:rPr>
          <w:rFonts w:ascii="Times New Roman" w:hAnsi="Times New Roman" w:cs="Times New Roman"/>
          <w:color w:val="000000"/>
          <w:sz w:val="24"/>
          <w:szCs w:val="24"/>
        </w:rPr>
        <w:t xml:space="preserve">outubro </w:t>
      </w:r>
      <w:r w:rsidR="00F72C5C">
        <w:rPr>
          <w:rFonts w:ascii="Times New Roman" w:hAnsi="Times New Roman" w:cs="Times New Roman"/>
          <w:color w:val="000000"/>
          <w:sz w:val="24"/>
          <w:szCs w:val="24"/>
        </w:rPr>
        <w:t xml:space="preserve">de 2012, a SEC iniciou </w:t>
      </w:r>
      <w:r w:rsidR="00FA5F4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F72C5C">
        <w:rPr>
          <w:rFonts w:ascii="Times New Roman" w:hAnsi="Times New Roman" w:cs="Times New Roman"/>
          <w:color w:val="000000"/>
          <w:sz w:val="24"/>
          <w:szCs w:val="24"/>
        </w:rPr>
        <w:t xml:space="preserve">projeto </w:t>
      </w:r>
      <w:r w:rsidR="00FA5F4A">
        <w:rPr>
          <w:rFonts w:ascii="Times New Roman" w:hAnsi="Times New Roman" w:cs="Times New Roman"/>
          <w:color w:val="000000"/>
          <w:sz w:val="24"/>
          <w:szCs w:val="24"/>
        </w:rPr>
        <w:t xml:space="preserve">de elaboração da Agenda Regulatória da ANP </w:t>
      </w:r>
      <w:r w:rsidR="00F72C5C">
        <w:rPr>
          <w:rFonts w:ascii="Times New Roman" w:hAnsi="Times New Roman" w:cs="Times New Roman"/>
          <w:color w:val="000000"/>
          <w:sz w:val="24"/>
          <w:szCs w:val="24"/>
        </w:rPr>
        <w:t xml:space="preserve">a partir da identificação de todas as normas publicadas pela ANP, CNP e DNC desde 1945. Nesta primeira etapa foram utilizadas as informações do Sistema Legislação da ANP, disponível </w:t>
      </w:r>
      <w:r w:rsidR="0015569D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F72C5C">
        <w:rPr>
          <w:rFonts w:ascii="Times New Roman" w:hAnsi="Times New Roman" w:cs="Times New Roman"/>
          <w:color w:val="000000"/>
          <w:sz w:val="24"/>
          <w:szCs w:val="24"/>
        </w:rPr>
        <w:t xml:space="preserve"> página da ANP na internet e em nossa intranet.</w:t>
      </w:r>
    </w:p>
    <w:p w:rsidR="00F72C5C" w:rsidRDefault="00F72C5C" w:rsidP="000278D1">
      <w:p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Em seguida, todas as normas foram classificadas</w:t>
      </w:r>
      <w:r w:rsidR="00B665D0">
        <w:rPr>
          <w:rFonts w:ascii="Times New Roman" w:hAnsi="Times New Roman" w:cs="Times New Roman"/>
          <w:color w:val="000000"/>
          <w:sz w:val="24"/>
          <w:szCs w:val="24"/>
        </w:rPr>
        <w:t xml:space="preserve">, com o objetivo de identificar as normas </w:t>
      </w:r>
      <w:r w:rsidR="00C74A25">
        <w:rPr>
          <w:rFonts w:ascii="Times New Roman" w:hAnsi="Times New Roman" w:cs="Times New Roman"/>
          <w:color w:val="000000"/>
          <w:sz w:val="24"/>
          <w:szCs w:val="24"/>
        </w:rPr>
        <w:t xml:space="preserve">técnicas </w:t>
      </w:r>
      <w:r w:rsidR="00B665D0">
        <w:rPr>
          <w:rFonts w:ascii="Times New Roman" w:hAnsi="Times New Roman" w:cs="Times New Roman"/>
          <w:color w:val="000000"/>
          <w:sz w:val="24"/>
          <w:szCs w:val="24"/>
        </w:rPr>
        <w:t xml:space="preserve">vigentes e aquelas que já haviam sido revogadas. Além disso, foram identificadas </w:t>
      </w:r>
      <w:r w:rsidR="00B665D0"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normas </w:t>
      </w:r>
      <w:r w:rsidR="0015569D">
        <w:rPr>
          <w:rFonts w:ascii="Times New Roman" w:hAnsi="Times New Roman" w:cs="Times New Roman"/>
          <w:color w:val="000000"/>
          <w:sz w:val="24"/>
          <w:szCs w:val="24"/>
        </w:rPr>
        <w:t xml:space="preserve">de caráter </w:t>
      </w:r>
      <w:r w:rsidR="00C74A25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r w:rsidR="0015569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74A25">
        <w:rPr>
          <w:rFonts w:ascii="Times New Roman" w:hAnsi="Times New Roman" w:cs="Times New Roman"/>
          <w:color w:val="000000"/>
          <w:sz w:val="24"/>
          <w:szCs w:val="24"/>
        </w:rPr>
        <w:t xml:space="preserve">, normas </w:t>
      </w:r>
      <w:r w:rsidR="00B665D0"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que somente alteram normas anteriores, </w:t>
      </w:r>
      <w:r w:rsidR="00B665D0">
        <w:rPr>
          <w:rFonts w:ascii="Times New Roman" w:hAnsi="Times New Roman" w:cs="Times New Roman"/>
          <w:color w:val="000000"/>
          <w:sz w:val="24"/>
          <w:szCs w:val="24"/>
        </w:rPr>
        <w:t>outras que só determinam</w:t>
      </w:r>
      <w:r w:rsidR="00B665D0"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 preços</w:t>
      </w:r>
      <w:r w:rsidR="00B665D0">
        <w:rPr>
          <w:rFonts w:ascii="Times New Roman" w:hAnsi="Times New Roman" w:cs="Times New Roman"/>
          <w:color w:val="000000"/>
          <w:sz w:val="24"/>
          <w:szCs w:val="24"/>
        </w:rPr>
        <w:t xml:space="preserve"> de petróleo, gás </w:t>
      </w:r>
      <w:proofErr w:type="gramStart"/>
      <w:r w:rsidR="00B665D0">
        <w:rPr>
          <w:rFonts w:ascii="Times New Roman" w:hAnsi="Times New Roman" w:cs="Times New Roman"/>
          <w:color w:val="000000"/>
          <w:sz w:val="24"/>
          <w:szCs w:val="24"/>
        </w:rPr>
        <w:t>natural ou derivados (entre outros) para um período</w:t>
      </w:r>
      <w:r w:rsidR="00B665D0" w:rsidRPr="00A15997">
        <w:rPr>
          <w:rFonts w:ascii="Times New Roman" w:hAnsi="Times New Roman" w:cs="Times New Roman"/>
          <w:color w:val="000000"/>
          <w:sz w:val="24"/>
          <w:szCs w:val="24"/>
        </w:rPr>
        <w:t>, e aquelas cujo objeto contempla uma obrigação circunstancial</w:t>
      </w:r>
      <w:proofErr w:type="gramEnd"/>
      <w:r w:rsidR="00B665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5997" w:rsidRPr="00A15997" w:rsidRDefault="00B665D0" w:rsidP="000278D1">
      <w:p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partir dessa classificação, a SEC elaborou a relação de normas técnicas vigentes, que foi encaminhada para 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UORGs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ANP para que estas apontassem </w:t>
      </w:r>
      <w:r w:rsidR="00A15997"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aquelas que guardam relação com as suas atribuições e, entre estas, quais são candidatas à revogação ou revisão e quais devem ser mantidas. </w:t>
      </w:r>
    </w:p>
    <w:p w:rsidR="00A15997" w:rsidRPr="00A15997" w:rsidRDefault="00A15997" w:rsidP="00B665D0">
      <w:p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65D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 SEC consolidou as informações recebidas e identificou as responsabilidades regulatórias de cada UORG, bem como as normas que são afetas a mais de uma UORG. Em função da natureza multidisciplinar de muitos dos regulamentos que compõem o arcabouço regulatório desta Agência, foram detectados casos em que existem indicações divergentes para determinadas normas. </w:t>
      </w:r>
    </w:p>
    <w:p w:rsidR="00A15997" w:rsidRPr="00A15997" w:rsidRDefault="00C74A25" w:rsidP="000278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caso de</w:t>
      </w:r>
      <w:r w:rsidR="00A15997"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 normas que receberam sinalização para revisão por parte de uma UORG e de manutenção por parte de outra, a SEC considerou adequado incluí-las na relação de normas com indicativo de revisão, vez que ao menos uma UORG identificou a necessidade de alterar algum dos seus dispositivos. Todos os registros foram mantidos, para que se possa, futuramente, orientar o processo de revisão da norma promovendo a participação de todas as </w:t>
      </w:r>
      <w:proofErr w:type="spellStart"/>
      <w:r w:rsidR="00A15997" w:rsidRPr="00A15997">
        <w:rPr>
          <w:rFonts w:ascii="Times New Roman" w:hAnsi="Times New Roman" w:cs="Times New Roman"/>
          <w:color w:val="000000"/>
          <w:sz w:val="24"/>
          <w:szCs w:val="24"/>
        </w:rPr>
        <w:t>UORGs</w:t>
      </w:r>
      <w:proofErr w:type="spellEnd"/>
      <w:r w:rsidR="00A15997"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 corresponsáveis.</w:t>
      </w:r>
    </w:p>
    <w:p w:rsidR="00C74A25" w:rsidRDefault="00A15997" w:rsidP="000278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No caso de normas que receberam sinalização para revogação por parte de uma UORG e de manutenção ou revisão por parte de outra, a SEC entrou em contato com as </w:t>
      </w:r>
      <w:proofErr w:type="spellStart"/>
      <w:r w:rsidRPr="00A15997">
        <w:rPr>
          <w:rFonts w:ascii="Times New Roman" w:hAnsi="Times New Roman" w:cs="Times New Roman"/>
          <w:color w:val="000000"/>
          <w:sz w:val="24"/>
          <w:szCs w:val="24"/>
        </w:rPr>
        <w:t>UORGs</w:t>
      </w:r>
      <w:proofErr w:type="spellEnd"/>
      <w:r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 envolvidas para conciliar os entendimentos. </w:t>
      </w:r>
    </w:p>
    <w:p w:rsidR="00A15997" w:rsidRDefault="00A15997" w:rsidP="000278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997">
        <w:rPr>
          <w:rFonts w:ascii="Times New Roman" w:hAnsi="Times New Roman" w:cs="Times New Roman"/>
          <w:color w:val="000000"/>
          <w:sz w:val="24"/>
          <w:szCs w:val="24"/>
        </w:rPr>
        <w:lastRenderedPageBreak/>
        <w:t>A partir desta avaliação conjunta, a SEC consolidou a relação de normas com indicativos de r</w:t>
      </w:r>
      <w:r w:rsidR="00C74A25">
        <w:rPr>
          <w:rFonts w:ascii="Times New Roman" w:hAnsi="Times New Roman" w:cs="Times New Roman"/>
          <w:color w:val="000000"/>
          <w:sz w:val="24"/>
          <w:szCs w:val="24"/>
        </w:rPr>
        <w:t>evogação, revisão ou manutenção</w:t>
      </w:r>
      <w:r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74A25">
        <w:rPr>
          <w:rFonts w:ascii="Times New Roman" w:hAnsi="Times New Roman" w:cs="Times New Roman"/>
          <w:color w:val="000000"/>
          <w:sz w:val="24"/>
          <w:szCs w:val="24"/>
        </w:rPr>
        <w:t>Neste momento, f</w:t>
      </w:r>
      <w:r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oram </w:t>
      </w:r>
      <w:r w:rsidR="00C74A25">
        <w:rPr>
          <w:rFonts w:ascii="Times New Roman" w:hAnsi="Times New Roman" w:cs="Times New Roman"/>
          <w:color w:val="000000"/>
          <w:sz w:val="24"/>
          <w:szCs w:val="24"/>
        </w:rPr>
        <w:t>resgatadas</w:t>
      </w:r>
      <w:r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4A25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A15997">
        <w:rPr>
          <w:rFonts w:ascii="Times New Roman" w:hAnsi="Times New Roman" w:cs="Times New Roman"/>
          <w:color w:val="000000"/>
          <w:sz w:val="24"/>
          <w:szCs w:val="24"/>
        </w:rPr>
        <w:t xml:space="preserve"> normas acessórias que apenas alteram normas anteriores, e estas foram também categorizadas conforme o indicativo que a norma principal recebeu.</w:t>
      </w:r>
    </w:p>
    <w:p w:rsidR="006D4AA0" w:rsidRPr="00DB6DCD" w:rsidRDefault="00C74A25" w:rsidP="00DB6D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 normas administrativas, de preços, ou que envolvem obrigações circunstanciais não foram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analisadas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 escopo deste projeto.</w:t>
      </w:r>
    </w:p>
    <w:p w:rsidR="00C56D65" w:rsidRPr="00A15997" w:rsidRDefault="00E27057" w:rsidP="00AB7C1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57">
        <w:rPr>
          <w:rFonts w:ascii="Times New Roman" w:hAnsi="Times New Roman" w:cs="Times New Roman"/>
          <w:noProof/>
          <w:sz w:val="28"/>
          <w:szCs w:val="28"/>
          <w:u w:val="single"/>
          <w:lang w:eastAsia="pt-BR"/>
        </w:rPr>
        <w:pict>
          <v:roundrect id="_x0000_s1029" style="position:absolute;left:0;text-align:left;margin-left:-3.1pt;margin-top:9.9pt;width:429.3pt;height:19.7pt;z-index:-251656192" arcsize="10923f" fillcolor="#ddd8c2 [2894]"/>
        </w:pict>
      </w:r>
      <w:r w:rsidR="006D4AA0" w:rsidRPr="00A15997">
        <w:rPr>
          <w:rFonts w:ascii="Times New Roman" w:hAnsi="Times New Roman" w:cs="Times New Roman"/>
          <w:sz w:val="28"/>
          <w:szCs w:val="28"/>
        </w:rPr>
        <w:t xml:space="preserve">III </w:t>
      </w:r>
      <w:r w:rsidR="001560AF">
        <w:rPr>
          <w:rFonts w:ascii="Times New Roman" w:hAnsi="Times New Roman" w:cs="Times New Roman"/>
          <w:sz w:val="28"/>
          <w:szCs w:val="28"/>
        </w:rPr>
        <w:t>-</w:t>
      </w:r>
      <w:r w:rsidR="006D4AA0" w:rsidRPr="00A15997">
        <w:rPr>
          <w:rFonts w:ascii="Times New Roman" w:hAnsi="Times New Roman" w:cs="Times New Roman"/>
          <w:sz w:val="28"/>
          <w:szCs w:val="28"/>
        </w:rPr>
        <w:t xml:space="preserve"> </w:t>
      </w:r>
      <w:r w:rsidR="001560AF">
        <w:rPr>
          <w:rFonts w:ascii="Times New Roman" w:hAnsi="Times New Roman" w:cs="Times New Roman"/>
          <w:sz w:val="28"/>
          <w:szCs w:val="28"/>
        </w:rPr>
        <w:t>Tratamento do Estoque Regulatório</w:t>
      </w:r>
    </w:p>
    <w:p w:rsidR="006D4AA0" w:rsidRPr="00A15997" w:rsidRDefault="006D4AA0" w:rsidP="00AB7C1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76E5" w:rsidRDefault="00C74A25" w:rsidP="0086408F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08F">
        <w:rPr>
          <w:rFonts w:ascii="Times New Roman" w:hAnsi="Times New Roman" w:cs="Times New Roman"/>
          <w:color w:val="000000"/>
          <w:sz w:val="24"/>
          <w:szCs w:val="24"/>
        </w:rPr>
        <w:t xml:space="preserve">Com base nesta relação consolidada de normas, </w:t>
      </w:r>
      <w:r w:rsidR="0086408F" w:rsidRPr="0086408F">
        <w:rPr>
          <w:rFonts w:ascii="Times New Roman" w:hAnsi="Times New Roman" w:cs="Times New Roman"/>
          <w:color w:val="000000"/>
          <w:sz w:val="24"/>
          <w:szCs w:val="24"/>
        </w:rPr>
        <w:t>a SEC elaborou sua proposta para tratamento do Estoque Regulatório</w:t>
      </w:r>
      <w:r w:rsidR="001276E5">
        <w:rPr>
          <w:rFonts w:ascii="Times New Roman" w:hAnsi="Times New Roman" w:cs="Times New Roman"/>
          <w:color w:val="000000"/>
          <w:sz w:val="24"/>
          <w:szCs w:val="24"/>
        </w:rPr>
        <w:t>, buscando maior transparência</w:t>
      </w:r>
      <w:r w:rsidR="009563DB">
        <w:rPr>
          <w:rFonts w:ascii="Times New Roman" w:hAnsi="Times New Roman" w:cs="Times New Roman"/>
          <w:color w:val="000000"/>
          <w:sz w:val="24"/>
          <w:szCs w:val="24"/>
        </w:rPr>
        <w:t xml:space="preserve"> e participação social</w:t>
      </w:r>
      <w:r w:rsidR="009F65CA">
        <w:rPr>
          <w:rFonts w:ascii="Times New Roman" w:hAnsi="Times New Roman" w:cs="Times New Roman"/>
          <w:color w:val="000000"/>
          <w:sz w:val="24"/>
          <w:szCs w:val="24"/>
        </w:rPr>
        <w:t xml:space="preserve"> nas revisões e elaborações de normativos</w:t>
      </w:r>
      <w:r w:rsidR="009563DB">
        <w:rPr>
          <w:rFonts w:ascii="Times New Roman" w:hAnsi="Times New Roman" w:cs="Times New Roman"/>
          <w:color w:val="000000"/>
          <w:sz w:val="24"/>
          <w:szCs w:val="24"/>
        </w:rPr>
        <w:t>, além de promover a</w:t>
      </w:r>
      <w:r w:rsidR="001276E5">
        <w:rPr>
          <w:rFonts w:ascii="Times New Roman" w:hAnsi="Times New Roman" w:cs="Times New Roman"/>
          <w:color w:val="000000"/>
          <w:sz w:val="24"/>
          <w:szCs w:val="24"/>
        </w:rPr>
        <w:t xml:space="preserve"> simplificação regulatória</w:t>
      </w:r>
      <w:r w:rsidR="009F65CA">
        <w:rPr>
          <w:rFonts w:ascii="Times New Roman" w:hAnsi="Times New Roman" w:cs="Times New Roman"/>
          <w:color w:val="000000"/>
          <w:sz w:val="24"/>
          <w:szCs w:val="24"/>
        </w:rPr>
        <w:t xml:space="preserve"> com a eliminação de regulações antigas e </w:t>
      </w:r>
      <w:r w:rsidR="00CE7ED2">
        <w:rPr>
          <w:rFonts w:ascii="Times New Roman" w:hAnsi="Times New Roman" w:cs="Times New Roman"/>
          <w:color w:val="000000"/>
          <w:sz w:val="24"/>
          <w:szCs w:val="24"/>
        </w:rPr>
        <w:t>sem efetividade</w:t>
      </w:r>
      <w:r w:rsidR="001276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1040" w:rsidRDefault="008F05FB" w:rsidP="0086408F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 relação à</w:t>
      </w:r>
      <w:r w:rsidR="0086408F">
        <w:rPr>
          <w:rFonts w:ascii="Times New Roman" w:hAnsi="Times New Roman" w:cs="Times New Roman"/>
          <w:color w:val="000000"/>
          <w:sz w:val="24"/>
          <w:szCs w:val="24"/>
        </w:rPr>
        <w:t>s normas com indicativo de manutenção</w:t>
      </w:r>
      <w:r>
        <w:rPr>
          <w:rFonts w:ascii="Times New Roman" w:hAnsi="Times New Roman" w:cs="Times New Roman"/>
          <w:color w:val="000000"/>
          <w:sz w:val="24"/>
          <w:szCs w:val="24"/>
        </w:rPr>
        <w:t>, estas no momento</w:t>
      </w:r>
      <w:r w:rsidR="0086408F">
        <w:rPr>
          <w:rFonts w:ascii="Times New Roman" w:hAnsi="Times New Roman" w:cs="Times New Roman"/>
          <w:color w:val="000000"/>
          <w:sz w:val="24"/>
          <w:szCs w:val="24"/>
        </w:rPr>
        <w:t xml:space="preserve"> não demandam qualquer tratamento</w:t>
      </w:r>
      <w:r w:rsidR="00033F32">
        <w:rPr>
          <w:rFonts w:ascii="Times New Roman" w:hAnsi="Times New Roman" w:cs="Times New Roman"/>
          <w:color w:val="000000"/>
          <w:sz w:val="24"/>
          <w:szCs w:val="24"/>
        </w:rPr>
        <w:t>, devendo apenas ser monitoradas até quando sua atualização se torne necessária</w:t>
      </w:r>
      <w:r w:rsidR="008640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33F32">
        <w:rPr>
          <w:rFonts w:ascii="Times New Roman" w:hAnsi="Times New Roman" w:cs="Times New Roman"/>
          <w:color w:val="000000"/>
          <w:sz w:val="24"/>
          <w:szCs w:val="24"/>
        </w:rPr>
        <w:t>No caso da</w:t>
      </w:r>
      <w:r w:rsidR="0086408F">
        <w:rPr>
          <w:rFonts w:ascii="Times New Roman" w:hAnsi="Times New Roman" w:cs="Times New Roman"/>
          <w:color w:val="000000"/>
          <w:sz w:val="24"/>
          <w:szCs w:val="24"/>
        </w:rPr>
        <w:t>s normas com indicativo de revisão</w:t>
      </w:r>
      <w:r w:rsidR="00033F32">
        <w:rPr>
          <w:rFonts w:ascii="Times New Roman" w:hAnsi="Times New Roman" w:cs="Times New Roman"/>
          <w:color w:val="000000"/>
          <w:sz w:val="24"/>
          <w:szCs w:val="24"/>
        </w:rPr>
        <w:t>, estas</w:t>
      </w:r>
      <w:r w:rsidR="0086408F">
        <w:rPr>
          <w:rFonts w:ascii="Times New Roman" w:hAnsi="Times New Roman" w:cs="Times New Roman"/>
          <w:color w:val="000000"/>
          <w:sz w:val="24"/>
          <w:szCs w:val="24"/>
        </w:rPr>
        <w:t xml:space="preserve"> foram priorizadas pelas </w:t>
      </w:r>
      <w:proofErr w:type="spellStart"/>
      <w:r w:rsidR="0086408F">
        <w:rPr>
          <w:rFonts w:ascii="Times New Roman" w:hAnsi="Times New Roman" w:cs="Times New Roman"/>
          <w:color w:val="000000"/>
          <w:sz w:val="24"/>
          <w:szCs w:val="24"/>
        </w:rPr>
        <w:t>UORGs</w:t>
      </w:r>
      <w:proofErr w:type="spellEnd"/>
      <w:r w:rsidR="0086408F">
        <w:rPr>
          <w:rFonts w:ascii="Times New Roman" w:hAnsi="Times New Roman" w:cs="Times New Roman"/>
          <w:color w:val="000000"/>
          <w:sz w:val="24"/>
          <w:szCs w:val="24"/>
        </w:rPr>
        <w:t xml:space="preserve"> de modo a subsidiar a elaboração da Agenda Regulatória da ANP</w:t>
      </w:r>
      <w:r w:rsidR="00033F32">
        <w:rPr>
          <w:rFonts w:ascii="Times New Roman" w:hAnsi="Times New Roman" w:cs="Times New Roman"/>
          <w:color w:val="000000"/>
          <w:sz w:val="24"/>
          <w:szCs w:val="24"/>
        </w:rPr>
        <w:t xml:space="preserve"> 2013 - 2014</w:t>
      </w:r>
      <w:r w:rsidR="009563DB">
        <w:rPr>
          <w:rFonts w:ascii="Times New Roman" w:hAnsi="Times New Roman" w:cs="Times New Roman"/>
          <w:color w:val="000000"/>
          <w:sz w:val="24"/>
          <w:szCs w:val="24"/>
        </w:rPr>
        <w:t>, instituída por meio da Resolução ANP n° 81/2013</w:t>
      </w:r>
      <w:r w:rsidR="008640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19F4" w:rsidRDefault="0086408F" w:rsidP="0086408F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 demais normas, com indicativo de revogação, foram compiladas e 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 xml:space="preserve">encaminhadas para análise 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>Procuradoria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F32">
        <w:rPr>
          <w:rFonts w:ascii="Times New Roman" w:hAnsi="Times New Roman" w:cs="Times New Roman"/>
          <w:color w:val="000000"/>
          <w:sz w:val="24"/>
          <w:szCs w:val="24"/>
        </w:rPr>
        <w:t>Geral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 xml:space="preserve"> (PRG)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 por meio do Memorando n.º 019/2013/SEC, de 18 de fevereiro de 2013. No aludido documento, a SEC formulou questionamentos sobre a possibilidade de elaboração de ato único de revogação, precedido de consulta pública para a manifestação dos interessados</w:t>
      </w:r>
      <w:r w:rsidR="00033F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15569D">
        <w:rPr>
          <w:rFonts w:ascii="Times New Roman" w:hAnsi="Times New Roman" w:cs="Times New Roman"/>
          <w:color w:val="000000"/>
          <w:sz w:val="24"/>
          <w:szCs w:val="24"/>
        </w:rPr>
        <w:t>quanto à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 sua forma. Em resposta, a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 xml:space="preserve"> PRG 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manifestou-se, por meio do Parecer n.º 95/2013/PF-ANP/PGF/AGU, datado de 11 de março de 2013, de forma favorável </w:t>
      </w:r>
      <w:r w:rsidR="00033F32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 edição de ato único de revogação, sob a forma de “Resolução”,</w:t>
      </w:r>
      <w:r w:rsidR="00174C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tendo recomendado, no entanto, 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>que cada proposta de revogação fosse motivada pela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 xml:space="preserve"> UORG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F1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EF19F4">
        <w:rPr>
          <w:rFonts w:ascii="Times New Roman" w:hAnsi="Times New Roman" w:cs="Times New Roman"/>
          <w:color w:val="000000"/>
          <w:sz w:val="24"/>
          <w:szCs w:val="24"/>
        </w:rPr>
        <w:t>responsável(</w:t>
      </w:r>
      <w:proofErr w:type="gramEnd"/>
      <w:r w:rsidR="00EF19F4">
        <w:rPr>
          <w:rFonts w:ascii="Times New Roman" w:hAnsi="Times New Roman" w:cs="Times New Roman"/>
          <w:color w:val="000000"/>
          <w:sz w:val="24"/>
          <w:szCs w:val="24"/>
        </w:rPr>
        <w:t>is) pela norma a ser revogada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00240" w:rsidRPr="0086408F" w:rsidRDefault="00EF19F4" w:rsidP="0086408F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 partir das recomendações da PRG, a</w:t>
      </w:r>
      <w:r w:rsidR="00600240">
        <w:rPr>
          <w:rFonts w:ascii="Times New Roman" w:hAnsi="Times New Roman" w:cs="Times New Roman"/>
          <w:color w:val="000000"/>
          <w:sz w:val="24"/>
          <w:szCs w:val="24"/>
        </w:rPr>
        <w:t xml:space="preserve"> SEC solicitou que as </w:t>
      </w:r>
      <w:proofErr w:type="spellStart"/>
      <w:r w:rsidR="00600240">
        <w:rPr>
          <w:rFonts w:ascii="Times New Roman" w:hAnsi="Times New Roman" w:cs="Times New Roman"/>
          <w:color w:val="000000"/>
          <w:sz w:val="24"/>
          <w:szCs w:val="24"/>
        </w:rPr>
        <w:t>UORGs</w:t>
      </w:r>
      <w:proofErr w:type="spellEnd"/>
      <w:r w:rsidR="00600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FE3">
        <w:rPr>
          <w:rFonts w:ascii="Times New Roman" w:hAnsi="Times New Roman" w:cs="Times New Roman"/>
          <w:color w:val="000000"/>
          <w:sz w:val="24"/>
          <w:szCs w:val="24"/>
        </w:rPr>
        <w:t>encaminhassem as suas justificativas para a revogação</w:t>
      </w:r>
      <w:r w:rsidR="009554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C6FE3">
        <w:rPr>
          <w:rFonts w:ascii="Times New Roman" w:hAnsi="Times New Roman" w:cs="Times New Roman"/>
          <w:color w:val="000000"/>
          <w:sz w:val="24"/>
          <w:szCs w:val="24"/>
        </w:rPr>
        <w:t xml:space="preserve"> efetu</w:t>
      </w:r>
      <w:r w:rsidR="00955430">
        <w:rPr>
          <w:rFonts w:ascii="Times New Roman" w:hAnsi="Times New Roman" w:cs="Times New Roman"/>
          <w:color w:val="000000"/>
          <w:sz w:val="24"/>
          <w:szCs w:val="24"/>
        </w:rPr>
        <w:t>ando</w:t>
      </w:r>
      <w:r w:rsidR="00BC6F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430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="00BC6FE3">
        <w:rPr>
          <w:rFonts w:ascii="Times New Roman" w:hAnsi="Times New Roman" w:cs="Times New Roman"/>
          <w:color w:val="000000"/>
          <w:sz w:val="24"/>
          <w:szCs w:val="24"/>
        </w:rPr>
        <w:t xml:space="preserve">a compilação, conforme o disposto no Anexo </w:t>
      </w:r>
      <w:r w:rsidR="0095543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C6F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1753F" w:rsidRPr="00A15997" w:rsidRDefault="00E27057" w:rsidP="00AB7C12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27057">
        <w:rPr>
          <w:rFonts w:ascii="Times New Roman" w:hAnsi="Times New Roman" w:cs="Times New Roman"/>
          <w:noProof/>
          <w:sz w:val="28"/>
          <w:szCs w:val="28"/>
          <w:u w:val="single"/>
          <w:lang w:eastAsia="pt-BR"/>
        </w:rPr>
        <w:pict>
          <v:roundrect id="_x0000_s1030" style="position:absolute;left:0;text-align:left;margin-left:-3.45pt;margin-top:-1.1pt;width:429.3pt;height:19.7pt;z-index:-251655168" arcsize="10923f" fillcolor="#ddd8c2 [2894]"/>
        </w:pict>
      </w:r>
      <w:r w:rsidR="001560AF">
        <w:rPr>
          <w:rFonts w:ascii="Times New Roman" w:hAnsi="Times New Roman" w:cs="Times New Roman"/>
          <w:sz w:val="28"/>
          <w:szCs w:val="28"/>
        </w:rPr>
        <w:t>IV -</w:t>
      </w:r>
      <w:r w:rsidR="006D4AA0" w:rsidRPr="00A15997">
        <w:rPr>
          <w:rFonts w:ascii="Times New Roman" w:hAnsi="Times New Roman" w:cs="Times New Roman"/>
          <w:sz w:val="28"/>
          <w:szCs w:val="28"/>
        </w:rPr>
        <w:t xml:space="preserve"> </w:t>
      </w:r>
      <w:r w:rsidR="001077A4" w:rsidRPr="00A15997">
        <w:rPr>
          <w:rFonts w:ascii="Times New Roman" w:hAnsi="Times New Roman" w:cs="Times New Roman"/>
          <w:sz w:val="28"/>
          <w:szCs w:val="28"/>
        </w:rPr>
        <w:t>Conclusão</w:t>
      </w:r>
    </w:p>
    <w:p w:rsidR="006D4AA0" w:rsidRPr="00A15997" w:rsidRDefault="006D4AA0" w:rsidP="00AB7C12">
      <w:pPr>
        <w:spacing w:before="240" w:after="2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286F" w:rsidRDefault="00BC6FE3" w:rsidP="007228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Face ao exposto</w:t>
      </w:r>
      <w:r w:rsidR="007228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SEC submete </w:t>
      </w:r>
      <w:r w:rsidR="00E24C13">
        <w:rPr>
          <w:rFonts w:ascii="Times New Roman" w:hAnsi="Times New Roman" w:cs="Times New Roman"/>
          <w:color w:val="000000"/>
          <w:sz w:val="24"/>
          <w:szCs w:val="24"/>
        </w:rPr>
        <w:t xml:space="preserve">esta proposta de revogação de normas </w:t>
      </w:r>
      <w:r w:rsidR="00DB6DCD">
        <w:rPr>
          <w:rFonts w:ascii="Times New Roman" w:hAnsi="Times New Roman" w:cs="Times New Roman"/>
          <w:color w:val="000000"/>
          <w:sz w:val="24"/>
          <w:szCs w:val="24"/>
        </w:rPr>
        <w:t>à análise e aprovação</w:t>
      </w:r>
      <w:r w:rsidR="00722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6DCD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72286F">
        <w:rPr>
          <w:rFonts w:ascii="Times New Roman" w:hAnsi="Times New Roman" w:cs="Times New Roman"/>
          <w:color w:val="000000"/>
          <w:sz w:val="24"/>
          <w:szCs w:val="24"/>
        </w:rPr>
        <w:t xml:space="preserve"> Diretoria Colegiada da ANP,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tendo como objetivo a abertura </w:t>
      </w:r>
      <w:r w:rsidR="0072286F">
        <w:rPr>
          <w:rFonts w:ascii="Times New Roman" w:hAnsi="Times New Roman" w:cs="Times New Roman"/>
          <w:color w:val="000000"/>
          <w:sz w:val="24"/>
          <w:szCs w:val="24"/>
        </w:rPr>
        <w:t>de Consulta Pública por 30 (trinta) dias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visando receber as manifestações da </w:t>
      </w:r>
      <w:r w:rsidR="0072286F">
        <w:rPr>
          <w:rFonts w:ascii="Times New Roman" w:hAnsi="Times New Roman" w:cs="Times New Roman"/>
          <w:color w:val="000000"/>
          <w:sz w:val="24"/>
          <w:szCs w:val="24"/>
        </w:rPr>
        <w:t>sociedade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2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mercado regulado e </w:t>
      </w:r>
      <w:r w:rsidR="00E24C13">
        <w:rPr>
          <w:rFonts w:ascii="Times New Roman" w:hAnsi="Times New Roman" w:cs="Times New Roman"/>
          <w:color w:val="000000"/>
          <w:sz w:val="24"/>
          <w:szCs w:val="24"/>
        </w:rPr>
        <w:t>de outras instituições públicas.</w:t>
      </w:r>
    </w:p>
    <w:p w:rsidR="003D6118" w:rsidRPr="001560AF" w:rsidRDefault="0072286F" w:rsidP="00722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Após a análise das contribuições, e </w:t>
      </w:r>
      <w:r w:rsidR="00BC6FE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possível revisão da relação final, a ANP poderá prosseguir com </w:t>
      </w:r>
      <w:r w:rsidR="00BC6FE3">
        <w:rPr>
          <w:rFonts w:ascii="Times New Roman" w:hAnsi="Times New Roman" w:cs="Times New Roman"/>
          <w:color w:val="000000"/>
          <w:sz w:val="24"/>
          <w:szCs w:val="24"/>
        </w:rPr>
        <w:t xml:space="preserve">o processo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revogação </w:t>
      </w:r>
      <w:r w:rsidR="00BC6FE3">
        <w:rPr>
          <w:rFonts w:ascii="Times New Roman" w:hAnsi="Times New Roman" w:cs="Times New Roman"/>
          <w:color w:val="000000"/>
          <w:sz w:val="24"/>
          <w:szCs w:val="24"/>
        </w:rPr>
        <w:t xml:space="preserve">dessas </w:t>
      </w:r>
      <w:r>
        <w:rPr>
          <w:rFonts w:ascii="Times New Roman" w:hAnsi="Times New Roman" w:cs="Times New Roman"/>
          <w:color w:val="000000"/>
          <w:sz w:val="24"/>
          <w:szCs w:val="24"/>
        </w:rPr>
        <w:t>normas, o que</w:t>
      </w:r>
      <w:r w:rsidRPr="001560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60AF" w:rsidRPr="001560AF">
        <w:rPr>
          <w:rFonts w:ascii="Times New Roman" w:hAnsi="Times New Roman" w:cs="Times New Roman"/>
          <w:color w:val="000000"/>
          <w:sz w:val="24"/>
          <w:szCs w:val="24"/>
        </w:rPr>
        <w:t>representará um passo significativo na direção da simplificação regulatória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60AF" w:rsidRDefault="001560AF" w:rsidP="003D611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0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2307"/>
        <w:gridCol w:w="2015"/>
        <w:gridCol w:w="2307"/>
      </w:tblGrid>
      <w:tr w:rsidR="00440584" w:rsidRPr="00A15997" w:rsidTr="00240E39">
        <w:trPr>
          <w:gridAfter w:val="1"/>
          <w:wAfter w:w="2307" w:type="dxa"/>
        </w:trPr>
        <w:tc>
          <w:tcPr>
            <w:tcW w:w="4322" w:type="dxa"/>
          </w:tcPr>
          <w:p w:rsidR="00440584" w:rsidRPr="00A15997" w:rsidRDefault="00440584" w:rsidP="00440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97">
              <w:rPr>
                <w:rFonts w:ascii="Times New Roman" w:hAnsi="Times New Roman" w:cs="Times New Roman"/>
                <w:sz w:val="24"/>
                <w:szCs w:val="24"/>
              </w:rPr>
              <w:t>Nota Técnica elaborada por:</w:t>
            </w:r>
          </w:p>
          <w:p w:rsidR="00DB6DCD" w:rsidRDefault="00DB6DCD" w:rsidP="00440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84" w:rsidRPr="00A15997" w:rsidRDefault="00440584" w:rsidP="00440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9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440584" w:rsidRPr="00A15997" w:rsidRDefault="00240E39" w:rsidP="00440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97">
              <w:rPr>
                <w:rFonts w:ascii="Times New Roman" w:hAnsi="Times New Roman" w:cs="Times New Roman"/>
                <w:sz w:val="24"/>
                <w:szCs w:val="24"/>
              </w:rPr>
              <w:t>GUILHERME SHINOHARA</w:t>
            </w:r>
          </w:p>
          <w:p w:rsidR="00440584" w:rsidRPr="00A15997" w:rsidRDefault="00240E39" w:rsidP="003D6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97">
              <w:rPr>
                <w:rFonts w:ascii="Times New Roman" w:hAnsi="Times New Roman" w:cs="Times New Roman"/>
                <w:sz w:val="24"/>
                <w:szCs w:val="24"/>
              </w:rPr>
              <w:t>Analista Administrativo</w:t>
            </w:r>
          </w:p>
          <w:p w:rsidR="00240E39" w:rsidRPr="00A15997" w:rsidRDefault="00240E39" w:rsidP="003D61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dxa"/>
            <w:gridSpan w:val="2"/>
          </w:tcPr>
          <w:p w:rsidR="00440584" w:rsidRPr="00A15997" w:rsidRDefault="00440584" w:rsidP="00440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84" w:rsidRPr="00A15997" w:rsidRDefault="00440584" w:rsidP="004405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84" w:rsidRPr="00A15997" w:rsidRDefault="00440584" w:rsidP="00240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584" w:rsidRPr="00A15997" w:rsidTr="00240E39">
        <w:tc>
          <w:tcPr>
            <w:tcW w:w="6629" w:type="dxa"/>
            <w:gridSpan w:val="2"/>
          </w:tcPr>
          <w:p w:rsidR="00440584" w:rsidRPr="00A15997" w:rsidRDefault="00440584" w:rsidP="00240E39">
            <w:pPr>
              <w:spacing w:line="360" w:lineRule="auto"/>
              <w:ind w:right="-1706"/>
              <w:rPr>
                <w:rFonts w:ascii="Times New Roman" w:hAnsi="Times New Roman" w:cs="Times New Roman"/>
                <w:sz w:val="24"/>
                <w:szCs w:val="24"/>
              </w:rPr>
            </w:pPr>
            <w:r w:rsidRPr="00A15997">
              <w:rPr>
                <w:rFonts w:ascii="Times New Roman" w:hAnsi="Times New Roman" w:cs="Times New Roman"/>
                <w:sz w:val="24"/>
                <w:szCs w:val="24"/>
              </w:rPr>
              <w:t>Revisada por:</w:t>
            </w:r>
          </w:p>
          <w:p w:rsidR="00440584" w:rsidRPr="00A15997" w:rsidRDefault="00440584" w:rsidP="00240E39">
            <w:pPr>
              <w:spacing w:line="360" w:lineRule="auto"/>
              <w:ind w:right="-17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584" w:rsidRPr="00A15997" w:rsidRDefault="00440584" w:rsidP="00240E39">
            <w:pPr>
              <w:spacing w:line="360" w:lineRule="auto"/>
              <w:ind w:right="-1706"/>
              <w:rPr>
                <w:rFonts w:ascii="Times New Roman" w:hAnsi="Times New Roman" w:cs="Times New Roman"/>
                <w:sz w:val="24"/>
                <w:szCs w:val="24"/>
              </w:rPr>
            </w:pPr>
            <w:r w:rsidRPr="00A1599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440584" w:rsidRPr="00A15997" w:rsidRDefault="00240E39" w:rsidP="00240E39">
            <w:pPr>
              <w:spacing w:line="360" w:lineRule="auto"/>
              <w:ind w:right="-1706"/>
              <w:rPr>
                <w:rFonts w:ascii="Times New Roman" w:hAnsi="Times New Roman" w:cs="Times New Roman"/>
                <w:sz w:val="24"/>
                <w:szCs w:val="24"/>
              </w:rPr>
            </w:pPr>
            <w:r w:rsidRPr="00A15997">
              <w:rPr>
                <w:rFonts w:ascii="Times New Roman" w:hAnsi="Times New Roman" w:cs="Times New Roman"/>
                <w:sz w:val="24"/>
                <w:szCs w:val="24"/>
              </w:rPr>
              <w:t>SERGIO ALONSO TRIGO</w:t>
            </w:r>
          </w:p>
          <w:p w:rsidR="00440584" w:rsidRPr="00A15997" w:rsidRDefault="00BC6FE3" w:rsidP="00240E39">
            <w:pPr>
              <w:spacing w:line="360" w:lineRule="auto"/>
              <w:ind w:right="-17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 Técnico</w:t>
            </w:r>
          </w:p>
          <w:p w:rsidR="00240E39" w:rsidRPr="00A15997" w:rsidRDefault="00240E39" w:rsidP="00240E39">
            <w:pPr>
              <w:spacing w:line="360" w:lineRule="auto"/>
              <w:ind w:right="-17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dxa"/>
            <w:gridSpan w:val="2"/>
          </w:tcPr>
          <w:p w:rsidR="00440584" w:rsidRPr="00A15997" w:rsidRDefault="00440584" w:rsidP="00240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0E39" w:rsidRPr="00A15997" w:rsidRDefault="00240E39" w:rsidP="00240E39">
      <w:pPr>
        <w:pStyle w:val="SemEspaamento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5997">
        <w:rPr>
          <w:rFonts w:ascii="Times New Roman" w:eastAsiaTheme="minorHAnsi" w:hAnsi="Times New Roman"/>
          <w:sz w:val="24"/>
          <w:szCs w:val="24"/>
        </w:rPr>
        <w:t>De acordo:</w:t>
      </w:r>
    </w:p>
    <w:p w:rsidR="00240E39" w:rsidRPr="00A15997" w:rsidRDefault="00240E39" w:rsidP="00240E39">
      <w:pPr>
        <w:pStyle w:val="SemEspaamento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40E39" w:rsidRPr="00A15997" w:rsidRDefault="00240E39" w:rsidP="00240E39">
      <w:pPr>
        <w:pStyle w:val="SemEspaamento"/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5997">
        <w:rPr>
          <w:rFonts w:ascii="Times New Roman" w:eastAsiaTheme="minorHAnsi" w:hAnsi="Times New Roman"/>
          <w:sz w:val="24"/>
          <w:szCs w:val="24"/>
        </w:rPr>
        <w:t>_____________________________</w:t>
      </w:r>
    </w:p>
    <w:p w:rsidR="00955430" w:rsidRPr="00955430" w:rsidRDefault="00955430" w:rsidP="00955430">
      <w:pPr>
        <w:rPr>
          <w:rFonts w:ascii="Times New Roman" w:hAnsi="Times New Roman"/>
          <w:sz w:val="24"/>
          <w:szCs w:val="24"/>
        </w:rPr>
      </w:pPr>
      <w:r w:rsidRPr="00955430">
        <w:rPr>
          <w:rFonts w:ascii="Times New Roman" w:hAnsi="Times New Roman"/>
          <w:sz w:val="24"/>
          <w:szCs w:val="24"/>
        </w:rPr>
        <w:t>EDUARDO MARCELO VIANNA DE MENEZES</w:t>
      </w:r>
    </w:p>
    <w:p w:rsidR="00440584" w:rsidRPr="00A15997" w:rsidRDefault="00955430" w:rsidP="00033F3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Subsecretário Executivo</w:t>
      </w:r>
    </w:p>
    <w:sectPr w:rsidR="00440584" w:rsidRPr="00A15997" w:rsidSect="00AF3F6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DCD" w:rsidRDefault="00DB6DCD" w:rsidP="00CC3147">
      <w:pPr>
        <w:spacing w:after="0" w:line="240" w:lineRule="auto"/>
      </w:pPr>
      <w:r>
        <w:separator/>
      </w:r>
    </w:p>
  </w:endnote>
  <w:endnote w:type="continuationSeparator" w:id="0">
    <w:p w:rsidR="00DB6DCD" w:rsidRDefault="00DB6DCD" w:rsidP="00CC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5747"/>
      <w:docPartObj>
        <w:docPartGallery w:val="Page Numbers (Bottom of Page)"/>
        <w:docPartUnique/>
      </w:docPartObj>
    </w:sdtPr>
    <w:sdtContent>
      <w:p w:rsidR="00DB6DCD" w:rsidRDefault="00E27057">
        <w:pPr>
          <w:pStyle w:val="Rodap"/>
          <w:jc w:val="right"/>
        </w:pPr>
        <w:fldSimple w:instr=" PAGE   \* MERGEFORMAT ">
          <w:r w:rsidR="00E24C13">
            <w:rPr>
              <w:noProof/>
            </w:rPr>
            <w:t>1</w:t>
          </w:r>
        </w:fldSimple>
      </w:p>
    </w:sdtContent>
  </w:sdt>
  <w:p w:rsidR="00DB6DCD" w:rsidRDefault="00DB6D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DCD" w:rsidRDefault="00DB6DCD" w:rsidP="00CC3147">
      <w:pPr>
        <w:spacing w:after="0" w:line="240" w:lineRule="auto"/>
      </w:pPr>
      <w:r>
        <w:separator/>
      </w:r>
    </w:p>
  </w:footnote>
  <w:footnote w:type="continuationSeparator" w:id="0">
    <w:p w:rsidR="00DB6DCD" w:rsidRDefault="00DB6DCD" w:rsidP="00CC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CD" w:rsidRDefault="00DB6DCD" w:rsidP="00EE4365">
    <w:pPr>
      <w:pStyle w:val="Cabealho"/>
      <w:rPr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242276</wp:posOffset>
          </wp:positionH>
          <wp:positionV relativeFrom="paragraph">
            <wp:posOffset>-53794</wp:posOffset>
          </wp:positionV>
          <wp:extent cx="465446" cy="784792"/>
          <wp:effectExtent l="19050" t="0" r="0" b="0"/>
          <wp:wrapNone/>
          <wp:docPr id="1" name="Imagem 1" descr="logoANP_v_simp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NP_v_simpl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73" cy="790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ab/>
    </w:r>
    <w:r>
      <w:rPr>
        <w:sz w:val="28"/>
        <w:szCs w:val="28"/>
      </w:rPr>
      <w:tab/>
    </w:r>
  </w:p>
  <w:p w:rsidR="00DB6DCD" w:rsidRDefault="00DB6DCD" w:rsidP="00EE4365">
    <w:pPr>
      <w:pStyle w:val="Cabealho"/>
      <w:tabs>
        <w:tab w:val="left" w:pos="720"/>
      </w:tabs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C3243D">
      <w:rPr>
        <w:sz w:val="28"/>
        <w:szCs w:val="28"/>
      </w:rPr>
      <w:t>SECRETARIA EXECUTIVA</w:t>
    </w:r>
    <w:r w:rsidRPr="00C3243D" w:rsidDel="00C3243D">
      <w:rPr>
        <w:sz w:val="28"/>
        <w:szCs w:val="28"/>
      </w:rPr>
      <w:t xml:space="preserve"> </w:t>
    </w:r>
  </w:p>
  <w:p w:rsidR="00DB6DCD" w:rsidRDefault="00DB6DCD">
    <w:pPr>
      <w:pStyle w:val="Cabealho"/>
    </w:pPr>
  </w:p>
  <w:p w:rsidR="00DB6DCD" w:rsidRDefault="00DB6DCD">
    <w:pPr>
      <w:pStyle w:val="Cabealho"/>
    </w:pPr>
  </w:p>
  <w:p w:rsidR="00DB6DCD" w:rsidRDefault="00DB6DCD">
    <w:pPr>
      <w:pStyle w:val="Cabealho"/>
    </w:pPr>
  </w:p>
  <w:p w:rsidR="00DB6DCD" w:rsidRDefault="00DB6D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4AF"/>
    <w:multiLevelType w:val="hybridMultilevel"/>
    <w:tmpl w:val="212A9C8A"/>
    <w:lvl w:ilvl="0" w:tplc="A6E88A3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885F92"/>
    <w:multiLevelType w:val="hybridMultilevel"/>
    <w:tmpl w:val="283293C6"/>
    <w:lvl w:ilvl="0" w:tplc="D16EF6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E42E4"/>
    <w:multiLevelType w:val="hybridMultilevel"/>
    <w:tmpl w:val="41804C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1A7E"/>
    <w:multiLevelType w:val="hybridMultilevel"/>
    <w:tmpl w:val="CA2EED4C"/>
    <w:lvl w:ilvl="0" w:tplc="3E8CFD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4EB0"/>
    <w:multiLevelType w:val="hybridMultilevel"/>
    <w:tmpl w:val="64E2901C"/>
    <w:lvl w:ilvl="0" w:tplc="03DC80BC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22971"/>
    <w:multiLevelType w:val="hybridMultilevel"/>
    <w:tmpl w:val="3014F50E"/>
    <w:lvl w:ilvl="0" w:tplc="43F45B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65F77"/>
    <w:multiLevelType w:val="hybridMultilevel"/>
    <w:tmpl w:val="335C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A9D"/>
    <w:rsid w:val="00011651"/>
    <w:rsid w:val="00016477"/>
    <w:rsid w:val="000278D1"/>
    <w:rsid w:val="00030AAF"/>
    <w:rsid w:val="000327C5"/>
    <w:rsid w:val="00033F32"/>
    <w:rsid w:val="00046AA8"/>
    <w:rsid w:val="00050B48"/>
    <w:rsid w:val="00072E39"/>
    <w:rsid w:val="00074318"/>
    <w:rsid w:val="00091828"/>
    <w:rsid w:val="000A2DD9"/>
    <w:rsid w:val="000C38D5"/>
    <w:rsid w:val="000C6BBB"/>
    <w:rsid w:val="000C7771"/>
    <w:rsid w:val="001077A4"/>
    <w:rsid w:val="001276E5"/>
    <w:rsid w:val="00130972"/>
    <w:rsid w:val="00142477"/>
    <w:rsid w:val="0015569D"/>
    <w:rsid w:val="001560AF"/>
    <w:rsid w:val="00160AC6"/>
    <w:rsid w:val="001640B9"/>
    <w:rsid w:val="00174C05"/>
    <w:rsid w:val="001A4DA1"/>
    <w:rsid w:val="001B3332"/>
    <w:rsid w:val="001B3957"/>
    <w:rsid w:val="001F1040"/>
    <w:rsid w:val="001F2E13"/>
    <w:rsid w:val="002160D4"/>
    <w:rsid w:val="00220190"/>
    <w:rsid w:val="00240E39"/>
    <w:rsid w:val="002430CA"/>
    <w:rsid w:val="002903D3"/>
    <w:rsid w:val="002A4DBC"/>
    <w:rsid w:val="002B4CB0"/>
    <w:rsid w:val="00312362"/>
    <w:rsid w:val="0031672D"/>
    <w:rsid w:val="00317A92"/>
    <w:rsid w:val="00361D04"/>
    <w:rsid w:val="00377C87"/>
    <w:rsid w:val="00387A30"/>
    <w:rsid w:val="003B03DA"/>
    <w:rsid w:val="003C36DA"/>
    <w:rsid w:val="003D6118"/>
    <w:rsid w:val="00416DEA"/>
    <w:rsid w:val="00427AE9"/>
    <w:rsid w:val="00432818"/>
    <w:rsid w:val="00440584"/>
    <w:rsid w:val="00470DAE"/>
    <w:rsid w:val="00495FBB"/>
    <w:rsid w:val="004A51D3"/>
    <w:rsid w:val="004B5A9D"/>
    <w:rsid w:val="004C2AEE"/>
    <w:rsid w:val="004D199E"/>
    <w:rsid w:val="0052449E"/>
    <w:rsid w:val="00543435"/>
    <w:rsid w:val="00567BF3"/>
    <w:rsid w:val="005729C0"/>
    <w:rsid w:val="0058692F"/>
    <w:rsid w:val="00600240"/>
    <w:rsid w:val="00620926"/>
    <w:rsid w:val="00620D1F"/>
    <w:rsid w:val="00626D1F"/>
    <w:rsid w:val="0063792B"/>
    <w:rsid w:val="00645B61"/>
    <w:rsid w:val="00660D3C"/>
    <w:rsid w:val="006923B7"/>
    <w:rsid w:val="00692E0D"/>
    <w:rsid w:val="00697EE1"/>
    <w:rsid w:val="006B5E97"/>
    <w:rsid w:val="006B7ED9"/>
    <w:rsid w:val="006D0BB6"/>
    <w:rsid w:val="006D4AA0"/>
    <w:rsid w:val="006F09B2"/>
    <w:rsid w:val="00721AA8"/>
    <w:rsid w:val="0072286F"/>
    <w:rsid w:val="00730925"/>
    <w:rsid w:val="00787E14"/>
    <w:rsid w:val="007B33A2"/>
    <w:rsid w:val="007E371D"/>
    <w:rsid w:val="008234D7"/>
    <w:rsid w:val="00834C2B"/>
    <w:rsid w:val="008455C1"/>
    <w:rsid w:val="0085257F"/>
    <w:rsid w:val="0086408F"/>
    <w:rsid w:val="00870695"/>
    <w:rsid w:val="00871AE0"/>
    <w:rsid w:val="008C36A7"/>
    <w:rsid w:val="008F05FB"/>
    <w:rsid w:val="008F3928"/>
    <w:rsid w:val="008F424F"/>
    <w:rsid w:val="0091753F"/>
    <w:rsid w:val="00935B71"/>
    <w:rsid w:val="00936771"/>
    <w:rsid w:val="00943672"/>
    <w:rsid w:val="00955430"/>
    <w:rsid w:val="009563DB"/>
    <w:rsid w:val="00987C2A"/>
    <w:rsid w:val="009A3265"/>
    <w:rsid w:val="009C26B7"/>
    <w:rsid w:val="009F65CA"/>
    <w:rsid w:val="00A15997"/>
    <w:rsid w:val="00A2487F"/>
    <w:rsid w:val="00A431E4"/>
    <w:rsid w:val="00A60650"/>
    <w:rsid w:val="00AB7C12"/>
    <w:rsid w:val="00AD68A5"/>
    <w:rsid w:val="00AE5757"/>
    <w:rsid w:val="00AF3F65"/>
    <w:rsid w:val="00B34108"/>
    <w:rsid w:val="00B3617B"/>
    <w:rsid w:val="00B37339"/>
    <w:rsid w:val="00B665D0"/>
    <w:rsid w:val="00BB2C08"/>
    <w:rsid w:val="00BB2FD2"/>
    <w:rsid w:val="00BC6FE3"/>
    <w:rsid w:val="00BF0849"/>
    <w:rsid w:val="00BF46D4"/>
    <w:rsid w:val="00BF7AF0"/>
    <w:rsid w:val="00C13A49"/>
    <w:rsid w:val="00C56D65"/>
    <w:rsid w:val="00C74A25"/>
    <w:rsid w:val="00C904D4"/>
    <w:rsid w:val="00C94F56"/>
    <w:rsid w:val="00CC3147"/>
    <w:rsid w:val="00CE7ED2"/>
    <w:rsid w:val="00D14537"/>
    <w:rsid w:val="00D15D41"/>
    <w:rsid w:val="00D221D7"/>
    <w:rsid w:val="00D30A8B"/>
    <w:rsid w:val="00D65FB1"/>
    <w:rsid w:val="00D757B6"/>
    <w:rsid w:val="00DA748F"/>
    <w:rsid w:val="00DB6DCD"/>
    <w:rsid w:val="00DD1503"/>
    <w:rsid w:val="00E24C13"/>
    <w:rsid w:val="00E27057"/>
    <w:rsid w:val="00E32DBA"/>
    <w:rsid w:val="00E40D5C"/>
    <w:rsid w:val="00E55B3B"/>
    <w:rsid w:val="00E7013D"/>
    <w:rsid w:val="00E718C0"/>
    <w:rsid w:val="00EA18DF"/>
    <w:rsid w:val="00EB407D"/>
    <w:rsid w:val="00EC45E8"/>
    <w:rsid w:val="00ED0B88"/>
    <w:rsid w:val="00EE051A"/>
    <w:rsid w:val="00EE4365"/>
    <w:rsid w:val="00EF19F4"/>
    <w:rsid w:val="00F04759"/>
    <w:rsid w:val="00F115B6"/>
    <w:rsid w:val="00F213F7"/>
    <w:rsid w:val="00F42A77"/>
    <w:rsid w:val="00F4576C"/>
    <w:rsid w:val="00F72C5C"/>
    <w:rsid w:val="00F90AB8"/>
    <w:rsid w:val="00FA5F4A"/>
    <w:rsid w:val="00FB1732"/>
    <w:rsid w:val="00FC0CFF"/>
    <w:rsid w:val="00FD17D5"/>
    <w:rsid w:val="00FD3230"/>
    <w:rsid w:val="00FF0262"/>
    <w:rsid w:val="00FF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0262"/>
    <w:pPr>
      <w:ind w:left="720"/>
      <w:contextualSpacing/>
    </w:pPr>
    <w:rPr>
      <w:rFonts w:ascii="Calibri" w:eastAsia="Calibri" w:hAnsi="Calibri" w:cs="Times New Roman"/>
      <w:lang w:val="es-MX"/>
    </w:rPr>
  </w:style>
  <w:style w:type="paragraph" w:styleId="Cabealho">
    <w:name w:val="header"/>
    <w:basedOn w:val="Normal"/>
    <w:link w:val="CabealhoChar"/>
    <w:uiPriority w:val="99"/>
    <w:unhideWhenUsed/>
    <w:rsid w:val="00CC3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147"/>
  </w:style>
  <w:style w:type="paragraph" w:styleId="Rodap">
    <w:name w:val="footer"/>
    <w:basedOn w:val="Normal"/>
    <w:link w:val="RodapChar"/>
    <w:uiPriority w:val="99"/>
    <w:unhideWhenUsed/>
    <w:rsid w:val="00CC3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147"/>
  </w:style>
  <w:style w:type="character" w:customStyle="1" w:styleId="highlightedsearchterm">
    <w:name w:val="highlightedsearchterm"/>
    <w:basedOn w:val="Fontepargpadro"/>
    <w:rsid w:val="00D221D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24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247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4247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36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D6118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4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1A8D5-24AC-47A5-9322-544FE3F0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1310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14</cp:revision>
  <cp:lastPrinted>2013-09-24T19:45:00Z</cp:lastPrinted>
  <dcterms:created xsi:type="dcterms:W3CDTF">2013-09-03T16:27:00Z</dcterms:created>
  <dcterms:modified xsi:type="dcterms:W3CDTF">2013-09-24T19:47:00Z</dcterms:modified>
</cp:coreProperties>
</file>