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3" w:rsidRDefault="006A452D" w:rsidP="00171567">
      <w:pPr>
        <w:spacing w:after="120" w:line="276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2D7002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ASSUNTO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EE4C19">
        <w:rPr>
          <w:rFonts w:ascii="Arial" w:eastAsia="Calibri" w:hAnsi="Arial" w:cs="Arial"/>
          <w:color w:val="000000"/>
          <w:sz w:val="22"/>
          <w:szCs w:val="22"/>
          <w:lang w:eastAsia="pt-BR"/>
        </w:rPr>
        <w:t>Revisão da Resolução ANP nº 2</w:t>
      </w:r>
      <w:r w:rsidR="0030527F">
        <w:rPr>
          <w:rFonts w:ascii="Arial" w:eastAsia="Calibri" w:hAnsi="Arial" w:cs="Arial"/>
          <w:color w:val="000000"/>
          <w:sz w:val="22"/>
          <w:szCs w:val="22"/>
          <w:lang w:eastAsia="pt-BR"/>
        </w:rPr>
        <w:t>6</w:t>
      </w:r>
      <w:r w:rsidR="00EE4C1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de </w:t>
      </w:r>
      <w:r w:rsidR="0030527F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30/08/2012 </w:t>
      </w:r>
      <w:r w:rsidR="00EE4C1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que </w:t>
      </w:r>
      <w:r w:rsidR="00EE4C19" w:rsidRPr="00B71686">
        <w:rPr>
          <w:rFonts w:ascii="Arial" w:hAnsi="Arial" w:cs="Arial"/>
          <w:sz w:val="22"/>
          <w:szCs w:val="22"/>
        </w:rPr>
        <w:t xml:space="preserve">regulamenta </w:t>
      </w:r>
      <w:r w:rsidR="00EE4C19">
        <w:rPr>
          <w:rFonts w:ascii="Arial" w:hAnsi="Arial" w:cs="Arial"/>
          <w:sz w:val="22"/>
          <w:szCs w:val="22"/>
        </w:rPr>
        <w:t xml:space="preserve">a atividade de produção de </w:t>
      </w:r>
      <w:r w:rsidR="0030527F">
        <w:rPr>
          <w:rFonts w:ascii="Arial" w:hAnsi="Arial" w:cs="Arial"/>
          <w:sz w:val="22"/>
          <w:szCs w:val="22"/>
        </w:rPr>
        <w:t>etanol</w:t>
      </w:r>
      <w:r w:rsidR="00EE4C19">
        <w:rPr>
          <w:rFonts w:ascii="Arial" w:hAnsi="Arial" w:cs="Arial"/>
          <w:sz w:val="22"/>
          <w:szCs w:val="22"/>
        </w:rPr>
        <w:t>.</w:t>
      </w:r>
    </w:p>
    <w:p w:rsidR="001C6453" w:rsidRPr="006A452D" w:rsidRDefault="006A452D" w:rsidP="00171567">
      <w:pPr>
        <w:spacing w:after="120" w:line="276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2D7002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REFERÊNCIA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 w:rsidR="000F6CF0">
        <w:rPr>
          <w:rFonts w:ascii="Arial" w:eastAsia="Calibri" w:hAnsi="Arial" w:cs="Arial"/>
          <w:color w:val="000000"/>
          <w:sz w:val="22"/>
          <w:szCs w:val="22"/>
          <w:lang w:eastAsia="pt-BR"/>
        </w:rPr>
        <w:t>Processo ANP nº 48610.</w:t>
      </w:r>
      <w:r w:rsidR="007234DE">
        <w:rPr>
          <w:rFonts w:ascii="Arial" w:eastAsia="Calibri" w:hAnsi="Arial" w:cs="Arial"/>
          <w:color w:val="000000"/>
          <w:sz w:val="22"/>
          <w:szCs w:val="22"/>
          <w:lang w:eastAsia="pt-BR"/>
        </w:rPr>
        <w:t>008314/</w:t>
      </w:r>
      <w:r w:rsidR="000F6CF0" w:rsidRPr="003F3C9F">
        <w:rPr>
          <w:rFonts w:ascii="Arial" w:eastAsia="Calibri" w:hAnsi="Arial" w:cs="Arial"/>
          <w:color w:val="000000"/>
          <w:sz w:val="22"/>
          <w:szCs w:val="22"/>
          <w:lang w:eastAsia="pt-BR"/>
        </w:rPr>
        <w:t>201</w:t>
      </w:r>
      <w:r w:rsidR="001E7D60" w:rsidRPr="003F3C9F">
        <w:rPr>
          <w:rFonts w:ascii="Arial" w:eastAsia="Calibri" w:hAnsi="Arial" w:cs="Arial"/>
          <w:color w:val="000000"/>
          <w:sz w:val="22"/>
          <w:szCs w:val="22"/>
          <w:lang w:eastAsia="pt-BR"/>
        </w:rPr>
        <w:t>3</w:t>
      </w:r>
      <w:r w:rsidR="000F6CF0" w:rsidRPr="003F3C9F">
        <w:rPr>
          <w:rFonts w:ascii="Arial" w:eastAsia="Calibri" w:hAnsi="Arial" w:cs="Arial"/>
          <w:color w:val="000000"/>
          <w:sz w:val="22"/>
          <w:szCs w:val="22"/>
          <w:lang w:eastAsia="pt-BR"/>
        </w:rPr>
        <w:t>-</w:t>
      </w:r>
      <w:r w:rsidR="007234DE">
        <w:rPr>
          <w:rFonts w:ascii="Arial" w:eastAsia="Calibri" w:hAnsi="Arial" w:cs="Arial"/>
          <w:color w:val="000000"/>
          <w:sz w:val="22"/>
          <w:szCs w:val="22"/>
          <w:lang w:eastAsia="pt-BR"/>
        </w:rPr>
        <w:t>21</w:t>
      </w:r>
    </w:p>
    <w:p w:rsidR="004E0112" w:rsidRPr="00A75EAB" w:rsidRDefault="00AC773C" w:rsidP="00171567">
      <w:pPr>
        <w:spacing w:after="120" w:line="276" w:lineRule="auto"/>
        <w:jc w:val="center"/>
        <w:rPr>
          <w:rFonts w:ascii="Arial" w:hAnsi="Arial" w:cs="Arial"/>
          <w:smallCaps/>
          <w:color w:val="000000"/>
          <w:sz w:val="10"/>
          <w:szCs w:val="10"/>
        </w:rPr>
      </w:pPr>
      <w:r w:rsidRPr="003A4C6E">
        <w:rPr>
          <w:rFonts w:ascii="Arial" w:hAnsi="Arial" w:cs="Arial"/>
          <w:smallCaps/>
          <w:color w:val="000000"/>
          <w:sz w:val="24"/>
          <w:szCs w:val="24"/>
        </w:rPr>
        <w:t>_____________________________________________________________________</w:t>
      </w:r>
    </w:p>
    <w:p w:rsidR="00422C8F" w:rsidRDefault="00422C8F" w:rsidP="00171567">
      <w:pPr>
        <w:spacing w:after="120" w:line="276" w:lineRule="auto"/>
        <w:rPr>
          <w:rFonts w:ascii="Arial" w:hAnsi="Arial" w:cs="Arial"/>
          <w:smallCaps/>
          <w:color w:val="000000"/>
        </w:rPr>
      </w:pPr>
    </w:p>
    <w:p w:rsidR="00F758C5" w:rsidRDefault="004D3243" w:rsidP="00171567">
      <w:pPr>
        <w:numPr>
          <w:ilvl w:val="0"/>
          <w:numId w:val="1"/>
        </w:numPr>
        <w:tabs>
          <w:tab w:val="num" w:pos="1418"/>
        </w:tabs>
        <w:spacing w:after="120" w:line="276" w:lineRule="auto"/>
        <w:ind w:left="567" w:firstLine="0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ab/>
        <w:t>I</w:t>
      </w:r>
      <w:r w:rsidR="00F758C5">
        <w:rPr>
          <w:rFonts w:ascii="Arial" w:hAnsi="Arial" w:cs="Arial"/>
          <w:b/>
          <w:smallCaps/>
          <w:color w:val="000000"/>
          <w:sz w:val="22"/>
          <w:szCs w:val="22"/>
        </w:rPr>
        <w:t>NTRODUÇÃO</w:t>
      </w:r>
    </w:p>
    <w:p w:rsidR="00FB5EA5" w:rsidRDefault="00877388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1.1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FB5EA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Desde a publicação da </w:t>
      </w:r>
      <w:r w:rsidR="00A71544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>Resolução ANP nº 26</w:t>
      </w:r>
      <w:r w:rsidR="00FB5EA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71544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na data de 31 de agosto de 2012, </w:t>
      </w:r>
      <w:r w:rsidR="00FB5EA5">
        <w:rPr>
          <w:rFonts w:ascii="Arial" w:eastAsia="Calibri" w:hAnsi="Arial" w:cs="Arial"/>
          <w:color w:val="000000"/>
          <w:sz w:val="22"/>
          <w:szCs w:val="22"/>
          <w:lang w:eastAsia="pt-BR"/>
        </w:rPr>
        <w:t>a SRP vem ratificando a titularidade das usinas de etanol em operação no país, assim como autorizando a construção e operação de unidades novas e ampliações de capacidade.</w:t>
      </w:r>
    </w:p>
    <w:p w:rsidR="005E1ED4" w:rsidRDefault="00877388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D55AF3">
        <w:rPr>
          <w:rFonts w:ascii="Arial" w:hAnsi="Arial" w:cs="Arial"/>
          <w:sz w:val="22"/>
          <w:szCs w:val="22"/>
        </w:rPr>
        <w:t>Considerando</w:t>
      </w:r>
      <w:r w:rsidR="00704CF1" w:rsidRPr="003B1B99">
        <w:rPr>
          <w:rFonts w:ascii="Arial" w:hAnsi="Arial" w:cs="Arial"/>
          <w:sz w:val="22"/>
          <w:szCs w:val="22"/>
        </w:rPr>
        <w:t xml:space="preserve"> a experiência vivenciada pela SRP</w:t>
      </w:r>
      <w:r w:rsidR="0030527F" w:rsidRPr="003B1B99">
        <w:rPr>
          <w:rFonts w:ascii="Arial" w:hAnsi="Arial" w:cs="Arial"/>
          <w:sz w:val="22"/>
          <w:szCs w:val="22"/>
        </w:rPr>
        <w:t xml:space="preserve"> </w:t>
      </w:r>
      <w:r w:rsidR="00B5500E" w:rsidRPr="003B1B99">
        <w:rPr>
          <w:rFonts w:ascii="Arial" w:hAnsi="Arial" w:cs="Arial"/>
          <w:sz w:val="22"/>
          <w:szCs w:val="22"/>
        </w:rPr>
        <w:t xml:space="preserve">após a publicação </w:t>
      </w:r>
      <w:r w:rsidR="00FB5EA5">
        <w:rPr>
          <w:rFonts w:ascii="Arial" w:hAnsi="Arial" w:cs="Arial"/>
          <w:sz w:val="22"/>
          <w:szCs w:val="22"/>
        </w:rPr>
        <w:t>desta resolução</w:t>
      </w:r>
      <w:r w:rsidR="00B5500E" w:rsidRPr="003B1B99">
        <w:rPr>
          <w:rFonts w:ascii="Arial" w:hAnsi="Arial" w:cs="Arial"/>
          <w:sz w:val="22"/>
          <w:szCs w:val="22"/>
        </w:rPr>
        <w:t xml:space="preserve">, </w:t>
      </w:r>
      <w:r w:rsidR="0030527F" w:rsidRPr="003B1B99">
        <w:rPr>
          <w:rFonts w:ascii="Arial" w:hAnsi="Arial" w:cs="Arial"/>
          <w:sz w:val="22"/>
          <w:szCs w:val="22"/>
        </w:rPr>
        <w:t>verificou-se que alguns dispositivos</w:t>
      </w:r>
      <w:r w:rsidR="005D36BF">
        <w:rPr>
          <w:rFonts w:ascii="Arial" w:hAnsi="Arial" w:cs="Arial"/>
          <w:sz w:val="22"/>
          <w:szCs w:val="22"/>
        </w:rPr>
        <w:t>, com certa subjetividade possibilitaram</w:t>
      </w:r>
      <w:r w:rsidR="0030527F" w:rsidRPr="003B1B99">
        <w:rPr>
          <w:rFonts w:ascii="Arial" w:hAnsi="Arial" w:cs="Arial"/>
          <w:sz w:val="22"/>
          <w:szCs w:val="22"/>
        </w:rPr>
        <w:t xml:space="preserve"> interpretações</w:t>
      </w:r>
      <w:r w:rsidR="00FB5EA5">
        <w:rPr>
          <w:rFonts w:ascii="Arial" w:hAnsi="Arial" w:cs="Arial"/>
          <w:sz w:val="22"/>
          <w:szCs w:val="22"/>
        </w:rPr>
        <w:t xml:space="preserve"> técnicas</w:t>
      </w:r>
      <w:r w:rsidR="0030527F" w:rsidRPr="003B1B99">
        <w:rPr>
          <w:rFonts w:ascii="Arial" w:hAnsi="Arial" w:cs="Arial"/>
          <w:sz w:val="22"/>
          <w:szCs w:val="22"/>
        </w:rPr>
        <w:t xml:space="preserve"> equivocadas </w:t>
      </w:r>
      <w:r w:rsidR="005E1ED4">
        <w:rPr>
          <w:rFonts w:ascii="Arial" w:hAnsi="Arial" w:cs="Arial"/>
          <w:sz w:val="22"/>
          <w:szCs w:val="22"/>
        </w:rPr>
        <w:t>pelos</w:t>
      </w:r>
      <w:r w:rsidR="0030527F" w:rsidRPr="003B1B99">
        <w:rPr>
          <w:rFonts w:ascii="Arial" w:hAnsi="Arial" w:cs="Arial"/>
          <w:sz w:val="22"/>
          <w:szCs w:val="22"/>
        </w:rPr>
        <w:t xml:space="preserve"> agentes</w:t>
      </w:r>
      <w:r w:rsidR="0020097D">
        <w:rPr>
          <w:rFonts w:ascii="Arial" w:hAnsi="Arial" w:cs="Arial"/>
          <w:sz w:val="22"/>
          <w:szCs w:val="22"/>
        </w:rPr>
        <w:t>.</w:t>
      </w:r>
      <w:r w:rsidR="003B1B99" w:rsidRPr="003B1B99">
        <w:rPr>
          <w:rFonts w:ascii="Arial" w:hAnsi="Arial" w:cs="Arial"/>
          <w:sz w:val="22"/>
          <w:szCs w:val="22"/>
        </w:rPr>
        <w:t xml:space="preserve"> </w:t>
      </w:r>
    </w:p>
    <w:p w:rsidR="005E1ED4" w:rsidRDefault="00EA6BBB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 xml:space="preserve">Considerando </w:t>
      </w:r>
      <w:r w:rsidR="00D55AF3">
        <w:rPr>
          <w:rFonts w:ascii="Arial" w:hAnsi="Arial" w:cs="Arial"/>
          <w:sz w:val="22"/>
          <w:szCs w:val="22"/>
        </w:rPr>
        <w:t xml:space="preserve">também </w:t>
      </w:r>
      <w:r>
        <w:rPr>
          <w:rFonts w:ascii="Arial" w:hAnsi="Arial" w:cs="Arial"/>
          <w:sz w:val="22"/>
          <w:szCs w:val="22"/>
        </w:rPr>
        <w:t xml:space="preserve">que em </w:t>
      </w:r>
      <w:r w:rsidR="00800909">
        <w:rPr>
          <w:rFonts w:ascii="Arial" w:hAnsi="Arial" w:cs="Arial"/>
          <w:sz w:val="22"/>
          <w:szCs w:val="22"/>
        </w:rPr>
        <w:t>10/05</w:t>
      </w:r>
      <w:r>
        <w:rPr>
          <w:rFonts w:ascii="Arial" w:hAnsi="Arial" w:cs="Arial"/>
          <w:sz w:val="22"/>
          <w:szCs w:val="22"/>
        </w:rPr>
        <w:t xml:space="preserve">/2013 </w:t>
      </w:r>
      <w:r w:rsidR="005D36BF">
        <w:rPr>
          <w:rFonts w:ascii="Arial" w:hAnsi="Arial" w:cs="Arial"/>
          <w:sz w:val="22"/>
          <w:szCs w:val="22"/>
        </w:rPr>
        <w:t>um agente econômico</w:t>
      </w:r>
      <w:r w:rsidR="008009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protocolou nest</w:t>
      </w:r>
      <w:r w:rsidR="005E1ED4">
        <w:rPr>
          <w:rFonts w:ascii="Arial" w:hAnsi="Arial" w:cs="Arial"/>
          <w:sz w:val="22"/>
          <w:szCs w:val="22"/>
        </w:rPr>
        <w:t xml:space="preserve">a SRP </w:t>
      </w:r>
      <w:r>
        <w:rPr>
          <w:rFonts w:ascii="Arial" w:hAnsi="Arial" w:cs="Arial"/>
          <w:sz w:val="22"/>
          <w:szCs w:val="22"/>
        </w:rPr>
        <w:t xml:space="preserve">documentação solicitando </w:t>
      </w:r>
      <w:r w:rsidR="005E1ED4">
        <w:rPr>
          <w:rFonts w:ascii="Arial" w:hAnsi="Arial" w:cs="Arial"/>
          <w:sz w:val="22"/>
          <w:szCs w:val="22"/>
        </w:rPr>
        <w:t xml:space="preserve">autorização </w:t>
      </w:r>
      <w:r>
        <w:rPr>
          <w:rFonts w:ascii="Arial" w:hAnsi="Arial" w:cs="Arial"/>
          <w:sz w:val="22"/>
          <w:szCs w:val="22"/>
        </w:rPr>
        <w:t>para construção de uma planta para</w:t>
      </w:r>
      <w:r w:rsidR="005E1ED4">
        <w:rPr>
          <w:rFonts w:ascii="Arial" w:hAnsi="Arial" w:cs="Arial"/>
          <w:sz w:val="22"/>
          <w:szCs w:val="22"/>
        </w:rPr>
        <w:t xml:space="preserve"> produç</w:t>
      </w:r>
      <w:r w:rsidR="001443A1">
        <w:rPr>
          <w:rFonts w:ascii="Arial" w:hAnsi="Arial" w:cs="Arial"/>
          <w:sz w:val="22"/>
          <w:szCs w:val="22"/>
        </w:rPr>
        <w:t xml:space="preserve">ão de etanol de segunda geração e que </w:t>
      </w:r>
      <w:r>
        <w:rPr>
          <w:rFonts w:ascii="Arial" w:hAnsi="Arial" w:cs="Arial"/>
          <w:sz w:val="22"/>
          <w:szCs w:val="22"/>
        </w:rPr>
        <w:t>a Resolução nº</w:t>
      </w:r>
      <w:r w:rsidR="005D3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26/2012 não </w:t>
      </w:r>
      <w:r w:rsidR="00800909">
        <w:rPr>
          <w:rFonts w:ascii="Arial" w:hAnsi="Arial" w:cs="Arial"/>
          <w:sz w:val="22"/>
          <w:szCs w:val="22"/>
        </w:rPr>
        <w:t xml:space="preserve">especifica claramente em seus artigos </w:t>
      </w:r>
      <w:r>
        <w:rPr>
          <w:rFonts w:ascii="Arial" w:hAnsi="Arial" w:cs="Arial"/>
          <w:sz w:val="22"/>
          <w:szCs w:val="22"/>
        </w:rPr>
        <w:t xml:space="preserve">as características </w:t>
      </w:r>
      <w:r w:rsidR="00800909">
        <w:rPr>
          <w:rFonts w:ascii="Arial" w:hAnsi="Arial" w:cs="Arial"/>
          <w:sz w:val="22"/>
          <w:szCs w:val="22"/>
        </w:rPr>
        <w:t xml:space="preserve">peculiares </w:t>
      </w:r>
      <w:r>
        <w:rPr>
          <w:rFonts w:ascii="Arial" w:hAnsi="Arial" w:cs="Arial"/>
          <w:sz w:val="22"/>
          <w:szCs w:val="22"/>
        </w:rPr>
        <w:t>de uma planta para produç</w:t>
      </w:r>
      <w:r w:rsidR="008730DC">
        <w:rPr>
          <w:rFonts w:ascii="Arial" w:hAnsi="Arial" w:cs="Arial"/>
          <w:sz w:val="22"/>
          <w:szCs w:val="22"/>
        </w:rPr>
        <w:t xml:space="preserve">ão de etanol de segunda geração, </w:t>
      </w:r>
      <w:r w:rsidR="00800909">
        <w:rPr>
          <w:rFonts w:ascii="Arial" w:hAnsi="Arial" w:cs="Arial"/>
          <w:sz w:val="22"/>
          <w:szCs w:val="22"/>
        </w:rPr>
        <w:t>torna</w:t>
      </w:r>
      <w:r w:rsidR="008730DC" w:rsidRPr="00704CF1">
        <w:rPr>
          <w:rFonts w:ascii="Arial" w:hAnsi="Arial" w:cs="Arial"/>
          <w:sz w:val="22"/>
          <w:szCs w:val="22"/>
        </w:rPr>
        <w:t>-se necessária a revisão da referida resolução</w:t>
      </w:r>
      <w:r w:rsidR="008730DC">
        <w:rPr>
          <w:rFonts w:ascii="Arial" w:hAnsi="Arial" w:cs="Arial"/>
          <w:sz w:val="22"/>
          <w:szCs w:val="22"/>
        </w:rPr>
        <w:t>.</w:t>
      </w:r>
    </w:p>
    <w:p w:rsidR="00EA6BBB" w:rsidRDefault="00EA6BBB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>1.</w:t>
      </w:r>
      <w:r w:rsidR="00B649A4">
        <w:rPr>
          <w:rFonts w:ascii="Arial" w:hAnsi="Arial" w:cs="Arial"/>
          <w:sz w:val="22"/>
          <w:szCs w:val="22"/>
        </w:rPr>
        <w:t>4</w:t>
      </w:r>
      <w:r w:rsidR="00877388">
        <w:rPr>
          <w:rFonts w:ascii="Arial" w:hAnsi="Arial" w:cs="Arial"/>
          <w:sz w:val="22"/>
          <w:szCs w:val="22"/>
        </w:rPr>
        <w:tab/>
      </w:r>
      <w:r w:rsidR="008730DC">
        <w:rPr>
          <w:rFonts w:ascii="Arial" w:hAnsi="Arial" w:cs="Arial"/>
          <w:sz w:val="22"/>
          <w:szCs w:val="22"/>
        </w:rPr>
        <w:t>Assim sendo, e</w:t>
      </w:r>
      <w:r w:rsidR="00831939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sta </w:t>
      </w:r>
      <w:r w:rsidR="0030527F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831939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uperintendência elaborou uma minuta de resolução </w:t>
      </w:r>
      <w:r w:rsidR="00E437E2">
        <w:rPr>
          <w:rFonts w:ascii="Arial" w:eastAsia="Calibri" w:hAnsi="Arial" w:cs="Arial"/>
          <w:color w:val="000000"/>
          <w:sz w:val="22"/>
          <w:szCs w:val="22"/>
          <w:lang w:eastAsia="pt-BR"/>
        </w:rPr>
        <w:t>que altera</w:t>
      </w:r>
      <w:r w:rsidR="0030527F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alguns </w:t>
      </w:r>
      <w:r w:rsidR="00157F2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artigos </w:t>
      </w:r>
      <w:r w:rsidR="0030527F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>da</w:t>
      </w:r>
      <w:r w:rsidR="00831939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Resolução ANP nº 2</w:t>
      </w:r>
      <w:r w:rsidR="0030527F" w:rsidRPr="00B5500E">
        <w:rPr>
          <w:rFonts w:ascii="Arial" w:eastAsia="Calibri" w:hAnsi="Arial" w:cs="Arial"/>
          <w:color w:val="000000"/>
          <w:sz w:val="22"/>
          <w:szCs w:val="22"/>
          <w:lang w:eastAsia="pt-BR"/>
        </w:rPr>
        <w:t>6/2012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forma a aprimorar </w:t>
      </w:r>
      <w:r w:rsidRPr="003B1B99">
        <w:rPr>
          <w:rFonts w:ascii="Arial" w:hAnsi="Arial" w:cs="Arial"/>
          <w:sz w:val="22"/>
          <w:szCs w:val="22"/>
        </w:rPr>
        <w:t>a regulamentação para a atividade de produção de etanol</w:t>
      </w:r>
      <w:r w:rsidR="008730DC">
        <w:rPr>
          <w:rFonts w:ascii="Arial" w:hAnsi="Arial" w:cs="Arial"/>
          <w:sz w:val="22"/>
          <w:szCs w:val="22"/>
        </w:rPr>
        <w:t>,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com dois </w:t>
      </w:r>
      <w:r w:rsidR="008730DC">
        <w:rPr>
          <w:rFonts w:ascii="Arial" w:eastAsia="Calibri" w:hAnsi="Arial" w:cs="Arial"/>
          <w:color w:val="000000"/>
          <w:sz w:val="22"/>
          <w:szCs w:val="22"/>
          <w:lang w:eastAsia="pt-BR"/>
        </w:rPr>
        <w:t>objetivos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57F28">
        <w:rPr>
          <w:rFonts w:ascii="Arial" w:eastAsia="Calibri" w:hAnsi="Arial" w:cs="Arial"/>
          <w:color w:val="000000"/>
          <w:sz w:val="22"/>
          <w:szCs w:val="22"/>
          <w:lang w:eastAsia="pt-BR"/>
        </w:rPr>
        <w:t>principais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:</w:t>
      </w:r>
    </w:p>
    <w:p w:rsidR="00EA6BBB" w:rsidRDefault="00EA6BBB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E437E2">
        <w:rPr>
          <w:rFonts w:ascii="Arial" w:eastAsia="Calibri" w:hAnsi="Arial" w:cs="Arial"/>
          <w:color w:val="000000"/>
          <w:sz w:val="22"/>
          <w:szCs w:val="22"/>
          <w:lang w:eastAsia="pt-BR"/>
        </w:rPr>
        <w:t>1.</w:t>
      </w:r>
      <w:r w:rsidR="00B649A4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="00E437E2">
        <w:rPr>
          <w:rFonts w:ascii="Arial" w:eastAsia="Calibri" w:hAnsi="Arial" w:cs="Arial"/>
          <w:color w:val="000000"/>
          <w:sz w:val="22"/>
          <w:szCs w:val="22"/>
          <w:lang w:eastAsia="pt-BR"/>
        </w:rPr>
        <w:t>.1</w:t>
      </w:r>
      <w:r w:rsidR="00E437E2"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>
        <w:rPr>
          <w:rFonts w:ascii="Arial" w:hAnsi="Arial" w:cs="Arial"/>
          <w:sz w:val="22"/>
          <w:szCs w:val="22"/>
        </w:rPr>
        <w:t>Tornar</w:t>
      </w:r>
      <w:r w:rsidRPr="003B1B99">
        <w:rPr>
          <w:rFonts w:ascii="Arial" w:hAnsi="Arial" w:cs="Arial"/>
          <w:sz w:val="22"/>
          <w:szCs w:val="22"/>
        </w:rPr>
        <w:t xml:space="preserve"> mais claros </w:t>
      </w:r>
      <w:r w:rsidR="00E437E2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dispositivos da resolução </w:t>
      </w:r>
      <w:r w:rsidR="008730DC">
        <w:rPr>
          <w:rFonts w:ascii="Arial" w:hAnsi="Arial" w:cs="Arial"/>
          <w:sz w:val="22"/>
          <w:szCs w:val="22"/>
        </w:rPr>
        <w:t xml:space="preserve">almejando </w:t>
      </w:r>
      <w:r>
        <w:rPr>
          <w:rFonts w:ascii="Arial" w:hAnsi="Arial" w:cs="Arial"/>
          <w:sz w:val="22"/>
          <w:szCs w:val="22"/>
        </w:rPr>
        <w:t>um melhor entendimento dos mesmos pelos agentes</w:t>
      </w:r>
      <w:r w:rsidR="001443A1">
        <w:rPr>
          <w:rFonts w:ascii="Arial" w:hAnsi="Arial" w:cs="Arial"/>
          <w:sz w:val="22"/>
          <w:szCs w:val="22"/>
        </w:rPr>
        <w:t>;</w:t>
      </w:r>
    </w:p>
    <w:p w:rsidR="00E437E2" w:rsidRPr="003B1B99" w:rsidRDefault="00E437E2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ab/>
        <w:t>1.</w:t>
      </w:r>
      <w:r w:rsidR="00B649A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ab/>
        <w:t xml:space="preserve">Incluir </w:t>
      </w:r>
      <w:r w:rsidR="00157F28">
        <w:rPr>
          <w:rFonts w:ascii="Arial" w:hAnsi="Arial" w:cs="Arial"/>
          <w:sz w:val="22"/>
          <w:szCs w:val="22"/>
        </w:rPr>
        <w:t>informações específicas d</w:t>
      </w:r>
      <w:r>
        <w:rPr>
          <w:rFonts w:ascii="Arial" w:hAnsi="Arial" w:cs="Arial"/>
          <w:sz w:val="22"/>
          <w:szCs w:val="22"/>
        </w:rPr>
        <w:t>as plantas de produção de etanol de segunda geração</w:t>
      </w:r>
      <w:r w:rsidR="001443A1">
        <w:rPr>
          <w:rFonts w:ascii="Arial" w:hAnsi="Arial" w:cs="Arial"/>
          <w:sz w:val="22"/>
          <w:szCs w:val="22"/>
        </w:rPr>
        <w:t>.</w:t>
      </w:r>
    </w:p>
    <w:p w:rsidR="00D835C9" w:rsidRDefault="00D835C9" w:rsidP="00171567">
      <w:pPr>
        <w:spacing w:after="120" w:line="276" w:lineRule="auto"/>
        <w:rPr>
          <w:rFonts w:ascii="Arial" w:eastAsia="Calibri" w:hAnsi="Arial" w:cs="Arial"/>
          <w:sz w:val="22"/>
          <w:szCs w:val="22"/>
          <w:lang w:eastAsia="pt-BR"/>
        </w:rPr>
      </w:pPr>
    </w:p>
    <w:p w:rsidR="00EE4C19" w:rsidRDefault="004D3243" w:rsidP="00171567">
      <w:pPr>
        <w:numPr>
          <w:ilvl w:val="0"/>
          <w:numId w:val="1"/>
        </w:numPr>
        <w:tabs>
          <w:tab w:val="num" w:pos="1418"/>
        </w:tabs>
        <w:spacing w:after="120" w:line="276" w:lineRule="auto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ab/>
        <w:t>H</w:t>
      </w:r>
      <w:r w:rsidR="00EE4C19">
        <w:rPr>
          <w:rFonts w:ascii="Arial" w:hAnsi="Arial" w:cs="Arial"/>
          <w:b/>
          <w:smallCaps/>
          <w:color w:val="000000"/>
          <w:sz w:val="22"/>
          <w:szCs w:val="22"/>
        </w:rPr>
        <w:t>ISTÓRICO</w:t>
      </w:r>
    </w:p>
    <w:p w:rsidR="00EE4C19" w:rsidRPr="00EE4C19" w:rsidRDefault="00CD0FD9" w:rsidP="00171567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2.1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EE4C19" w:rsidRPr="00EE4C1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atividade de produção de </w:t>
      </w:r>
      <w:r w:rsidR="00A7396E">
        <w:rPr>
          <w:rFonts w:ascii="Arial" w:eastAsia="Calibri" w:hAnsi="Arial" w:cs="Arial"/>
          <w:color w:val="000000"/>
          <w:sz w:val="22"/>
          <w:szCs w:val="22"/>
          <w:lang w:eastAsia="pt-BR"/>
        </w:rPr>
        <w:t>etanol</w:t>
      </w:r>
      <w:r w:rsidR="00EE4C19" w:rsidRPr="00EE4C1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passou a fazer parte do rol de atribuições da ANP após a publicação da </w:t>
      </w:r>
      <w:r w:rsidR="00A7396E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>Medida Provisória nº 532, de 28 de abril de 2011, convertida na Lei nº 12.490/2011, em 16 de setembro de 2011, que acresceu e deu nova redação a dispositivos das Leis n</w:t>
      </w:r>
      <w:r w:rsidR="00A7396E" w:rsidRPr="007E7F81">
        <w:rPr>
          <w:rFonts w:ascii="Arial" w:eastAsia="Calibri" w:hAnsi="Arial" w:cs="Arial"/>
          <w:color w:val="000000"/>
          <w:sz w:val="22"/>
          <w:szCs w:val="22"/>
          <w:vertAlign w:val="superscript"/>
          <w:lang w:eastAsia="pt-BR"/>
        </w:rPr>
        <w:t>os</w:t>
      </w:r>
      <w:r w:rsidR="00A7396E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9.478, de </w:t>
      </w:r>
      <w:proofErr w:type="gramStart"/>
      <w:r w:rsidR="00A7396E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>6</w:t>
      </w:r>
      <w:proofErr w:type="gramEnd"/>
      <w:r w:rsidR="00A7396E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agosto de 1997, e 9.847, de 26 de outubro de 1999, que dispõem sobre a política e a fiscalização das atividades relativas ao abastecimento nacional de combustíveis; e dá outras providências.</w:t>
      </w:r>
    </w:p>
    <w:p w:rsidR="00877388" w:rsidRDefault="00CD0FD9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2.2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877388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>Em 30 de agosto de 2012, a ANP editou a Resolução ANP nº 26, publicada no Diário Oficial da União na data de 31 de agosto de 2012, para regulamentar a produção de etanol, propondo os requisitos técnicos, econômicos e jurídicos a serem atendidos pelos proponentes interessados na construção e operação das instalações industriais relacionadas a esta atividade.</w:t>
      </w:r>
    </w:p>
    <w:p w:rsidR="00877388" w:rsidRDefault="00CD0FD9" w:rsidP="00171567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lastRenderedPageBreak/>
        <w:t>2.3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87738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Em 29 de novembro de 2012 foi publicada a </w:t>
      </w:r>
      <w:r w:rsidR="00877388" w:rsidRPr="00D927A2">
        <w:rPr>
          <w:rFonts w:ascii="Arial" w:eastAsia="Calibri" w:hAnsi="Arial" w:cs="Arial"/>
          <w:color w:val="000000"/>
          <w:sz w:val="22"/>
          <w:szCs w:val="22"/>
          <w:lang w:eastAsia="pt-BR"/>
        </w:rPr>
        <w:t>Resolução ANP nº 41/2012 que prorrogou o prazo de cadastramento dos produtores de etanol por 45 (quarenta e cinco) dias</w:t>
      </w:r>
      <w:r w:rsidR="00877388">
        <w:rPr>
          <w:rFonts w:ascii="Arial" w:eastAsia="Calibri" w:hAnsi="Arial" w:cs="Arial"/>
          <w:color w:val="000000"/>
          <w:sz w:val="22"/>
          <w:szCs w:val="22"/>
          <w:lang w:eastAsia="pt-BR"/>
        </w:rPr>
        <w:t>, expresso nos artigos 19 e 21, da Resolução ANP nº 26/2012</w:t>
      </w:r>
      <w:r w:rsidR="00877388" w:rsidRPr="00D927A2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  <w:r w:rsidR="0087738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Tal </w:t>
      </w:r>
      <w:r w:rsidR="00877388" w:rsidRPr="00D927A2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prorrogação foi encaminhada </w:t>
      </w:r>
      <w:r w:rsidR="0087738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devido a problemas no </w:t>
      </w:r>
      <w:r w:rsidR="00877388" w:rsidRPr="007E7F8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Sistema </w:t>
      </w:r>
      <w:hyperlink r:id="rId8" w:history="1">
        <w:r w:rsidR="00877388" w:rsidRPr="007E7F81">
          <w:rPr>
            <w:rFonts w:ascii="Arial" w:eastAsia="Calibri" w:hAnsi="Arial" w:cs="Arial"/>
            <w:color w:val="000000"/>
            <w:sz w:val="22"/>
            <w:szCs w:val="22"/>
            <w:lang w:eastAsia="pt-BR"/>
          </w:rPr>
          <w:t>SIMP WEB Cadastro de Produtor de Etanol</w:t>
        </w:r>
      </w:hyperlink>
      <w:r w:rsidR="00877388" w:rsidRPr="00866F3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tramitado </w:t>
      </w:r>
      <w:r w:rsidR="00877388" w:rsidRPr="00D927A2">
        <w:rPr>
          <w:rFonts w:ascii="Arial" w:eastAsia="Calibri" w:hAnsi="Arial" w:cs="Arial"/>
          <w:color w:val="000000"/>
          <w:sz w:val="22"/>
          <w:szCs w:val="22"/>
          <w:lang w:eastAsia="pt-BR"/>
        </w:rPr>
        <w:t>pela Proposta de Ação 1225/2012 para deliberação pela Diretoria Colegiada, sendo deferida na Reunião de Diretoria nº 693, de 28 de novembro de 2012, através da Resolução de Diretoria nº 1143/2012</w:t>
      </w:r>
      <w:r w:rsidR="00877388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</w:p>
    <w:p w:rsidR="00171567" w:rsidRPr="001928C1" w:rsidRDefault="00CD0FD9" w:rsidP="00171567">
      <w:pPr>
        <w:pStyle w:val="Texto"/>
        <w:spacing w:after="120" w:line="276" w:lineRule="auto"/>
      </w:pPr>
      <w:r>
        <w:t>2.4</w:t>
      </w:r>
      <w:r>
        <w:tab/>
      </w:r>
      <w:r w:rsidR="00581737" w:rsidRPr="001928C1">
        <w:t xml:space="preserve">Em </w:t>
      </w:r>
      <w:proofErr w:type="gramStart"/>
      <w:r w:rsidR="00581737" w:rsidRPr="001928C1">
        <w:t>7</w:t>
      </w:r>
      <w:proofErr w:type="gramEnd"/>
      <w:r w:rsidR="00581737" w:rsidRPr="001928C1">
        <w:t xml:space="preserve"> de maio de 2013  foi publicada a Resolução ANP nº15/2013 que prorrogou o prazo para encaminhamento dos dados da planta produtora de etanol  até dia 17 de junho de 2013. Tal prorrogação foi encaminhada devido </w:t>
      </w:r>
      <w:r w:rsidR="001928C1" w:rsidRPr="001928C1">
        <w:t>à</w:t>
      </w:r>
      <w:r w:rsidR="00581737" w:rsidRPr="001928C1">
        <w:t xml:space="preserve"> grande concentração da demanda de solicitações no final do período estabelecido no art.</w:t>
      </w:r>
      <w:hyperlink r:id="rId9" w:history="1">
        <w:r w:rsidR="00581737" w:rsidRPr="00171567">
          <w:rPr>
            <w:iCs/>
          </w:rPr>
          <w:t>19</w:t>
        </w:r>
      </w:hyperlink>
      <w:r w:rsidR="00581737" w:rsidRPr="00171567">
        <w:t xml:space="preserve"> </w:t>
      </w:r>
      <w:r w:rsidR="00581737" w:rsidRPr="001928C1">
        <w:t>da Resolução ANP nº</w:t>
      </w:r>
      <w:r w:rsidR="00171567">
        <w:t xml:space="preserve">26 </w:t>
      </w:r>
      <w:r w:rsidR="001928C1" w:rsidRPr="001928C1">
        <w:t xml:space="preserve">e </w:t>
      </w:r>
      <w:r w:rsidR="001928C1">
        <w:t>a</w:t>
      </w:r>
      <w:r w:rsidR="001928C1" w:rsidRPr="001928C1">
        <w:t xml:space="preserve"> falhas na</w:t>
      </w:r>
      <w:r w:rsidR="00581737" w:rsidRPr="001928C1">
        <w:t xml:space="preserve"> Central de Sistemas da ANP (CSA)</w:t>
      </w:r>
      <w:r w:rsidR="001928C1">
        <w:t>.</w:t>
      </w:r>
      <w:r w:rsidR="00581737" w:rsidRPr="001928C1">
        <w:t xml:space="preserve"> </w:t>
      </w:r>
    </w:p>
    <w:p w:rsidR="00171567" w:rsidRDefault="00CD0FD9" w:rsidP="00207D6E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2.5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O processo de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ratificação d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a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titularidade das 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>392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D14057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instalações produtoras de etanol 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>cadastradas no sistema SIMP ainda está em fase de conclusão</w:t>
      </w:r>
      <w:r w:rsidR="00171567">
        <w:rPr>
          <w:rFonts w:ascii="Arial" w:eastAsia="Calibri" w:hAnsi="Arial" w:cs="Arial"/>
          <w:color w:val="000000"/>
          <w:sz w:val="22"/>
          <w:szCs w:val="22"/>
          <w:lang w:eastAsia="pt-BR"/>
        </w:rPr>
        <w:t>. Até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>19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>maio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2013, 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331 </w:t>
      </w:r>
      <w:r w:rsidR="00D14057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instalações 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tiveram suas autorizações de operação publicadas, 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43 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>estão com os processos em análise</w:t>
      </w:r>
      <w:r w:rsidR="00207D6E">
        <w:rPr>
          <w:rFonts w:ascii="Arial" w:eastAsia="Calibri" w:hAnsi="Arial" w:cs="Arial"/>
          <w:color w:val="000000"/>
          <w:sz w:val="22"/>
          <w:szCs w:val="22"/>
          <w:lang w:eastAsia="pt-BR"/>
        </w:rPr>
        <w:t>, 17 ainda não encaminharam a documentação e 1 autorização publicada foi revogada.</w:t>
      </w:r>
      <w:r w:rsidRPr="00DB5C2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</w:p>
    <w:p w:rsidR="00EE4C19" w:rsidRDefault="00171567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2.6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D16B96">
        <w:rPr>
          <w:rFonts w:ascii="Arial" w:eastAsia="Calibri" w:hAnsi="Arial" w:cs="Arial"/>
          <w:color w:val="000000"/>
          <w:sz w:val="22"/>
          <w:szCs w:val="22"/>
          <w:lang w:eastAsia="pt-BR"/>
        </w:rPr>
        <w:t>Apesar do grande esforço da equipe, a</w:t>
      </w:r>
      <w:r w:rsidR="00CD0FD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dificuldade de conclusão do processo de ratificação de titularidade se deve, dentre outros motivos operacionais, </w:t>
      </w:r>
      <w:r w:rsidR="00A2457F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falta de recursos humanos para tratar do tema etanol, aliada </w:t>
      </w:r>
      <w:r w:rsidR="00CD0FD9">
        <w:rPr>
          <w:rFonts w:ascii="Arial" w:eastAsia="Calibri" w:hAnsi="Arial" w:cs="Arial"/>
          <w:color w:val="000000"/>
          <w:sz w:val="22"/>
          <w:szCs w:val="22"/>
          <w:lang w:eastAsia="pt-BR"/>
        </w:rPr>
        <w:t>ao tempo gasto pelos servidores em esclarecer alguns itens da resolução que não ficaram claros para os agentes regulados. Durante o processo foi necessária correção de aproximadamente 6</w:t>
      </w:r>
      <w:r w:rsidR="00D06EEC">
        <w:rPr>
          <w:rFonts w:ascii="Arial" w:eastAsia="Calibri" w:hAnsi="Arial" w:cs="Arial"/>
          <w:color w:val="000000"/>
          <w:sz w:val="22"/>
          <w:szCs w:val="22"/>
          <w:lang w:eastAsia="pt-BR"/>
        </w:rPr>
        <w:t>5</w:t>
      </w:r>
      <w:r w:rsidR="00CD0FD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% das fichas preenchidas pelos agentes que já foram autorizados. </w:t>
      </w:r>
    </w:p>
    <w:p w:rsidR="00171567" w:rsidRPr="00EE4C19" w:rsidRDefault="00171567" w:rsidP="00171567">
      <w:pPr>
        <w:tabs>
          <w:tab w:val="left" w:pos="1418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mallCaps/>
          <w:color w:val="000000"/>
          <w:sz w:val="22"/>
          <w:szCs w:val="22"/>
        </w:rPr>
      </w:pPr>
    </w:p>
    <w:p w:rsidR="00656D48" w:rsidRDefault="00E62DF4" w:rsidP="00171567">
      <w:pPr>
        <w:numPr>
          <w:ilvl w:val="0"/>
          <w:numId w:val="1"/>
        </w:numPr>
        <w:tabs>
          <w:tab w:val="num" w:pos="1418"/>
        </w:tabs>
        <w:spacing w:after="120" w:line="276" w:lineRule="auto"/>
        <w:ind w:left="567" w:firstLine="0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 xml:space="preserve">          </w:t>
      </w:r>
      <w:r w:rsidR="00871BBC">
        <w:rPr>
          <w:rFonts w:ascii="Arial" w:hAnsi="Arial" w:cs="Arial"/>
          <w:b/>
          <w:smallCaps/>
          <w:color w:val="000000"/>
          <w:sz w:val="22"/>
          <w:szCs w:val="22"/>
        </w:rPr>
        <w:t>FUNDAMENTAÇÃO LEGAL</w:t>
      </w:r>
    </w:p>
    <w:p w:rsidR="00A71544" w:rsidRDefault="00871BBC" w:rsidP="0017156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3.1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A71544" w:rsidRPr="00177F6A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Com a </w:t>
      </w:r>
      <w:r w:rsidR="002A112F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Lei </w:t>
      </w:r>
      <w:r w:rsidR="00A71544">
        <w:rPr>
          <w:rFonts w:ascii="Arial" w:eastAsia="Calibri" w:hAnsi="Arial" w:cs="Arial"/>
          <w:color w:val="000000"/>
          <w:sz w:val="22"/>
          <w:szCs w:val="22"/>
          <w:lang w:eastAsia="pt-BR"/>
        </w:rPr>
        <w:t>12.490/2011</w:t>
      </w:r>
      <w:r w:rsidR="00A71544" w:rsidRPr="00177F6A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71544">
        <w:rPr>
          <w:rFonts w:ascii="Arial" w:eastAsia="Calibri" w:hAnsi="Arial" w:cs="Arial"/>
          <w:color w:val="000000"/>
          <w:sz w:val="22"/>
          <w:szCs w:val="22"/>
          <w:lang w:eastAsia="pt-BR"/>
        </w:rPr>
        <w:t>foi acrescentado a</w:t>
      </w:r>
      <w:r w:rsidR="00A71544" w:rsidRPr="00177F6A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o art. </w:t>
      </w:r>
      <w:r w:rsidR="00A7154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1º da </w:t>
      </w:r>
      <w:r w:rsidR="00A71544" w:rsidRPr="00177F6A">
        <w:rPr>
          <w:rFonts w:ascii="Arial" w:eastAsia="Calibri" w:hAnsi="Arial" w:cs="Arial"/>
          <w:color w:val="000000"/>
          <w:sz w:val="22"/>
          <w:szCs w:val="22"/>
          <w:lang w:eastAsia="pt-BR"/>
        </w:rPr>
        <w:t>Lei 9.478/1997</w:t>
      </w:r>
      <w:r w:rsidR="00A7154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o inciso XIII, a seguir transcrito: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 xml:space="preserve">“Art. </w:t>
      </w:r>
      <w:proofErr w:type="gramStart"/>
      <w:r w:rsidRPr="00997EB4">
        <w:rPr>
          <w:i/>
        </w:rPr>
        <w:t>1º ...</w:t>
      </w:r>
      <w:proofErr w:type="gramEnd"/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...</w:t>
      </w:r>
    </w:p>
    <w:p w:rsidR="00A7154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XIII - garantir o fornecimento de biocombustíveis em todo o território nacional.</w:t>
      </w:r>
    </w:p>
    <w:p w:rsidR="00A71544" w:rsidRDefault="00A71544" w:rsidP="00171567">
      <w:pPr>
        <w:pStyle w:val="Texto"/>
        <w:spacing w:after="120"/>
        <w:ind w:left="1418"/>
        <w:rPr>
          <w:i/>
        </w:rPr>
      </w:pPr>
      <w:proofErr w:type="gramStart"/>
      <w:r>
        <w:rPr>
          <w:i/>
        </w:rPr>
        <w:t>...</w:t>
      </w:r>
      <w:r w:rsidRPr="00997EB4">
        <w:rPr>
          <w:i/>
        </w:rPr>
        <w:t>”</w:t>
      </w:r>
      <w:proofErr w:type="gramEnd"/>
    </w:p>
    <w:p w:rsidR="00A71544" w:rsidRDefault="00A71544" w:rsidP="00581160">
      <w:pPr>
        <w:spacing w:after="120"/>
        <w:jc w:val="both"/>
        <w:rPr>
          <w:rFonts w:ascii="Arial" w:eastAsia="Calibri" w:hAnsi="Arial" w:cs="Arial"/>
          <w:sz w:val="22"/>
          <w:szCs w:val="22"/>
          <w:lang w:eastAsia="pt-BR"/>
        </w:rPr>
      </w:pPr>
      <w:r>
        <w:rPr>
          <w:rFonts w:ascii="Arial" w:eastAsia="Calibri" w:hAnsi="Arial" w:cs="Arial"/>
          <w:sz w:val="22"/>
          <w:szCs w:val="22"/>
          <w:lang w:eastAsia="pt-BR"/>
        </w:rPr>
        <w:t>3.2</w:t>
      </w:r>
      <w:r>
        <w:rPr>
          <w:rFonts w:ascii="Arial" w:eastAsia="Calibri" w:hAnsi="Arial" w:cs="Arial"/>
          <w:sz w:val="22"/>
          <w:szCs w:val="22"/>
          <w:lang w:eastAsia="pt-BR"/>
        </w:rPr>
        <w:tab/>
      </w:r>
      <w:r w:rsidRPr="009D78AD">
        <w:rPr>
          <w:rFonts w:ascii="Arial" w:eastAsia="Calibri" w:hAnsi="Arial" w:cs="Arial"/>
          <w:sz w:val="22"/>
          <w:szCs w:val="22"/>
          <w:lang w:eastAsia="pt-BR"/>
        </w:rPr>
        <w:t>O art. 6º da Lei 9.478/1997 sofreu algumas alterações, dentre as quais, nos incisos XIV e XXIX, abaixo transcritos, alteraram respectivamente, as definições de Biocombustível e de Produção de Biocombustível: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 xml:space="preserve">“Art. </w:t>
      </w:r>
      <w:proofErr w:type="gramStart"/>
      <w:r w:rsidRPr="00997EB4">
        <w:rPr>
          <w:i/>
        </w:rPr>
        <w:t>6º ...</w:t>
      </w:r>
      <w:proofErr w:type="gramEnd"/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...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  <w:color w:val="000000"/>
        </w:rPr>
        <w:t>XXIV - Biocombustível: substância derivada de biomassa renovável, tal como biodiesel, etanol e outras substâncias estabelecidas em regulamento da ANP, que pode ser empregada diretamente ou mediante alterações em motores a combustão interna ou para outro tipo de geração de energia, podendo substituir parcial ou totalmente combustíveis de origem fóssil</w:t>
      </w:r>
      <w:r>
        <w:rPr>
          <w:i/>
        </w:rPr>
        <w:t>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lastRenderedPageBreak/>
        <w:t>...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proofErr w:type="gramStart"/>
      <w:r w:rsidRPr="00997EB4">
        <w:rPr>
          <w:i/>
          <w:color w:val="000000"/>
        </w:rPr>
        <w:t>XXIX - Produção de Biocombustível: conjunto de operações industriais para a transformação de biomassa renovável, de origem vegetal ou animal, em combustível</w:t>
      </w:r>
      <w:r w:rsidRPr="00997EB4">
        <w:rPr>
          <w:i/>
        </w:rPr>
        <w:t>.”</w:t>
      </w:r>
      <w:proofErr w:type="gramEnd"/>
    </w:p>
    <w:p w:rsidR="00A71544" w:rsidRDefault="00A71544" w:rsidP="00171567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3.3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Pr="00177F6A">
        <w:rPr>
          <w:rFonts w:ascii="Arial" w:eastAsia="Calibri" w:hAnsi="Arial" w:cs="Arial"/>
          <w:color w:val="000000"/>
          <w:sz w:val="22"/>
          <w:szCs w:val="22"/>
          <w:lang w:eastAsia="pt-BR"/>
        </w:rPr>
        <w:t>O art. 8º da Lei 9.478/1997 também sofreu alteração no inciso XVI, criando para a ANP a atribuição de regular e autorizar a produção de etanol, conforme o disposto transcrito abaixo: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“A</w:t>
      </w:r>
      <w:r>
        <w:rPr>
          <w:i/>
        </w:rPr>
        <w:t>rt. 8º</w:t>
      </w:r>
      <w:r w:rsidRPr="00997EB4">
        <w:rPr>
          <w:i/>
        </w:rPr>
        <w:t>...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...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r w:rsidRPr="00997EB4">
        <w:rPr>
          <w:i/>
        </w:rPr>
        <w:t>XVI - regular e autorizar as atividades relacionadas à produção, à importação, à exportação, à armazenagem, à estocagem, ao transporte, à transferência, à distribuição, à revenda e à comercialização de biocombustíveis, assim como avaliação de conformidade e certificação de sua qualidade, fiscalizando-as diretamente ou mediante convênios com outros órgãos da União, Estados, Distrito Federal ou Municípios</w:t>
      </w:r>
      <w:r>
        <w:rPr>
          <w:i/>
        </w:rPr>
        <w:t>.</w:t>
      </w:r>
    </w:p>
    <w:p w:rsidR="00A71544" w:rsidRPr="00997EB4" w:rsidRDefault="00A71544" w:rsidP="00171567">
      <w:pPr>
        <w:pStyle w:val="Texto"/>
        <w:spacing w:after="120"/>
        <w:ind w:left="1418"/>
        <w:rPr>
          <w:i/>
        </w:rPr>
      </w:pPr>
      <w:proofErr w:type="gramStart"/>
      <w:r w:rsidRPr="00997EB4">
        <w:rPr>
          <w:i/>
        </w:rPr>
        <w:t>...”</w:t>
      </w:r>
      <w:proofErr w:type="gramEnd"/>
    </w:p>
    <w:p w:rsidR="00656650" w:rsidRDefault="00656650" w:rsidP="00171567">
      <w:pPr>
        <w:spacing w:after="120" w:line="276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A757E0" w:rsidRDefault="00F60FA1" w:rsidP="00171567">
      <w:pPr>
        <w:numPr>
          <w:ilvl w:val="0"/>
          <w:numId w:val="1"/>
        </w:numPr>
        <w:tabs>
          <w:tab w:val="num" w:pos="1418"/>
        </w:tabs>
        <w:spacing w:after="120" w:line="276" w:lineRule="auto"/>
        <w:ind w:left="567" w:firstLine="0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 xml:space="preserve">          INFORMAÇÕES TÉ</w:t>
      </w:r>
      <w:r w:rsidR="00A757E0">
        <w:rPr>
          <w:rFonts w:ascii="Arial" w:hAnsi="Arial" w:cs="Arial"/>
          <w:b/>
          <w:smallCaps/>
          <w:color w:val="000000"/>
          <w:sz w:val="22"/>
          <w:szCs w:val="22"/>
        </w:rPr>
        <w:t>CNICAS</w:t>
      </w:r>
    </w:p>
    <w:p w:rsidR="00A757E0" w:rsidRDefault="007433AE" w:rsidP="00171567">
      <w:pPr>
        <w:tabs>
          <w:tab w:val="num" w:pos="1418"/>
        </w:tabs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mallCaps/>
          <w:color w:val="000000"/>
          <w:sz w:val="22"/>
          <w:szCs w:val="22"/>
        </w:rPr>
        <w:t xml:space="preserve">           </w:t>
      </w:r>
      <w:r w:rsidR="00A757E0" w:rsidRPr="00A757E0">
        <w:rPr>
          <w:rFonts w:ascii="Arial" w:hAnsi="Arial" w:cs="Arial"/>
          <w:smallCaps/>
          <w:color w:val="000000"/>
          <w:sz w:val="22"/>
          <w:szCs w:val="22"/>
        </w:rPr>
        <w:t>4.1</w:t>
      </w:r>
      <w:r w:rsidR="00A757E0" w:rsidRPr="00A757E0">
        <w:rPr>
          <w:rFonts w:ascii="Arial" w:hAnsi="Arial" w:cs="Arial"/>
          <w:smallCaps/>
          <w:color w:val="000000"/>
          <w:sz w:val="22"/>
          <w:szCs w:val="22"/>
        </w:rPr>
        <w:tab/>
      </w:r>
      <w:r w:rsidR="00A757E0" w:rsidRPr="00A757E0">
        <w:rPr>
          <w:rFonts w:ascii="Arial" w:hAnsi="Arial" w:cs="Arial"/>
          <w:color w:val="000000"/>
          <w:sz w:val="22"/>
          <w:szCs w:val="22"/>
        </w:rPr>
        <w:t>As informações</w:t>
      </w:r>
      <w:r w:rsidR="00A757E0">
        <w:rPr>
          <w:rFonts w:ascii="Arial" w:hAnsi="Arial" w:cs="Arial"/>
          <w:color w:val="000000"/>
          <w:sz w:val="22"/>
          <w:szCs w:val="22"/>
        </w:rPr>
        <w:t xml:space="preserve"> técnicas acerca do tema constam</w:t>
      </w:r>
      <w:r w:rsidR="00E10408">
        <w:rPr>
          <w:rFonts w:ascii="Arial" w:hAnsi="Arial" w:cs="Arial"/>
          <w:color w:val="000000"/>
          <w:sz w:val="22"/>
          <w:szCs w:val="22"/>
        </w:rPr>
        <w:t xml:space="preserve"> </w:t>
      </w:r>
      <w:r w:rsidR="00871BBC">
        <w:rPr>
          <w:rFonts w:ascii="Arial" w:hAnsi="Arial" w:cs="Arial"/>
          <w:color w:val="000000"/>
          <w:sz w:val="22"/>
          <w:szCs w:val="22"/>
        </w:rPr>
        <w:t>na minuta que altera a resolução e no quadro compa</w:t>
      </w:r>
      <w:r w:rsidR="00E10408">
        <w:rPr>
          <w:rFonts w:ascii="Arial" w:hAnsi="Arial" w:cs="Arial"/>
          <w:color w:val="000000"/>
          <w:sz w:val="22"/>
          <w:szCs w:val="22"/>
        </w:rPr>
        <w:t xml:space="preserve">rativo das alterações propostas, em anexo </w:t>
      </w:r>
      <w:r w:rsidR="009449C8">
        <w:rPr>
          <w:rFonts w:ascii="Arial" w:hAnsi="Arial" w:cs="Arial"/>
          <w:color w:val="000000"/>
          <w:sz w:val="22"/>
          <w:szCs w:val="22"/>
        </w:rPr>
        <w:t>a</w:t>
      </w:r>
      <w:r w:rsidR="00E10408">
        <w:rPr>
          <w:rFonts w:ascii="Arial" w:hAnsi="Arial" w:cs="Arial"/>
          <w:color w:val="000000"/>
          <w:sz w:val="22"/>
          <w:szCs w:val="22"/>
        </w:rPr>
        <w:t xml:space="preserve"> esta </w:t>
      </w:r>
      <w:r w:rsidR="00581160">
        <w:rPr>
          <w:rFonts w:ascii="Arial" w:hAnsi="Arial" w:cs="Arial"/>
          <w:color w:val="000000"/>
          <w:sz w:val="22"/>
          <w:szCs w:val="22"/>
        </w:rPr>
        <w:t>N</w:t>
      </w:r>
      <w:r w:rsidR="00E10408">
        <w:rPr>
          <w:rFonts w:ascii="Arial" w:hAnsi="Arial" w:cs="Arial"/>
          <w:color w:val="000000"/>
          <w:sz w:val="22"/>
          <w:szCs w:val="22"/>
        </w:rPr>
        <w:t xml:space="preserve">ota </w:t>
      </w:r>
      <w:r w:rsidR="00581160">
        <w:rPr>
          <w:rFonts w:ascii="Arial" w:hAnsi="Arial" w:cs="Arial"/>
          <w:color w:val="000000"/>
          <w:sz w:val="22"/>
          <w:szCs w:val="22"/>
        </w:rPr>
        <w:t>T</w:t>
      </w:r>
      <w:r w:rsidR="007F2BD6">
        <w:rPr>
          <w:rFonts w:ascii="Arial" w:hAnsi="Arial" w:cs="Arial"/>
          <w:color w:val="000000"/>
          <w:sz w:val="22"/>
          <w:szCs w:val="22"/>
        </w:rPr>
        <w:t>écnica, que serão submetidos à consulta e posterior audiência pública.</w:t>
      </w:r>
    </w:p>
    <w:p w:rsidR="00632E1F" w:rsidRDefault="00632E1F" w:rsidP="00171567">
      <w:pPr>
        <w:tabs>
          <w:tab w:val="num" w:pos="1418"/>
        </w:tabs>
        <w:spacing w:after="120" w:line="276" w:lineRule="auto"/>
        <w:ind w:left="567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4F3C9B" w:rsidRDefault="00A757E0" w:rsidP="00171567">
      <w:pPr>
        <w:numPr>
          <w:ilvl w:val="0"/>
          <w:numId w:val="1"/>
        </w:numPr>
        <w:tabs>
          <w:tab w:val="num" w:pos="1418"/>
        </w:tabs>
        <w:spacing w:after="120" w:line="276" w:lineRule="auto"/>
        <w:ind w:left="567" w:firstLine="0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 xml:space="preserve">          INFORMAÇÕES RELEVANTES</w:t>
      </w:r>
    </w:p>
    <w:p w:rsidR="004F736C" w:rsidRPr="003F7BC7" w:rsidRDefault="00AD6E24" w:rsidP="00171567">
      <w:pPr>
        <w:tabs>
          <w:tab w:val="left" w:pos="1418"/>
        </w:tabs>
        <w:spacing w:after="120" w:line="276" w:lineRule="auto"/>
        <w:ind w:firstLine="567"/>
        <w:jc w:val="both"/>
        <w:rPr>
          <w:rFonts w:ascii="Arial" w:hAnsi="Arial" w:cs="Arial"/>
          <w:smallCaps/>
          <w:color w:val="000000"/>
          <w:sz w:val="22"/>
          <w:szCs w:val="22"/>
        </w:rPr>
      </w:pPr>
      <w:r>
        <w:rPr>
          <w:rFonts w:ascii="Arial" w:hAnsi="Arial" w:cs="Arial"/>
          <w:smallCaps/>
          <w:color w:val="000000"/>
          <w:sz w:val="22"/>
          <w:szCs w:val="22"/>
        </w:rPr>
        <w:t>5</w:t>
      </w:r>
      <w:r w:rsidR="004F736C">
        <w:rPr>
          <w:rFonts w:ascii="Arial" w:hAnsi="Arial" w:cs="Arial"/>
          <w:smallCaps/>
          <w:color w:val="000000"/>
          <w:sz w:val="22"/>
          <w:szCs w:val="22"/>
        </w:rPr>
        <w:t>.</w:t>
      </w:r>
      <w:r w:rsidR="00FF3704">
        <w:rPr>
          <w:rFonts w:ascii="Arial" w:hAnsi="Arial" w:cs="Arial"/>
          <w:smallCaps/>
          <w:color w:val="000000"/>
          <w:sz w:val="22"/>
          <w:szCs w:val="22"/>
        </w:rPr>
        <w:t>1</w:t>
      </w:r>
      <w:r w:rsidR="004F736C">
        <w:rPr>
          <w:rFonts w:ascii="Arial" w:hAnsi="Arial" w:cs="Arial"/>
          <w:smallCaps/>
          <w:color w:val="000000"/>
          <w:sz w:val="22"/>
          <w:szCs w:val="22"/>
        </w:rPr>
        <w:tab/>
      </w:r>
      <w:r w:rsidR="00C418BF">
        <w:rPr>
          <w:rFonts w:ascii="Arial" w:hAnsi="Arial" w:cs="Arial"/>
          <w:color w:val="000000"/>
          <w:sz w:val="22"/>
          <w:szCs w:val="22"/>
        </w:rPr>
        <w:t>As principais modificações propostas</w:t>
      </w:r>
      <w:r w:rsidR="007F510B">
        <w:rPr>
          <w:rFonts w:ascii="Arial" w:hAnsi="Arial" w:cs="Arial"/>
          <w:sz w:val="22"/>
          <w:szCs w:val="22"/>
        </w:rPr>
        <w:t xml:space="preserve"> pela SRP n</w:t>
      </w:r>
      <w:r w:rsidR="007F510B">
        <w:rPr>
          <w:rFonts w:ascii="Arial" w:hAnsi="Arial" w:cs="Arial"/>
          <w:color w:val="000000"/>
          <w:sz w:val="22"/>
          <w:szCs w:val="22"/>
        </w:rPr>
        <w:t xml:space="preserve">a minuta da </w:t>
      </w:r>
      <w:r w:rsidR="004A4350">
        <w:rPr>
          <w:rFonts w:ascii="Arial" w:hAnsi="Arial" w:cs="Arial"/>
          <w:color w:val="000000"/>
          <w:sz w:val="22"/>
          <w:szCs w:val="22"/>
        </w:rPr>
        <w:t xml:space="preserve">resolução </w:t>
      </w:r>
      <w:r w:rsidR="007F510B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7F510B" w:rsidRPr="004A4350">
        <w:rPr>
          <w:rFonts w:ascii="Arial" w:hAnsi="Arial" w:cs="Arial"/>
          <w:color w:val="000000"/>
          <w:sz w:val="22"/>
          <w:szCs w:val="22"/>
        </w:rPr>
        <w:t xml:space="preserve">produção de </w:t>
      </w:r>
      <w:r w:rsidR="00C66C2F">
        <w:rPr>
          <w:rFonts w:ascii="Arial" w:hAnsi="Arial" w:cs="Arial"/>
          <w:color w:val="000000"/>
          <w:sz w:val="22"/>
          <w:szCs w:val="22"/>
        </w:rPr>
        <w:t>etanol</w:t>
      </w:r>
      <w:r w:rsidR="007F510B" w:rsidRPr="004A4350">
        <w:rPr>
          <w:rFonts w:ascii="Arial" w:hAnsi="Arial" w:cs="Arial"/>
          <w:color w:val="000000"/>
          <w:sz w:val="22"/>
          <w:szCs w:val="22"/>
        </w:rPr>
        <w:t>,</w:t>
      </w:r>
      <w:r w:rsidR="007F510B" w:rsidRPr="004A4350">
        <w:rPr>
          <w:rFonts w:ascii="Arial" w:hAnsi="Arial" w:cs="Arial"/>
          <w:sz w:val="22"/>
          <w:szCs w:val="22"/>
        </w:rPr>
        <w:t xml:space="preserve"> </w:t>
      </w:r>
      <w:r w:rsidR="007F510B" w:rsidRPr="003F7BC7">
        <w:rPr>
          <w:rFonts w:ascii="Arial" w:hAnsi="Arial" w:cs="Arial"/>
          <w:sz w:val="22"/>
          <w:szCs w:val="22"/>
        </w:rPr>
        <w:t>além de outr</w:t>
      </w:r>
      <w:r w:rsidR="00C418BF">
        <w:rPr>
          <w:rFonts w:ascii="Arial" w:hAnsi="Arial" w:cs="Arial"/>
          <w:sz w:val="22"/>
          <w:szCs w:val="22"/>
        </w:rPr>
        <w:t>o</w:t>
      </w:r>
      <w:r w:rsidR="007F510B" w:rsidRPr="003F7BC7">
        <w:rPr>
          <w:rFonts w:ascii="Arial" w:hAnsi="Arial" w:cs="Arial"/>
          <w:sz w:val="22"/>
          <w:szCs w:val="22"/>
        </w:rPr>
        <w:t xml:space="preserve">s </w:t>
      </w:r>
      <w:r w:rsidR="00293EB2" w:rsidRPr="003F7BC7">
        <w:rPr>
          <w:rFonts w:ascii="Arial" w:hAnsi="Arial" w:cs="Arial"/>
          <w:sz w:val="22"/>
          <w:szCs w:val="22"/>
        </w:rPr>
        <w:t>pontos</w:t>
      </w:r>
      <w:r w:rsidR="007F510B" w:rsidRPr="003F7BC7">
        <w:rPr>
          <w:rFonts w:ascii="Arial" w:hAnsi="Arial" w:cs="Arial"/>
          <w:sz w:val="22"/>
          <w:szCs w:val="22"/>
        </w:rPr>
        <w:t xml:space="preserve"> relevantes, estão a seguir descrit</w:t>
      </w:r>
      <w:r w:rsidR="00C418BF">
        <w:rPr>
          <w:rFonts w:ascii="Arial" w:hAnsi="Arial" w:cs="Arial"/>
          <w:sz w:val="22"/>
          <w:szCs w:val="22"/>
        </w:rPr>
        <w:t>a</w:t>
      </w:r>
      <w:r w:rsidR="007F510B" w:rsidRPr="003F7BC7">
        <w:rPr>
          <w:rFonts w:ascii="Arial" w:hAnsi="Arial" w:cs="Arial"/>
          <w:sz w:val="22"/>
          <w:szCs w:val="22"/>
        </w:rPr>
        <w:t>s:</w:t>
      </w:r>
    </w:p>
    <w:p w:rsidR="007167F4" w:rsidRPr="003F7BC7" w:rsidRDefault="00AD6E24" w:rsidP="00871BBC">
      <w:pPr>
        <w:tabs>
          <w:tab w:val="num" w:pos="1418"/>
        </w:tabs>
        <w:spacing w:after="120" w:line="276" w:lineRule="auto"/>
        <w:ind w:left="709" w:hanging="142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</w:t>
      </w:r>
      <w:r w:rsidR="00D835C9" w:rsidRPr="003F7BC7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  <w:r w:rsidR="003F6C87" w:rsidRPr="003F7BC7">
        <w:rPr>
          <w:rFonts w:ascii="Arial" w:eastAsia="Calibri" w:hAnsi="Arial" w:cs="Arial"/>
          <w:color w:val="000000"/>
          <w:sz w:val="22"/>
          <w:szCs w:val="22"/>
          <w:lang w:eastAsia="pt-BR"/>
        </w:rPr>
        <w:t>1</w:t>
      </w:r>
      <w:r w:rsidR="00D835C9" w:rsidRPr="003F7BC7">
        <w:rPr>
          <w:rFonts w:ascii="Arial" w:eastAsia="Calibri" w:hAnsi="Arial" w:cs="Arial"/>
          <w:color w:val="000000"/>
          <w:sz w:val="22"/>
          <w:szCs w:val="22"/>
          <w:lang w:eastAsia="pt-BR"/>
        </w:rPr>
        <w:t>.1</w:t>
      </w:r>
      <w:r w:rsidR="003F6C87" w:rsidRPr="003F7BC7"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>Foram incluídas</w:t>
      </w:r>
      <w:r w:rsidR="00D46AAC">
        <w:rPr>
          <w:rFonts w:ascii="Arial" w:hAnsi="Arial" w:cs="Arial"/>
          <w:color w:val="000000"/>
          <w:sz w:val="22"/>
          <w:szCs w:val="22"/>
        </w:rPr>
        <w:t xml:space="preserve"> na definição de planta produtora de etanol etapas referentes às plantas produtoras de etanol de segunda geração.</w:t>
      </w:r>
    </w:p>
    <w:p w:rsidR="007167F4" w:rsidRDefault="00AD6E24" w:rsidP="00871BBC">
      <w:pPr>
        <w:tabs>
          <w:tab w:val="num" w:pos="1418"/>
        </w:tabs>
        <w:spacing w:after="120" w:line="276" w:lineRule="auto"/>
        <w:ind w:left="709" w:hanging="142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</w:t>
      </w:r>
      <w:r w:rsidR="007167F4">
        <w:rPr>
          <w:rFonts w:ascii="Arial" w:eastAsia="Calibri" w:hAnsi="Arial" w:cs="Arial"/>
          <w:color w:val="000000"/>
          <w:sz w:val="22"/>
          <w:szCs w:val="22"/>
          <w:lang w:eastAsia="pt-BR"/>
        </w:rPr>
        <w:t>.1.2</w:t>
      </w:r>
      <w:r w:rsidR="003F6C87" w:rsidRPr="003F6C87"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7167F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Foi </w:t>
      </w:r>
      <w:r w:rsidR="00D46AAC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incluído o termo “etanol hidratado e anidro” </w:t>
      </w:r>
      <w:r w:rsidR="00E1040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em alguns artigos para que fique claro que </w:t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>a referência</w:t>
      </w:r>
      <w:r w:rsidR="00E1040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ao termo “etanol” </w:t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>abrange</w:t>
      </w:r>
      <w:r w:rsidR="00E1040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tanto </w:t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>o</w:t>
      </w:r>
      <w:r w:rsidR="00E1040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etanol “anidro” quanto </w:t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o </w:t>
      </w:r>
      <w:r w:rsidR="00E10408">
        <w:rPr>
          <w:rFonts w:ascii="Arial" w:eastAsia="Calibri" w:hAnsi="Arial" w:cs="Arial"/>
          <w:color w:val="000000"/>
          <w:sz w:val="22"/>
          <w:szCs w:val="22"/>
          <w:lang w:eastAsia="pt-BR"/>
        </w:rPr>
        <w:t>“hidratado”.</w:t>
      </w:r>
    </w:p>
    <w:p w:rsidR="00D46AAC" w:rsidRDefault="00D46AAC" w:rsidP="00171567">
      <w:pPr>
        <w:tabs>
          <w:tab w:val="num" w:pos="1418"/>
        </w:tabs>
        <w:spacing w:after="12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5.1.3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Foram alteradas algumas definições para tornar a resolução mais clara.</w:t>
      </w:r>
    </w:p>
    <w:p w:rsidR="007B0809" w:rsidRDefault="007B0809" w:rsidP="00171567">
      <w:pPr>
        <w:tabs>
          <w:tab w:val="num" w:pos="1418"/>
        </w:tabs>
        <w:spacing w:after="12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5.1.4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 xml:space="preserve">O item relacionado à auditoria da suficiência do capital social integralizado e das outras fontes de financiamento foi </w:t>
      </w:r>
      <w:r w:rsidR="003A3841">
        <w:rPr>
          <w:rFonts w:ascii="Arial" w:eastAsia="Calibri" w:hAnsi="Arial" w:cs="Arial"/>
          <w:color w:val="000000"/>
          <w:sz w:val="22"/>
          <w:szCs w:val="22"/>
          <w:lang w:eastAsia="pt-BR"/>
        </w:rPr>
        <w:t>alterado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modo a </w:t>
      </w:r>
      <w:r w:rsidR="00130F2A">
        <w:rPr>
          <w:rFonts w:ascii="Arial" w:eastAsia="Calibri" w:hAnsi="Arial" w:cs="Arial"/>
          <w:color w:val="000000"/>
          <w:sz w:val="22"/>
          <w:szCs w:val="22"/>
          <w:lang w:eastAsia="pt-BR"/>
        </w:rPr>
        <w:t>esclarecer</w:t>
      </w:r>
      <w:r w:rsidR="00204F3F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que todos os profissionais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habilitados para essa função possam realizar a atividade.</w:t>
      </w:r>
    </w:p>
    <w:p w:rsidR="00D46AAC" w:rsidRDefault="00D46AAC" w:rsidP="00871BBC">
      <w:pPr>
        <w:tabs>
          <w:tab w:val="num" w:pos="1418"/>
        </w:tabs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</w:t>
      </w:r>
      <w:r w:rsidR="007B0809">
        <w:rPr>
          <w:rFonts w:ascii="Arial" w:eastAsia="Calibri" w:hAnsi="Arial" w:cs="Arial"/>
          <w:color w:val="000000"/>
          <w:sz w:val="22"/>
          <w:szCs w:val="22"/>
          <w:lang w:eastAsia="pt-BR"/>
        </w:rPr>
        <w:t>5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No caso de plantas produtoras de etanol de pequena escala foi definido que a autorização também se dará por meio de publicação no DOU, como já vem sendo prat</w:t>
      </w:r>
      <w:r w:rsidR="0061720F">
        <w:rPr>
          <w:rFonts w:ascii="Arial" w:eastAsia="Calibri" w:hAnsi="Arial" w:cs="Arial"/>
          <w:color w:val="000000"/>
          <w:sz w:val="22"/>
          <w:szCs w:val="22"/>
          <w:lang w:eastAsia="pt-BR"/>
        </w:rPr>
        <w:t>icado por esta S</w:t>
      </w:r>
      <w:r w:rsidR="00B649A4">
        <w:rPr>
          <w:rFonts w:ascii="Arial" w:eastAsia="Calibri" w:hAnsi="Arial" w:cs="Arial"/>
          <w:color w:val="000000"/>
          <w:sz w:val="22"/>
          <w:szCs w:val="22"/>
          <w:lang w:eastAsia="pt-BR"/>
        </w:rPr>
        <w:t>uperintendência, visando maior transparência para a sociedade.</w:t>
      </w:r>
    </w:p>
    <w:p w:rsidR="007B0809" w:rsidRDefault="001A3EF1" w:rsidP="00871BBC">
      <w:pPr>
        <w:tabs>
          <w:tab w:val="num" w:pos="1418"/>
        </w:tabs>
        <w:spacing w:after="120" w:line="276" w:lineRule="auto"/>
        <w:ind w:left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5.1.6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Foram incluídos dois artigos referentes à obrigatoriedade de manter atualizada a licença de operação e o laudo de vistoria do corpo de bombeiros, seguindo o mesmo padrão da recém-publicada Resolução ANP nº30/2013, referente à produção de biodiesel.</w:t>
      </w:r>
      <w:r w:rsidR="001D6366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Foi incluído </w:t>
      </w:r>
      <w:r w:rsidR="00626CEA">
        <w:rPr>
          <w:rFonts w:ascii="Arial" w:eastAsia="Calibri" w:hAnsi="Arial" w:cs="Arial"/>
          <w:color w:val="000000"/>
          <w:sz w:val="22"/>
          <w:szCs w:val="22"/>
          <w:lang w:eastAsia="pt-BR"/>
        </w:rPr>
        <w:t>artigo</w:t>
      </w:r>
      <w:r w:rsidR="001D6366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definindo que essa obrigatoriedade passa a vigorar de </w:t>
      </w:r>
      <w:r w:rsidR="001D6366">
        <w:rPr>
          <w:rFonts w:ascii="Arial" w:eastAsia="Calibri" w:hAnsi="Arial" w:cs="Arial"/>
          <w:color w:val="000000"/>
          <w:sz w:val="22"/>
          <w:szCs w:val="22"/>
          <w:lang w:eastAsia="pt-BR"/>
        </w:rPr>
        <w:lastRenderedPageBreak/>
        <w:t>acordo com o prazo definido para regularização das usinas nos artigos 20 e 22 da Resolução nº26/2013.</w:t>
      </w:r>
    </w:p>
    <w:p w:rsidR="00D46AAC" w:rsidRDefault="00D46AAC" w:rsidP="00171567">
      <w:pPr>
        <w:tabs>
          <w:tab w:val="num" w:pos="1418"/>
        </w:tabs>
        <w:spacing w:after="12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</w:t>
      </w:r>
      <w:r w:rsidR="001A3EF1">
        <w:rPr>
          <w:rFonts w:ascii="Arial" w:eastAsia="Calibri" w:hAnsi="Arial" w:cs="Arial"/>
          <w:color w:val="000000"/>
          <w:sz w:val="22"/>
          <w:szCs w:val="22"/>
          <w:lang w:eastAsia="pt-BR"/>
        </w:rPr>
        <w:t>7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 xml:space="preserve">O </w:t>
      </w:r>
      <w:r w:rsidR="007A0558">
        <w:rPr>
          <w:rFonts w:ascii="Arial" w:eastAsia="Calibri" w:hAnsi="Arial" w:cs="Arial"/>
          <w:color w:val="000000"/>
          <w:sz w:val="22"/>
          <w:szCs w:val="22"/>
          <w:lang w:eastAsia="pt-BR"/>
        </w:rPr>
        <w:t>A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nexo</w:t>
      </w:r>
      <w:r w:rsidR="007A055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C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relacionado aos dados da planta produtora e planejamento anual da produção foi separado em dois anexos</w:t>
      </w:r>
      <w:r w:rsidR="007A0558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; C e </w:t>
      </w:r>
      <w:proofErr w:type="spellStart"/>
      <w:r w:rsidR="007A0558">
        <w:rPr>
          <w:rFonts w:ascii="Arial" w:eastAsia="Calibri" w:hAnsi="Arial" w:cs="Arial"/>
          <w:color w:val="000000"/>
          <w:sz w:val="22"/>
          <w:szCs w:val="22"/>
          <w:lang w:eastAsia="pt-BR"/>
        </w:rPr>
        <w:t>E</w:t>
      </w:r>
      <w:proofErr w:type="spellEnd"/>
      <w:r w:rsidR="007A0558">
        <w:rPr>
          <w:rFonts w:ascii="Arial" w:eastAsia="Calibri" w:hAnsi="Arial" w:cs="Arial"/>
          <w:color w:val="000000"/>
          <w:sz w:val="22"/>
          <w:szCs w:val="22"/>
          <w:lang w:eastAsia="pt-BR"/>
        </w:rPr>
        <w:t>;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já que a obrigatoriedade de atualização anual está relacionada somente aos dados do planejamento anual da produção.</w:t>
      </w:r>
    </w:p>
    <w:p w:rsidR="007A0558" w:rsidRDefault="007A0558" w:rsidP="00171567">
      <w:pPr>
        <w:tabs>
          <w:tab w:val="num" w:pos="1418"/>
        </w:tabs>
        <w:spacing w:after="12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5.1.8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O Anexo A relacionado ao modelo para encaminhamento de solicitação para autorização de construção e operação foi separado em dois anexos; A e F; sendo o A para autorização para construção e o F para autorização para operação.</w:t>
      </w:r>
    </w:p>
    <w:p w:rsidR="007A0558" w:rsidRDefault="007A0558" w:rsidP="00171567">
      <w:pPr>
        <w:tabs>
          <w:tab w:val="num" w:pos="1418"/>
        </w:tabs>
        <w:spacing w:after="12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5.1.9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  <w:t>Foi incluído o Anexo G relacionado ao modelo para comunic</w:t>
      </w:r>
      <w:r w:rsidR="001D6366">
        <w:rPr>
          <w:rFonts w:ascii="Arial" w:eastAsia="Calibri" w:hAnsi="Arial" w:cs="Arial"/>
          <w:color w:val="000000"/>
          <w:sz w:val="22"/>
          <w:szCs w:val="22"/>
          <w:lang w:eastAsia="pt-BR"/>
        </w:rPr>
        <w:t>ação de ampliação de capacidade, que não tinha sido padronizado anteriormente.</w:t>
      </w:r>
    </w:p>
    <w:p w:rsidR="00871BBC" w:rsidRDefault="00871BBC" w:rsidP="00871BBC">
      <w:pPr>
        <w:spacing w:before="81" w:after="120" w:line="276" w:lineRule="auto"/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391801" w:rsidRDefault="00871BBC" w:rsidP="00871BBC">
      <w:pPr>
        <w:pStyle w:val="PargrafodaLista"/>
        <w:numPr>
          <w:ilvl w:val="0"/>
          <w:numId w:val="1"/>
        </w:numPr>
        <w:spacing w:before="81" w:after="120" w:line="276" w:lineRule="auto"/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CONCLUSÃ</w:t>
      </w:r>
      <w:r w:rsidR="00244C37" w:rsidRPr="00871BBC">
        <w:rPr>
          <w:rFonts w:ascii="Arial" w:hAnsi="Arial" w:cs="Arial"/>
          <w:b/>
          <w:smallCaps/>
          <w:color w:val="000000"/>
          <w:sz w:val="22"/>
          <w:szCs w:val="22"/>
        </w:rPr>
        <w:t>O</w:t>
      </w:r>
    </w:p>
    <w:p w:rsidR="00A93AB9" w:rsidRPr="002B69F7" w:rsidRDefault="004F736C" w:rsidP="00171567">
      <w:pPr>
        <w:pStyle w:val="PargrafodaLista"/>
        <w:numPr>
          <w:ilvl w:val="1"/>
          <w:numId w:val="1"/>
        </w:numPr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69F7">
        <w:rPr>
          <w:rFonts w:ascii="Arial" w:hAnsi="Arial" w:cs="Arial"/>
          <w:sz w:val="22"/>
          <w:szCs w:val="22"/>
        </w:rPr>
        <w:t>Segundo o exposto nesta Nota Técnica, a Superintendência de Refino</w:t>
      </w:r>
      <w:r w:rsidR="00FB1115">
        <w:rPr>
          <w:rFonts w:ascii="Arial" w:hAnsi="Arial" w:cs="Arial"/>
          <w:sz w:val="22"/>
          <w:szCs w:val="22"/>
        </w:rPr>
        <w:t>,</w:t>
      </w:r>
      <w:r w:rsidRPr="002B69F7">
        <w:rPr>
          <w:rFonts w:ascii="Arial" w:hAnsi="Arial" w:cs="Arial"/>
          <w:sz w:val="22"/>
          <w:szCs w:val="22"/>
        </w:rPr>
        <w:t xml:space="preserve"> Processamento de Gás Natural</w:t>
      </w:r>
      <w:r w:rsidR="00FB1115">
        <w:rPr>
          <w:rFonts w:ascii="Arial" w:hAnsi="Arial" w:cs="Arial"/>
          <w:sz w:val="22"/>
          <w:szCs w:val="22"/>
        </w:rPr>
        <w:t xml:space="preserve"> e Produção de Biocombustíveis</w:t>
      </w:r>
      <w:r w:rsidRPr="002B69F7">
        <w:rPr>
          <w:rFonts w:ascii="Arial" w:hAnsi="Arial" w:cs="Arial"/>
          <w:sz w:val="22"/>
          <w:szCs w:val="22"/>
        </w:rPr>
        <w:t xml:space="preserve"> - SRP </w:t>
      </w:r>
      <w:r w:rsidR="00480C56">
        <w:rPr>
          <w:rFonts w:ascii="Arial" w:hAnsi="Arial" w:cs="Arial"/>
          <w:sz w:val="22"/>
          <w:szCs w:val="22"/>
        </w:rPr>
        <w:t xml:space="preserve">submete </w:t>
      </w:r>
      <w:r w:rsidR="00981F5E">
        <w:rPr>
          <w:rFonts w:ascii="Arial" w:hAnsi="Arial" w:cs="Arial"/>
          <w:sz w:val="22"/>
          <w:szCs w:val="22"/>
        </w:rPr>
        <w:t xml:space="preserve">para </w:t>
      </w:r>
      <w:r w:rsidR="00D40173">
        <w:rPr>
          <w:rFonts w:ascii="Arial" w:hAnsi="Arial" w:cs="Arial"/>
          <w:sz w:val="22"/>
          <w:szCs w:val="22"/>
        </w:rPr>
        <w:t xml:space="preserve">consulta e audiência públicas, </w:t>
      </w:r>
      <w:r w:rsidR="00480C56" w:rsidRPr="00293831">
        <w:rPr>
          <w:rFonts w:ascii="Arial" w:hAnsi="Arial" w:cs="Arial"/>
          <w:sz w:val="22"/>
          <w:szCs w:val="22"/>
        </w:rPr>
        <w:t xml:space="preserve">a </w:t>
      </w:r>
      <w:r w:rsidR="00480C56">
        <w:rPr>
          <w:rFonts w:ascii="Arial" w:hAnsi="Arial" w:cs="Arial"/>
          <w:sz w:val="22"/>
          <w:szCs w:val="22"/>
        </w:rPr>
        <w:t>minuta de r</w:t>
      </w:r>
      <w:r w:rsidR="00480C56" w:rsidRPr="004929C4">
        <w:rPr>
          <w:rFonts w:ascii="Arial" w:hAnsi="Arial" w:cs="Arial"/>
          <w:sz w:val="22"/>
          <w:szCs w:val="22"/>
        </w:rPr>
        <w:t>esolução</w:t>
      </w:r>
      <w:r w:rsidR="00480C56">
        <w:rPr>
          <w:rFonts w:ascii="Arial" w:hAnsi="Arial" w:cs="Arial"/>
          <w:sz w:val="22"/>
          <w:szCs w:val="22"/>
        </w:rPr>
        <w:t xml:space="preserve">, em anexo, que </w:t>
      </w:r>
      <w:r w:rsidR="00FB1115">
        <w:rPr>
          <w:rFonts w:ascii="Arial" w:hAnsi="Arial" w:cs="Arial"/>
          <w:sz w:val="22"/>
          <w:szCs w:val="22"/>
        </w:rPr>
        <w:t>altera a Resolução nº</w:t>
      </w:r>
      <w:r w:rsidR="00E45EA1">
        <w:rPr>
          <w:rFonts w:ascii="Arial" w:hAnsi="Arial" w:cs="Arial"/>
          <w:sz w:val="22"/>
          <w:szCs w:val="22"/>
        </w:rPr>
        <w:t xml:space="preserve"> </w:t>
      </w:r>
      <w:r w:rsidR="00FB1115">
        <w:rPr>
          <w:rFonts w:ascii="Arial" w:hAnsi="Arial" w:cs="Arial"/>
          <w:sz w:val="22"/>
          <w:szCs w:val="22"/>
        </w:rPr>
        <w:t xml:space="preserve">26/2012 que </w:t>
      </w:r>
      <w:r w:rsidR="00480C56">
        <w:rPr>
          <w:rFonts w:ascii="Arial" w:hAnsi="Arial" w:cs="Arial"/>
          <w:sz w:val="22"/>
          <w:szCs w:val="22"/>
        </w:rPr>
        <w:t xml:space="preserve">regulamenta a atividade de produção de </w:t>
      </w:r>
      <w:r w:rsidR="00D40173">
        <w:rPr>
          <w:rFonts w:ascii="Arial" w:hAnsi="Arial" w:cs="Arial"/>
          <w:sz w:val="22"/>
          <w:szCs w:val="22"/>
        </w:rPr>
        <w:t>etanol, após apreciação da Procuradoria Geral e aprovação da Diretoria Colegiada da ANP.</w:t>
      </w:r>
    </w:p>
    <w:p w:rsidR="008129A5" w:rsidRDefault="00F77AD6" w:rsidP="00171567">
      <w:pPr>
        <w:pStyle w:val="PargrafodaLista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Esclarece-se que o</w:t>
      </w:r>
      <w:r w:rsidR="00FE6D4E">
        <w:rPr>
          <w:rFonts w:ascii="Arial" w:hAnsi="Arial" w:cs="Arial"/>
          <w:sz w:val="22"/>
          <w:szCs w:val="22"/>
        </w:rPr>
        <w:t>s produtores de etanol de segunda geração já estavam obrigados a cumprir as exigências da Resolução nº</w:t>
      </w:r>
      <w:r w:rsidR="00E45EA1">
        <w:rPr>
          <w:rFonts w:ascii="Arial" w:hAnsi="Arial" w:cs="Arial"/>
          <w:sz w:val="22"/>
          <w:szCs w:val="22"/>
        </w:rPr>
        <w:t xml:space="preserve"> </w:t>
      </w:r>
      <w:r w:rsidR="00FE6D4E">
        <w:rPr>
          <w:rFonts w:ascii="Arial" w:hAnsi="Arial" w:cs="Arial"/>
          <w:sz w:val="22"/>
          <w:szCs w:val="22"/>
        </w:rPr>
        <w:t xml:space="preserve">26/2012, </w:t>
      </w:r>
      <w:r>
        <w:rPr>
          <w:rFonts w:ascii="Arial" w:hAnsi="Arial" w:cs="Arial"/>
          <w:sz w:val="22"/>
          <w:szCs w:val="22"/>
        </w:rPr>
        <w:t>visto que não existia nenhuma restrição em relação</w:t>
      </w:r>
      <w:r w:rsidR="00FE6D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E6D4E">
        <w:rPr>
          <w:rFonts w:ascii="Arial" w:hAnsi="Arial" w:cs="Arial"/>
          <w:sz w:val="22"/>
          <w:szCs w:val="22"/>
        </w:rPr>
        <w:t xml:space="preserve">o tipo de produção. </w:t>
      </w:r>
      <w:r w:rsidR="008129A5" w:rsidRPr="002B69F7">
        <w:rPr>
          <w:rFonts w:ascii="Arial" w:hAnsi="Arial" w:cs="Arial"/>
          <w:sz w:val="22"/>
          <w:szCs w:val="22"/>
        </w:rPr>
        <w:t xml:space="preserve">Cabe destacar que as proposições tratadas na minuta de </w:t>
      </w:r>
      <w:r w:rsidR="004929C4" w:rsidRPr="002B69F7">
        <w:rPr>
          <w:rFonts w:ascii="Arial" w:hAnsi="Arial" w:cs="Arial"/>
          <w:sz w:val="22"/>
          <w:szCs w:val="22"/>
        </w:rPr>
        <w:t>r</w:t>
      </w:r>
      <w:r w:rsidR="008129A5" w:rsidRPr="002B69F7">
        <w:rPr>
          <w:rFonts w:ascii="Arial" w:hAnsi="Arial" w:cs="Arial"/>
          <w:sz w:val="22"/>
          <w:szCs w:val="22"/>
        </w:rPr>
        <w:t xml:space="preserve">esolução buscam </w:t>
      </w:r>
      <w:r w:rsidR="00FB1115">
        <w:rPr>
          <w:rFonts w:ascii="Arial" w:hAnsi="Arial" w:cs="Arial"/>
          <w:sz w:val="22"/>
          <w:szCs w:val="22"/>
        </w:rPr>
        <w:t xml:space="preserve">tão somente </w:t>
      </w:r>
      <w:r>
        <w:rPr>
          <w:rFonts w:ascii="Arial" w:hAnsi="Arial" w:cs="Arial"/>
          <w:sz w:val="22"/>
          <w:szCs w:val="22"/>
        </w:rPr>
        <w:t>especificar as características d</w:t>
      </w:r>
      <w:r w:rsidR="00FB1115">
        <w:rPr>
          <w:rFonts w:ascii="Arial" w:hAnsi="Arial" w:cs="Arial"/>
          <w:sz w:val="22"/>
          <w:szCs w:val="22"/>
        </w:rPr>
        <w:t xml:space="preserve">a produção de etanol de segunda geração </w:t>
      </w:r>
      <w:r>
        <w:rPr>
          <w:rFonts w:ascii="Arial" w:hAnsi="Arial" w:cs="Arial"/>
          <w:sz w:val="22"/>
          <w:szCs w:val="22"/>
        </w:rPr>
        <w:t>quanto</w:t>
      </w:r>
      <w:r w:rsidR="00FB1115">
        <w:rPr>
          <w:rFonts w:ascii="Arial" w:hAnsi="Arial" w:cs="Arial"/>
          <w:sz w:val="22"/>
          <w:szCs w:val="22"/>
        </w:rPr>
        <w:t xml:space="preserve"> facilitar o entendimento da resolução por parte dos agentes regulados.</w:t>
      </w:r>
      <w:r w:rsidR="00FE6D4E">
        <w:rPr>
          <w:rFonts w:ascii="Arial" w:hAnsi="Arial" w:cs="Arial"/>
          <w:sz w:val="22"/>
          <w:szCs w:val="22"/>
        </w:rPr>
        <w:t xml:space="preserve"> </w:t>
      </w:r>
    </w:p>
    <w:p w:rsidR="005860E6" w:rsidRDefault="005860E6" w:rsidP="005860E6">
      <w:pPr>
        <w:pStyle w:val="PargrafodaLista"/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43B12" w:rsidRDefault="00943B12" w:rsidP="00171567">
      <w:pPr>
        <w:spacing w:before="120" w:after="120" w:line="276" w:lineRule="auto"/>
        <w:ind w:left="2832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Rio de Janeiro, </w:t>
      </w:r>
      <w:r w:rsidR="00314F08">
        <w:rPr>
          <w:rFonts w:ascii="Arial" w:eastAsia="Calibri" w:hAnsi="Arial" w:cs="Arial"/>
          <w:color w:val="000000"/>
          <w:sz w:val="22"/>
          <w:szCs w:val="22"/>
          <w:lang w:eastAsia="pt-BR"/>
        </w:rPr>
        <w:t>27</w:t>
      </w:r>
      <w:r w:rsidR="001A3EF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314F08">
        <w:rPr>
          <w:rFonts w:ascii="Arial" w:eastAsia="Calibri" w:hAnsi="Arial" w:cs="Arial"/>
          <w:color w:val="000000"/>
          <w:sz w:val="22"/>
          <w:szCs w:val="22"/>
          <w:lang w:eastAsia="pt-BR"/>
        </w:rPr>
        <w:t>setembro</w:t>
      </w:r>
      <w:r w:rsidR="00FB111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B4A2E"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20</w:t>
      </w:r>
      <w:r w:rsidR="001B4A2E"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1</w:t>
      </w:r>
      <w:r w:rsidR="00B71B34">
        <w:rPr>
          <w:rFonts w:ascii="Arial" w:eastAsia="Calibri" w:hAnsi="Arial" w:cs="Arial"/>
          <w:color w:val="000000"/>
          <w:sz w:val="22"/>
          <w:szCs w:val="22"/>
          <w:lang w:eastAsia="pt-BR"/>
        </w:rPr>
        <w:t>3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</w:p>
    <w:p w:rsidR="00340AFA" w:rsidRDefault="00340AFA" w:rsidP="00171567">
      <w:pPr>
        <w:spacing w:before="120" w:after="120" w:line="276" w:lineRule="auto"/>
        <w:ind w:left="2832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Pr="007626C9" w:rsidRDefault="006A7F7C" w:rsidP="00171567">
      <w:pPr>
        <w:spacing w:before="120"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6A7F7C" w:rsidRPr="007626C9" w:rsidRDefault="00FB1115" w:rsidP="00171567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LUCIANA TAVARES S. DE ALMEIDA</w:t>
      </w:r>
    </w:p>
    <w:p w:rsidR="006A7F7C" w:rsidRDefault="006A7F7C" w:rsidP="00AA2560">
      <w:pPr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Especialista em Regulação</w:t>
      </w:r>
    </w:p>
    <w:p w:rsidR="008314A6" w:rsidRDefault="008314A6" w:rsidP="00AA2560">
      <w:pPr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Superintendência de 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Refino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Processamento de Gás Natural</w:t>
      </w: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</w:t>
      </w:r>
    </w:p>
    <w:p w:rsidR="008314A6" w:rsidRDefault="008314A6" w:rsidP="00AA2560">
      <w:pPr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Produção de Biocombustíveis</w:t>
      </w:r>
    </w:p>
    <w:p w:rsidR="006A7F7C" w:rsidRDefault="006A7F7C" w:rsidP="00171567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Default="006A7F7C" w:rsidP="00171567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De acordo:</w:t>
      </w:r>
    </w:p>
    <w:p w:rsidR="006A7F7C" w:rsidRDefault="006A7F7C" w:rsidP="00171567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CA611C" w:rsidRPr="007626C9" w:rsidRDefault="00CA611C" w:rsidP="00171567">
      <w:pPr>
        <w:spacing w:before="120"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943B12" w:rsidRPr="007626C9" w:rsidRDefault="0067253C" w:rsidP="00171567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ALEXANDRE CARLOS CAMACHO RODRIGUES</w:t>
      </w:r>
    </w:p>
    <w:p w:rsidR="00C6783C" w:rsidRDefault="00943B12" w:rsidP="00AA2560">
      <w:pPr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Superintend</w:t>
      </w:r>
      <w:r w:rsidR="00593429"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ente </w:t>
      </w:r>
      <w:r w:rsidR="0067253C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Adjunto 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de Refino</w:t>
      </w:r>
      <w:r w:rsidR="00C6783C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Pr="007626C9">
        <w:rPr>
          <w:rFonts w:ascii="Arial" w:eastAsia="Calibri" w:hAnsi="Arial" w:cs="Arial"/>
          <w:color w:val="000000"/>
          <w:sz w:val="22"/>
          <w:szCs w:val="22"/>
          <w:lang w:eastAsia="pt-BR"/>
        </w:rPr>
        <w:t>Processamento de Gás Natural</w:t>
      </w:r>
      <w:r w:rsidR="00C6783C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</w:t>
      </w:r>
    </w:p>
    <w:p w:rsidR="00943B12" w:rsidRPr="007626C9" w:rsidRDefault="00C6783C" w:rsidP="00AA2560">
      <w:pPr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Produção de Biocombustíveis</w:t>
      </w:r>
    </w:p>
    <w:sectPr w:rsidR="00943B12" w:rsidRPr="007626C9" w:rsidSect="006E2BED">
      <w:headerReference w:type="default" r:id="rId10"/>
      <w:footerReference w:type="default" r:id="rId11"/>
      <w:pgSz w:w="11906" w:h="16838"/>
      <w:pgMar w:top="1418" w:right="1134" w:bottom="851" w:left="1418" w:header="113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6E" w:rsidRDefault="00207D6E" w:rsidP="004E0112">
      <w:r>
        <w:separator/>
      </w:r>
    </w:p>
  </w:endnote>
  <w:endnote w:type="continuationSeparator" w:id="0">
    <w:p w:rsidR="00207D6E" w:rsidRDefault="00207D6E" w:rsidP="004E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6E" w:rsidRPr="007626C9" w:rsidRDefault="00522975">
    <w:pPr>
      <w:pStyle w:val="Rodap"/>
      <w:jc w:val="right"/>
      <w:rPr>
        <w:rFonts w:ascii="Arial" w:hAnsi="Arial" w:cs="Arial"/>
      </w:rPr>
    </w:pPr>
    <w:r w:rsidRPr="007626C9">
      <w:rPr>
        <w:rFonts w:ascii="Arial" w:hAnsi="Arial" w:cs="Arial"/>
      </w:rPr>
      <w:fldChar w:fldCharType="begin"/>
    </w:r>
    <w:r w:rsidR="00207D6E" w:rsidRPr="007626C9">
      <w:rPr>
        <w:rFonts w:ascii="Arial" w:hAnsi="Arial" w:cs="Arial"/>
      </w:rPr>
      <w:instrText xml:space="preserve"> PAGE   \* MERGEFORMAT </w:instrText>
    </w:r>
    <w:r w:rsidRPr="007626C9">
      <w:rPr>
        <w:rFonts w:ascii="Arial" w:hAnsi="Arial" w:cs="Arial"/>
      </w:rPr>
      <w:fldChar w:fldCharType="separate"/>
    </w:r>
    <w:r w:rsidR="00515D49">
      <w:rPr>
        <w:rFonts w:ascii="Arial" w:hAnsi="Arial" w:cs="Arial"/>
        <w:noProof/>
      </w:rPr>
      <w:t>1</w:t>
    </w:r>
    <w:r w:rsidRPr="007626C9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6E" w:rsidRDefault="00207D6E" w:rsidP="004E0112">
      <w:r>
        <w:separator/>
      </w:r>
    </w:p>
  </w:footnote>
  <w:footnote w:type="continuationSeparator" w:id="0">
    <w:p w:rsidR="00207D6E" w:rsidRDefault="00207D6E" w:rsidP="004E0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378"/>
      <w:gridCol w:w="1985"/>
    </w:tblGrid>
    <w:tr w:rsidR="00207D6E" w:rsidTr="002C128A">
      <w:trPr>
        <w:cantSplit/>
        <w:trHeight w:val="550"/>
      </w:trPr>
      <w:tc>
        <w:tcPr>
          <w:tcW w:w="10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07D6E" w:rsidRDefault="00207D6E" w:rsidP="002C128A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590550" cy="638175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6E" w:rsidRPr="0092781E" w:rsidRDefault="00207D6E" w:rsidP="00CB3608">
          <w:pPr>
            <w:pStyle w:val="Cabealho"/>
            <w:jc w:val="center"/>
            <w:rPr>
              <w:rFonts w:ascii="Arial" w:hAnsi="Arial"/>
              <w:b/>
              <w:smallCaps/>
              <w:shadow/>
              <w:noProof/>
              <w:sz w:val="28"/>
            </w:rPr>
          </w:pPr>
          <w:r>
            <w:rPr>
              <w:rFonts w:ascii="Arial" w:hAnsi="Arial"/>
              <w:b/>
              <w:smallCaps/>
              <w:shadow/>
              <w:noProof/>
              <w:sz w:val="28"/>
            </w:rPr>
            <w:t>Nota Técnica SRP n° 0</w:t>
          </w:r>
          <w:r w:rsidR="00FE170D">
            <w:rPr>
              <w:rFonts w:ascii="Arial" w:hAnsi="Arial"/>
              <w:b/>
              <w:smallCaps/>
              <w:shadow/>
              <w:noProof/>
              <w:sz w:val="28"/>
            </w:rPr>
            <w:t>1</w:t>
          </w:r>
          <w:r w:rsidR="00CB3608">
            <w:rPr>
              <w:rFonts w:ascii="Arial" w:hAnsi="Arial"/>
              <w:b/>
              <w:smallCaps/>
              <w:shadow/>
              <w:noProof/>
              <w:sz w:val="28"/>
            </w:rPr>
            <w:t>3</w:t>
          </w:r>
          <w:r w:rsidRPr="007A5F4C">
            <w:rPr>
              <w:rFonts w:ascii="Arial" w:hAnsi="Arial"/>
              <w:b/>
              <w:smallCaps/>
              <w:shadow/>
              <w:noProof/>
              <w:sz w:val="28"/>
            </w:rPr>
            <w:t>/20</w:t>
          </w:r>
          <w:r>
            <w:rPr>
              <w:rFonts w:ascii="Arial" w:hAnsi="Arial"/>
              <w:b/>
              <w:smallCaps/>
              <w:shadow/>
              <w:noProof/>
              <w:sz w:val="28"/>
            </w:rPr>
            <w:t>13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7D6E" w:rsidRDefault="00314F08" w:rsidP="00651976">
          <w:pPr>
            <w:pStyle w:val="Cabealho"/>
            <w:jc w:val="center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27/09</w:t>
          </w:r>
          <w:r w:rsidR="00207D6E" w:rsidRPr="007A5F4C">
            <w:rPr>
              <w:rFonts w:ascii="Arial" w:hAnsi="Arial"/>
              <w:color w:val="000000"/>
              <w:sz w:val="24"/>
            </w:rPr>
            <w:t>/20</w:t>
          </w:r>
          <w:r w:rsidR="00207D6E">
            <w:rPr>
              <w:rFonts w:ascii="Arial" w:hAnsi="Arial"/>
              <w:color w:val="000000"/>
              <w:sz w:val="24"/>
            </w:rPr>
            <w:t>13</w:t>
          </w:r>
        </w:p>
      </w:tc>
    </w:tr>
  </w:tbl>
  <w:p w:rsidR="00207D6E" w:rsidRDefault="00207D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ED"/>
    <w:multiLevelType w:val="multilevel"/>
    <w:tmpl w:val="AA88C4D8"/>
    <w:lvl w:ilvl="0">
      <w:start w:val="4"/>
      <w:numFmt w:val="decimal"/>
      <w:lvlText w:val="%1.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1">
    <w:nsid w:val="167955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AA2200"/>
    <w:multiLevelType w:val="hybridMultilevel"/>
    <w:tmpl w:val="4906BBB0"/>
    <w:lvl w:ilvl="0" w:tplc="0416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94E706E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2061"/>
        </w:tabs>
        <w:ind w:left="0" w:firstLine="1701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">
    <w:nsid w:val="4C0F1F87"/>
    <w:multiLevelType w:val="hybridMultilevel"/>
    <w:tmpl w:val="767AA5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F855462"/>
    <w:multiLevelType w:val="hybridMultilevel"/>
    <w:tmpl w:val="FC643F48"/>
    <w:lvl w:ilvl="0" w:tplc="0416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514D2E47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57B159F2"/>
    <w:multiLevelType w:val="multilevel"/>
    <w:tmpl w:val="16725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6B94536A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9">
    <w:nsid w:val="6BD5071F"/>
    <w:multiLevelType w:val="multilevel"/>
    <w:tmpl w:val="D366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76236504"/>
    <w:multiLevelType w:val="hybridMultilevel"/>
    <w:tmpl w:val="D75097B4"/>
    <w:lvl w:ilvl="0" w:tplc="5D9A5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12"/>
    <w:rsid w:val="0000287D"/>
    <w:rsid w:val="00002996"/>
    <w:rsid w:val="00004B77"/>
    <w:rsid w:val="00010A89"/>
    <w:rsid w:val="0001126E"/>
    <w:rsid w:val="00016A85"/>
    <w:rsid w:val="000266AE"/>
    <w:rsid w:val="00030475"/>
    <w:rsid w:val="00031E5F"/>
    <w:rsid w:val="0003271D"/>
    <w:rsid w:val="00032D5C"/>
    <w:rsid w:val="0003389F"/>
    <w:rsid w:val="00037203"/>
    <w:rsid w:val="00045CC8"/>
    <w:rsid w:val="00046BA0"/>
    <w:rsid w:val="000565E6"/>
    <w:rsid w:val="00060CF1"/>
    <w:rsid w:val="000614C2"/>
    <w:rsid w:val="00066466"/>
    <w:rsid w:val="00066585"/>
    <w:rsid w:val="0007360A"/>
    <w:rsid w:val="0007443D"/>
    <w:rsid w:val="00083C43"/>
    <w:rsid w:val="000913F4"/>
    <w:rsid w:val="000941A6"/>
    <w:rsid w:val="000955A4"/>
    <w:rsid w:val="000A021F"/>
    <w:rsid w:val="000A148A"/>
    <w:rsid w:val="000A5960"/>
    <w:rsid w:val="000A6F89"/>
    <w:rsid w:val="000B0214"/>
    <w:rsid w:val="000B09FF"/>
    <w:rsid w:val="000B4AB1"/>
    <w:rsid w:val="000B4E04"/>
    <w:rsid w:val="000D0472"/>
    <w:rsid w:val="000D23CD"/>
    <w:rsid w:val="000D4D36"/>
    <w:rsid w:val="000D6527"/>
    <w:rsid w:val="000D79E9"/>
    <w:rsid w:val="000E583C"/>
    <w:rsid w:val="000F05CE"/>
    <w:rsid w:val="000F1E17"/>
    <w:rsid w:val="000F3DDC"/>
    <w:rsid w:val="000F499A"/>
    <w:rsid w:val="000F6CF0"/>
    <w:rsid w:val="00111EFE"/>
    <w:rsid w:val="001122BE"/>
    <w:rsid w:val="00113DB1"/>
    <w:rsid w:val="001150CF"/>
    <w:rsid w:val="00117622"/>
    <w:rsid w:val="00120E1F"/>
    <w:rsid w:val="001238D1"/>
    <w:rsid w:val="00127502"/>
    <w:rsid w:val="001306E0"/>
    <w:rsid w:val="00130F2A"/>
    <w:rsid w:val="0013233E"/>
    <w:rsid w:val="00133D32"/>
    <w:rsid w:val="001443A1"/>
    <w:rsid w:val="00144647"/>
    <w:rsid w:val="00145A59"/>
    <w:rsid w:val="00151650"/>
    <w:rsid w:val="0015241A"/>
    <w:rsid w:val="001546F6"/>
    <w:rsid w:val="00155204"/>
    <w:rsid w:val="00155BAE"/>
    <w:rsid w:val="00157F28"/>
    <w:rsid w:val="0016132B"/>
    <w:rsid w:val="00161435"/>
    <w:rsid w:val="00161814"/>
    <w:rsid w:val="00162BAE"/>
    <w:rsid w:val="00165CE7"/>
    <w:rsid w:val="001663FB"/>
    <w:rsid w:val="001707C9"/>
    <w:rsid w:val="00171567"/>
    <w:rsid w:val="0017388A"/>
    <w:rsid w:val="00174EA8"/>
    <w:rsid w:val="0017772C"/>
    <w:rsid w:val="00177E0E"/>
    <w:rsid w:val="00177F6A"/>
    <w:rsid w:val="00182F03"/>
    <w:rsid w:val="001832F3"/>
    <w:rsid w:val="0018489E"/>
    <w:rsid w:val="001928C1"/>
    <w:rsid w:val="00196E04"/>
    <w:rsid w:val="001A3EF1"/>
    <w:rsid w:val="001B4A2E"/>
    <w:rsid w:val="001B65AC"/>
    <w:rsid w:val="001C3F98"/>
    <w:rsid w:val="001C6453"/>
    <w:rsid w:val="001D0BC0"/>
    <w:rsid w:val="001D0F0F"/>
    <w:rsid w:val="001D2782"/>
    <w:rsid w:val="001D28CA"/>
    <w:rsid w:val="001D5EDA"/>
    <w:rsid w:val="001D61EA"/>
    <w:rsid w:val="001D6366"/>
    <w:rsid w:val="001D65BD"/>
    <w:rsid w:val="001E1FF1"/>
    <w:rsid w:val="001E7D60"/>
    <w:rsid w:val="001F2682"/>
    <w:rsid w:val="001F3E18"/>
    <w:rsid w:val="001F6F9E"/>
    <w:rsid w:val="001F7A1E"/>
    <w:rsid w:val="0020097D"/>
    <w:rsid w:val="00204F3F"/>
    <w:rsid w:val="002069AF"/>
    <w:rsid w:val="00207D6E"/>
    <w:rsid w:val="00210BC0"/>
    <w:rsid w:val="00221DAD"/>
    <w:rsid w:val="0022277D"/>
    <w:rsid w:val="00234E01"/>
    <w:rsid w:val="00235CC5"/>
    <w:rsid w:val="00236282"/>
    <w:rsid w:val="00236720"/>
    <w:rsid w:val="00236B64"/>
    <w:rsid w:val="00237BF9"/>
    <w:rsid w:val="00241F42"/>
    <w:rsid w:val="00244C37"/>
    <w:rsid w:val="00244ED6"/>
    <w:rsid w:val="00251E9D"/>
    <w:rsid w:val="002537E5"/>
    <w:rsid w:val="002627BB"/>
    <w:rsid w:val="002633EF"/>
    <w:rsid w:val="00264BBF"/>
    <w:rsid w:val="00264C85"/>
    <w:rsid w:val="00264E5C"/>
    <w:rsid w:val="00272247"/>
    <w:rsid w:val="002727AE"/>
    <w:rsid w:val="00285959"/>
    <w:rsid w:val="00285B69"/>
    <w:rsid w:val="002904BC"/>
    <w:rsid w:val="002906E5"/>
    <w:rsid w:val="00293EB2"/>
    <w:rsid w:val="0029712E"/>
    <w:rsid w:val="002977A3"/>
    <w:rsid w:val="002A112F"/>
    <w:rsid w:val="002A4EC3"/>
    <w:rsid w:val="002A73EA"/>
    <w:rsid w:val="002A7DD4"/>
    <w:rsid w:val="002B54E7"/>
    <w:rsid w:val="002B5FBB"/>
    <w:rsid w:val="002B66BC"/>
    <w:rsid w:val="002B69F7"/>
    <w:rsid w:val="002C0DF6"/>
    <w:rsid w:val="002C128A"/>
    <w:rsid w:val="002C3511"/>
    <w:rsid w:val="002C607B"/>
    <w:rsid w:val="002C6C47"/>
    <w:rsid w:val="002D0DC7"/>
    <w:rsid w:val="002D7002"/>
    <w:rsid w:val="002E0599"/>
    <w:rsid w:val="002F25ED"/>
    <w:rsid w:val="002F5204"/>
    <w:rsid w:val="002F7C75"/>
    <w:rsid w:val="00304CE6"/>
    <w:rsid w:val="0030527F"/>
    <w:rsid w:val="003067BA"/>
    <w:rsid w:val="003068CB"/>
    <w:rsid w:val="00306FA2"/>
    <w:rsid w:val="00311827"/>
    <w:rsid w:val="00314F08"/>
    <w:rsid w:val="00322401"/>
    <w:rsid w:val="00323711"/>
    <w:rsid w:val="00324CDF"/>
    <w:rsid w:val="00326DD0"/>
    <w:rsid w:val="003302A1"/>
    <w:rsid w:val="00330BCA"/>
    <w:rsid w:val="003321A0"/>
    <w:rsid w:val="003322BF"/>
    <w:rsid w:val="00333DA2"/>
    <w:rsid w:val="00340AFA"/>
    <w:rsid w:val="00340E65"/>
    <w:rsid w:val="00345575"/>
    <w:rsid w:val="00346D67"/>
    <w:rsid w:val="00347898"/>
    <w:rsid w:val="00350DE8"/>
    <w:rsid w:val="00357927"/>
    <w:rsid w:val="0036590C"/>
    <w:rsid w:val="00374381"/>
    <w:rsid w:val="00376931"/>
    <w:rsid w:val="00376D4B"/>
    <w:rsid w:val="00382EE5"/>
    <w:rsid w:val="00384EDA"/>
    <w:rsid w:val="00391801"/>
    <w:rsid w:val="00392F36"/>
    <w:rsid w:val="00394D8E"/>
    <w:rsid w:val="0039614B"/>
    <w:rsid w:val="00397B65"/>
    <w:rsid w:val="003A0B96"/>
    <w:rsid w:val="003A2388"/>
    <w:rsid w:val="003A3841"/>
    <w:rsid w:val="003A39BE"/>
    <w:rsid w:val="003A4C6E"/>
    <w:rsid w:val="003A60BA"/>
    <w:rsid w:val="003A731A"/>
    <w:rsid w:val="003B137B"/>
    <w:rsid w:val="003B14A5"/>
    <w:rsid w:val="003B1B99"/>
    <w:rsid w:val="003B594F"/>
    <w:rsid w:val="003B5ED1"/>
    <w:rsid w:val="003C2D8F"/>
    <w:rsid w:val="003C32FD"/>
    <w:rsid w:val="003C3A60"/>
    <w:rsid w:val="003C3FFE"/>
    <w:rsid w:val="003C7BC3"/>
    <w:rsid w:val="003D1876"/>
    <w:rsid w:val="003D2028"/>
    <w:rsid w:val="003D27B3"/>
    <w:rsid w:val="003D338A"/>
    <w:rsid w:val="003D3E45"/>
    <w:rsid w:val="003D5979"/>
    <w:rsid w:val="003E1955"/>
    <w:rsid w:val="003F3C9F"/>
    <w:rsid w:val="003F6C87"/>
    <w:rsid w:val="003F7BC7"/>
    <w:rsid w:val="0040193D"/>
    <w:rsid w:val="00401D82"/>
    <w:rsid w:val="00410D23"/>
    <w:rsid w:val="00412A2B"/>
    <w:rsid w:val="004165BF"/>
    <w:rsid w:val="00417A9E"/>
    <w:rsid w:val="00422C8F"/>
    <w:rsid w:val="0042380E"/>
    <w:rsid w:val="0042606D"/>
    <w:rsid w:val="00433EA5"/>
    <w:rsid w:val="00437515"/>
    <w:rsid w:val="00440D30"/>
    <w:rsid w:val="00444332"/>
    <w:rsid w:val="00445552"/>
    <w:rsid w:val="00447A26"/>
    <w:rsid w:val="00451889"/>
    <w:rsid w:val="004528DA"/>
    <w:rsid w:val="00453AA8"/>
    <w:rsid w:val="00454F5F"/>
    <w:rsid w:val="00456922"/>
    <w:rsid w:val="004640DC"/>
    <w:rsid w:val="00465500"/>
    <w:rsid w:val="00467BB0"/>
    <w:rsid w:val="00470697"/>
    <w:rsid w:val="00471E4F"/>
    <w:rsid w:val="00472258"/>
    <w:rsid w:val="00472320"/>
    <w:rsid w:val="00472F43"/>
    <w:rsid w:val="004750F5"/>
    <w:rsid w:val="00480C56"/>
    <w:rsid w:val="00486C91"/>
    <w:rsid w:val="00491383"/>
    <w:rsid w:val="004929C4"/>
    <w:rsid w:val="004936A0"/>
    <w:rsid w:val="0049447A"/>
    <w:rsid w:val="004953D7"/>
    <w:rsid w:val="00496EBD"/>
    <w:rsid w:val="004A033C"/>
    <w:rsid w:val="004A0685"/>
    <w:rsid w:val="004A4350"/>
    <w:rsid w:val="004A5F6A"/>
    <w:rsid w:val="004A6E23"/>
    <w:rsid w:val="004A7507"/>
    <w:rsid w:val="004B1C69"/>
    <w:rsid w:val="004B3D3C"/>
    <w:rsid w:val="004B44F7"/>
    <w:rsid w:val="004C71BB"/>
    <w:rsid w:val="004D2864"/>
    <w:rsid w:val="004D3243"/>
    <w:rsid w:val="004D43D0"/>
    <w:rsid w:val="004D5DFC"/>
    <w:rsid w:val="004D6B33"/>
    <w:rsid w:val="004E0112"/>
    <w:rsid w:val="004E6C48"/>
    <w:rsid w:val="004F203B"/>
    <w:rsid w:val="004F3C31"/>
    <w:rsid w:val="004F3C9B"/>
    <w:rsid w:val="004F736C"/>
    <w:rsid w:val="005007D7"/>
    <w:rsid w:val="00501A59"/>
    <w:rsid w:val="005020C5"/>
    <w:rsid w:val="005046F1"/>
    <w:rsid w:val="00505A02"/>
    <w:rsid w:val="0050716E"/>
    <w:rsid w:val="005102D3"/>
    <w:rsid w:val="00510709"/>
    <w:rsid w:val="00515D49"/>
    <w:rsid w:val="00521D9E"/>
    <w:rsid w:val="00522975"/>
    <w:rsid w:val="00524792"/>
    <w:rsid w:val="00526A16"/>
    <w:rsid w:val="005371F3"/>
    <w:rsid w:val="00537F1C"/>
    <w:rsid w:val="005408D1"/>
    <w:rsid w:val="005413CB"/>
    <w:rsid w:val="00542F46"/>
    <w:rsid w:val="005458F6"/>
    <w:rsid w:val="005460BF"/>
    <w:rsid w:val="00555451"/>
    <w:rsid w:val="00557220"/>
    <w:rsid w:val="00560833"/>
    <w:rsid w:val="00562177"/>
    <w:rsid w:val="005629BA"/>
    <w:rsid w:val="00565C43"/>
    <w:rsid w:val="00567FEF"/>
    <w:rsid w:val="005726BD"/>
    <w:rsid w:val="0057647A"/>
    <w:rsid w:val="00581160"/>
    <w:rsid w:val="00581737"/>
    <w:rsid w:val="00582B49"/>
    <w:rsid w:val="005860E6"/>
    <w:rsid w:val="005861E3"/>
    <w:rsid w:val="00586CDD"/>
    <w:rsid w:val="00590513"/>
    <w:rsid w:val="00591EB5"/>
    <w:rsid w:val="00593429"/>
    <w:rsid w:val="005958EF"/>
    <w:rsid w:val="00596269"/>
    <w:rsid w:val="005A03E2"/>
    <w:rsid w:val="005A2F53"/>
    <w:rsid w:val="005A69A1"/>
    <w:rsid w:val="005B3678"/>
    <w:rsid w:val="005B458B"/>
    <w:rsid w:val="005C292F"/>
    <w:rsid w:val="005C2AD3"/>
    <w:rsid w:val="005C5D2C"/>
    <w:rsid w:val="005C69EA"/>
    <w:rsid w:val="005D2018"/>
    <w:rsid w:val="005D2E0E"/>
    <w:rsid w:val="005D36BF"/>
    <w:rsid w:val="005D5DF3"/>
    <w:rsid w:val="005E039E"/>
    <w:rsid w:val="005E0FCF"/>
    <w:rsid w:val="005E1ED4"/>
    <w:rsid w:val="005E1EF1"/>
    <w:rsid w:val="006037FF"/>
    <w:rsid w:val="006052A9"/>
    <w:rsid w:val="00605F32"/>
    <w:rsid w:val="006110DE"/>
    <w:rsid w:val="006122E3"/>
    <w:rsid w:val="0061384F"/>
    <w:rsid w:val="00613E0C"/>
    <w:rsid w:val="0061720F"/>
    <w:rsid w:val="00621CF9"/>
    <w:rsid w:val="00622624"/>
    <w:rsid w:val="006228DE"/>
    <w:rsid w:val="00623497"/>
    <w:rsid w:val="00623573"/>
    <w:rsid w:val="006261B7"/>
    <w:rsid w:val="00626CEA"/>
    <w:rsid w:val="00632E1F"/>
    <w:rsid w:val="00633026"/>
    <w:rsid w:val="006402C2"/>
    <w:rsid w:val="0064062B"/>
    <w:rsid w:val="00642677"/>
    <w:rsid w:val="00646FD7"/>
    <w:rsid w:val="00647023"/>
    <w:rsid w:val="00651976"/>
    <w:rsid w:val="00656650"/>
    <w:rsid w:val="00656D48"/>
    <w:rsid w:val="006578C2"/>
    <w:rsid w:val="006645DD"/>
    <w:rsid w:val="00665846"/>
    <w:rsid w:val="006666DA"/>
    <w:rsid w:val="006667BA"/>
    <w:rsid w:val="006668DE"/>
    <w:rsid w:val="00666AB7"/>
    <w:rsid w:val="00666D89"/>
    <w:rsid w:val="0067253C"/>
    <w:rsid w:val="006725AC"/>
    <w:rsid w:val="00673A17"/>
    <w:rsid w:val="00674CB4"/>
    <w:rsid w:val="0068333D"/>
    <w:rsid w:val="00685791"/>
    <w:rsid w:val="006912C9"/>
    <w:rsid w:val="00693E6A"/>
    <w:rsid w:val="006A0191"/>
    <w:rsid w:val="006A0887"/>
    <w:rsid w:val="006A2046"/>
    <w:rsid w:val="006A452D"/>
    <w:rsid w:val="006A4DCC"/>
    <w:rsid w:val="006A7F7C"/>
    <w:rsid w:val="006B2B6B"/>
    <w:rsid w:val="006B6929"/>
    <w:rsid w:val="006B744E"/>
    <w:rsid w:val="006C6B65"/>
    <w:rsid w:val="006D1963"/>
    <w:rsid w:val="006E2BED"/>
    <w:rsid w:val="006F18D1"/>
    <w:rsid w:val="006F3246"/>
    <w:rsid w:val="00700D92"/>
    <w:rsid w:val="0070161E"/>
    <w:rsid w:val="00701B66"/>
    <w:rsid w:val="007022D1"/>
    <w:rsid w:val="00704CF1"/>
    <w:rsid w:val="00711C12"/>
    <w:rsid w:val="00713A34"/>
    <w:rsid w:val="00714226"/>
    <w:rsid w:val="007167F4"/>
    <w:rsid w:val="00716A1C"/>
    <w:rsid w:val="00716DC3"/>
    <w:rsid w:val="007234DE"/>
    <w:rsid w:val="007235BE"/>
    <w:rsid w:val="0072509A"/>
    <w:rsid w:val="0073381E"/>
    <w:rsid w:val="007433AE"/>
    <w:rsid w:val="007525ED"/>
    <w:rsid w:val="00754C2F"/>
    <w:rsid w:val="007560AF"/>
    <w:rsid w:val="007577C0"/>
    <w:rsid w:val="00757A58"/>
    <w:rsid w:val="00757D11"/>
    <w:rsid w:val="007626C9"/>
    <w:rsid w:val="00775DFC"/>
    <w:rsid w:val="00791638"/>
    <w:rsid w:val="00793B32"/>
    <w:rsid w:val="007962E0"/>
    <w:rsid w:val="007A0558"/>
    <w:rsid w:val="007A1F03"/>
    <w:rsid w:val="007A5F4C"/>
    <w:rsid w:val="007B0809"/>
    <w:rsid w:val="007B13F5"/>
    <w:rsid w:val="007B44ED"/>
    <w:rsid w:val="007C2534"/>
    <w:rsid w:val="007C367C"/>
    <w:rsid w:val="007C3932"/>
    <w:rsid w:val="007D0EC6"/>
    <w:rsid w:val="007D3786"/>
    <w:rsid w:val="007D41CE"/>
    <w:rsid w:val="007E0E4B"/>
    <w:rsid w:val="007E2EB8"/>
    <w:rsid w:val="007E72AA"/>
    <w:rsid w:val="007F1088"/>
    <w:rsid w:val="007F2BD6"/>
    <w:rsid w:val="007F510B"/>
    <w:rsid w:val="007F6C1C"/>
    <w:rsid w:val="00800909"/>
    <w:rsid w:val="00804FCF"/>
    <w:rsid w:val="00807158"/>
    <w:rsid w:val="00811567"/>
    <w:rsid w:val="008129A5"/>
    <w:rsid w:val="00815D8D"/>
    <w:rsid w:val="00820DE6"/>
    <w:rsid w:val="00830979"/>
    <w:rsid w:val="008314A6"/>
    <w:rsid w:val="00831939"/>
    <w:rsid w:val="00841D56"/>
    <w:rsid w:val="00853D83"/>
    <w:rsid w:val="00856BB3"/>
    <w:rsid w:val="008627EB"/>
    <w:rsid w:val="00871BBC"/>
    <w:rsid w:val="00872F61"/>
    <w:rsid w:val="008730DC"/>
    <w:rsid w:val="00874710"/>
    <w:rsid w:val="00877388"/>
    <w:rsid w:val="008778CC"/>
    <w:rsid w:val="00877BBA"/>
    <w:rsid w:val="008802E6"/>
    <w:rsid w:val="008866BA"/>
    <w:rsid w:val="0088777E"/>
    <w:rsid w:val="00890BCA"/>
    <w:rsid w:val="008924A3"/>
    <w:rsid w:val="00894C83"/>
    <w:rsid w:val="008A6002"/>
    <w:rsid w:val="008B0AEB"/>
    <w:rsid w:val="008B13EC"/>
    <w:rsid w:val="008B29CF"/>
    <w:rsid w:val="008B6073"/>
    <w:rsid w:val="008B6C2E"/>
    <w:rsid w:val="008C28D6"/>
    <w:rsid w:val="008C733D"/>
    <w:rsid w:val="008D20EF"/>
    <w:rsid w:val="008E1EB5"/>
    <w:rsid w:val="008F108F"/>
    <w:rsid w:val="008F1CB0"/>
    <w:rsid w:val="008F7A4C"/>
    <w:rsid w:val="009003B0"/>
    <w:rsid w:val="009008C1"/>
    <w:rsid w:val="00900EB0"/>
    <w:rsid w:val="00901385"/>
    <w:rsid w:val="00902944"/>
    <w:rsid w:val="0090515E"/>
    <w:rsid w:val="00905D4B"/>
    <w:rsid w:val="0091087E"/>
    <w:rsid w:val="00922420"/>
    <w:rsid w:val="00924476"/>
    <w:rsid w:val="00924A26"/>
    <w:rsid w:val="00925625"/>
    <w:rsid w:val="0092781E"/>
    <w:rsid w:val="0093373D"/>
    <w:rsid w:val="009375B4"/>
    <w:rsid w:val="00937610"/>
    <w:rsid w:val="00943B12"/>
    <w:rsid w:val="009449C8"/>
    <w:rsid w:val="0095212F"/>
    <w:rsid w:val="009561D9"/>
    <w:rsid w:val="009570AC"/>
    <w:rsid w:val="00961086"/>
    <w:rsid w:val="00964494"/>
    <w:rsid w:val="00965DC6"/>
    <w:rsid w:val="0097400C"/>
    <w:rsid w:val="00976063"/>
    <w:rsid w:val="009814D9"/>
    <w:rsid w:val="00981F5E"/>
    <w:rsid w:val="009905B8"/>
    <w:rsid w:val="00994D56"/>
    <w:rsid w:val="00997875"/>
    <w:rsid w:val="009A0819"/>
    <w:rsid w:val="009A0E38"/>
    <w:rsid w:val="009A606B"/>
    <w:rsid w:val="009B1E7B"/>
    <w:rsid w:val="009B575B"/>
    <w:rsid w:val="009B594B"/>
    <w:rsid w:val="009B67AA"/>
    <w:rsid w:val="009B71A4"/>
    <w:rsid w:val="009C02E2"/>
    <w:rsid w:val="009C4D92"/>
    <w:rsid w:val="009C71EC"/>
    <w:rsid w:val="009C785B"/>
    <w:rsid w:val="009C7B8F"/>
    <w:rsid w:val="009D3BB8"/>
    <w:rsid w:val="009D5802"/>
    <w:rsid w:val="009D6FAB"/>
    <w:rsid w:val="009D75C1"/>
    <w:rsid w:val="009E517D"/>
    <w:rsid w:val="009F19FB"/>
    <w:rsid w:val="009F23C4"/>
    <w:rsid w:val="009F4A93"/>
    <w:rsid w:val="009F52A4"/>
    <w:rsid w:val="009F5EA0"/>
    <w:rsid w:val="00A0069A"/>
    <w:rsid w:val="00A05F34"/>
    <w:rsid w:val="00A07D11"/>
    <w:rsid w:val="00A15CB2"/>
    <w:rsid w:val="00A16B1A"/>
    <w:rsid w:val="00A2457F"/>
    <w:rsid w:val="00A25C7A"/>
    <w:rsid w:val="00A25F95"/>
    <w:rsid w:val="00A27695"/>
    <w:rsid w:val="00A31DF4"/>
    <w:rsid w:val="00A31F6B"/>
    <w:rsid w:val="00A32276"/>
    <w:rsid w:val="00A32DF4"/>
    <w:rsid w:val="00A36471"/>
    <w:rsid w:val="00A367CE"/>
    <w:rsid w:val="00A408F4"/>
    <w:rsid w:val="00A41706"/>
    <w:rsid w:val="00A4256B"/>
    <w:rsid w:val="00A44C0B"/>
    <w:rsid w:val="00A53051"/>
    <w:rsid w:val="00A60E03"/>
    <w:rsid w:val="00A60F0D"/>
    <w:rsid w:val="00A65BAF"/>
    <w:rsid w:val="00A65F62"/>
    <w:rsid w:val="00A70E34"/>
    <w:rsid w:val="00A71544"/>
    <w:rsid w:val="00A72321"/>
    <w:rsid w:val="00A7396E"/>
    <w:rsid w:val="00A757E0"/>
    <w:rsid w:val="00A75EAB"/>
    <w:rsid w:val="00A80291"/>
    <w:rsid w:val="00A834C6"/>
    <w:rsid w:val="00A871AC"/>
    <w:rsid w:val="00A910D3"/>
    <w:rsid w:val="00A91546"/>
    <w:rsid w:val="00A92DAF"/>
    <w:rsid w:val="00A93AB9"/>
    <w:rsid w:val="00A9407F"/>
    <w:rsid w:val="00AA2560"/>
    <w:rsid w:val="00AA402C"/>
    <w:rsid w:val="00AB0EC7"/>
    <w:rsid w:val="00AC1012"/>
    <w:rsid w:val="00AC2349"/>
    <w:rsid w:val="00AC6916"/>
    <w:rsid w:val="00AC773C"/>
    <w:rsid w:val="00AD028E"/>
    <w:rsid w:val="00AD6E24"/>
    <w:rsid w:val="00AE58C7"/>
    <w:rsid w:val="00AF6175"/>
    <w:rsid w:val="00AF749C"/>
    <w:rsid w:val="00B00A72"/>
    <w:rsid w:val="00B02202"/>
    <w:rsid w:val="00B02B70"/>
    <w:rsid w:val="00B02D0A"/>
    <w:rsid w:val="00B050DB"/>
    <w:rsid w:val="00B07C87"/>
    <w:rsid w:val="00B10E07"/>
    <w:rsid w:val="00B15354"/>
    <w:rsid w:val="00B16120"/>
    <w:rsid w:val="00B17B9C"/>
    <w:rsid w:val="00B233AB"/>
    <w:rsid w:val="00B2395D"/>
    <w:rsid w:val="00B24F92"/>
    <w:rsid w:val="00B26CDF"/>
    <w:rsid w:val="00B2774C"/>
    <w:rsid w:val="00B310E7"/>
    <w:rsid w:val="00B352C7"/>
    <w:rsid w:val="00B3575A"/>
    <w:rsid w:val="00B376C4"/>
    <w:rsid w:val="00B437B2"/>
    <w:rsid w:val="00B52952"/>
    <w:rsid w:val="00B5500E"/>
    <w:rsid w:val="00B640CE"/>
    <w:rsid w:val="00B64792"/>
    <w:rsid w:val="00B649A4"/>
    <w:rsid w:val="00B71B34"/>
    <w:rsid w:val="00B73964"/>
    <w:rsid w:val="00B73C1B"/>
    <w:rsid w:val="00B7480E"/>
    <w:rsid w:val="00B76860"/>
    <w:rsid w:val="00B80D91"/>
    <w:rsid w:val="00B80E42"/>
    <w:rsid w:val="00B84B84"/>
    <w:rsid w:val="00B86DF4"/>
    <w:rsid w:val="00B91CCB"/>
    <w:rsid w:val="00B9718D"/>
    <w:rsid w:val="00BA0674"/>
    <w:rsid w:val="00BA14B2"/>
    <w:rsid w:val="00BA3D61"/>
    <w:rsid w:val="00BA46A0"/>
    <w:rsid w:val="00BB027C"/>
    <w:rsid w:val="00BB063F"/>
    <w:rsid w:val="00BB71E9"/>
    <w:rsid w:val="00BC09C1"/>
    <w:rsid w:val="00BC5F41"/>
    <w:rsid w:val="00BC7474"/>
    <w:rsid w:val="00BD2CAE"/>
    <w:rsid w:val="00BD5499"/>
    <w:rsid w:val="00BE03E9"/>
    <w:rsid w:val="00BE04F4"/>
    <w:rsid w:val="00BE0DDD"/>
    <w:rsid w:val="00BE3042"/>
    <w:rsid w:val="00BE5C0B"/>
    <w:rsid w:val="00BF09F2"/>
    <w:rsid w:val="00BF289B"/>
    <w:rsid w:val="00BF58E6"/>
    <w:rsid w:val="00C00ED7"/>
    <w:rsid w:val="00C01A35"/>
    <w:rsid w:val="00C056D7"/>
    <w:rsid w:val="00C0770F"/>
    <w:rsid w:val="00C1294A"/>
    <w:rsid w:val="00C1679A"/>
    <w:rsid w:val="00C17FA2"/>
    <w:rsid w:val="00C211CF"/>
    <w:rsid w:val="00C21233"/>
    <w:rsid w:val="00C2443A"/>
    <w:rsid w:val="00C32C09"/>
    <w:rsid w:val="00C349A0"/>
    <w:rsid w:val="00C418BF"/>
    <w:rsid w:val="00C41A13"/>
    <w:rsid w:val="00C446C8"/>
    <w:rsid w:val="00C45390"/>
    <w:rsid w:val="00C51C23"/>
    <w:rsid w:val="00C55612"/>
    <w:rsid w:val="00C57EF9"/>
    <w:rsid w:val="00C60711"/>
    <w:rsid w:val="00C61809"/>
    <w:rsid w:val="00C61F34"/>
    <w:rsid w:val="00C66C2F"/>
    <w:rsid w:val="00C6783C"/>
    <w:rsid w:val="00C74FE3"/>
    <w:rsid w:val="00C76547"/>
    <w:rsid w:val="00C82F6F"/>
    <w:rsid w:val="00C86B09"/>
    <w:rsid w:val="00C87E8F"/>
    <w:rsid w:val="00C912EE"/>
    <w:rsid w:val="00C934EE"/>
    <w:rsid w:val="00C93898"/>
    <w:rsid w:val="00C95E09"/>
    <w:rsid w:val="00CA1AC1"/>
    <w:rsid w:val="00CA4D50"/>
    <w:rsid w:val="00CA611C"/>
    <w:rsid w:val="00CA65E5"/>
    <w:rsid w:val="00CB1C5D"/>
    <w:rsid w:val="00CB26D3"/>
    <w:rsid w:val="00CB32B0"/>
    <w:rsid w:val="00CB3608"/>
    <w:rsid w:val="00CB3D18"/>
    <w:rsid w:val="00CB3E08"/>
    <w:rsid w:val="00CB7757"/>
    <w:rsid w:val="00CC514D"/>
    <w:rsid w:val="00CC55A0"/>
    <w:rsid w:val="00CD0FD9"/>
    <w:rsid w:val="00CD1D3E"/>
    <w:rsid w:val="00CD3C36"/>
    <w:rsid w:val="00CE0618"/>
    <w:rsid w:val="00CE4435"/>
    <w:rsid w:val="00CF4432"/>
    <w:rsid w:val="00CF565A"/>
    <w:rsid w:val="00D028AE"/>
    <w:rsid w:val="00D0426E"/>
    <w:rsid w:val="00D05C3C"/>
    <w:rsid w:val="00D06767"/>
    <w:rsid w:val="00D06EEC"/>
    <w:rsid w:val="00D14057"/>
    <w:rsid w:val="00D14C69"/>
    <w:rsid w:val="00D16B96"/>
    <w:rsid w:val="00D200D7"/>
    <w:rsid w:val="00D2274D"/>
    <w:rsid w:val="00D246BF"/>
    <w:rsid w:val="00D262D4"/>
    <w:rsid w:val="00D266CB"/>
    <w:rsid w:val="00D27882"/>
    <w:rsid w:val="00D32E1B"/>
    <w:rsid w:val="00D40173"/>
    <w:rsid w:val="00D41F63"/>
    <w:rsid w:val="00D424F9"/>
    <w:rsid w:val="00D428DA"/>
    <w:rsid w:val="00D432F6"/>
    <w:rsid w:val="00D444CF"/>
    <w:rsid w:val="00D46AAC"/>
    <w:rsid w:val="00D51603"/>
    <w:rsid w:val="00D51D1A"/>
    <w:rsid w:val="00D52ACD"/>
    <w:rsid w:val="00D55AF3"/>
    <w:rsid w:val="00D64A45"/>
    <w:rsid w:val="00D64FA3"/>
    <w:rsid w:val="00D65E6F"/>
    <w:rsid w:val="00D74099"/>
    <w:rsid w:val="00D749A5"/>
    <w:rsid w:val="00D76215"/>
    <w:rsid w:val="00D835C9"/>
    <w:rsid w:val="00D9166C"/>
    <w:rsid w:val="00D9292D"/>
    <w:rsid w:val="00D92E03"/>
    <w:rsid w:val="00D9569A"/>
    <w:rsid w:val="00D97E81"/>
    <w:rsid w:val="00DB107D"/>
    <w:rsid w:val="00DB2138"/>
    <w:rsid w:val="00DB3C9D"/>
    <w:rsid w:val="00DB4738"/>
    <w:rsid w:val="00DB4A89"/>
    <w:rsid w:val="00DB65C3"/>
    <w:rsid w:val="00DC1949"/>
    <w:rsid w:val="00DC30D3"/>
    <w:rsid w:val="00DC5950"/>
    <w:rsid w:val="00DC6457"/>
    <w:rsid w:val="00DD0E83"/>
    <w:rsid w:val="00DD6367"/>
    <w:rsid w:val="00DD65F1"/>
    <w:rsid w:val="00DD67AB"/>
    <w:rsid w:val="00DD6FEB"/>
    <w:rsid w:val="00DD7AAC"/>
    <w:rsid w:val="00DE0975"/>
    <w:rsid w:val="00DE1ADF"/>
    <w:rsid w:val="00DE4DE5"/>
    <w:rsid w:val="00DE6BF5"/>
    <w:rsid w:val="00DF2D54"/>
    <w:rsid w:val="00DF6599"/>
    <w:rsid w:val="00E03839"/>
    <w:rsid w:val="00E0630E"/>
    <w:rsid w:val="00E06652"/>
    <w:rsid w:val="00E06B81"/>
    <w:rsid w:val="00E075FB"/>
    <w:rsid w:val="00E10408"/>
    <w:rsid w:val="00E10414"/>
    <w:rsid w:val="00E11E15"/>
    <w:rsid w:val="00E1326A"/>
    <w:rsid w:val="00E23F03"/>
    <w:rsid w:val="00E24200"/>
    <w:rsid w:val="00E270E8"/>
    <w:rsid w:val="00E33F15"/>
    <w:rsid w:val="00E3787E"/>
    <w:rsid w:val="00E4138A"/>
    <w:rsid w:val="00E41DC2"/>
    <w:rsid w:val="00E43102"/>
    <w:rsid w:val="00E437E2"/>
    <w:rsid w:val="00E44149"/>
    <w:rsid w:val="00E44164"/>
    <w:rsid w:val="00E453B2"/>
    <w:rsid w:val="00E45A16"/>
    <w:rsid w:val="00E45EA1"/>
    <w:rsid w:val="00E46CEC"/>
    <w:rsid w:val="00E47814"/>
    <w:rsid w:val="00E5579E"/>
    <w:rsid w:val="00E566C3"/>
    <w:rsid w:val="00E62DF4"/>
    <w:rsid w:val="00E66FDF"/>
    <w:rsid w:val="00E7005D"/>
    <w:rsid w:val="00E71814"/>
    <w:rsid w:val="00E77B9C"/>
    <w:rsid w:val="00E806C2"/>
    <w:rsid w:val="00E826E6"/>
    <w:rsid w:val="00E93377"/>
    <w:rsid w:val="00E9425B"/>
    <w:rsid w:val="00E9433C"/>
    <w:rsid w:val="00EA392A"/>
    <w:rsid w:val="00EA5F02"/>
    <w:rsid w:val="00EA6BBB"/>
    <w:rsid w:val="00EA6C22"/>
    <w:rsid w:val="00EC160A"/>
    <w:rsid w:val="00EC28A4"/>
    <w:rsid w:val="00EC7A3E"/>
    <w:rsid w:val="00ED09A9"/>
    <w:rsid w:val="00ED374E"/>
    <w:rsid w:val="00ED4384"/>
    <w:rsid w:val="00ED6E36"/>
    <w:rsid w:val="00EE0549"/>
    <w:rsid w:val="00EE4C19"/>
    <w:rsid w:val="00EE68A7"/>
    <w:rsid w:val="00EF4100"/>
    <w:rsid w:val="00F01F8A"/>
    <w:rsid w:val="00F0256F"/>
    <w:rsid w:val="00F2152C"/>
    <w:rsid w:val="00F220B7"/>
    <w:rsid w:val="00F25791"/>
    <w:rsid w:val="00F27D51"/>
    <w:rsid w:val="00F30E66"/>
    <w:rsid w:val="00F32214"/>
    <w:rsid w:val="00F33C54"/>
    <w:rsid w:val="00F34520"/>
    <w:rsid w:val="00F3587F"/>
    <w:rsid w:val="00F35E7F"/>
    <w:rsid w:val="00F42AC4"/>
    <w:rsid w:val="00F4609F"/>
    <w:rsid w:val="00F46724"/>
    <w:rsid w:val="00F5247D"/>
    <w:rsid w:val="00F5475F"/>
    <w:rsid w:val="00F557CA"/>
    <w:rsid w:val="00F609F9"/>
    <w:rsid w:val="00F60FA1"/>
    <w:rsid w:val="00F65AA7"/>
    <w:rsid w:val="00F66F6D"/>
    <w:rsid w:val="00F739E7"/>
    <w:rsid w:val="00F758C5"/>
    <w:rsid w:val="00F77AD6"/>
    <w:rsid w:val="00F838CF"/>
    <w:rsid w:val="00F8410D"/>
    <w:rsid w:val="00F92170"/>
    <w:rsid w:val="00F948F0"/>
    <w:rsid w:val="00FA2A72"/>
    <w:rsid w:val="00FB1115"/>
    <w:rsid w:val="00FB15C8"/>
    <w:rsid w:val="00FB2609"/>
    <w:rsid w:val="00FB3F12"/>
    <w:rsid w:val="00FB56CB"/>
    <w:rsid w:val="00FB5EA5"/>
    <w:rsid w:val="00FB6E88"/>
    <w:rsid w:val="00FC30A6"/>
    <w:rsid w:val="00FC40AE"/>
    <w:rsid w:val="00FC649B"/>
    <w:rsid w:val="00FC6E8A"/>
    <w:rsid w:val="00FD052D"/>
    <w:rsid w:val="00FD39F2"/>
    <w:rsid w:val="00FD5F01"/>
    <w:rsid w:val="00FD7DE7"/>
    <w:rsid w:val="00FE034E"/>
    <w:rsid w:val="00FE170D"/>
    <w:rsid w:val="00FE6D4E"/>
    <w:rsid w:val="00FF158F"/>
    <w:rsid w:val="00FF1CB6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12"/>
    <w:rPr>
      <w:rFonts w:ascii="Times New Roman" w:eastAsia="Times New Roman" w:hAnsi="Times New Roman"/>
      <w:lang w:eastAsia="en-US"/>
    </w:rPr>
  </w:style>
  <w:style w:type="paragraph" w:styleId="Ttulo5">
    <w:name w:val="heading 5"/>
    <w:basedOn w:val="Normal"/>
    <w:next w:val="Normal"/>
    <w:link w:val="Ttulo5Char"/>
    <w:qFormat/>
    <w:rsid w:val="00456922"/>
    <w:pPr>
      <w:keepNext/>
      <w:jc w:val="center"/>
      <w:outlineLvl w:val="4"/>
    </w:pPr>
    <w:rPr>
      <w:rFonts w:ascii="Arial" w:hAnsi="Arial"/>
      <w:b/>
      <w:snapToGrid w:val="0"/>
      <w:color w:val="000000"/>
      <w:sz w:val="1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6922"/>
    <w:pPr>
      <w:keepNext/>
      <w:jc w:val="center"/>
      <w:outlineLvl w:val="5"/>
    </w:pPr>
    <w:rPr>
      <w:rFonts w:ascii="Arial" w:hAnsi="Arial"/>
      <w:b/>
      <w:snapToGrid w:val="0"/>
      <w:sz w:val="16"/>
    </w:rPr>
  </w:style>
  <w:style w:type="paragraph" w:styleId="Ttulo7">
    <w:name w:val="heading 7"/>
    <w:basedOn w:val="Normal"/>
    <w:next w:val="Normal"/>
    <w:link w:val="Ttulo7Char"/>
    <w:qFormat/>
    <w:rsid w:val="00456922"/>
    <w:pPr>
      <w:keepNext/>
      <w:outlineLvl w:val="6"/>
    </w:pPr>
    <w:rPr>
      <w:rFonts w:ascii="Arial" w:hAnsi="Arial"/>
      <w:b/>
      <w:snapToGrid w:val="0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E011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E0112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12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E0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112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456922"/>
    <w:rPr>
      <w:rFonts w:ascii="Arial" w:eastAsia="Times New Roman" w:hAnsi="Arial" w:cs="Times New Roman"/>
      <w:b/>
      <w:snapToGrid w:val="0"/>
      <w:color w:val="000000"/>
      <w:sz w:val="1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56922"/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456922"/>
    <w:rPr>
      <w:rFonts w:ascii="Arial" w:eastAsia="Times New Roman" w:hAnsi="Arial" w:cs="Times New Roman"/>
      <w:b/>
      <w:snapToGrid w:val="0"/>
      <w:color w:val="000000"/>
      <w:sz w:val="18"/>
      <w:szCs w:val="20"/>
    </w:rPr>
  </w:style>
  <w:style w:type="paragraph" w:styleId="PargrafodaLista">
    <w:name w:val="List Paragraph"/>
    <w:basedOn w:val="Normal"/>
    <w:qFormat/>
    <w:rsid w:val="005D2018"/>
    <w:pPr>
      <w:ind w:left="708"/>
    </w:pPr>
  </w:style>
  <w:style w:type="paragraph" w:customStyle="1" w:styleId="Texto">
    <w:name w:val="Texto"/>
    <w:basedOn w:val="Normal"/>
    <w:autoRedefine/>
    <w:rsid w:val="001928C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ind w:left="567"/>
      <w:jc w:val="both"/>
    </w:pPr>
    <w:rPr>
      <w:rFonts w:ascii="Arial" w:eastAsia="Calibri" w:hAnsi="Arial" w:cs="Arial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636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6367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D6367"/>
    <w:rPr>
      <w:vertAlign w:val="superscript"/>
    </w:rPr>
  </w:style>
  <w:style w:type="table" w:styleId="Tabelacomgrade">
    <w:name w:val="Table Grid"/>
    <w:basedOn w:val="Tabelanormal"/>
    <w:uiPriority w:val="59"/>
    <w:rsid w:val="00DC3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semiHidden/>
    <w:rsid w:val="003F6C87"/>
    <w:pPr>
      <w:ind w:firstLine="709"/>
      <w:jc w:val="both"/>
    </w:pPr>
    <w:rPr>
      <w:color w:val="FF0000"/>
      <w:sz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F6C87"/>
    <w:rPr>
      <w:rFonts w:ascii="Times New Roman" w:eastAsia="Times New Roman" w:hAnsi="Times New Roman"/>
      <w:color w:val="FF0000"/>
      <w:sz w:val="24"/>
    </w:rPr>
  </w:style>
  <w:style w:type="paragraph" w:customStyle="1" w:styleId="artart">
    <w:name w:val="artart"/>
    <w:basedOn w:val="Normal"/>
    <w:rsid w:val="0012750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81737"/>
    <w:rPr>
      <w:i/>
      <w:iCs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an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/leg/resolucoes_anp/NXT/gateway.dll?f=id$id=RANP%2026%20-%202012$an=art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4805-51A8-47EE-8740-42D7DDC7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1492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plemmers</dc:creator>
  <cp:lastModifiedBy>Administrador</cp:lastModifiedBy>
  <cp:revision>2</cp:revision>
  <cp:lastPrinted>2012-11-05T19:20:00Z</cp:lastPrinted>
  <dcterms:created xsi:type="dcterms:W3CDTF">2013-10-07T14:28:00Z</dcterms:created>
  <dcterms:modified xsi:type="dcterms:W3CDTF">2013-10-07T14:28:00Z</dcterms:modified>
</cp:coreProperties>
</file>