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49" w:rsidRPr="00857283" w:rsidRDefault="00DB5CF2" w:rsidP="00680449">
      <w:pPr>
        <w:jc w:val="center"/>
        <w:rPr>
          <w:sz w:val="22"/>
          <w:szCs w:val="22"/>
        </w:rPr>
      </w:pPr>
      <w:bookmarkStart w:id="0" w:name="_GoBack"/>
      <w:bookmarkEnd w:id="0"/>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1.2pt;width:69.65pt;height:103.35pt;z-index:251660288;mso-position-vertical-relative:page" o:allowincell="f">
            <v:imagedata r:id="rId8" o:title=""/>
            <w10:wrap type="square" anchory="page"/>
          </v:shape>
          <o:OLEObject Type="Embed" ProgID="MSPhotoEd.3" ShapeID="_x0000_s1026" DrawAspect="Content" ObjectID="_1615877999" r:id="rId9"/>
        </w:object>
      </w:r>
      <w:r w:rsidR="00680449" w:rsidRPr="00857283">
        <w:rPr>
          <w:sz w:val="22"/>
          <w:szCs w:val="22"/>
        </w:rPr>
        <w:t>FORMULÁRIO DE COMENTÁRIOS E SUGESTÕES</w:t>
      </w:r>
    </w:p>
    <w:p w:rsidR="007F2602" w:rsidRPr="00857283" w:rsidRDefault="007F2602" w:rsidP="007F2602">
      <w:pPr>
        <w:ind w:right="-30"/>
        <w:jc w:val="center"/>
        <w:rPr>
          <w:sz w:val="22"/>
          <w:szCs w:val="22"/>
        </w:rPr>
      </w:pPr>
      <w:r w:rsidRPr="00857283">
        <w:rPr>
          <w:sz w:val="22"/>
          <w:szCs w:val="22"/>
        </w:rPr>
        <w:t xml:space="preserve">CONSULTA PÚBLICA N° 19/2013 - DE </w:t>
      </w:r>
      <w:smartTag w:uri="urn:schemas-microsoft-com:office:smarttags" w:element="date">
        <w:smartTagPr>
          <w:attr w:name="Year" w:val="2013"/>
          <w:attr w:name="Day" w:val="10"/>
          <w:attr w:name="Month" w:val="07"/>
          <w:attr w:name="ls" w:val="trans"/>
        </w:smartTagPr>
        <w:r w:rsidRPr="00857283">
          <w:rPr>
            <w:sz w:val="22"/>
            <w:szCs w:val="22"/>
          </w:rPr>
          <w:t>10/07/2013</w:t>
        </w:r>
      </w:smartTag>
      <w:r w:rsidRPr="00857283">
        <w:rPr>
          <w:sz w:val="22"/>
          <w:szCs w:val="22"/>
        </w:rPr>
        <w:t xml:space="preserve"> A </w:t>
      </w:r>
      <w:smartTag w:uri="urn:schemas-microsoft-com:office:smarttags" w:element="date">
        <w:smartTagPr>
          <w:attr w:name="Year" w:val="2013"/>
          <w:attr w:name="Day" w:val="08"/>
          <w:attr w:name="Month" w:val="08"/>
          <w:attr w:name="ls" w:val="trans"/>
        </w:smartTagPr>
        <w:r w:rsidRPr="00857283">
          <w:rPr>
            <w:sz w:val="22"/>
            <w:szCs w:val="22"/>
          </w:rPr>
          <w:t>08/08/2013</w:t>
        </w:r>
      </w:smartTag>
    </w:p>
    <w:p w:rsidR="00680449" w:rsidRPr="00857283" w:rsidRDefault="00680449" w:rsidP="00680449">
      <w:pPr>
        <w:jc w:val="center"/>
        <w:rPr>
          <w:sz w:val="22"/>
          <w:szCs w:val="22"/>
        </w:rPr>
      </w:pPr>
    </w:p>
    <w:tbl>
      <w:tblPr>
        <w:tblW w:w="1601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686"/>
        <w:gridCol w:w="3827"/>
        <w:gridCol w:w="4253"/>
        <w:gridCol w:w="2693"/>
      </w:tblGrid>
      <w:tr w:rsidR="00680449" w:rsidRPr="00857283" w:rsidTr="00A5271E">
        <w:trPr>
          <w:trHeight w:val="925"/>
          <w:tblHeader/>
        </w:trPr>
        <w:tc>
          <w:tcPr>
            <w:tcW w:w="16019" w:type="dxa"/>
            <w:gridSpan w:val="5"/>
            <w:shd w:val="clear" w:color="auto" w:fill="70B56B"/>
            <w:vAlign w:val="center"/>
          </w:tcPr>
          <w:p w:rsidR="00680449" w:rsidRPr="00857283" w:rsidRDefault="007F2602" w:rsidP="007F2602">
            <w:pPr>
              <w:autoSpaceDE w:val="0"/>
              <w:autoSpaceDN w:val="0"/>
              <w:adjustRightInd w:val="0"/>
              <w:jc w:val="center"/>
              <w:rPr>
                <w:sz w:val="22"/>
                <w:szCs w:val="22"/>
              </w:rPr>
            </w:pPr>
            <w:r w:rsidRPr="00857283">
              <w:rPr>
                <w:sz w:val="22"/>
                <w:szCs w:val="22"/>
              </w:rPr>
              <w:t>Consulta Pública sobre a minuta de Nota Técnica n. º 41/2013/CPT/DF - Relatório preliminar da Avaliação de Impacto Regulatório dos requisitos de registros de óleos lubrificantes.</w:t>
            </w:r>
          </w:p>
        </w:tc>
      </w:tr>
      <w:tr w:rsidR="00680449" w:rsidRPr="00857283" w:rsidTr="00035EDD">
        <w:trPr>
          <w:trHeight w:val="534"/>
          <w:tblHeader/>
        </w:trPr>
        <w:tc>
          <w:tcPr>
            <w:tcW w:w="1560" w:type="dxa"/>
            <w:shd w:val="clear" w:color="auto" w:fill="C2D69B"/>
            <w:vAlign w:val="center"/>
          </w:tcPr>
          <w:p w:rsidR="00680449" w:rsidRPr="00857283" w:rsidRDefault="00B43785" w:rsidP="00B43785">
            <w:pPr>
              <w:jc w:val="center"/>
              <w:rPr>
                <w:b/>
                <w:bCs/>
                <w:caps/>
                <w:sz w:val="22"/>
                <w:szCs w:val="22"/>
              </w:rPr>
            </w:pPr>
            <w:r>
              <w:rPr>
                <w:b/>
                <w:bCs/>
                <w:caps/>
                <w:sz w:val="22"/>
                <w:szCs w:val="22"/>
              </w:rPr>
              <w:t>Opinante</w:t>
            </w:r>
          </w:p>
        </w:tc>
        <w:tc>
          <w:tcPr>
            <w:tcW w:w="3686" w:type="dxa"/>
            <w:shd w:val="clear" w:color="auto" w:fill="C2D69B"/>
            <w:tcMar>
              <w:top w:w="20" w:type="dxa"/>
              <w:left w:w="20" w:type="dxa"/>
              <w:bottom w:w="0" w:type="dxa"/>
              <w:right w:w="20" w:type="dxa"/>
            </w:tcMar>
            <w:vAlign w:val="center"/>
          </w:tcPr>
          <w:p w:rsidR="00680449" w:rsidRPr="00857283" w:rsidRDefault="00680449" w:rsidP="00352E42">
            <w:pPr>
              <w:ind w:right="-20"/>
              <w:jc w:val="center"/>
              <w:rPr>
                <w:rFonts w:eastAsia="Arial Unicode MS"/>
                <w:b/>
                <w:bCs/>
                <w:caps/>
                <w:sz w:val="22"/>
                <w:szCs w:val="22"/>
              </w:rPr>
            </w:pPr>
            <w:r w:rsidRPr="00857283">
              <w:rPr>
                <w:b/>
                <w:bCs/>
                <w:caps/>
                <w:sz w:val="22"/>
                <w:szCs w:val="22"/>
              </w:rPr>
              <w:t>tEXTO</w:t>
            </w:r>
            <w:r w:rsidR="00B43785">
              <w:rPr>
                <w:b/>
                <w:bCs/>
                <w:caps/>
                <w:sz w:val="22"/>
                <w:szCs w:val="22"/>
              </w:rPr>
              <w:t>/</w:t>
            </w:r>
            <w:r w:rsidR="00352E42">
              <w:rPr>
                <w:b/>
                <w:bCs/>
                <w:caps/>
                <w:sz w:val="22"/>
                <w:szCs w:val="22"/>
              </w:rPr>
              <w:t xml:space="preserve"> </w:t>
            </w:r>
            <w:r w:rsidR="00B43785">
              <w:rPr>
                <w:b/>
                <w:bCs/>
                <w:caps/>
                <w:sz w:val="22"/>
                <w:szCs w:val="22"/>
              </w:rPr>
              <w:t>assunto</w:t>
            </w:r>
            <w:r w:rsidRPr="00857283">
              <w:rPr>
                <w:b/>
                <w:bCs/>
                <w:caps/>
                <w:sz w:val="22"/>
                <w:szCs w:val="22"/>
              </w:rPr>
              <w:t xml:space="preserve"> DA NOTA TÉCNICA</w:t>
            </w:r>
          </w:p>
        </w:tc>
        <w:tc>
          <w:tcPr>
            <w:tcW w:w="3827" w:type="dxa"/>
            <w:shd w:val="clear" w:color="auto" w:fill="C2D69B"/>
            <w:tcMar>
              <w:top w:w="20" w:type="dxa"/>
              <w:left w:w="20" w:type="dxa"/>
              <w:bottom w:w="0" w:type="dxa"/>
              <w:right w:w="20" w:type="dxa"/>
            </w:tcMar>
            <w:vAlign w:val="center"/>
          </w:tcPr>
          <w:p w:rsidR="00680449" w:rsidRPr="00857283" w:rsidRDefault="00680449" w:rsidP="00680449">
            <w:pPr>
              <w:jc w:val="center"/>
              <w:rPr>
                <w:rFonts w:eastAsia="Arial Unicode MS"/>
                <w:b/>
                <w:bCs/>
                <w:sz w:val="22"/>
                <w:szCs w:val="22"/>
              </w:rPr>
            </w:pPr>
            <w:r w:rsidRPr="00857283">
              <w:rPr>
                <w:b/>
                <w:bCs/>
                <w:sz w:val="22"/>
                <w:szCs w:val="22"/>
              </w:rPr>
              <w:t>PROPOSTA DE ALTERAÇÃO</w:t>
            </w:r>
          </w:p>
        </w:tc>
        <w:tc>
          <w:tcPr>
            <w:tcW w:w="4253" w:type="dxa"/>
            <w:shd w:val="clear" w:color="auto" w:fill="C2D69B"/>
            <w:tcMar>
              <w:top w:w="20" w:type="dxa"/>
              <w:left w:w="20" w:type="dxa"/>
              <w:bottom w:w="0" w:type="dxa"/>
              <w:right w:w="20" w:type="dxa"/>
            </w:tcMar>
            <w:vAlign w:val="center"/>
          </w:tcPr>
          <w:p w:rsidR="00680449" w:rsidRPr="00857283" w:rsidRDefault="00680449" w:rsidP="00680449">
            <w:pPr>
              <w:jc w:val="center"/>
              <w:rPr>
                <w:rFonts w:eastAsia="Arial Unicode MS"/>
                <w:b/>
                <w:bCs/>
                <w:sz w:val="22"/>
                <w:szCs w:val="22"/>
              </w:rPr>
            </w:pPr>
            <w:r w:rsidRPr="00857283">
              <w:rPr>
                <w:b/>
                <w:bCs/>
                <w:sz w:val="22"/>
                <w:szCs w:val="22"/>
              </w:rPr>
              <w:t>JUSTIFICATIVA</w:t>
            </w:r>
          </w:p>
        </w:tc>
        <w:tc>
          <w:tcPr>
            <w:tcW w:w="2693" w:type="dxa"/>
            <w:shd w:val="clear" w:color="auto" w:fill="C2D69B"/>
            <w:vAlign w:val="center"/>
          </w:tcPr>
          <w:p w:rsidR="00680449" w:rsidRPr="00857283" w:rsidRDefault="00680449" w:rsidP="00680449">
            <w:pPr>
              <w:jc w:val="center"/>
              <w:rPr>
                <w:b/>
                <w:bCs/>
                <w:sz w:val="22"/>
                <w:szCs w:val="22"/>
              </w:rPr>
            </w:pPr>
            <w:r w:rsidRPr="00857283">
              <w:rPr>
                <w:b/>
                <w:bCs/>
                <w:sz w:val="22"/>
                <w:szCs w:val="22"/>
              </w:rPr>
              <w:t>POSICIONAMENTO ANP</w:t>
            </w:r>
          </w:p>
        </w:tc>
      </w:tr>
      <w:tr w:rsidR="00A5271E" w:rsidRPr="00857283" w:rsidTr="00035EDD">
        <w:trPr>
          <w:trHeight w:val="670"/>
        </w:trPr>
        <w:tc>
          <w:tcPr>
            <w:tcW w:w="1560" w:type="dxa"/>
            <w:shd w:val="clear" w:color="auto" w:fill="FFFFFF"/>
            <w:vAlign w:val="center"/>
          </w:tcPr>
          <w:p w:rsidR="00A5271E" w:rsidRPr="00EA31F9" w:rsidRDefault="00A5271E" w:rsidP="00134480">
            <w:pPr>
              <w:jc w:val="center"/>
              <w:rPr>
                <w:b/>
                <w:bCs/>
                <w:color w:val="000000"/>
                <w:sz w:val="22"/>
                <w:szCs w:val="22"/>
              </w:rPr>
            </w:pPr>
            <w:r w:rsidRPr="00EA31F9">
              <w:rPr>
                <w:b/>
                <w:bCs/>
                <w:color w:val="000000"/>
                <w:sz w:val="22"/>
                <w:szCs w:val="22"/>
              </w:rPr>
              <w:t>SINDICOM</w:t>
            </w:r>
          </w:p>
        </w:tc>
        <w:tc>
          <w:tcPr>
            <w:tcW w:w="3686" w:type="dxa"/>
            <w:shd w:val="clear" w:color="auto" w:fill="FFFFFF"/>
            <w:tcMar>
              <w:top w:w="20" w:type="dxa"/>
              <w:left w:w="20" w:type="dxa"/>
              <w:bottom w:w="0" w:type="dxa"/>
              <w:right w:w="20" w:type="dxa"/>
            </w:tcMar>
            <w:vAlign w:val="center"/>
          </w:tcPr>
          <w:p w:rsidR="00A5271E" w:rsidRPr="00C20AA7" w:rsidRDefault="00A5271E" w:rsidP="002D183F">
            <w:pPr>
              <w:ind w:left="122" w:right="122"/>
              <w:jc w:val="center"/>
              <w:rPr>
                <w:sz w:val="22"/>
                <w:szCs w:val="22"/>
              </w:rPr>
            </w:pPr>
            <w:r w:rsidRPr="00C20AA7">
              <w:rPr>
                <w:rFonts w:eastAsia="Arial Unicode MS"/>
                <w:sz w:val="22"/>
                <w:szCs w:val="22"/>
              </w:rPr>
              <w:t xml:space="preserve">Elevação dos Níveis </w:t>
            </w:r>
            <w:r w:rsidRPr="00C20AA7">
              <w:rPr>
                <w:bCs/>
                <w:sz w:val="22"/>
                <w:szCs w:val="22"/>
              </w:rPr>
              <w:t xml:space="preserve">Mínimos </w:t>
            </w:r>
            <w:r w:rsidRPr="00C20AA7">
              <w:rPr>
                <w:rFonts w:eastAsia="Arial Unicode MS"/>
                <w:sz w:val="22"/>
                <w:szCs w:val="22"/>
              </w:rPr>
              <w:t>de Desempenho</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sidRPr="00857283">
              <w:rPr>
                <w:sz w:val="22"/>
                <w:szCs w:val="22"/>
              </w:rPr>
              <w:t>Sugerimos que seja explicitado que a obsolescência do API CF seja somente para uso rodoviário.</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sidRPr="00857283">
              <w:rPr>
                <w:sz w:val="22"/>
                <w:szCs w:val="22"/>
              </w:rPr>
              <w:t>Existem no mercado motores marítimos, ferroviários e estacionários cuja operação não pode ser descontinuada e que, portanto, continuarão a demandar a comercialização de lubrificantes com o nível de desempenho API CF.</w:t>
            </w:r>
          </w:p>
        </w:tc>
        <w:tc>
          <w:tcPr>
            <w:tcW w:w="2693" w:type="dxa"/>
            <w:shd w:val="clear" w:color="auto" w:fill="FFFFFF"/>
            <w:vAlign w:val="center"/>
          </w:tcPr>
          <w:p w:rsidR="00A5271E" w:rsidRDefault="009D05FC" w:rsidP="009D05FC">
            <w:pPr>
              <w:ind w:left="122" w:right="120"/>
              <w:jc w:val="center"/>
              <w:rPr>
                <w:sz w:val="22"/>
                <w:szCs w:val="22"/>
              </w:rPr>
            </w:pPr>
            <w:r>
              <w:rPr>
                <w:sz w:val="22"/>
                <w:szCs w:val="22"/>
              </w:rPr>
              <w:t>Acatado integralmente.</w:t>
            </w:r>
          </w:p>
          <w:p w:rsidR="009D05FC" w:rsidRPr="00857283" w:rsidRDefault="009D05FC" w:rsidP="00680449">
            <w:pPr>
              <w:ind w:left="122" w:right="120"/>
              <w:jc w:val="both"/>
              <w:rPr>
                <w:sz w:val="22"/>
                <w:szCs w:val="22"/>
              </w:rPr>
            </w:pPr>
            <w:r>
              <w:rPr>
                <w:sz w:val="22"/>
                <w:szCs w:val="22"/>
              </w:rPr>
              <w:t>O CPT já teve esse cuidado na minuta da revisão da resolução 10/2007.</w:t>
            </w:r>
          </w:p>
        </w:tc>
      </w:tr>
      <w:tr w:rsidR="00A5271E" w:rsidRPr="00857283" w:rsidTr="00035EDD">
        <w:trPr>
          <w:trHeight w:val="670"/>
        </w:trPr>
        <w:tc>
          <w:tcPr>
            <w:tcW w:w="1560" w:type="dxa"/>
            <w:shd w:val="clear" w:color="auto" w:fill="FFFFFF"/>
            <w:vAlign w:val="center"/>
          </w:tcPr>
          <w:p w:rsidR="00A5271E" w:rsidRPr="00EA31F9" w:rsidRDefault="00A5271E" w:rsidP="00134480">
            <w:pPr>
              <w:jc w:val="center"/>
              <w:rPr>
                <w:b/>
                <w:bCs/>
                <w:color w:val="000000"/>
                <w:sz w:val="22"/>
                <w:szCs w:val="22"/>
              </w:rPr>
            </w:pPr>
            <w:r w:rsidRPr="00EA31F9">
              <w:rPr>
                <w:b/>
                <w:bCs/>
                <w:color w:val="000000"/>
                <w:sz w:val="22"/>
                <w:szCs w:val="22"/>
              </w:rPr>
              <w:t>SINDICOM</w:t>
            </w:r>
          </w:p>
        </w:tc>
        <w:tc>
          <w:tcPr>
            <w:tcW w:w="3686" w:type="dxa"/>
            <w:shd w:val="clear" w:color="auto" w:fill="FFFFFF"/>
            <w:tcMar>
              <w:top w:w="20" w:type="dxa"/>
              <w:left w:w="20" w:type="dxa"/>
              <w:bottom w:w="0" w:type="dxa"/>
              <w:right w:w="20" w:type="dxa"/>
            </w:tcMar>
            <w:vAlign w:val="center"/>
          </w:tcPr>
          <w:p w:rsidR="00A5271E" w:rsidRPr="00C20AA7" w:rsidRDefault="00A5271E" w:rsidP="002D183F">
            <w:pPr>
              <w:ind w:left="122" w:right="122"/>
              <w:jc w:val="center"/>
              <w:rPr>
                <w:rFonts w:eastAsia="Arial Unicode MS"/>
                <w:sz w:val="22"/>
                <w:szCs w:val="22"/>
              </w:rPr>
            </w:pPr>
            <w:r w:rsidRPr="00C20AA7">
              <w:rPr>
                <w:rFonts w:eastAsia="Arial Unicode MS"/>
                <w:sz w:val="22"/>
                <w:szCs w:val="22"/>
              </w:rPr>
              <w:t xml:space="preserve">Elevação dos Níveis </w:t>
            </w:r>
            <w:r w:rsidRPr="00C20AA7">
              <w:rPr>
                <w:bCs/>
                <w:sz w:val="22"/>
                <w:szCs w:val="22"/>
              </w:rPr>
              <w:t xml:space="preserve">Mínimos </w:t>
            </w:r>
            <w:r w:rsidRPr="00C20AA7">
              <w:rPr>
                <w:rFonts w:eastAsia="Arial Unicode MS"/>
                <w:sz w:val="22"/>
                <w:szCs w:val="22"/>
              </w:rPr>
              <w:t>de Desempenho</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sidRPr="00857283">
              <w:rPr>
                <w:sz w:val="22"/>
                <w:szCs w:val="22"/>
              </w:rPr>
              <w:t>Reputamos também necessária a determinação de critério para atualizações sistemáticas dos níveis mínimos de desempenho.</w:t>
            </w:r>
          </w:p>
          <w:p w:rsidR="00A5271E" w:rsidRPr="00857283" w:rsidRDefault="00A5271E" w:rsidP="00C20AA7">
            <w:pPr>
              <w:ind w:left="122" w:right="120"/>
              <w:jc w:val="both"/>
              <w:rPr>
                <w:sz w:val="22"/>
                <w:szCs w:val="22"/>
              </w:rPr>
            </w:pPr>
            <w:r w:rsidRPr="00857283">
              <w:rPr>
                <w:sz w:val="22"/>
                <w:szCs w:val="22"/>
              </w:rPr>
              <w:t>Nessa linha concordamos em seguir o critério da ACEA, exclusivamente para fins de prazo para obsolescência, considerando a menor categoria de serviço licenciável e a anterior.</w:t>
            </w:r>
          </w:p>
          <w:p w:rsidR="00A5271E" w:rsidRPr="00857283" w:rsidRDefault="00A5271E" w:rsidP="00C20AA7">
            <w:pPr>
              <w:ind w:left="122" w:right="120"/>
              <w:jc w:val="both"/>
              <w:rPr>
                <w:sz w:val="22"/>
                <w:szCs w:val="22"/>
              </w:rPr>
            </w:pPr>
            <w:r w:rsidRPr="00857283">
              <w:rPr>
                <w:sz w:val="22"/>
                <w:szCs w:val="22"/>
              </w:rPr>
              <w:t>Seria, porém estabelecido o prazo de 2 (dois) anos para atualização, após a obsolescência na API e/ou ACEA.</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sidRPr="00857283">
              <w:rPr>
                <w:sz w:val="22"/>
                <w:szCs w:val="22"/>
              </w:rPr>
              <w:t>Manter atualizados os níveis de desempenho, retirar do mercado tecnologias obsoletas de modo a minimizar a possibilidade de danos a consumidores causados por uso de lubrificantes inadequados em razão de desinformação ou má orientação por parte de agentes de mercado inescrupulosos.</w:t>
            </w:r>
          </w:p>
          <w:p w:rsidR="00A5271E" w:rsidRPr="00857283" w:rsidRDefault="00A5271E" w:rsidP="00C20AA7">
            <w:pPr>
              <w:shd w:val="clear" w:color="auto" w:fill="FFFFFF"/>
              <w:ind w:left="122" w:right="120"/>
              <w:jc w:val="both"/>
              <w:rPr>
                <w:sz w:val="22"/>
                <w:szCs w:val="22"/>
              </w:rPr>
            </w:pPr>
            <w:r w:rsidRPr="00857283">
              <w:rPr>
                <w:sz w:val="22"/>
                <w:szCs w:val="22"/>
              </w:rPr>
              <w:t>Adicionalmente a indústria de lubrificantes e aditivos passaria a contar com uma regra clara que proporcionaria um grau de previsibilidade muito positivo para o planejamento de investimentos da indústria de lubrificantes e aditivos.</w:t>
            </w:r>
          </w:p>
        </w:tc>
        <w:tc>
          <w:tcPr>
            <w:tcW w:w="2693" w:type="dxa"/>
            <w:shd w:val="clear" w:color="auto" w:fill="FFFFFF"/>
            <w:vAlign w:val="center"/>
          </w:tcPr>
          <w:p w:rsidR="00A5271E" w:rsidRDefault="009D05FC" w:rsidP="00680449">
            <w:pPr>
              <w:ind w:left="122" w:right="120"/>
              <w:jc w:val="both"/>
              <w:rPr>
                <w:sz w:val="22"/>
                <w:szCs w:val="22"/>
              </w:rPr>
            </w:pPr>
            <w:r>
              <w:rPr>
                <w:sz w:val="22"/>
                <w:szCs w:val="22"/>
              </w:rPr>
              <w:t>Acatado parcialmente.</w:t>
            </w:r>
          </w:p>
          <w:p w:rsidR="009D05FC" w:rsidRPr="00857283" w:rsidRDefault="009D05FC" w:rsidP="009D05FC">
            <w:pPr>
              <w:ind w:left="122" w:right="120"/>
              <w:jc w:val="both"/>
              <w:rPr>
                <w:sz w:val="22"/>
                <w:szCs w:val="22"/>
              </w:rPr>
            </w:pPr>
            <w:r>
              <w:rPr>
                <w:sz w:val="22"/>
                <w:szCs w:val="22"/>
              </w:rPr>
              <w:t xml:space="preserve">O critério de obsolescência da ACEA deverá ser considerado, no entanto, a ANP não deve colocar na nova resolução dispositivo que acompanhe, automaticamente, a obsolescência dos sistemas europeu e americano, sobre os quais o País não tem nenhum controle. </w:t>
            </w:r>
          </w:p>
        </w:tc>
      </w:tr>
      <w:tr w:rsidR="00A5271E" w:rsidRPr="00857283" w:rsidTr="00035EDD">
        <w:trPr>
          <w:trHeight w:val="670"/>
        </w:trPr>
        <w:tc>
          <w:tcPr>
            <w:tcW w:w="1560" w:type="dxa"/>
            <w:shd w:val="clear" w:color="auto" w:fill="FFFFFF"/>
            <w:vAlign w:val="center"/>
          </w:tcPr>
          <w:p w:rsidR="00A5271E" w:rsidRPr="00EA31F9" w:rsidRDefault="00A5271E" w:rsidP="00134480">
            <w:pPr>
              <w:jc w:val="center"/>
              <w:rPr>
                <w:b/>
                <w:bCs/>
                <w:color w:val="000000"/>
                <w:sz w:val="22"/>
                <w:szCs w:val="22"/>
              </w:rPr>
            </w:pPr>
            <w:r>
              <w:rPr>
                <w:b/>
                <w:bCs/>
                <w:color w:val="000000"/>
                <w:sz w:val="22"/>
                <w:szCs w:val="22"/>
              </w:rPr>
              <w:t>SIMEPETRO</w:t>
            </w:r>
          </w:p>
        </w:tc>
        <w:tc>
          <w:tcPr>
            <w:tcW w:w="3686" w:type="dxa"/>
            <w:shd w:val="clear" w:color="auto" w:fill="FFFFFF"/>
            <w:tcMar>
              <w:top w:w="20" w:type="dxa"/>
              <w:left w:w="20" w:type="dxa"/>
              <w:bottom w:w="0" w:type="dxa"/>
              <w:right w:w="20" w:type="dxa"/>
            </w:tcMar>
            <w:vAlign w:val="center"/>
          </w:tcPr>
          <w:p w:rsidR="00A5271E" w:rsidRPr="00C20AA7" w:rsidRDefault="00A5271E" w:rsidP="002D183F">
            <w:pPr>
              <w:autoSpaceDE w:val="0"/>
              <w:autoSpaceDN w:val="0"/>
              <w:adjustRightInd w:val="0"/>
              <w:ind w:left="122" w:right="122"/>
              <w:jc w:val="center"/>
              <w:rPr>
                <w:sz w:val="22"/>
                <w:szCs w:val="22"/>
              </w:rPr>
            </w:pPr>
            <w:r w:rsidRPr="00C20AA7">
              <w:rPr>
                <w:rFonts w:eastAsia="Arial Unicode MS"/>
                <w:sz w:val="22"/>
                <w:szCs w:val="22"/>
              </w:rPr>
              <w:t xml:space="preserve">Elevação dos Níveis </w:t>
            </w:r>
            <w:r w:rsidRPr="00C20AA7">
              <w:rPr>
                <w:bCs/>
                <w:sz w:val="22"/>
                <w:szCs w:val="22"/>
              </w:rPr>
              <w:t xml:space="preserve">Mínimos </w:t>
            </w:r>
            <w:r w:rsidRPr="00C20AA7">
              <w:rPr>
                <w:rFonts w:eastAsia="Arial Unicode MS"/>
                <w:sz w:val="22"/>
                <w:szCs w:val="22"/>
              </w:rPr>
              <w:t>de Desempenho</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 xml:space="preserve">Manutenção dos níveis de desempenho API SF para motores do Ciclo Otto, e de API CF-4 para motores do Ciclo Diesel Alternativa: Primeira elevação dos níveis de desempenho de API SF para API SJ, e de API CF-4 para API </w:t>
            </w:r>
            <w:r w:rsidRPr="00857283">
              <w:rPr>
                <w:sz w:val="22"/>
                <w:szCs w:val="22"/>
              </w:rPr>
              <w:lastRenderedPageBreak/>
              <w:t>CG-4, no prazo de 48 meses a partir da conclusão dos estudos e consequente revisão da Resolução ANP 10/2007</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lastRenderedPageBreak/>
              <w:t xml:space="preserve">O Simepetro representa produtoras associadas que respondem por 15% de participação no mercado nacional de lubrificantes, e os custos de produção dessas empresas, cujos números ainda não foram concluídos, afetará significativamente o </w:t>
            </w:r>
            <w:r w:rsidRPr="00857283">
              <w:rPr>
                <w:sz w:val="22"/>
                <w:szCs w:val="22"/>
              </w:rPr>
              <w:lastRenderedPageBreak/>
              <w:t>conteúdo do Relatório Preliminar elaborado. A elevação dos níveis de desempenho tal como proposta impactará de forma expressiva as empresas associadas, que adquirem os aditivos predominantemente de distribuidores a um custo maior, e não diretamente das fabricantes.</w:t>
            </w:r>
          </w:p>
          <w:p w:rsidR="00A5271E" w:rsidRPr="00857283" w:rsidRDefault="00A5271E" w:rsidP="00C20AA7">
            <w:pPr>
              <w:autoSpaceDE w:val="0"/>
              <w:autoSpaceDN w:val="0"/>
              <w:adjustRightInd w:val="0"/>
              <w:ind w:left="122" w:right="120"/>
              <w:jc w:val="both"/>
              <w:rPr>
                <w:sz w:val="22"/>
                <w:szCs w:val="22"/>
              </w:rPr>
            </w:pPr>
            <w:r w:rsidRPr="00857283">
              <w:rPr>
                <w:sz w:val="22"/>
                <w:szCs w:val="22"/>
              </w:rPr>
              <w:t>O impacto nos preços dos lubrificantes aos consumidores usuários de veículos mais antigos será bem superior ao que foi apurado no Relatório Preliminar.</w:t>
            </w:r>
          </w:p>
          <w:p w:rsidR="00A5271E" w:rsidRPr="00857283" w:rsidRDefault="00A5271E" w:rsidP="00C20AA7">
            <w:pPr>
              <w:autoSpaceDE w:val="0"/>
              <w:autoSpaceDN w:val="0"/>
              <w:adjustRightInd w:val="0"/>
              <w:ind w:left="122" w:right="120"/>
              <w:jc w:val="both"/>
              <w:rPr>
                <w:sz w:val="22"/>
                <w:szCs w:val="22"/>
              </w:rPr>
            </w:pPr>
            <w:r w:rsidRPr="00857283">
              <w:rPr>
                <w:sz w:val="22"/>
                <w:szCs w:val="22"/>
              </w:rPr>
              <w:t>A cada ano diminui a frota de veículos mais antigos, substituídos por veículos novos, cujos consumidores usuários, mais esclarecidos, seguem as recomendações dos fabricantes quanto ao nível de desempenho dos lubrificantes. Poderão ser adotadas campanhas de esclarecimento aos consumidores usuários de veículos mais novos, para que sigam estritamente as recomendações dos fabricantes quanto ao nível de desempenho</w:t>
            </w:r>
            <w:r>
              <w:rPr>
                <w:sz w:val="22"/>
                <w:szCs w:val="22"/>
              </w:rPr>
              <w:t xml:space="preserve"> </w:t>
            </w:r>
            <w:r w:rsidRPr="00857283">
              <w:rPr>
                <w:sz w:val="22"/>
                <w:szCs w:val="22"/>
              </w:rPr>
              <w:t>Alternativamente, a concessão de prazo para a elevação dos níveis dos lubrificantes, de acordo com a proposta, proporcionará a liquidação dos estoques nos distribuidores e revendedores dos lubrificantes.</w:t>
            </w:r>
          </w:p>
        </w:tc>
        <w:tc>
          <w:tcPr>
            <w:tcW w:w="2693" w:type="dxa"/>
            <w:shd w:val="clear" w:color="auto" w:fill="FFFFFF"/>
            <w:vAlign w:val="center"/>
          </w:tcPr>
          <w:p w:rsidR="00A5271E" w:rsidRDefault="009D05FC" w:rsidP="00680449">
            <w:pPr>
              <w:ind w:left="85" w:right="85"/>
              <w:jc w:val="both"/>
              <w:rPr>
                <w:sz w:val="22"/>
                <w:szCs w:val="22"/>
              </w:rPr>
            </w:pPr>
            <w:r>
              <w:rPr>
                <w:sz w:val="22"/>
                <w:szCs w:val="22"/>
              </w:rPr>
              <w:lastRenderedPageBreak/>
              <w:t>Não acatado.</w:t>
            </w:r>
          </w:p>
          <w:p w:rsidR="009D05FC" w:rsidRPr="00857283" w:rsidRDefault="009D05FC" w:rsidP="000F5B2B">
            <w:pPr>
              <w:ind w:left="85" w:right="85"/>
              <w:jc w:val="both"/>
              <w:rPr>
                <w:sz w:val="22"/>
                <w:szCs w:val="22"/>
              </w:rPr>
            </w:pPr>
            <w:r>
              <w:rPr>
                <w:sz w:val="22"/>
                <w:szCs w:val="22"/>
              </w:rPr>
              <w:t xml:space="preserve">A ANP já está propondo uma transição de níveis de desempenho modesta visando justamente minimizar o impacto nas </w:t>
            </w:r>
            <w:r>
              <w:rPr>
                <w:sz w:val="22"/>
                <w:szCs w:val="22"/>
              </w:rPr>
              <w:lastRenderedPageBreak/>
              <w:t xml:space="preserve">empresas de menor porte, todavia </w:t>
            </w:r>
            <w:r w:rsidR="000F5B2B">
              <w:rPr>
                <w:sz w:val="22"/>
                <w:szCs w:val="22"/>
              </w:rPr>
              <w:t>é imperioso avançar com novos níveis de desempenho mínimo no país. Há pelo menos 3 anos a Agência vem anunciando que elevará os níveis mínimos, tempo que considera mais que suficiente para os agentes lançarem novos produtos levando em conta a eliminação das categorias obsoletas.</w:t>
            </w:r>
          </w:p>
        </w:tc>
      </w:tr>
      <w:tr w:rsidR="00A5271E" w:rsidRPr="00857283" w:rsidTr="00035EDD">
        <w:trPr>
          <w:trHeight w:val="568"/>
        </w:trPr>
        <w:tc>
          <w:tcPr>
            <w:tcW w:w="1560" w:type="dxa"/>
            <w:shd w:val="clear" w:color="auto" w:fill="FFFFFF"/>
            <w:vAlign w:val="center"/>
          </w:tcPr>
          <w:p w:rsidR="00A5271E" w:rsidRPr="00EA31F9" w:rsidRDefault="00A5271E" w:rsidP="00134480">
            <w:pPr>
              <w:jc w:val="center"/>
              <w:rPr>
                <w:b/>
                <w:bCs/>
                <w:color w:val="000000"/>
                <w:sz w:val="22"/>
                <w:szCs w:val="22"/>
              </w:rPr>
            </w:pPr>
            <w:r w:rsidRPr="00EA31F9">
              <w:rPr>
                <w:b/>
                <w:bCs/>
                <w:color w:val="000000"/>
                <w:sz w:val="22"/>
                <w:szCs w:val="22"/>
              </w:rPr>
              <w:lastRenderedPageBreak/>
              <w:t>SINDILUB</w:t>
            </w:r>
          </w:p>
        </w:tc>
        <w:tc>
          <w:tcPr>
            <w:tcW w:w="3686" w:type="dxa"/>
            <w:shd w:val="clear" w:color="auto" w:fill="FFFFFF"/>
            <w:tcMar>
              <w:top w:w="20" w:type="dxa"/>
              <w:left w:w="20" w:type="dxa"/>
              <w:bottom w:w="0" w:type="dxa"/>
              <w:right w:w="20" w:type="dxa"/>
            </w:tcMar>
            <w:vAlign w:val="center"/>
          </w:tcPr>
          <w:p w:rsidR="00A5271E" w:rsidRPr="00C20AA7" w:rsidRDefault="00A5271E" w:rsidP="002D183F">
            <w:pPr>
              <w:spacing w:line="276" w:lineRule="auto"/>
              <w:ind w:left="122" w:right="122"/>
              <w:jc w:val="center"/>
              <w:rPr>
                <w:bCs/>
                <w:color w:val="000000"/>
                <w:sz w:val="22"/>
                <w:szCs w:val="22"/>
              </w:rPr>
            </w:pPr>
            <w:r w:rsidRPr="00C20AA7">
              <w:rPr>
                <w:bCs/>
                <w:color w:val="000000"/>
                <w:sz w:val="22"/>
                <w:szCs w:val="22"/>
              </w:rPr>
              <w:t xml:space="preserve">Elevação dos </w:t>
            </w:r>
            <w:r w:rsidRPr="00C20AA7">
              <w:rPr>
                <w:bCs/>
                <w:sz w:val="22"/>
                <w:szCs w:val="22"/>
              </w:rPr>
              <w:t>Níveis Mínimos de Desempenho</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spacing w:line="276" w:lineRule="auto"/>
              <w:ind w:left="122" w:right="120"/>
              <w:jc w:val="both"/>
              <w:rPr>
                <w:sz w:val="22"/>
                <w:szCs w:val="22"/>
              </w:rPr>
            </w:pPr>
            <w:r w:rsidRPr="00857283">
              <w:rPr>
                <w:sz w:val="22"/>
                <w:szCs w:val="22"/>
              </w:rPr>
              <w:t xml:space="preserve">Apoiamos a proposição da Agência em elevar os níveis de desempenho para </w:t>
            </w:r>
            <w:r w:rsidRPr="00857283">
              <w:rPr>
                <w:b/>
                <w:sz w:val="22"/>
                <w:szCs w:val="22"/>
              </w:rPr>
              <w:t xml:space="preserve">API SJ </w:t>
            </w:r>
            <w:r w:rsidRPr="00857283">
              <w:rPr>
                <w:sz w:val="22"/>
                <w:szCs w:val="22"/>
              </w:rPr>
              <w:t>para os motores do Ciclo Otto e</w:t>
            </w:r>
            <w:r w:rsidRPr="00857283">
              <w:rPr>
                <w:b/>
                <w:sz w:val="22"/>
                <w:szCs w:val="22"/>
              </w:rPr>
              <w:t xml:space="preserve"> CG-4 </w:t>
            </w:r>
            <w:r w:rsidRPr="00857283">
              <w:rPr>
                <w:sz w:val="22"/>
                <w:szCs w:val="22"/>
              </w:rPr>
              <w:t>para</w:t>
            </w:r>
            <w:r w:rsidRPr="00857283">
              <w:rPr>
                <w:b/>
                <w:sz w:val="22"/>
                <w:szCs w:val="22"/>
              </w:rPr>
              <w:t xml:space="preserve"> </w:t>
            </w:r>
            <w:r w:rsidRPr="00857283">
              <w:rPr>
                <w:sz w:val="22"/>
                <w:szCs w:val="22"/>
              </w:rPr>
              <w:t>os motores do Ciclo Diesel.</w:t>
            </w:r>
          </w:p>
          <w:p w:rsidR="00A5271E" w:rsidRPr="00857283" w:rsidRDefault="00A5271E" w:rsidP="00C20AA7">
            <w:pPr>
              <w:autoSpaceDE w:val="0"/>
              <w:autoSpaceDN w:val="0"/>
              <w:adjustRightInd w:val="0"/>
              <w:ind w:left="122" w:right="120"/>
              <w:jc w:val="both"/>
              <w:rPr>
                <w:rFonts w:eastAsia="Arial Unicode MS"/>
                <w:sz w:val="22"/>
                <w:szCs w:val="22"/>
              </w:rPr>
            </w:pPr>
            <w:r w:rsidRPr="00857283">
              <w:rPr>
                <w:b/>
                <w:sz w:val="22"/>
                <w:szCs w:val="22"/>
              </w:rPr>
              <w:t xml:space="preserve">Ressalva: </w:t>
            </w:r>
            <w:r w:rsidRPr="00857283">
              <w:rPr>
                <w:sz w:val="22"/>
                <w:szCs w:val="22"/>
              </w:rPr>
              <w:t>Caso a classificação “</w:t>
            </w:r>
            <w:r w:rsidRPr="00857283">
              <w:rPr>
                <w:b/>
                <w:sz w:val="22"/>
                <w:szCs w:val="22"/>
              </w:rPr>
              <w:t>SJ”</w:t>
            </w:r>
            <w:r w:rsidRPr="00857283">
              <w:rPr>
                <w:sz w:val="22"/>
                <w:szCs w:val="22"/>
              </w:rPr>
              <w:t xml:space="preserve"> venha ser adotada por um período máximo de dois (2) anos, nossa sugestão é que se eleve o próximo nível para </w:t>
            </w:r>
            <w:r w:rsidRPr="00857283">
              <w:rPr>
                <w:b/>
                <w:sz w:val="22"/>
                <w:szCs w:val="22"/>
              </w:rPr>
              <w:t>SL</w:t>
            </w:r>
            <w:r w:rsidRPr="00857283">
              <w:rPr>
                <w:sz w:val="22"/>
                <w:szCs w:val="22"/>
              </w:rPr>
              <w:t xml:space="preserve"> adequando a revisão para quatro anos.</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rFonts w:eastAsia="Arial Unicode MS"/>
                <w:sz w:val="22"/>
                <w:szCs w:val="22"/>
              </w:rPr>
            </w:pPr>
            <w:r w:rsidRPr="00857283">
              <w:rPr>
                <w:sz w:val="22"/>
                <w:szCs w:val="22"/>
              </w:rPr>
              <w:t xml:space="preserve">Como bem demonstrado pelo Relatório de Avaliação de Impacto, a classificação SF (obsoleta) representa apenas 10,7% do lubrificante comercializado no mercado. A classificação “SJ” que estamos propondo, também é classificada pela API como obsoleta, mas compreendemos que se aplica dentro do atual cenário brasileiro, atendendo os motores fabricados em 2001 e os anteriores. A ressalva da opção pelo </w:t>
            </w:r>
            <w:r w:rsidRPr="00857283">
              <w:rPr>
                <w:b/>
                <w:sz w:val="22"/>
                <w:szCs w:val="22"/>
              </w:rPr>
              <w:t>“SL”</w:t>
            </w:r>
            <w:r w:rsidRPr="00857283">
              <w:rPr>
                <w:sz w:val="22"/>
                <w:szCs w:val="22"/>
              </w:rPr>
              <w:t xml:space="preserve"> se justifica uma vez que, além de atender a especificação para os motores de 2004, também atende os motores automotivos mais antigos. Com uma revisão de classificação programada para quatro anos (exp.2017) a revenda programaria suas aquisições e sofreria com um único ajuste de seus estoques, para o consumidor. A escolha do lubrificante seria facilitada além dos benefícios apontados pelo relatório de aspectos econômico-ambientais. A mesma justificativa se aplica a substituição da atual classificação </w:t>
            </w:r>
            <w:r w:rsidRPr="00857283">
              <w:rPr>
                <w:b/>
                <w:sz w:val="22"/>
                <w:szCs w:val="22"/>
              </w:rPr>
              <w:t>“CF”</w:t>
            </w:r>
            <w:r w:rsidRPr="00857283">
              <w:rPr>
                <w:sz w:val="22"/>
                <w:szCs w:val="22"/>
              </w:rPr>
              <w:t xml:space="preserve"> (obsoleta) para os motores do Ciclo Diesel que responde hoje por 16% do mercado. Neste caso apoiamos a adoção da classificação “</w:t>
            </w:r>
            <w:r w:rsidRPr="00857283">
              <w:rPr>
                <w:b/>
                <w:sz w:val="22"/>
                <w:szCs w:val="22"/>
              </w:rPr>
              <w:t>CG-</w:t>
            </w:r>
            <w:smartTag w:uri="urn:schemas-microsoft-com:office:smarttags" w:element="metricconverter">
              <w:smartTagPr>
                <w:attr w:name="ProductID" w:val="4”"/>
              </w:smartTagPr>
              <w:r w:rsidRPr="00857283">
                <w:rPr>
                  <w:b/>
                  <w:sz w:val="22"/>
                  <w:szCs w:val="22"/>
                </w:rPr>
                <w:t>4”</w:t>
              </w:r>
            </w:smartTag>
            <w:r w:rsidRPr="00857283">
              <w:rPr>
                <w:b/>
                <w:sz w:val="22"/>
                <w:szCs w:val="22"/>
              </w:rPr>
              <w:t xml:space="preserve">, </w:t>
            </w:r>
            <w:r w:rsidRPr="00857283">
              <w:rPr>
                <w:sz w:val="22"/>
                <w:szCs w:val="22"/>
              </w:rPr>
              <w:t>mesmo que obsoleta, em virtude do perfil da frota de veículos do Ciclo Diesel em circulação no país ter a idade média de 17 anos e ser a sua substituição mais lenta, comparada com a frota dos veículos do Ciclo Otto.</w:t>
            </w:r>
          </w:p>
        </w:tc>
        <w:tc>
          <w:tcPr>
            <w:tcW w:w="2693" w:type="dxa"/>
            <w:shd w:val="clear" w:color="auto" w:fill="FFFFFF"/>
            <w:vAlign w:val="center"/>
          </w:tcPr>
          <w:p w:rsidR="00A5271E" w:rsidRPr="0093395B" w:rsidRDefault="0093395B" w:rsidP="00680449">
            <w:pPr>
              <w:ind w:left="85" w:right="85"/>
              <w:rPr>
                <w:sz w:val="22"/>
                <w:szCs w:val="22"/>
              </w:rPr>
            </w:pPr>
            <w:r w:rsidRPr="0093395B">
              <w:rPr>
                <w:sz w:val="22"/>
                <w:szCs w:val="22"/>
              </w:rPr>
              <w:t>Acatado.</w:t>
            </w:r>
          </w:p>
          <w:p w:rsidR="0093395B" w:rsidRPr="0093395B" w:rsidRDefault="0093395B" w:rsidP="0093395B">
            <w:pPr>
              <w:ind w:left="85" w:right="85"/>
              <w:rPr>
                <w:sz w:val="22"/>
                <w:szCs w:val="22"/>
              </w:rPr>
            </w:pPr>
            <w:r w:rsidRPr="0093395B">
              <w:rPr>
                <w:sz w:val="22"/>
                <w:szCs w:val="22"/>
              </w:rPr>
              <w:t>A Agência pretende fazer a transição de níveis mínimos de desempenho em duas etapas com o período de aproximadamente 2 anos entre elas.</w:t>
            </w:r>
          </w:p>
        </w:tc>
      </w:tr>
      <w:tr w:rsidR="00DB6881" w:rsidRPr="00857283" w:rsidTr="00035EDD">
        <w:trPr>
          <w:trHeight w:val="568"/>
        </w:trPr>
        <w:tc>
          <w:tcPr>
            <w:tcW w:w="1560" w:type="dxa"/>
            <w:shd w:val="clear" w:color="auto" w:fill="FFFFFF"/>
            <w:vAlign w:val="center"/>
          </w:tcPr>
          <w:p w:rsidR="00DB6881" w:rsidRPr="007D15E2" w:rsidRDefault="00DB6881" w:rsidP="00134480">
            <w:pPr>
              <w:jc w:val="center"/>
              <w:rPr>
                <w:b/>
                <w:bCs/>
                <w:color w:val="000000"/>
                <w:sz w:val="22"/>
                <w:szCs w:val="22"/>
              </w:rPr>
            </w:pPr>
            <w:r w:rsidRPr="007D15E2">
              <w:rPr>
                <w:b/>
                <w:bCs/>
                <w:color w:val="000000"/>
                <w:sz w:val="22"/>
                <w:szCs w:val="22"/>
              </w:rPr>
              <w:t>ANFAVEA</w:t>
            </w:r>
          </w:p>
        </w:tc>
        <w:tc>
          <w:tcPr>
            <w:tcW w:w="3686" w:type="dxa"/>
            <w:shd w:val="clear" w:color="auto" w:fill="FFFFFF"/>
            <w:tcMar>
              <w:top w:w="20" w:type="dxa"/>
              <w:left w:w="20" w:type="dxa"/>
              <w:bottom w:w="0" w:type="dxa"/>
              <w:right w:w="20" w:type="dxa"/>
            </w:tcMar>
            <w:vAlign w:val="center"/>
          </w:tcPr>
          <w:p w:rsidR="00DB6881" w:rsidRPr="007D15E2" w:rsidRDefault="007D15E2" w:rsidP="002D183F">
            <w:pPr>
              <w:spacing w:line="276" w:lineRule="auto"/>
              <w:ind w:left="122" w:right="122"/>
              <w:jc w:val="center"/>
              <w:rPr>
                <w:bCs/>
                <w:color w:val="000000"/>
                <w:sz w:val="22"/>
                <w:szCs w:val="22"/>
              </w:rPr>
            </w:pPr>
            <w:r w:rsidRPr="007D15E2">
              <w:rPr>
                <w:bCs/>
                <w:color w:val="000000"/>
                <w:sz w:val="22"/>
                <w:szCs w:val="22"/>
              </w:rPr>
              <w:t xml:space="preserve">Elevação dos </w:t>
            </w:r>
            <w:r w:rsidRPr="007D15E2">
              <w:rPr>
                <w:bCs/>
                <w:sz w:val="22"/>
                <w:szCs w:val="22"/>
              </w:rPr>
              <w:t>Níveis Mínimos de Desempenho</w:t>
            </w:r>
          </w:p>
        </w:tc>
        <w:tc>
          <w:tcPr>
            <w:tcW w:w="3827" w:type="dxa"/>
            <w:shd w:val="clear" w:color="auto" w:fill="FFFFFF"/>
            <w:tcMar>
              <w:top w:w="20" w:type="dxa"/>
              <w:left w:w="20" w:type="dxa"/>
              <w:bottom w:w="0" w:type="dxa"/>
              <w:right w:w="20" w:type="dxa"/>
            </w:tcMar>
            <w:vAlign w:val="center"/>
          </w:tcPr>
          <w:p w:rsidR="007D15E2" w:rsidRPr="007D15E2" w:rsidRDefault="007D15E2" w:rsidP="007D15E2">
            <w:pPr>
              <w:autoSpaceDE w:val="0"/>
              <w:autoSpaceDN w:val="0"/>
              <w:adjustRightInd w:val="0"/>
              <w:ind w:left="122" w:right="122"/>
              <w:jc w:val="both"/>
              <w:rPr>
                <w:rFonts w:eastAsiaTheme="minorHAnsi"/>
                <w:sz w:val="22"/>
                <w:szCs w:val="22"/>
                <w:lang w:eastAsia="en-US"/>
              </w:rPr>
            </w:pPr>
            <w:r w:rsidRPr="007D15E2">
              <w:rPr>
                <w:rFonts w:eastAsiaTheme="minorHAnsi"/>
                <w:sz w:val="22"/>
                <w:szCs w:val="22"/>
                <w:lang w:eastAsia="en-US"/>
              </w:rPr>
              <w:t>As associadas da ANFAVEA concordam, quanto aos níveis mínimos de desempenho, que devem ser recomendados os níveis não obsoletos considerados pela API. Ou seja, para motores do ciclo Otto de API SF para SJ e para o Ciclo Diesel, de API CF para API CH-4.</w:t>
            </w:r>
          </w:p>
          <w:p w:rsidR="00DB6881" w:rsidRPr="007D15E2" w:rsidRDefault="007D15E2" w:rsidP="007D15E2">
            <w:pPr>
              <w:autoSpaceDE w:val="0"/>
              <w:autoSpaceDN w:val="0"/>
              <w:adjustRightInd w:val="0"/>
              <w:ind w:left="122" w:right="122"/>
              <w:jc w:val="both"/>
              <w:rPr>
                <w:rFonts w:eastAsiaTheme="minorHAnsi"/>
                <w:sz w:val="22"/>
                <w:szCs w:val="22"/>
                <w:lang w:eastAsia="en-US"/>
              </w:rPr>
            </w:pPr>
            <w:r w:rsidRPr="007D15E2">
              <w:rPr>
                <w:rFonts w:eastAsiaTheme="minorHAnsi"/>
                <w:sz w:val="22"/>
                <w:szCs w:val="22"/>
                <w:lang w:eastAsia="en-US"/>
              </w:rPr>
              <w:t>Há consenso quanto à necessidade de uma segunda fase de transição, a ser implementada dois anos após o prazo estipulado para a primeira fase, a ser definido na Resolução ANP n° 10/2007 revisada, no ciclo Otto de API SJ para API SL e no ciclo diesel de API CH-4 para API CI-4.</w:t>
            </w:r>
          </w:p>
        </w:tc>
        <w:tc>
          <w:tcPr>
            <w:tcW w:w="4253" w:type="dxa"/>
            <w:shd w:val="clear" w:color="auto" w:fill="FFFFFF"/>
            <w:tcMar>
              <w:top w:w="20" w:type="dxa"/>
              <w:left w:w="20" w:type="dxa"/>
              <w:bottom w:w="0" w:type="dxa"/>
              <w:right w:w="20" w:type="dxa"/>
            </w:tcMar>
            <w:vAlign w:val="center"/>
          </w:tcPr>
          <w:p w:rsidR="00DB6881" w:rsidRPr="007D15E2" w:rsidRDefault="00DB6881" w:rsidP="007D15E2">
            <w:pPr>
              <w:autoSpaceDE w:val="0"/>
              <w:autoSpaceDN w:val="0"/>
              <w:adjustRightInd w:val="0"/>
              <w:ind w:left="122" w:right="122"/>
              <w:jc w:val="both"/>
              <w:rPr>
                <w:rFonts w:eastAsiaTheme="minorHAnsi"/>
                <w:sz w:val="22"/>
                <w:szCs w:val="22"/>
                <w:lang w:eastAsia="en-US"/>
              </w:rPr>
            </w:pPr>
            <w:r w:rsidRPr="007D15E2">
              <w:rPr>
                <w:rFonts w:eastAsiaTheme="minorHAnsi"/>
                <w:sz w:val="22"/>
                <w:szCs w:val="22"/>
                <w:lang w:eastAsia="en-US"/>
              </w:rPr>
              <w:t>A ANFAVEA concorda com a ANP com relação à retirada do mercado de tecnologias obsoletas,</w:t>
            </w:r>
            <w:r w:rsidR="007D15E2" w:rsidRPr="007D15E2">
              <w:rPr>
                <w:rFonts w:eastAsiaTheme="minorHAnsi"/>
                <w:sz w:val="22"/>
                <w:szCs w:val="22"/>
                <w:lang w:eastAsia="en-US"/>
              </w:rPr>
              <w:t xml:space="preserve"> </w:t>
            </w:r>
            <w:r w:rsidRPr="007D15E2">
              <w:rPr>
                <w:rFonts w:eastAsiaTheme="minorHAnsi"/>
                <w:sz w:val="22"/>
                <w:szCs w:val="22"/>
                <w:lang w:eastAsia="en-US"/>
              </w:rPr>
              <w:t>sugerindo adotar o mesmo critério de obsolescência do sistema de classificação de níveis de</w:t>
            </w:r>
            <w:r w:rsidR="007D15E2" w:rsidRPr="007D15E2">
              <w:rPr>
                <w:rFonts w:eastAsiaTheme="minorHAnsi"/>
                <w:sz w:val="22"/>
                <w:szCs w:val="22"/>
                <w:lang w:eastAsia="en-US"/>
              </w:rPr>
              <w:t xml:space="preserve"> </w:t>
            </w:r>
            <w:r w:rsidRPr="007D15E2">
              <w:rPr>
                <w:rFonts w:eastAsiaTheme="minorHAnsi"/>
                <w:sz w:val="22"/>
                <w:szCs w:val="22"/>
                <w:lang w:eastAsia="en-US"/>
              </w:rPr>
              <w:t>desempenho da ACEA, com atualizações periódicas.</w:t>
            </w:r>
          </w:p>
          <w:p w:rsidR="00DB6881" w:rsidRPr="007D15E2" w:rsidRDefault="00DB6881" w:rsidP="007D15E2">
            <w:pPr>
              <w:autoSpaceDE w:val="0"/>
              <w:autoSpaceDN w:val="0"/>
              <w:adjustRightInd w:val="0"/>
              <w:ind w:left="122" w:right="122"/>
              <w:jc w:val="both"/>
              <w:rPr>
                <w:sz w:val="22"/>
                <w:szCs w:val="22"/>
              </w:rPr>
            </w:pPr>
            <w:r w:rsidRPr="007D15E2">
              <w:rPr>
                <w:rFonts w:eastAsiaTheme="minorHAnsi"/>
                <w:sz w:val="22"/>
                <w:szCs w:val="22"/>
                <w:lang w:eastAsia="en-US"/>
              </w:rPr>
              <w:t>Atualmente, a ACEA permite a comercialização de produtos com aprovação corrente (2012) e a</w:t>
            </w:r>
            <w:r w:rsidR="007D15E2" w:rsidRPr="007D15E2">
              <w:rPr>
                <w:rFonts w:eastAsiaTheme="minorHAnsi"/>
                <w:sz w:val="22"/>
                <w:szCs w:val="22"/>
                <w:lang w:eastAsia="en-US"/>
              </w:rPr>
              <w:t xml:space="preserve"> </w:t>
            </w:r>
            <w:r w:rsidRPr="007D15E2">
              <w:rPr>
                <w:rFonts w:eastAsiaTheme="minorHAnsi"/>
                <w:sz w:val="22"/>
                <w:szCs w:val="22"/>
                <w:lang w:eastAsia="en-US"/>
              </w:rPr>
              <w:t>anterior (2010). Estas atualizações dos níveis mínimos de desempenho dos óleos lubrificantes de</w:t>
            </w:r>
            <w:r w:rsidR="007D15E2" w:rsidRPr="007D15E2">
              <w:rPr>
                <w:rFonts w:eastAsiaTheme="minorHAnsi"/>
                <w:sz w:val="22"/>
                <w:szCs w:val="22"/>
                <w:lang w:eastAsia="en-US"/>
              </w:rPr>
              <w:t xml:space="preserve"> </w:t>
            </w:r>
            <w:r w:rsidRPr="007D15E2">
              <w:rPr>
                <w:rFonts w:eastAsiaTheme="minorHAnsi"/>
                <w:sz w:val="22"/>
                <w:szCs w:val="22"/>
                <w:lang w:eastAsia="en-US"/>
              </w:rPr>
              <w:t>motor e manutenção dos mesmos níveis de obsolescência da ACEA</w:t>
            </w:r>
            <w:r w:rsidR="007D15E2" w:rsidRPr="007D15E2">
              <w:rPr>
                <w:rFonts w:eastAsiaTheme="minorHAnsi"/>
                <w:sz w:val="22"/>
                <w:szCs w:val="22"/>
                <w:lang w:eastAsia="en-US"/>
              </w:rPr>
              <w:t xml:space="preserve">, </w:t>
            </w:r>
            <w:r w:rsidRPr="007D15E2">
              <w:rPr>
                <w:rFonts w:eastAsiaTheme="minorHAnsi"/>
                <w:sz w:val="22"/>
                <w:szCs w:val="22"/>
                <w:lang w:eastAsia="en-US"/>
              </w:rPr>
              <w:t>vem de encontro ao programa</w:t>
            </w:r>
            <w:r w:rsidR="007D15E2" w:rsidRPr="007D15E2">
              <w:rPr>
                <w:rFonts w:eastAsiaTheme="minorHAnsi"/>
                <w:sz w:val="22"/>
                <w:szCs w:val="22"/>
                <w:lang w:eastAsia="en-US"/>
              </w:rPr>
              <w:t xml:space="preserve"> </w:t>
            </w:r>
            <w:r w:rsidRPr="007D15E2">
              <w:rPr>
                <w:rFonts w:eastAsiaTheme="minorHAnsi"/>
                <w:sz w:val="22"/>
                <w:szCs w:val="22"/>
                <w:lang w:eastAsia="en-US"/>
              </w:rPr>
              <w:t>Inovar Auto, e podem trazer benefícios quanto à facilitação da introdução de motores com novas</w:t>
            </w:r>
            <w:r w:rsidR="007D15E2" w:rsidRPr="007D15E2">
              <w:rPr>
                <w:rFonts w:eastAsiaTheme="minorHAnsi"/>
                <w:sz w:val="22"/>
                <w:szCs w:val="22"/>
                <w:lang w:eastAsia="en-US"/>
              </w:rPr>
              <w:t xml:space="preserve"> </w:t>
            </w:r>
            <w:r w:rsidRPr="007D15E2">
              <w:rPr>
                <w:rFonts w:eastAsiaTheme="minorHAnsi"/>
                <w:sz w:val="22"/>
                <w:szCs w:val="22"/>
                <w:lang w:eastAsia="en-US"/>
              </w:rPr>
              <w:t>tecnologias, com maior proteção ao motor, redução das emissões de escape nos veículos, e redução</w:t>
            </w:r>
            <w:r w:rsidR="007D15E2" w:rsidRPr="007D15E2">
              <w:rPr>
                <w:rFonts w:eastAsiaTheme="minorHAnsi"/>
                <w:sz w:val="22"/>
                <w:szCs w:val="22"/>
                <w:lang w:eastAsia="en-US"/>
              </w:rPr>
              <w:t xml:space="preserve"> </w:t>
            </w:r>
            <w:r w:rsidRPr="007D15E2">
              <w:rPr>
                <w:rFonts w:eastAsiaTheme="minorHAnsi"/>
                <w:sz w:val="22"/>
                <w:szCs w:val="22"/>
                <w:lang w:eastAsia="en-US"/>
              </w:rPr>
              <w:t>no consumo de combustível com possibilidade de introdução dos aditivos conhecidos como "Fuel</w:t>
            </w:r>
            <w:r w:rsidR="007D15E2" w:rsidRPr="007D15E2">
              <w:rPr>
                <w:rFonts w:eastAsiaTheme="minorHAnsi"/>
                <w:sz w:val="22"/>
                <w:szCs w:val="22"/>
                <w:lang w:eastAsia="en-US"/>
              </w:rPr>
              <w:t xml:space="preserve"> </w:t>
            </w:r>
            <w:r w:rsidRPr="007D15E2">
              <w:rPr>
                <w:rFonts w:eastAsiaTheme="minorHAnsi"/>
                <w:sz w:val="22"/>
                <w:szCs w:val="22"/>
                <w:lang w:eastAsia="en-US"/>
              </w:rPr>
              <w:t>Economy". Outro benefício seria a possibilidade de intervalos maiores na troca de óleo, resultando</w:t>
            </w:r>
            <w:r w:rsidR="007D15E2" w:rsidRPr="007D15E2">
              <w:rPr>
                <w:rFonts w:eastAsiaTheme="minorHAnsi"/>
                <w:sz w:val="22"/>
                <w:szCs w:val="22"/>
                <w:lang w:eastAsia="en-US"/>
              </w:rPr>
              <w:t xml:space="preserve"> </w:t>
            </w:r>
            <w:r w:rsidRPr="007D15E2">
              <w:rPr>
                <w:rFonts w:eastAsiaTheme="minorHAnsi"/>
                <w:sz w:val="22"/>
                <w:szCs w:val="22"/>
                <w:lang w:eastAsia="en-US"/>
              </w:rPr>
              <w:t>em um consumo menor de lubrificantes, em volume, ao longo do tempo.</w:t>
            </w:r>
          </w:p>
        </w:tc>
        <w:tc>
          <w:tcPr>
            <w:tcW w:w="2693" w:type="dxa"/>
            <w:shd w:val="clear" w:color="auto" w:fill="FFFFFF"/>
            <w:vAlign w:val="center"/>
          </w:tcPr>
          <w:p w:rsidR="00DB6881" w:rsidRPr="0093395B" w:rsidRDefault="0093395B" w:rsidP="00680449">
            <w:pPr>
              <w:ind w:left="85" w:right="85"/>
              <w:rPr>
                <w:sz w:val="22"/>
                <w:szCs w:val="22"/>
              </w:rPr>
            </w:pPr>
            <w:r w:rsidRPr="0093395B">
              <w:rPr>
                <w:sz w:val="22"/>
                <w:szCs w:val="22"/>
              </w:rPr>
              <w:t>Parcialmente acatado.</w:t>
            </w:r>
          </w:p>
          <w:p w:rsidR="0093395B" w:rsidRPr="00857283" w:rsidRDefault="0093395B" w:rsidP="0093395B">
            <w:pPr>
              <w:ind w:left="85" w:right="85"/>
              <w:rPr>
                <w:b/>
                <w:sz w:val="22"/>
                <w:szCs w:val="22"/>
              </w:rPr>
            </w:pPr>
            <w:r w:rsidRPr="0093395B">
              <w:rPr>
                <w:sz w:val="22"/>
                <w:szCs w:val="22"/>
              </w:rPr>
              <w:t>A ANP pretende adotar os níveis Otto citados, todavia os níveis</w:t>
            </w:r>
            <w:r>
              <w:rPr>
                <w:sz w:val="22"/>
                <w:szCs w:val="22"/>
              </w:rPr>
              <w:t xml:space="preserve"> mínimos</w:t>
            </w:r>
            <w:r w:rsidRPr="0093395B">
              <w:rPr>
                <w:sz w:val="22"/>
                <w:szCs w:val="22"/>
              </w:rPr>
              <w:t xml:space="preserve"> do ciclo Diesel </w:t>
            </w:r>
            <w:r>
              <w:rPr>
                <w:sz w:val="22"/>
                <w:szCs w:val="22"/>
              </w:rPr>
              <w:t xml:space="preserve">que mais se adéquam </w:t>
            </w:r>
            <w:r w:rsidRPr="0093395B">
              <w:rPr>
                <w:sz w:val="22"/>
                <w:szCs w:val="22"/>
              </w:rPr>
              <w:t>à realidade da frota brasileira são os CG-4 e CH-4, respectivamente.</w:t>
            </w:r>
          </w:p>
        </w:tc>
      </w:tr>
      <w:tr w:rsidR="009756B0" w:rsidRPr="00857283" w:rsidTr="00035EDD">
        <w:trPr>
          <w:trHeight w:val="568"/>
        </w:trPr>
        <w:tc>
          <w:tcPr>
            <w:tcW w:w="1560" w:type="dxa"/>
            <w:shd w:val="clear" w:color="auto" w:fill="FFFFFF"/>
            <w:vAlign w:val="center"/>
          </w:tcPr>
          <w:p w:rsidR="009756B0" w:rsidRPr="007D15E2" w:rsidRDefault="009756B0" w:rsidP="00134480">
            <w:pPr>
              <w:jc w:val="center"/>
              <w:rPr>
                <w:b/>
                <w:bCs/>
                <w:color w:val="000000"/>
                <w:sz w:val="22"/>
                <w:szCs w:val="22"/>
              </w:rPr>
            </w:pPr>
            <w:r>
              <w:rPr>
                <w:b/>
                <w:bCs/>
                <w:color w:val="000000"/>
                <w:sz w:val="22"/>
                <w:szCs w:val="22"/>
              </w:rPr>
              <w:t>AEA</w:t>
            </w:r>
          </w:p>
        </w:tc>
        <w:tc>
          <w:tcPr>
            <w:tcW w:w="3686" w:type="dxa"/>
            <w:shd w:val="clear" w:color="auto" w:fill="FFFFFF"/>
            <w:tcMar>
              <w:top w:w="20" w:type="dxa"/>
              <w:left w:w="20" w:type="dxa"/>
              <w:bottom w:w="0" w:type="dxa"/>
              <w:right w:w="20" w:type="dxa"/>
            </w:tcMar>
            <w:vAlign w:val="center"/>
          </w:tcPr>
          <w:p w:rsidR="009756B0" w:rsidRPr="007D15E2" w:rsidRDefault="009756B0" w:rsidP="002D183F">
            <w:pPr>
              <w:spacing w:line="276" w:lineRule="auto"/>
              <w:ind w:left="122" w:right="122"/>
              <w:jc w:val="center"/>
              <w:rPr>
                <w:bCs/>
                <w:color w:val="000000"/>
                <w:sz w:val="22"/>
                <w:szCs w:val="22"/>
              </w:rPr>
            </w:pPr>
            <w:r w:rsidRPr="007D15E2">
              <w:rPr>
                <w:bCs/>
                <w:color w:val="000000"/>
                <w:sz w:val="22"/>
                <w:szCs w:val="22"/>
              </w:rPr>
              <w:t xml:space="preserve">Elevação dos </w:t>
            </w:r>
            <w:r w:rsidRPr="007D15E2">
              <w:rPr>
                <w:bCs/>
                <w:sz w:val="22"/>
                <w:szCs w:val="22"/>
              </w:rPr>
              <w:t>Níveis Mínimos de Desempenho</w:t>
            </w:r>
          </w:p>
        </w:tc>
        <w:tc>
          <w:tcPr>
            <w:tcW w:w="3827" w:type="dxa"/>
            <w:shd w:val="clear" w:color="auto" w:fill="FFFFFF"/>
            <w:tcMar>
              <w:top w:w="20" w:type="dxa"/>
              <w:left w:w="20" w:type="dxa"/>
              <w:bottom w:w="0" w:type="dxa"/>
              <w:right w:w="20" w:type="dxa"/>
            </w:tcMar>
            <w:vAlign w:val="center"/>
          </w:tcPr>
          <w:p w:rsidR="009756B0" w:rsidRDefault="009756B0" w:rsidP="009756B0">
            <w:pPr>
              <w:autoSpaceDE w:val="0"/>
              <w:autoSpaceDN w:val="0"/>
              <w:adjustRightInd w:val="0"/>
              <w:ind w:left="122" w:right="122"/>
              <w:jc w:val="both"/>
              <w:rPr>
                <w:rFonts w:eastAsiaTheme="minorHAnsi"/>
                <w:sz w:val="22"/>
                <w:szCs w:val="22"/>
                <w:lang w:eastAsia="en-US"/>
              </w:rPr>
            </w:pPr>
            <w:r w:rsidRPr="007D15E2">
              <w:rPr>
                <w:rFonts w:eastAsiaTheme="minorHAnsi"/>
                <w:sz w:val="22"/>
                <w:szCs w:val="22"/>
                <w:lang w:eastAsia="en-US"/>
              </w:rPr>
              <w:t>A</w:t>
            </w:r>
            <w:r>
              <w:rPr>
                <w:rFonts w:eastAsiaTheme="minorHAnsi"/>
                <w:sz w:val="22"/>
                <w:szCs w:val="22"/>
                <w:lang w:eastAsia="en-US"/>
              </w:rPr>
              <w:t xml:space="preserve"> AEA concorda que os </w:t>
            </w:r>
            <w:r w:rsidRPr="007D15E2">
              <w:rPr>
                <w:rFonts w:eastAsiaTheme="minorHAnsi"/>
                <w:sz w:val="22"/>
                <w:szCs w:val="22"/>
                <w:lang w:eastAsia="en-US"/>
              </w:rPr>
              <w:t>níveis mínimos de desempenho</w:t>
            </w:r>
            <w:r>
              <w:rPr>
                <w:rFonts w:eastAsiaTheme="minorHAnsi"/>
                <w:sz w:val="22"/>
                <w:szCs w:val="22"/>
                <w:lang w:eastAsia="en-US"/>
              </w:rPr>
              <w:t xml:space="preserve"> a </w:t>
            </w:r>
            <w:r w:rsidRPr="007D15E2">
              <w:rPr>
                <w:rFonts w:eastAsiaTheme="minorHAnsi"/>
                <w:sz w:val="22"/>
                <w:szCs w:val="22"/>
                <w:lang w:eastAsia="en-US"/>
              </w:rPr>
              <w:t>ser</w:t>
            </w:r>
            <w:r>
              <w:rPr>
                <w:rFonts w:eastAsiaTheme="minorHAnsi"/>
                <w:sz w:val="22"/>
                <w:szCs w:val="22"/>
                <w:lang w:eastAsia="en-US"/>
              </w:rPr>
              <w:t>em</w:t>
            </w:r>
            <w:r w:rsidRPr="007D15E2">
              <w:rPr>
                <w:rFonts w:eastAsiaTheme="minorHAnsi"/>
                <w:sz w:val="22"/>
                <w:szCs w:val="22"/>
                <w:lang w:eastAsia="en-US"/>
              </w:rPr>
              <w:t xml:space="preserve"> recomendados os níveis não obsoletos </w:t>
            </w:r>
            <w:r>
              <w:rPr>
                <w:rFonts w:eastAsiaTheme="minorHAnsi"/>
                <w:sz w:val="22"/>
                <w:szCs w:val="22"/>
                <w:lang w:eastAsia="en-US"/>
              </w:rPr>
              <w:t xml:space="preserve">da </w:t>
            </w:r>
            <w:r w:rsidRPr="007D15E2">
              <w:rPr>
                <w:rFonts w:eastAsiaTheme="minorHAnsi"/>
                <w:sz w:val="22"/>
                <w:szCs w:val="22"/>
                <w:lang w:eastAsia="en-US"/>
              </w:rPr>
              <w:t>API</w:t>
            </w:r>
            <w:r>
              <w:rPr>
                <w:rFonts w:eastAsiaTheme="minorHAnsi"/>
                <w:sz w:val="22"/>
                <w:szCs w:val="22"/>
                <w:lang w:eastAsia="en-US"/>
              </w:rPr>
              <w:t xml:space="preserve">: </w:t>
            </w:r>
            <w:r w:rsidRPr="007D15E2">
              <w:rPr>
                <w:rFonts w:eastAsiaTheme="minorHAnsi"/>
                <w:sz w:val="22"/>
                <w:szCs w:val="22"/>
                <w:lang w:eastAsia="en-US"/>
              </w:rPr>
              <w:t>para motores do ciclo Otto de API SF para SJ e para o Ciclo Diesel, de API CF para API CH-4.</w:t>
            </w:r>
          </w:p>
          <w:p w:rsidR="009756B0" w:rsidRPr="007D15E2" w:rsidRDefault="009756B0" w:rsidP="009756B0">
            <w:pPr>
              <w:autoSpaceDE w:val="0"/>
              <w:autoSpaceDN w:val="0"/>
              <w:adjustRightInd w:val="0"/>
              <w:ind w:left="122" w:right="122"/>
              <w:jc w:val="both"/>
              <w:rPr>
                <w:rFonts w:eastAsiaTheme="minorHAnsi"/>
                <w:sz w:val="22"/>
                <w:szCs w:val="22"/>
                <w:lang w:eastAsia="en-US"/>
              </w:rPr>
            </w:pPr>
            <w:r>
              <w:rPr>
                <w:rFonts w:eastAsiaTheme="minorHAnsi"/>
                <w:sz w:val="22"/>
                <w:szCs w:val="22"/>
                <w:lang w:eastAsia="en-US"/>
              </w:rPr>
              <w:t xml:space="preserve">A AEA concorda com a ANP em </w:t>
            </w:r>
            <w:r w:rsidRPr="007D15E2">
              <w:rPr>
                <w:rFonts w:eastAsiaTheme="minorHAnsi"/>
                <w:sz w:val="22"/>
                <w:szCs w:val="22"/>
                <w:lang w:eastAsia="en-US"/>
              </w:rPr>
              <w:t>adotar o mesmo critério de obsolescência do sistema de classificação de níveis de desempenho da ACEA</w:t>
            </w:r>
            <w:r>
              <w:rPr>
                <w:rFonts w:eastAsiaTheme="minorHAnsi"/>
                <w:sz w:val="22"/>
                <w:szCs w:val="22"/>
                <w:lang w:eastAsia="en-US"/>
              </w:rPr>
              <w:t>.</w:t>
            </w:r>
          </w:p>
          <w:p w:rsidR="009756B0" w:rsidRPr="007D15E2" w:rsidRDefault="009756B0" w:rsidP="007D15E2">
            <w:pPr>
              <w:autoSpaceDE w:val="0"/>
              <w:autoSpaceDN w:val="0"/>
              <w:adjustRightInd w:val="0"/>
              <w:ind w:left="122" w:right="122"/>
              <w:jc w:val="both"/>
              <w:rPr>
                <w:rFonts w:eastAsiaTheme="minorHAnsi"/>
                <w:sz w:val="22"/>
                <w:szCs w:val="22"/>
                <w:lang w:eastAsia="en-US"/>
              </w:rPr>
            </w:pPr>
          </w:p>
        </w:tc>
        <w:tc>
          <w:tcPr>
            <w:tcW w:w="4253" w:type="dxa"/>
            <w:shd w:val="clear" w:color="auto" w:fill="FFFFFF"/>
            <w:tcMar>
              <w:top w:w="20" w:type="dxa"/>
              <w:left w:w="20" w:type="dxa"/>
              <w:bottom w:w="0" w:type="dxa"/>
              <w:right w:w="20" w:type="dxa"/>
            </w:tcMar>
            <w:vAlign w:val="center"/>
          </w:tcPr>
          <w:p w:rsidR="009756B0" w:rsidRPr="007D15E2" w:rsidRDefault="0093395B" w:rsidP="0093395B">
            <w:pPr>
              <w:autoSpaceDE w:val="0"/>
              <w:autoSpaceDN w:val="0"/>
              <w:adjustRightInd w:val="0"/>
              <w:ind w:left="122" w:right="122"/>
              <w:jc w:val="center"/>
              <w:rPr>
                <w:rFonts w:eastAsiaTheme="minorHAnsi"/>
                <w:sz w:val="22"/>
                <w:szCs w:val="22"/>
                <w:lang w:eastAsia="en-US"/>
              </w:rPr>
            </w:pPr>
            <w:r>
              <w:rPr>
                <w:rFonts w:eastAsiaTheme="minorHAnsi"/>
                <w:sz w:val="22"/>
                <w:szCs w:val="22"/>
                <w:lang w:eastAsia="en-US"/>
              </w:rPr>
              <w:t>-</w:t>
            </w:r>
          </w:p>
        </w:tc>
        <w:tc>
          <w:tcPr>
            <w:tcW w:w="2693" w:type="dxa"/>
            <w:shd w:val="clear" w:color="auto" w:fill="FFFFFF"/>
            <w:vAlign w:val="center"/>
          </w:tcPr>
          <w:p w:rsidR="009756B0" w:rsidRPr="0093395B" w:rsidRDefault="0093395B" w:rsidP="0093395B">
            <w:pPr>
              <w:ind w:left="85" w:right="85"/>
              <w:jc w:val="center"/>
              <w:rPr>
                <w:sz w:val="22"/>
                <w:szCs w:val="22"/>
              </w:rPr>
            </w:pPr>
            <w:r w:rsidRPr="0093395B">
              <w:rPr>
                <w:sz w:val="22"/>
                <w:szCs w:val="22"/>
              </w:rPr>
              <w:t>Idem ao anterior</w:t>
            </w:r>
          </w:p>
        </w:tc>
      </w:tr>
      <w:tr w:rsidR="00A5271E" w:rsidRPr="00857283" w:rsidTr="00035EDD">
        <w:trPr>
          <w:trHeight w:val="670"/>
        </w:trPr>
        <w:tc>
          <w:tcPr>
            <w:tcW w:w="1560" w:type="dxa"/>
            <w:shd w:val="clear" w:color="auto" w:fill="FFFFFF"/>
            <w:vAlign w:val="center"/>
          </w:tcPr>
          <w:p w:rsidR="00A5271E" w:rsidRPr="00EA31F9" w:rsidRDefault="00A5271E" w:rsidP="007F35DC">
            <w:pPr>
              <w:jc w:val="center"/>
              <w:rPr>
                <w:bCs/>
                <w:color w:val="000000"/>
                <w:sz w:val="22"/>
                <w:szCs w:val="22"/>
              </w:rPr>
            </w:pPr>
            <w:r w:rsidRPr="00EA31F9">
              <w:rPr>
                <w:b/>
                <w:bCs/>
                <w:color w:val="000000"/>
                <w:sz w:val="22"/>
                <w:szCs w:val="22"/>
              </w:rPr>
              <w:t>SINPROQUIM</w:t>
            </w:r>
          </w:p>
        </w:tc>
        <w:tc>
          <w:tcPr>
            <w:tcW w:w="3686" w:type="dxa"/>
            <w:shd w:val="clear" w:color="auto" w:fill="FFFFFF"/>
            <w:tcMar>
              <w:top w:w="20" w:type="dxa"/>
              <w:left w:w="20" w:type="dxa"/>
              <w:bottom w:w="0" w:type="dxa"/>
              <w:right w:w="20" w:type="dxa"/>
            </w:tcMar>
            <w:vAlign w:val="center"/>
          </w:tcPr>
          <w:p w:rsidR="00A5271E" w:rsidRPr="00C20AA7" w:rsidRDefault="00A5271E" w:rsidP="002D183F">
            <w:pPr>
              <w:autoSpaceDE w:val="0"/>
              <w:autoSpaceDN w:val="0"/>
              <w:adjustRightInd w:val="0"/>
              <w:ind w:left="122" w:right="122"/>
              <w:jc w:val="center"/>
              <w:rPr>
                <w:sz w:val="22"/>
                <w:szCs w:val="22"/>
              </w:rPr>
            </w:pPr>
            <w:r w:rsidRPr="00C20AA7">
              <w:rPr>
                <w:rFonts w:eastAsia="Arial Unicode MS"/>
                <w:sz w:val="22"/>
                <w:szCs w:val="22"/>
              </w:rPr>
              <w:t>Isenção de Registro</w:t>
            </w:r>
            <w:r w:rsidR="00C20AA7" w:rsidRPr="00C20AA7">
              <w:rPr>
                <w:rFonts w:eastAsia="Arial Unicode MS"/>
                <w:sz w:val="22"/>
                <w:szCs w:val="22"/>
              </w:rPr>
              <w:t xml:space="preserve"> - inclusão</w:t>
            </w:r>
          </w:p>
        </w:tc>
        <w:tc>
          <w:tcPr>
            <w:tcW w:w="3827" w:type="dxa"/>
            <w:shd w:val="clear" w:color="auto" w:fill="FFFFFF"/>
            <w:tcMar>
              <w:top w:w="20" w:type="dxa"/>
              <w:left w:w="20" w:type="dxa"/>
              <w:bottom w:w="0" w:type="dxa"/>
              <w:right w:w="20" w:type="dxa"/>
            </w:tcMar>
            <w:vAlign w:val="center"/>
          </w:tcPr>
          <w:p w:rsidR="00A5271E" w:rsidRDefault="00A5271E" w:rsidP="00C20AA7">
            <w:pPr>
              <w:autoSpaceDE w:val="0"/>
              <w:autoSpaceDN w:val="0"/>
              <w:adjustRightInd w:val="0"/>
              <w:ind w:left="122" w:right="120"/>
              <w:jc w:val="both"/>
              <w:rPr>
                <w:sz w:val="22"/>
                <w:szCs w:val="22"/>
              </w:rPr>
            </w:pPr>
            <w:r w:rsidRPr="007F35DC">
              <w:rPr>
                <w:sz w:val="22"/>
                <w:szCs w:val="22"/>
              </w:rPr>
              <w:t xml:space="preserve">Inclusão dos lubrificantes líquidos no rol de </w:t>
            </w:r>
            <w:r>
              <w:rPr>
                <w:sz w:val="22"/>
                <w:szCs w:val="22"/>
              </w:rPr>
              <w:t xml:space="preserve">produtos </w:t>
            </w:r>
            <w:r w:rsidRPr="007F35DC">
              <w:rPr>
                <w:sz w:val="22"/>
                <w:szCs w:val="22"/>
              </w:rPr>
              <w:t>isentos</w:t>
            </w:r>
            <w:r>
              <w:rPr>
                <w:sz w:val="22"/>
                <w:szCs w:val="22"/>
              </w:rPr>
              <w:t xml:space="preserve"> de registro</w:t>
            </w:r>
          </w:p>
          <w:p w:rsidR="00A5271E" w:rsidRPr="00857283" w:rsidRDefault="00A5271E" w:rsidP="00C20AA7">
            <w:pPr>
              <w:autoSpaceDE w:val="0"/>
              <w:autoSpaceDN w:val="0"/>
              <w:adjustRightInd w:val="0"/>
              <w:ind w:left="122" w:right="120"/>
              <w:jc w:val="both"/>
              <w:rPr>
                <w:sz w:val="22"/>
                <w:szCs w:val="22"/>
              </w:rPr>
            </w:pPr>
            <w:r>
              <w:rPr>
                <w:sz w:val="22"/>
                <w:szCs w:val="22"/>
              </w:rPr>
              <w:t>(Anexo III)</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O SINPROQUIM – Sindicato das Indústrias de Produtos Químicos para Fins Industriais e da Petroquímica no Estado de São Paulo, considera a proposta apresentada pela ANP muito sensata, sendo uma reinvindicação antiga de nossa parte, uma vez que os lubrificantes acabados industriais são unicamente utilizados por industrias as quais avaliam os produtos antes de sua aquisição, e ainda mais carecem de produtos específicos na maioria das vezes, que atendam as suas condições de processo.</w:t>
            </w:r>
          </w:p>
          <w:p w:rsidR="00A5271E" w:rsidRPr="00857283" w:rsidRDefault="00A5271E" w:rsidP="00C20AA7">
            <w:pPr>
              <w:autoSpaceDE w:val="0"/>
              <w:autoSpaceDN w:val="0"/>
              <w:adjustRightInd w:val="0"/>
              <w:ind w:left="122" w:right="120"/>
              <w:jc w:val="both"/>
              <w:rPr>
                <w:sz w:val="22"/>
                <w:szCs w:val="22"/>
              </w:rPr>
            </w:pPr>
            <w:r w:rsidRPr="00857283">
              <w:rPr>
                <w:sz w:val="22"/>
                <w:szCs w:val="22"/>
              </w:rPr>
              <w:t>Acrescentamos a lista de produtos isentos de registro os LUBRIFICANTES LIQUIDOS, pois como exemplo anterior, existem empresas que possuem equipamentos já desgastados que requerem lubrificantes que não se enquadram a qualquer norma e sim a necessidade especifica do equipamento, também são avaliados antes de sua aquisição, de forma que a relação entre empresas deve prevalecer, não necessitando da tutela da ANP, como dito pela própria agencia, “lubrificantes acabados industriais não tem apresentado problemas de qualidade que requeiram seu controle”</w:t>
            </w:r>
          </w:p>
          <w:p w:rsidR="00A5271E" w:rsidRPr="00857283" w:rsidRDefault="00A5271E" w:rsidP="00C20AA7">
            <w:pPr>
              <w:autoSpaceDE w:val="0"/>
              <w:autoSpaceDN w:val="0"/>
              <w:adjustRightInd w:val="0"/>
              <w:ind w:left="122" w:right="120"/>
              <w:jc w:val="both"/>
              <w:rPr>
                <w:sz w:val="22"/>
                <w:szCs w:val="22"/>
              </w:rPr>
            </w:pPr>
            <w:r w:rsidRPr="00857283">
              <w:rPr>
                <w:sz w:val="22"/>
                <w:szCs w:val="22"/>
              </w:rPr>
              <w:t>Qualquer tipo de exigência burocrática, sem justificativa relevante leva a um custo desnecessário que onera a industria nacional de lubrificantes acabados industriais que na sua maioria é de pequeno porte, beneficiando indiretamente as grandes multinacionais.</w:t>
            </w:r>
          </w:p>
          <w:p w:rsidR="00A5271E" w:rsidRPr="00857283" w:rsidRDefault="00A5271E" w:rsidP="00C20AA7">
            <w:pPr>
              <w:autoSpaceDE w:val="0"/>
              <w:autoSpaceDN w:val="0"/>
              <w:adjustRightInd w:val="0"/>
              <w:ind w:left="122" w:right="120"/>
              <w:jc w:val="both"/>
              <w:rPr>
                <w:sz w:val="22"/>
                <w:szCs w:val="22"/>
              </w:rPr>
            </w:pPr>
            <w:r w:rsidRPr="00857283">
              <w:rPr>
                <w:sz w:val="22"/>
                <w:szCs w:val="22"/>
              </w:rPr>
              <w:t>Vale lembrar que as industrias de lubrificantes acabados exclusivamente industrias, são na sua maioria de pequeno porte e possuem atuação regional, diferentemente das grandes industrias multinacionais que atuam em todo o mercado.</w:t>
            </w:r>
          </w:p>
          <w:p w:rsidR="00A5271E" w:rsidRPr="00857283" w:rsidRDefault="00A5271E" w:rsidP="00C20AA7">
            <w:pPr>
              <w:autoSpaceDE w:val="0"/>
              <w:autoSpaceDN w:val="0"/>
              <w:adjustRightInd w:val="0"/>
              <w:ind w:left="122" w:right="120"/>
              <w:jc w:val="both"/>
              <w:rPr>
                <w:sz w:val="22"/>
                <w:szCs w:val="22"/>
              </w:rPr>
            </w:pPr>
          </w:p>
        </w:tc>
        <w:tc>
          <w:tcPr>
            <w:tcW w:w="2693" w:type="dxa"/>
            <w:shd w:val="clear" w:color="auto" w:fill="FFFFFF"/>
            <w:vAlign w:val="center"/>
          </w:tcPr>
          <w:p w:rsidR="00A5271E" w:rsidRDefault="0093395B" w:rsidP="00680449">
            <w:pPr>
              <w:ind w:left="85" w:right="85"/>
              <w:jc w:val="both"/>
              <w:rPr>
                <w:sz w:val="22"/>
                <w:szCs w:val="22"/>
              </w:rPr>
            </w:pPr>
            <w:r>
              <w:rPr>
                <w:sz w:val="22"/>
                <w:szCs w:val="22"/>
              </w:rPr>
              <w:t>Não acatado.</w:t>
            </w:r>
          </w:p>
          <w:p w:rsidR="0093395B" w:rsidRPr="00857283" w:rsidRDefault="000C6FFC" w:rsidP="000C6FFC">
            <w:pPr>
              <w:ind w:left="85" w:right="85"/>
              <w:jc w:val="both"/>
              <w:rPr>
                <w:sz w:val="22"/>
                <w:szCs w:val="22"/>
              </w:rPr>
            </w:pPr>
            <w:r>
              <w:rPr>
                <w:sz w:val="22"/>
                <w:szCs w:val="22"/>
              </w:rPr>
              <w:t>A inclusão de “lubrificantes líquidos” no rol de isentos de registro retira dos produtores e importadores a obrigação de registrar todo lubrificante líquido, isto é, apenas as graxas seriam registradas.</w:t>
            </w:r>
          </w:p>
        </w:tc>
      </w:tr>
      <w:tr w:rsidR="00A5271E" w:rsidRPr="00857283" w:rsidTr="00035EDD">
        <w:trPr>
          <w:trHeight w:val="670"/>
        </w:trPr>
        <w:tc>
          <w:tcPr>
            <w:tcW w:w="1560" w:type="dxa"/>
            <w:shd w:val="clear" w:color="auto" w:fill="FFFFFF"/>
            <w:vAlign w:val="center"/>
          </w:tcPr>
          <w:p w:rsidR="00A5271E" w:rsidRPr="00EA31F9" w:rsidRDefault="00A5271E" w:rsidP="00C32832">
            <w:pPr>
              <w:jc w:val="center"/>
              <w:rPr>
                <w:b/>
                <w:bCs/>
                <w:color w:val="000000"/>
                <w:sz w:val="22"/>
                <w:szCs w:val="22"/>
              </w:rPr>
            </w:pPr>
            <w:r w:rsidRPr="00EA31F9">
              <w:rPr>
                <w:b/>
                <w:bCs/>
                <w:color w:val="000000"/>
                <w:sz w:val="22"/>
                <w:szCs w:val="22"/>
              </w:rPr>
              <w:t>ABRAPOL</w:t>
            </w:r>
          </w:p>
        </w:tc>
        <w:tc>
          <w:tcPr>
            <w:tcW w:w="3686" w:type="dxa"/>
            <w:shd w:val="clear" w:color="auto" w:fill="FFFFFF"/>
            <w:tcMar>
              <w:top w:w="20" w:type="dxa"/>
              <w:left w:w="20" w:type="dxa"/>
              <w:bottom w:w="0" w:type="dxa"/>
              <w:right w:w="20" w:type="dxa"/>
            </w:tcMar>
            <w:vAlign w:val="center"/>
          </w:tcPr>
          <w:p w:rsidR="00A5271E" w:rsidRPr="00C20AA7" w:rsidRDefault="00A5271E" w:rsidP="002D183F">
            <w:pPr>
              <w:autoSpaceDE w:val="0"/>
              <w:autoSpaceDN w:val="0"/>
              <w:adjustRightInd w:val="0"/>
              <w:ind w:left="122" w:right="122"/>
              <w:jc w:val="center"/>
              <w:rPr>
                <w:sz w:val="22"/>
                <w:szCs w:val="22"/>
              </w:rPr>
            </w:pPr>
            <w:r w:rsidRPr="00C20AA7">
              <w:rPr>
                <w:sz w:val="22"/>
                <w:szCs w:val="22"/>
              </w:rPr>
              <w:t>Isenção de registro</w:t>
            </w:r>
            <w:r w:rsidR="00C20AA7" w:rsidRPr="00C20AA7">
              <w:rPr>
                <w:sz w:val="22"/>
                <w:szCs w:val="22"/>
              </w:rPr>
              <w:t xml:space="preserve"> - inclusão</w:t>
            </w:r>
          </w:p>
        </w:tc>
        <w:tc>
          <w:tcPr>
            <w:tcW w:w="3827" w:type="dxa"/>
            <w:shd w:val="clear" w:color="auto" w:fill="FFFFFF"/>
            <w:tcMar>
              <w:top w:w="20" w:type="dxa"/>
              <w:left w:w="20" w:type="dxa"/>
              <w:bottom w:w="0" w:type="dxa"/>
              <w:right w:w="20" w:type="dxa"/>
            </w:tcMar>
            <w:vAlign w:val="center"/>
          </w:tcPr>
          <w:p w:rsidR="00A5271E" w:rsidRDefault="00A5271E" w:rsidP="00C20AA7">
            <w:pPr>
              <w:autoSpaceDE w:val="0"/>
              <w:autoSpaceDN w:val="0"/>
              <w:adjustRightInd w:val="0"/>
              <w:ind w:left="122" w:right="120"/>
              <w:jc w:val="both"/>
              <w:rPr>
                <w:sz w:val="22"/>
                <w:szCs w:val="22"/>
              </w:rPr>
            </w:pPr>
            <w:r w:rsidRPr="007F35DC">
              <w:rPr>
                <w:sz w:val="22"/>
                <w:szCs w:val="22"/>
              </w:rPr>
              <w:t xml:space="preserve">Inclusão dos lubrificantes líquidos no rol de </w:t>
            </w:r>
            <w:r>
              <w:rPr>
                <w:sz w:val="22"/>
                <w:szCs w:val="22"/>
              </w:rPr>
              <w:t xml:space="preserve">produtos </w:t>
            </w:r>
            <w:r w:rsidRPr="007F35DC">
              <w:rPr>
                <w:sz w:val="22"/>
                <w:szCs w:val="22"/>
              </w:rPr>
              <w:t>isentos</w:t>
            </w:r>
            <w:r>
              <w:rPr>
                <w:sz w:val="22"/>
                <w:szCs w:val="22"/>
              </w:rPr>
              <w:t xml:space="preserve"> de registro</w:t>
            </w:r>
          </w:p>
          <w:p w:rsidR="00A5271E" w:rsidRPr="00857283" w:rsidRDefault="00A5271E" w:rsidP="00C20AA7">
            <w:pPr>
              <w:autoSpaceDE w:val="0"/>
              <w:autoSpaceDN w:val="0"/>
              <w:adjustRightInd w:val="0"/>
              <w:ind w:left="122" w:right="120"/>
              <w:jc w:val="both"/>
              <w:rPr>
                <w:sz w:val="22"/>
                <w:szCs w:val="22"/>
              </w:rPr>
            </w:pPr>
            <w:r>
              <w:rPr>
                <w:sz w:val="22"/>
                <w:szCs w:val="22"/>
              </w:rPr>
              <w:t>(Anexo III)</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A ABRAPOL – Associação Brasileira de Produtores de óleos Lubrificantes e Aditivos, considera a proposta apresentada pela ANP muito sensata, sendo uma reinvindicação antiga de nossa parte, uma vez que os lubrificantes acabados industriais são unicamente util</w:t>
            </w:r>
            <w:r>
              <w:rPr>
                <w:sz w:val="22"/>
                <w:szCs w:val="22"/>
              </w:rPr>
              <w:t xml:space="preserve">izados por industrias as quais </w:t>
            </w:r>
            <w:r w:rsidRPr="00857283">
              <w:rPr>
                <w:sz w:val="22"/>
                <w:szCs w:val="22"/>
              </w:rPr>
              <w:t xml:space="preserve">estão os produtos antes de sua aquisição, e ainda mais carecem de produtos específicos na maioria das vezes que atendam as suas condições de processo. </w:t>
            </w:r>
          </w:p>
          <w:p w:rsidR="00A5271E" w:rsidRPr="00857283" w:rsidRDefault="00A5271E" w:rsidP="00C20AA7">
            <w:pPr>
              <w:autoSpaceDE w:val="0"/>
              <w:autoSpaceDN w:val="0"/>
              <w:adjustRightInd w:val="0"/>
              <w:ind w:left="122" w:right="120"/>
              <w:jc w:val="both"/>
              <w:rPr>
                <w:sz w:val="22"/>
                <w:szCs w:val="22"/>
              </w:rPr>
            </w:pPr>
            <w:r w:rsidRPr="00857283">
              <w:rPr>
                <w:sz w:val="22"/>
                <w:szCs w:val="22"/>
              </w:rPr>
              <w:t>Acrescentamos a lista de produtos isentos de registro os LUBRIFICANTES LIQUIDOS, pois como exemplo anterior, existem empresas que possuem equipamentos já desgastados que requerem lubrificantes que não se enquadram a qualquer norma e sim a necessidade especifica do equipamento, também são testados antes de sua aquisição, de forma que a relação de empresas devem ficar entre si, não necessitando da tutela da ANP, como dito pela própria agencia, “lubrificantes acabados industriais não tem apresentado problemas de qualidade que requeiram seu controle”</w:t>
            </w:r>
          </w:p>
          <w:p w:rsidR="00A5271E" w:rsidRPr="00857283" w:rsidRDefault="00A5271E" w:rsidP="00C20AA7">
            <w:pPr>
              <w:autoSpaceDE w:val="0"/>
              <w:autoSpaceDN w:val="0"/>
              <w:adjustRightInd w:val="0"/>
              <w:ind w:left="122" w:right="120"/>
              <w:jc w:val="both"/>
              <w:rPr>
                <w:sz w:val="22"/>
                <w:szCs w:val="22"/>
              </w:rPr>
            </w:pPr>
            <w:r w:rsidRPr="00857283">
              <w:rPr>
                <w:sz w:val="22"/>
                <w:szCs w:val="22"/>
              </w:rPr>
              <w:t>Qualquer tipo de exigência burocrática, sem justificativa relevante leva a um custo desnecessário que onera a industria nacional de lubrificantes acabados industriais que na sua maioria é de pequeno porte, beneficiando indiretamente as grandes multinacionais.</w:t>
            </w:r>
          </w:p>
          <w:p w:rsidR="00A5271E" w:rsidRPr="00857283" w:rsidRDefault="00A5271E" w:rsidP="00C20AA7">
            <w:pPr>
              <w:autoSpaceDE w:val="0"/>
              <w:autoSpaceDN w:val="0"/>
              <w:adjustRightInd w:val="0"/>
              <w:ind w:left="122" w:right="120"/>
              <w:jc w:val="both"/>
              <w:rPr>
                <w:sz w:val="22"/>
                <w:szCs w:val="22"/>
              </w:rPr>
            </w:pPr>
            <w:r w:rsidRPr="00857283">
              <w:rPr>
                <w:sz w:val="22"/>
                <w:szCs w:val="22"/>
              </w:rPr>
              <w:t>Vale lembrar que as industrias de lubrificantes acabados exclusivamente industrias, são de pequeno porte e possuem atuação regional, diferentemente das multinacionais que atuam no mercado.</w:t>
            </w:r>
          </w:p>
        </w:tc>
        <w:tc>
          <w:tcPr>
            <w:tcW w:w="2693" w:type="dxa"/>
            <w:shd w:val="clear" w:color="auto" w:fill="FFFFFF"/>
            <w:vAlign w:val="center"/>
          </w:tcPr>
          <w:p w:rsidR="00A5271E" w:rsidRPr="00857283" w:rsidRDefault="000C6FFC" w:rsidP="000C6FFC">
            <w:pPr>
              <w:ind w:left="85" w:right="85"/>
              <w:jc w:val="both"/>
              <w:rPr>
                <w:sz w:val="22"/>
                <w:szCs w:val="22"/>
              </w:rPr>
            </w:pPr>
            <w:r>
              <w:rPr>
                <w:sz w:val="22"/>
                <w:szCs w:val="22"/>
              </w:rPr>
              <w:t>Idem ao anterior. Caso a intenção tenha sido propor a isenção de lubrificantes líquidos industriais a proposta também não deve ser acatada, pois há uma série de lubrificantes industriais, como os hidráulicos, os de compressores entre outros que a Agência considera importante continuar acompanhando de perto.</w:t>
            </w:r>
          </w:p>
        </w:tc>
      </w:tr>
      <w:tr w:rsidR="00A5271E" w:rsidRPr="00857283" w:rsidTr="00035EDD">
        <w:trPr>
          <w:trHeight w:val="670"/>
        </w:trPr>
        <w:tc>
          <w:tcPr>
            <w:tcW w:w="1560" w:type="dxa"/>
            <w:shd w:val="clear" w:color="auto" w:fill="FFFFFF"/>
            <w:vAlign w:val="center"/>
          </w:tcPr>
          <w:p w:rsidR="00A5271E" w:rsidRPr="00EA31F9" w:rsidRDefault="00A5271E" w:rsidP="00680449">
            <w:pPr>
              <w:jc w:val="center"/>
              <w:rPr>
                <w:b/>
                <w:bCs/>
                <w:color w:val="000000"/>
                <w:sz w:val="22"/>
                <w:szCs w:val="22"/>
              </w:rPr>
            </w:pPr>
            <w:r w:rsidRPr="00EA31F9">
              <w:rPr>
                <w:b/>
                <w:sz w:val="22"/>
                <w:szCs w:val="22"/>
              </w:rPr>
              <w:t>Prodive Química Ind. e Com. Ltda EPP</w:t>
            </w:r>
          </w:p>
        </w:tc>
        <w:tc>
          <w:tcPr>
            <w:tcW w:w="3686" w:type="dxa"/>
            <w:shd w:val="clear" w:color="auto" w:fill="FFFFFF"/>
            <w:tcMar>
              <w:top w:w="20" w:type="dxa"/>
              <w:left w:w="20" w:type="dxa"/>
              <w:bottom w:w="0" w:type="dxa"/>
              <w:right w:w="20" w:type="dxa"/>
            </w:tcMar>
            <w:vAlign w:val="center"/>
          </w:tcPr>
          <w:p w:rsidR="00A5271E" w:rsidRPr="00EA31F9" w:rsidRDefault="00A5271E" w:rsidP="002D183F">
            <w:pPr>
              <w:ind w:left="122" w:right="122"/>
              <w:jc w:val="center"/>
              <w:rPr>
                <w:sz w:val="22"/>
                <w:szCs w:val="22"/>
              </w:rPr>
            </w:pPr>
            <w:r>
              <w:rPr>
                <w:sz w:val="22"/>
                <w:szCs w:val="22"/>
              </w:rPr>
              <w:t>Isenção de registro</w:t>
            </w:r>
            <w:r w:rsidR="00C20AA7">
              <w:rPr>
                <w:sz w:val="22"/>
                <w:szCs w:val="22"/>
              </w:rPr>
              <w:t xml:space="preserve"> - inclusão</w:t>
            </w:r>
          </w:p>
        </w:tc>
        <w:tc>
          <w:tcPr>
            <w:tcW w:w="3827" w:type="dxa"/>
            <w:shd w:val="clear" w:color="auto" w:fill="FFFFFF"/>
            <w:tcMar>
              <w:top w:w="20" w:type="dxa"/>
              <w:left w:w="20" w:type="dxa"/>
              <w:bottom w:w="0" w:type="dxa"/>
              <w:right w:w="20" w:type="dxa"/>
            </w:tcMar>
            <w:vAlign w:val="center"/>
          </w:tcPr>
          <w:p w:rsidR="00A5271E" w:rsidRPr="00E021A4" w:rsidRDefault="00A5271E" w:rsidP="00C20AA7">
            <w:pPr>
              <w:autoSpaceDE w:val="0"/>
              <w:autoSpaceDN w:val="0"/>
              <w:adjustRightInd w:val="0"/>
              <w:ind w:left="122" w:right="120"/>
              <w:jc w:val="both"/>
              <w:rPr>
                <w:rFonts w:ascii="Arial" w:hAnsi="Arial" w:cs="Arial"/>
                <w:b/>
                <w:sz w:val="24"/>
                <w:szCs w:val="24"/>
              </w:rPr>
            </w:pPr>
            <w:r w:rsidRPr="00E021A4">
              <w:rPr>
                <w:sz w:val="22"/>
                <w:szCs w:val="22"/>
              </w:rPr>
              <w:t>Acrescentar na lista: óleo sintético de uso industrial, produzido em pequena escala, com básicos do grupo IV e V, volume até 800 Lt/Ano.</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E021A4">
              <w:rPr>
                <w:sz w:val="22"/>
                <w:szCs w:val="22"/>
              </w:rPr>
              <w:t>Produzido em pequena escala por Micro ou Pequenas Empresas,customizados  para certos equipamentos, cujos desempenhos técnicos geralmente são acompanhados  diretamente entre produtor e consumidor.</w:t>
            </w:r>
          </w:p>
        </w:tc>
        <w:tc>
          <w:tcPr>
            <w:tcW w:w="2693" w:type="dxa"/>
            <w:shd w:val="clear" w:color="auto" w:fill="FFFFFF"/>
            <w:vAlign w:val="center"/>
          </w:tcPr>
          <w:p w:rsidR="00A5271E" w:rsidRDefault="000C6FFC" w:rsidP="00680449">
            <w:pPr>
              <w:ind w:left="85" w:right="85"/>
              <w:jc w:val="both"/>
              <w:rPr>
                <w:sz w:val="22"/>
                <w:szCs w:val="22"/>
              </w:rPr>
            </w:pPr>
            <w:r>
              <w:rPr>
                <w:sz w:val="22"/>
                <w:szCs w:val="22"/>
              </w:rPr>
              <w:t>Não acatada.</w:t>
            </w:r>
          </w:p>
          <w:p w:rsidR="000C6FFC" w:rsidRPr="00857283" w:rsidRDefault="000C6FFC" w:rsidP="00680449">
            <w:pPr>
              <w:ind w:left="85" w:right="85"/>
              <w:jc w:val="both"/>
              <w:rPr>
                <w:sz w:val="22"/>
                <w:szCs w:val="22"/>
              </w:rPr>
            </w:pPr>
            <w:r>
              <w:rPr>
                <w:sz w:val="22"/>
                <w:szCs w:val="22"/>
              </w:rPr>
              <w:t>A lista de isentos não pode definir produtos com base em composição e volume de produção e sim por aplicação.</w:t>
            </w:r>
          </w:p>
        </w:tc>
      </w:tr>
      <w:tr w:rsidR="00A5271E" w:rsidRPr="00857283" w:rsidTr="00035EDD">
        <w:trPr>
          <w:trHeight w:val="670"/>
        </w:trPr>
        <w:tc>
          <w:tcPr>
            <w:tcW w:w="1560" w:type="dxa"/>
            <w:shd w:val="clear" w:color="auto" w:fill="FFFFFF"/>
            <w:vAlign w:val="center"/>
          </w:tcPr>
          <w:p w:rsidR="00A5271E" w:rsidRPr="00EA31F9" w:rsidRDefault="00A5271E" w:rsidP="00680449">
            <w:pPr>
              <w:jc w:val="center"/>
              <w:rPr>
                <w:b/>
                <w:bCs/>
                <w:color w:val="000000"/>
                <w:sz w:val="22"/>
                <w:szCs w:val="22"/>
              </w:rPr>
            </w:pPr>
            <w:r w:rsidRPr="00EA31F9">
              <w:rPr>
                <w:b/>
                <w:bCs/>
                <w:color w:val="000000"/>
                <w:sz w:val="22"/>
                <w:szCs w:val="22"/>
              </w:rPr>
              <w:t>PROMAX</w:t>
            </w:r>
          </w:p>
        </w:tc>
        <w:tc>
          <w:tcPr>
            <w:tcW w:w="3686" w:type="dxa"/>
            <w:shd w:val="clear" w:color="auto" w:fill="FFFFFF"/>
            <w:tcMar>
              <w:top w:w="20" w:type="dxa"/>
              <w:left w:w="20" w:type="dxa"/>
              <w:bottom w:w="0" w:type="dxa"/>
              <w:right w:w="20" w:type="dxa"/>
            </w:tcMar>
            <w:vAlign w:val="center"/>
          </w:tcPr>
          <w:p w:rsidR="00A5271E" w:rsidRPr="00EA31F9" w:rsidRDefault="00A5271E" w:rsidP="002D183F">
            <w:pPr>
              <w:autoSpaceDE w:val="0"/>
              <w:autoSpaceDN w:val="0"/>
              <w:adjustRightInd w:val="0"/>
              <w:ind w:left="122" w:right="122"/>
              <w:jc w:val="center"/>
              <w:rPr>
                <w:sz w:val="22"/>
                <w:szCs w:val="22"/>
              </w:rPr>
            </w:pPr>
            <w:r w:rsidRPr="00EA31F9">
              <w:rPr>
                <w:sz w:val="22"/>
                <w:szCs w:val="22"/>
              </w:rPr>
              <w:t xml:space="preserve">Isenção de </w:t>
            </w:r>
            <w:r>
              <w:rPr>
                <w:sz w:val="22"/>
                <w:szCs w:val="22"/>
              </w:rPr>
              <w:t>registro - A</w:t>
            </w:r>
            <w:r w:rsidRPr="00EA31F9">
              <w:rPr>
                <w:sz w:val="22"/>
                <w:szCs w:val="22"/>
              </w:rPr>
              <w:t>ditivo Aftermarket</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color w:val="000080"/>
                <w:sz w:val="22"/>
                <w:szCs w:val="22"/>
              </w:rPr>
            </w:pPr>
            <w:r>
              <w:rPr>
                <w:sz w:val="22"/>
                <w:szCs w:val="22"/>
              </w:rPr>
              <w:t>S</w:t>
            </w:r>
            <w:r w:rsidRPr="00E021A4">
              <w:rPr>
                <w:sz w:val="22"/>
                <w:szCs w:val="22"/>
              </w:rPr>
              <w:t>omos contrários a isenção de registro para aditivos “aftermarket”</w:t>
            </w:r>
          </w:p>
        </w:tc>
        <w:tc>
          <w:tcPr>
            <w:tcW w:w="4253" w:type="dxa"/>
            <w:shd w:val="clear" w:color="auto" w:fill="FFFFFF"/>
            <w:tcMar>
              <w:top w:w="20" w:type="dxa"/>
              <w:left w:w="20" w:type="dxa"/>
              <w:bottom w:w="0" w:type="dxa"/>
              <w:right w:w="20" w:type="dxa"/>
            </w:tcMar>
            <w:vAlign w:val="center"/>
          </w:tcPr>
          <w:p w:rsidR="00A5271E" w:rsidRPr="00E021A4" w:rsidRDefault="00A5271E" w:rsidP="00C20AA7">
            <w:pPr>
              <w:autoSpaceDE w:val="0"/>
              <w:autoSpaceDN w:val="0"/>
              <w:adjustRightInd w:val="0"/>
              <w:ind w:left="122" w:right="120"/>
              <w:jc w:val="both"/>
              <w:rPr>
                <w:sz w:val="22"/>
                <w:szCs w:val="22"/>
              </w:rPr>
            </w:pPr>
            <w:r w:rsidRPr="00E021A4">
              <w:rPr>
                <w:sz w:val="22"/>
                <w:szCs w:val="22"/>
              </w:rPr>
              <w:t>Entendemos que a exigência ao atendimento aos requisitos do ensaio da Seqüência IIIF deve ser mantida. Atendemos na íntegra essa exigência e entendemos que o consumidor deve ter o direito de ter a opção da utilização de aditivos “aftermarket” conforme a sua conveniência.</w:t>
            </w:r>
          </w:p>
          <w:p w:rsidR="00A5271E" w:rsidRPr="00E021A4" w:rsidRDefault="00A5271E" w:rsidP="00C20AA7">
            <w:pPr>
              <w:autoSpaceDE w:val="0"/>
              <w:autoSpaceDN w:val="0"/>
              <w:adjustRightInd w:val="0"/>
              <w:ind w:left="122" w:right="120"/>
              <w:jc w:val="both"/>
              <w:rPr>
                <w:sz w:val="22"/>
                <w:szCs w:val="22"/>
              </w:rPr>
            </w:pPr>
            <w:r w:rsidRPr="00E021A4">
              <w:rPr>
                <w:sz w:val="22"/>
                <w:szCs w:val="22"/>
              </w:rPr>
              <w:t>Comparando-se essa consulta com outros mercados automotivos que não são regulados por esta conceituada agência, temos a experiência negativa de concorrer com produtos de baixa qualidade que lesam o consumidor e nos tiram do mercado. Isto considerado, confirmamos nossa manifestação favorável à manutenção da</w:t>
            </w:r>
            <w:r>
              <w:rPr>
                <w:sz w:val="22"/>
                <w:szCs w:val="22"/>
              </w:rPr>
              <w:t xml:space="preserve"> </w:t>
            </w:r>
            <w:r w:rsidRPr="00E021A4">
              <w:rPr>
                <w:sz w:val="22"/>
                <w:szCs w:val="22"/>
              </w:rPr>
              <w:t>exigência do registro e da apresentação de comprovação de desempenho no ensaio da Seqüência IIIF para os</w:t>
            </w:r>
            <w:r>
              <w:rPr>
                <w:sz w:val="22"/>
                <w:szCs w:val="22"/>
              </w:rPr>
              <w:t xml:space="preserve"> </w:t>
            </w:r>
            <w:r w:rsidRPr="00E021A4">
              <w:rPr>
                <w:sz w:val="22"/>
                <w:szCs w:val="22"/>
              </w:rPr>
              <w:t>produtos “aftermarket”.</w:t>
            </w:r>
          </w:p>
        </w:tc>
        <w:tc>
          <w:tcPr>
            <w:tcW w:w="2693" w:type="dxa"/>
            <w:shd w:val="clear" w:color="auto" w:fill="FFFFFF"/>
            <w:vAlign w:val="center"/>
          </w:tcPr>
          <w:p w:rsidR="00A5271E" w:rsidRDefault="0018186A" w:rsidP="00680449">
            <w:pPr>
              <w:ind w:left="85" w:right="85"/>
              <w:jc w:val="both"/>
              <w:rPr>
                <w:sz w:val="22"/>
                <w:szCs w:val="22"/>
              </w:rPr>
            </w:pPr>
            <w:r>
              <w:rPr>
                <w:sz w:val="22"/>
                <w:szCs w:val="22"/>
              </w:rPr>
              <w:t>Não acatada.</w:t>
            </w:r>
          </w:p>
          <w:p w:rsidR="0018186A" w:rsidRDefault="0018186A" w:rsidP="0018186A">
            <w:pPr>
              <w:ind w:left="85" w:right="85"/>
              <w:jc w:val="both"/>
              <w:rPr>
                <w:sz w:val="22"/>
                <w:szCs w:val="22"/>
              </w:rPr>
            </w:pPr>
            <w:r>
              <w:rPr>
                <w:sz w:val="22"/>
                <w:szCs w:val="22"/>
              </w:rPr>
              <w:t>A ANP não considera os aditivos aftermarket como produtos essenciais, pelo contrário, sabe que seu uso e aplicação em todo mundo é altamente controverso, sobretudo no meio automobilístico e de engenharia automotiva.</w:t>
            </w:r>
          </w:p>
          <w:p w:rsidR="0018186A" w:rsidRDefault="0018186A" w:rsidP="0018186A">
            <w:pPr>
              <w:ind w:left="85" w:right="85"/>
              <w:jc w:val="both"/>
              <w:rPr>
                <w:sz w:val="22"/>
                <w:szCs w:val="22"/>
              </w:rPr>
            </w:pPr>
            <w:r>
              <w:rPr>
                <w:sz w:val="22"/>
                <w:szCs w:val="22"/>
              </w:rPr>
              <w:t>No Brasil as fabricantes de automóveis recomendam o não uso desse tipo de produto, sob pena de perda de garantia.</w:t>
            </w:r>
          </w:p>
          <w:p w:rsidR="0018186A" w:rsidRDefault="0018186A" w:rsidP="0018186A">
            <w:pPr>
              <w:ind w:left="85" w:right="85"/>
              <w:jc w:val="both"/>
              <w:rPr>
                <w:sz w:val="22"/>
                <w:szCs w:val="22"/>
              </w:rPr>
            </w:pPr>
            <w:r>
              <w:rPr>
                <w:sz w:val="22"/>
                <w:szCs w:val="22"/>
              </w:rPr>
              <w:t xml:space="preserve">O resultado positivo do ensaio da sequência IIIF não comprova desempenho do aditivo aftermarket, apenas comprova </w:t>
            </w:r>
            <w:r w:rsidR="00AE7B15">
              <w:rPr>
                <w:sz w:val="22"/>
                <w:szCs w:val="22"/>
              </w:rPr>
              <w:t xml:space="preserve">a característica de </w:t>
            </w:r>
            <w:r>
              <w:rPr>
                <w:sz w:val="22"/>
                <w:szCs w:val="22"/>
              </w:rPr>
              <w:t>“no harm” quando este é misturado em lubrificante acabado e rodado no motor do ensaio</w:t>
            </w:r>
            <w:r w:rsidR="00AE7B15">
              <w:rPr>
                <w:sz w:val="22"/>
                <w:szCs w:val="22"/>
              </w:rPr>
              <w:t>.</w:t>
            </w:r>
          </w:p>
          <w:p w:rsidR="00AE7B15" w:rsidRPr="00857283" w:rsidRDefault="00AE7B15" w:rsidP="00AE7B15">
            <w:pPr>
              <w:ind w:left="85" w:right="85"/>
              <w:jc w:val="both"/>
              <w:rPr>
                <w:sz w:val="22"/>
                <w:szCs w:val="22"/>
              </w:rPr>
            </w:pPr>
            <w:r>
              <w:rPr>
                <w:sz w:val="22"/>
                <w:szCs w:val="22"/>
              </w:rPr>
              <w:t>Com o surgimento de novos níveis de desempenho que atendem quesitos cada vez mais severos apenas a sequência IIF não seria suficiente para comprovar “no harm”, além de ser necessário se rodar o ensaio com mistura do aditivo com lubrificantes acabados dos mais altos níveis de desempenho, garantindo que o produto não prejudica a performance de nenhum lubrificante.</w:t>
            </w:r>
          </w:p>
        </w:tc>
      </w:tr>
      <w:tr w:rsidR="00A5271E" w:rsidRPr="00857283" w:rsidTr="00035EDD">
        <w:trPr>
          <w:trHeight w:val="1719"/>
        </w:trPr>
        <w:tc>
          <w:tcPr>
            <w:tcW w:w="1560" w:type="dxa"/>
            <w:shd w:val="clear" w:color="auto" w:fill="FFFFFF"/>
            <w:vAlign w:val="center"/>
          </w:tcPr>
          <w:p w:rsidR="00A5271E" w:rsidRPr="00EA31F9" w:rsidRDefault="00A5271E" w:rsidP="00134480">
            <w:pPr>
              <w:jc w:val="center"/>
              <w:rPr>
                <w:b/>
                <w:bCs/>
                <w:color w:val="000000"/>
                <w:sz w:val="22"/>
                <w:szCs w:val="22"/>
              </w:rPr>
            </w:pPr>
            <w:r w:rsidRPr="00EA31F9">
              <w:rPr>
                <w:b/>
                <w:bCs/>
                <w:color w:val="000000"/>
                <w:sz w:val="22"/>
                <w:szCs w:val="22"/>
              </w:rPr>
              <w:t>SINDICOM</w:t>
            </w:r>
          </w:p>
        </w:tc>
        <w:tc>
          <w:tcPr>
            <w:tcW w:w="3686" w:type="dxa"/>
            <w:shd w:val="clear" w:color="auto" w:fill="FFFFFF"/>
            <w:tcMar>
              <w:top w:w="20" w:type="dxa"/>
              <w:left w:w="20" w:type="dxa"/>
              <w:bottom w:w="0" w:type="dxa"/>
              <w:right w:w="20" w:type="dxa"/>
            </w:tcMar>
            <w:vAlign w:val="center"/>
          </w:tcPr>
          <w:p w:rsidR="00A5271E" w:rsidRPr="00A5271E" w:rsidRDefault="00A5271E" w:rsidP="002D183F">
            <w:pPr>
              <w:ind w:left="122" w:right="122"/>
              <w:jc w:val="center"/>
              <w:rPr>
                <w:rFonts w:eastAsia="Arial Unicode MS"/>
                <w:sz w:val="22"/>
                <w:szCs w:val="22"/>
              </w:rPr>
            </w:pPr>
            <w:r w:rsidRPr="00A5271E">
              <w:rPr>
                <w:bCs/>
                <w:sz w:val="22"/>
                <w:szCs w:val="22"/>
              </w:rPr>
              <w:t>Isenção de registro – aditivo aftermarket</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Pr>
                <w:sz w:val="22"/>
                <w:szCs w:val="22"/>
              </w:rPr>
              <w:t>Ex</w:t>
            </w:r>
            <w:r w:rsidRPr="007F35DC">
              <w:rPr>
                <w:sz w:val="22"/>
                <w:szCs w:val="22"/>
              </w:rPr>
              <w:t>clusão</w:t>
            </w:r>
            <w:r>
              <w:rPr>
                <w:sz w:val="22"/>
                <w:szCs w:val="22"/>
              </w:rPr>
              <w:t xml:space="preserve"> </w:t>
            </w:r>
            <w:r w:rsidRPr="007F35DC">
              <w:rPr>
                <w:sz w:val="22"/>
                <w:szCs w:val="22"/>
              </w:rPr>
              <w:t xml:space="preserve">dos </w:t>
            </w:r>
            <w:r w:rsidRPr="00857283">
              <w:rPr>
                <w:sz w:val="22"/>
                <w:szCs w:val="22"/>
              </w:rPr>
              <w:t>aditivos em frascos para uso automotivo</w:t>
            </w:r>
            <w:r>
              <w:rPr>
                <w:sz w:val="22"/>
                <w:szCs w:val="22"/>
              </w:rPr>
              <w:t xml:space="preserve"> d</w:t>
            </w:r>
            <w:r w:rsidRPr="007F35DC">
              <w:rPr>
                <w:sz w:val="22"/>
                <w:szCs w:val="22"/>
              </w:rPr>
              <w:t xml:space="preserve">o rol de </w:t>
            </w:r>
            <w:r>
              <w:rPr>
                <w:sz w:val="22"/>
                <w:szCs w:val="22"/>
              </w:rPr>
              <w:t xml:space="preserve">produtos </w:t>
            </w:r>
            <w:r w:rsidRPr="007F35DC">
              <w:rPr>
                <w:sz w:val="22"/>
                <w:szCs w:val="22"/>
              </w:rPr>
              <w:t>isentos</w:t>
            </w:r>
            <w:r>
              <w:rPr>
                <w:sz w:val="22"/>
                <w:szCs w:val="22"/>
              </w:rPr>
              <w:t xml:space="preserve"> de registro</w:t>
            </w:r>
            <w:r w:rsidR="00C20AA7">
              <w:rPr>
                <w:sz w:val="22"/>
                <w:szCs w:val="22"/>
              </w:rPr>
              <w:t xml:space="preserve"> </w:t>
            </w:r>
            <w:r>
              <w:rPr>
                <w:sz w:val="22"/>
                <w:szCs w:val="22"/>
              </w:rPr>
              <w:t>(Anexo III)</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sidRPr="00857283">
              <w:rPr>
                <w:sz w:val="22"/>
                <w:szCs w:val="22"/>
              </w:rPr>
              <w:t>O SINDICOM se posiciona contra a liberação de registro de aditivos aftermarket</w:t>
            </w:r>
            <w:r>
              <w:rPr>
                <w:sz w:val="22"/>
                <w:szCs w:val="22"/>
              </w:rPr>
              <w:t xml:space="preserve">. </w:t>
            </w:r>
            <w:r w:rsidRPr="00857283">
              <w:rPr>
                <w:sz w:val="22"/>
                <w:szCs w:val="22"/>
              </w:rPr>
              <w:t>Manter a regulamentação para proteção do consumidor com requisitos mínimos de qualidade, compatibilidade com lubrificantes e rastreabilidade em casos futuros de reclamação do consumidor.</w:t>
            </w:r>
          </w:p>
        </w:tc>
        <w:tc>
          <w:tcPr>
            <w:tcW w:w="2693" w:type="dxa"/>
            <w:shd w:val="clear" w:color="auto" w:fill="FFFFFF"/>
            <w:vAlign w:val="center"/>
          </w:tcPr>
          <w:p w:rsidR="00A5271E" w:rsidRPr="00857283" w:rsidRDefault="00EF6F06" w:rsidP="00680449">
            <w:pPr>
              <w:ind w:left="85" w:right="85"/>
              <w:jc w:val="both"/>
              <w:rPr>
                <w:sz w:val="22"/>
                <w:szCs w:val="22"/>
              </w:rPr>
            </w:pPr>
            <w:r>
              <w:rPr>
                <w:sz w:val="22"/>
                <w:szCs w:val="22"/>
              </w:rPr>
              <w:t>Idem ao anterior.</w:t>
            </w:r>
          </w:p>
        </w:tc>
      </w:tr>
      <w:tr w:rsidR="00A5271E" w:rsidRPr="00857283" w:rsidTr="00035EDD">
        <w:trPr>
          <w:trHeight w:val="670"/>
        </w:trPr>
        <w:tc>
          <w:tcPr>
            <w:tcW w:w="1560" w:type="dxa"/>
            <w:shd w:val="clear" w:color="auto" w:fill="FFFFFF"/>
            <w:vAlign w:val="center"/>
          </w:tcPr>
          <w:p w:rsidR="00A5271E" w:rsidRPr="00EA31F9" w:rsidRDefault="00A5271E" w:rsidP="00134480">
            <w:pPr>
              <w:jc w:val="center"/>
              <w:rPr>
                <w:b/>
                <w:bCs/>
                <w:color w:val="000000"/>
                <w:sz w:val="22"/>
                <w:szCs w:val="22"/>
              </w:rPr>
            </w:pPr>
            <w:r>
              <w:rPr>
                <w:b/>
                <w:bCs/>
                <w:color w:val="000000"/>
                <w:sz w:val="22"/>
                <w:szCs w:val="22"/>
              </w:rPr>
              <w:t>SIMEPETRO</w:t>
            </w:r>
          </w:p>
        </w:tc>
        <w:tc>
          <w:tcPr>
            <w:tcW w:w="3686" w:type="dxa"/>
            <w:shd w:val="clear" w:color="auto" w:fill="FFFFFF"/>
            <w:tcMar>
              <w:top w:w="20" w:type="dxa"/>
              <w:left w:w="20" w:type="dxa"/>
              <w:bottom w:w="0" w:type="dxa"/>
              <w:right w:w="20" w:type="dxa"/>
            </w:tcMar>
            <w:vAlign w:val="center"/>
          </w:tcPr>
          <w:p w:rsidR="00A5271E" w:rsidRPr="00EA31F9" w:rsidRDefault="00A5271E" w:rsidP="002D183F">
            <w:pPr>
              <w:autoSpaceDE w:val="0"/>
              <w:autoSpaceDN w:val="0"/>
              <w:adjustRightInd w:val="0"/>
              <w:ind w:left="122" w:right="122"/>
              <w:jc w:val="center"/>
              <w:rPr>
                <w:sz w:val="22"/>
                <w:szCs w:val="22"/>
              </w:rPr>
            </w:pPr>
            <w:r w:rsidRPr="00EA31F9">
              <w:rPr>
                <w:sz w:val="22"/>
                <w:szCs w:val="22"/>
              </w:rPr>
              <w:t xml:space="preserve">Isenção de registro </w:t>
            </w:r>
            <w:r>
              <w:rPr>
                <w:sz w:val="22"/>
                <w:szCs w:val="22"/>
              </w:rPr>
              <w:t xml:space="preserve">– Aditivo </w:t>
            </w:r>
            <w:r w:rsidRPr="00EA31F9">
              <w:rPr>
                <w:sz w:val="22"/>
                <w:szCs w:val="22"/>
              </w:rPr>
              <w:t>Aftermarket</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Manifestar contrariedade quanto à isenção de registro para aditivos aftermarket</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Com base nas próprias considerações consignadas na Nota Técnica, a isenção de registro desses produtos possibilitará a entrada de agentes produtores que poderão não levar em consideração os testes exigidos atualmente para o registro, por fatores de ordem econômica, e assim prejudicar o consumidor, fabricando e colocando no mercado aditivos que interferem negativamente no equilíbrio dos lubrificantes, causando sua oxidação prematura, alterações na viscosidade, depósitos e desgaste. Alternativa Manter o registro, apenas dispensando a obrigatoriedade do teste de sequência IIIF, que consta na ASTM, considerando que as empresas de tecnologia que desenvolvem esses produtos já realizam esses testes antes de colocar o produto no mercado.</w:t>
            </w:r>
          </w:p>
        </w:tc>
        <w:tc>
          <w:tcPr>
            <w:tcW w:w="2693" w:type="dxa"/>
            <w:shd w:val="clear" w:color="auto" w:fill="FFFFFF"/>
            <w:vAlign w:val="center"/>
          </w:tcPr>
          <w:p w:rsidR="00A5271E" w:rsidRPr="00857283" w:rsidRDefault="00EF6F06" w:rsidP="00680449">
            <w:pPr>
              <w:ind w:left="85" w:right="85"/>
              <w:jc w:val="both"/>
              <w:rPr>
                <w:sz w:val="22"/>
                <w:szCs w:val="22"/>
              </w:rPr>
            </w:pPr>
            <w:r>
              <w:rPr>
                <w:sz w:val="22"/>
                <w:szCs w:val="22"/>
              </w:rPr>
              <w:t>Idem ao anterior.</w:t>
            </w:r>
          </w:p>
        </w:tc>
      </w:tr>
      <w:tr w:rsidR="00A5271E" w:rsidRPr="00857283" w:rsidTr="00035EDD">
        <w:trPr>
          <w:trHeight w:val="670"/>
        </w:trPr>
        <w:tc>
          <w:tcPr>
            <w:tcW w:w="1560" w:type="dxa"/>
            <w:shd w:val="clear" w:color="auto" w:fill="FFFFFF"/>
            <w:vAlign w:val="center"/>
          </w:tcPr>
          <w:p w:rsidR="00A5271E" w:rsidRPr="00EA31F9" w:rsidRDefault="00A5271E" w:rsidP="00134480">
            <w:pPr>
              <w:jc w:val="center"/>
              <w:rPr>
                <w:b/>
                <w:bCs/>
                <w:color w:val="000000"/>
                <w:sz w:val="22"/>
                <w:szCs w:val="22"/>
              </w:rPr>
            </w:pPr>
            <w:r w:rsidRPr="00EA31F9">
              <w:rPr>
                <w:b/>
                <w:bCs/>
                <w:color w:val="000000"/>
                <w:sz w:val="22"/>
                <w:szCs w:val="22"/>
              </w:rPr>
              <w:t>ITW Chemical Products</w:t>
            </w:r>
          </w:p>
        </w:tc>
        <w:tc>
          <w:tcPr>
            <w:tcW w:w="3686" w:type="dxa"/>
            <w:shd w:val="clear" w:color="auto" w:fill="FFFFFF"/>
            <w:tcMar>
              <w:top w:w="20" w:type="dxa"/>
              <w:left w:w="20" w:type="dxa"/>
              <w:bottom w:w="0" w:type="dxa"/>
              <w:right w:w="20" w:type="dxa"/>
            </w:tcMar>
            <w:vAlign w:val="center"/>
          </w:tcPr>
          <w:p w:rsidR="00A5271E" w:rsidRPr="00EA31F9" w:rsidRDefault="00A5271E" w:rsidP="002D183F">
            <w:pPr>
              <w:autoSpaceDE w:val="0"/>
              <w:autoSpaceDN w:val="0"/>
              <w:adjustRightInd w:val="0"/>
              <w:ind w:left="122" w:right="122"/>
              <w:jc w:val="center"/>
              <w:rPr>
                <w:sz w:val="22"/>
                <w:szCs w:val="22"/>
              </w:rPr>
            </w:pPr>
            <w:r w:rsidRPr="00EA31F9">
              <w:rPr>
                <w:sz w:val="22"/>
                <w:szCs w:val="22"/>
              </w:rPr>
              <w:t xml:space="preserve">Isenção de registro </w:t>
            </w:r>
            <w:r>
              <w:rPr>
                <w:sz w:val="22"/>
                <w:szCs w:val="22"/>
              </w:rPr>
              <w:t xml:space="preserve">– Aditivo </w:t>
            </w:r>
            <w:r w:rsidRPr="00EA31F9">
              <w:rPr>
                <w:sz w:val="22"/>
                <w:szCs w:val="22"/>
              </w:rPr>
              <w:t>Aftermarket</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ind w:left="122" w:right="120"/>
              <w:jc w:val="both"/>
              <w:rPr>
                <w:sz w:val="22"/>
                <w:szCs w:val="22"/>
              </w:rPr>
            </w:pPr>
            <w:r>
              <w:rPr>
                <w:sz w:val="22"/>
                <w:szCs w:val="22"/>
              </w:rPr>
              <w:t>Ex</w:t>
            </w:r>
            <w:r w:rsidRPr="007F35DC">
              <w:rPr>
                <w:sz w:val="22"/>
                <w:szCs w:val="22"/>
              </w:rPr>
              <w:t>clusão</w:t>
            </w:r>
            <w:r>
              <w:rPr>
                <w:sz w:val="22"/>
                <w:szCs w:val="22"/>
              </w:rPr>
              <w:t xml:space="preserve"> </w:t>
            </w:r>
            <w:r w:rsidRPr="007F35DC">
              <w:rPr>
                <w:sz w:val="22"/>
                <w:szCs w:val="22"/>
              </w:rPr>
              <w:t xml:space="preserve">dos </w:t>
            </w:r>
            <w:r w:rsidRPr="00857283">
              <w:rPr>
                <w:sz w:val="22"/>
                <w:szCs w:val="22"/>
              </w:rPr>
              <w:t>aditivos em frascos para uso automotivo</w:t>
            </w:r>
            <w:r>
              <w:rPr>
                <w:sz w:val="22"/>
                <w:szCs w:val="22"/>
              </w:rPr>
              <w:t xml:space="preserve"> e industrial d</w:t>
            </w:r>
            <w:r w:rsidRPr="007F35DC">
              <w:rPr>
                <w:sz w:val="22"/>
                <w:szCs w:val="22"/>
              </w:rPr>
              <w:t xml:space="preserve">o rol de </w:t>
            </w:r>
            <w:r>
              <w:rPr>
                <w:sz w:val="22"/>
                <w:szCs w:val="22"/>
              </w:rPr>
              <w:t xml:space="preserve">produtos </w:t>
            </w:r>
            <w:r w:rsidRPr="007F35DC">
              <w:rPr>
                <w:sz w:val="22"/>
                <w:szCs w:val="22"/>
              </w:rPr>
              <w:t>isentos</w:t>
            </w:r>
            <w:r>
              <w:rPr>
                <w:sz w:val="22"/>
                <w:szCs w:val="22"/>
              </w:rPr>
              <w:t xml:space="preserve"> de registro</w:t>
            </w:r>
            <w:r w:rsidR="00C20AA7">
              <w:rPr>
                <w:sz w:val="22"/>
                <w:szCs w:val="22"/>
              </w:rPr>
              <w:t xml:space="preserve"> </w:t>
            </w:r>
            <w:r>
              <w:rPr>
                <w:sz w:val="22"/>
                <w:szCs w:val="22"/>
              </w:rPr>
              <w:t>(Anexo III)</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A ITW Chemical Products Ltda é contra a isenção de</w:t>
            </w:r>
            <w:r>
              <w:rPr>
                <w:sz w:val="22"/>
                <w:szCs w:val="22"/>
              </w:rPr>
              <w:t xml:space="preserve"> </w:t>
            </w:r>
            <w:r w:rsidRPr="00857283">
              <w:rPr>
                <w:sz w:val="22"/>
                <w:szCs w:val="22"/>
              </w:rPr>
              <w:t>registro para os aditivos em frasco para uso industrial</w:t>
            </w:r>
            <w:r>
              <w:rPr>
                <w:sz w:val="22"/>
                <w:szCs w:val="22"/>
              </w:rPr>
              <w:t xml:space="preserve"> </w:t>
            </w:r>
            <w:r w:rsidRPr="00857283">
              <w:rPr>
                <w:sz w:val="22"/>
                <w:szCs w:val="22"/>
              </w:rPr>
              <w:t>e automotivo, considerando as observações feitas na</w:t>
            </w:r>
            <w:r>
              <w:rPr>
                <w:sz w:val="22"/>
                <w:szCs w:val="22"/>
              </w:rPr>
              <w:t xml:space="preserve"> </w:t>
            </w:r>
            <w:r w:rsidRPr="00857283">
              <w:rPr>
                <w:sz w:val="22"/>
                <w:szCs w:val="22"/>
              </w:rPr>
              <w:t>própria Nota Técnica da ANFAVEA.</w:t>
            </w:r>
          </w:p>
          <w:p w:rsidR="00A5271E" w:rsidRPr="00857283" w:rsidRDefault="00A5271E" w:rsidP="00C20AA7">
            <w:pPr>
              <w:autoSpaceDE w:val="0"/>
              <w:autoSpaceDN w:val="0"/>
              <w:adjustRightInd w:val="0"/>
              <w:ind w:left="122" w:right="120"/>
              <w:jc w:val="both"/>
              <w:rPr>
                <w:sz w:val="22"/>
                <w:szCs w:val="22"/>
              </w:rPr>
            </w:pPr>
            <w:r w:rsidRPr="00857283">
              <w:rPr>
                <w:sz w:val="22"/>
                <w:szCs w:val="22"/>
              </w:rPr>
              <w:t>Consi</w:t>
            </w:r>
            <w:r>
              <w:rPr>
                <w:sz w:val="22"/>
                <w:szCs w:val="22"/>
              </w:rPr>
              <w:t xml:space="preserve">deramos o registro dos aditivos </w:t>
            </w:r>
            <w:r w:rsidRPr="00857283">
              <w:rPr>
                <w:sz w:val="22"/>
                <w:szCs w:val="22"/>
              </w:rPr>
              <w:t>automotivos</w:t>
            </w:r>
            <w:r>
              <w:rPr>
                <w:sz w:val="22"/>
                <w:szCs w:val="22"/>
              </w:rPr>
              <w:t xml:space="preserve"> </w:t>
            </w:r>
            <w:r w:rsidRPr="00857283">
              <w:rPr>
                <w:sz w:val="22"/>
                <w:szCs w:val="22"/>
              </w:rPr>
              <w:t>importante visando a proteção do usuário final. No</w:t>
            </w:r>
            <w:r>
              <w:rPr>
                <w:sz w:val="22"/>
                <w:szCs w:val="22"/>
              </w:rPr>
              <w:t xml:space="preserve"> </w:t>
            </w:r>
            <w:r w:rsidRPr="00857283">
              <w:rPr>
                <w:sz w:val="22"/>
                <w:szCs w:val="22"/>
              </w:rPr>
              <w:t>entanto somos favoráveis à realização de ensaios que</w:t>
            </w:r>
            <w:r>
              <w:rPr>
                <w:sz w:val="22"/>
                <w:szCs w:val="22"/>
              </w:rPr>
              <w:t xml:space="preserve"> </w:t>
            </w:r>
            <w:r w:rsidRPr="00857283">
              <w:rPr>
                <w:sz w:val="22"/>
                <w:szCs w:val="22"/>
              </w:rPr>
              <w:t>comprovem a eficácia dos aditivos no Brasil. Neste</w:t>
            </w:r>
            <w:r>
              <w:rPr>
                <w:sz w:val="22"/>
                <w:szCs w:val="22"/>
              </w:rPr>
              <w:t xml:space="preserve"> </w:t>
            </w:r>
            <w:r w:rsidRPr="00857283">
              <w:rPr>
                <w:sz w:val="22"/>
                <w:szCs w:val="22"/>
              </w:rPr>
              <w:t>caso a sequencia IIIF, como normatizada atualmente,</w:t>
            </w:r>
          </w:p>
          <w:p w:rsidR="00A5271E" w:rsidRPr="00857283" w:rsidRDefault="00A5271E" w:rsidP="00C20AA7">
            <w:pPr>
              <w:autoSpaceDE w:val="0"/>
              <w:autoSpaceDN w:val="0"/>
              <w:adjustRightInd w:val="0"/>
              <w:ind w:left="122" w:right="120"/>
              <w:jc w:val="both"/>
              <w:rPr>
                <w:sz w:val="22"/>
                <w:szCs w:val="22"/>
              </w:rPr>
            </w:pPr>
            <w:r w:rsidRPr="00857283">
              <w:rPr>
                <w:sz w:val="22"/>
                <w:szCs w:val="22"/>
              </w:rPr>
              <w:t>não é a indicada por não ser possível a sua realização</w:t>
            </w:r>
            <w:r>
              <w:rPr>
                <w:sz w:val="22"/>
                <w:szCs w:val="22"/>
              </w:rPr>
              <w:t xml:space="preserve"> </w:t>
            </w:r>
            <w:r w:rsidRPr="00857283">
              <w:rPr>
                <w:sz w:val="22"/>
                <w:szCs w:val="22"/>
              </w:rPr>
              <w:t>no Brasil.</w:t>
            </w:r>
          </w:p>
          <w:p w:rsidR="00A5271E" w:rsidRPr="00857283" w:rsidRDefault="00A5271E" w:rsidP="00C20AA7">
            <w:pPr>
              <w:autoSpaceDE w:val="0"/>
              <w:autoSpaceDN w:val="0"/>
              <w:adjustRightInd w:val="0"/>
              <w:ind w:left="122" w:right="120"/>
              <w:jc w:val="both"/>
              <w:rPr>
                <w:sz w:val="22"/>
                <w:szCs w:val="22"/>
              </w:rPr>
            </w:pPr>
            <w:r w:rsidRPr="00857283">
              <w:rPr>
                <w:sz w:val="22"/>
                <w:szCs w:val="22"/>
              </w:rPr>
              <w:t>Sugerimos o teste de avaliação baseado na Sequencia</w:t>
            </w:r>
            <w:r>
              <w:rPr>
                <w:sz w:val="22"/>
                <w:szCs w:val="22"/>
              </w:rPr>
              <w:t xml:space="preserve"> </w:t>
            </w:r>
            <w:r w:rsidRPr="00857283">
              <w:rPr>
                <w:sz w:val="22"/>
                <w:szCs w:val="22"/>
              </w:rPr>
              <w:t>IIIF, que é realizado no Brasil, por um laboratório</w:t>
            </w:r>
            <w:r>
              <w:rPr>
                <w:sz w:val="22"/>
                <w:szCs w:val="22"/>
              </w:rPr>
              <w:t xml:space="preserve"> </w:t>
            </w:r>
            <w:r w:rsidRPr="00857283">
              <w:rPr>
                <w:sz w:val="22"/>
                <w:szCs w:val="22"/>
              </w:rPr>
              <w:t>nacional, aonde são avaliados os seguintes parâmetros:</w:t>
            </w:r>
            <w:r>
              <w:rPr>
                <w:sz w:val="22"/>
                <w:szCs w:val="22"/>
              </w:rPr>
              <w:t xml:space="preserve"> </w:t>
            </w:r>
            <w:r w:rsidRPr="00857283">
              <w:rPr>
                <w:sz w:val="22"/>
                <w:szCs w:val="22"/>
              </w:rPr>
              <w:t>aumento da viscosidade do óleo, formação de borra,</w:t>
            </w:r>
            <w:r>
              <w:rPr>
                <w:sz w:val="22"/>
                <w:szCs w:val="22"/>
              </w:rPr>
              <w:t xml:space="preserve"> </w:t>
            </w:r>
            <w:r w:rsidRPr="00857283">
              <w:rPr>
                <w:sz w:val="22"/>
                <w:szCs w:val="22"/>
              </w:rPr>
              <w:t>deposição de verniz, consumo de óleo e desgaste do</w:t>
            </w:r>
            <w:r>
              <w:rPr>
                <w:sz w:val="22"/>
                <w:szCs w:val="22"/>
              </w:rPr>
              <w:t xml:space="preserve"> </w:t>
            </w:r>
            <w:r w:rsidRPr="00857283">
              <w:rPr>
                <w:sz w:val="22"/>
                <w:szCs w:val="22"/>
              </w:rPr>
              <w:t>motor.</w:t>
            </w:r>
          </w:p>
          <w:p w:rsidR="00A5271E" w:rsidRPr="00857283" w:rsidRDefault="00A5271E" w:rsidP="00C20AA7">
            <w:pPr>
              <w:autoSpaceDE w:val="0"/>
              <w:autoSpaceDN w:val="0"/>
              <w:adjustRightInd w:val="0"/>
              <w:ind w:left="122" w:right="120"/>
              <w:jc w:val="both"/>
              <w:rPr>
                <w:sz w:val="22"/>
                <w:szCs w:val="22"/>
              </w:rPr>
            </w:pPr>
            <w:r w:rsidRPr="00857283">
              <w:rPr>
                <w:sz w:val="22"/>
                <w:szCs w:val="22"/>
              </w:rPr>
              <w:t>No caso dos aditivos industriais, a falta da obrigatoriedade do registro pode funcionar como uma</w:t>
            </w:r>
            <w:r>
              <w:rPr>
                <w:sz w:val="22"/>
                <w:szCs w:val="22"/>
              </w:rPr>
              <w:t xml:space="preserve"> </w:t>
            </w:r>
            <w:r w:rsidRPr="00857283">
              <w:rPr>
                <w:sz w:val="22"/>
                <w:szCs w:val="22"/>
              </w:rPr>
              <w:t>opção ilegal de isenção ao registro de lubrificantes,</w:t>
            </w:r>
            <w:r>
              <w:rPr>
                <w:sz w:val="22"/>
                <w:szCs w:val="22"/>
              </w:rPr>
              <w:t xml:space="preserve"> </w:t>
            </w:r>
            <w:r w:rsidRPr="00857283">
              <w:rPr>
                <w:sz w:val="22"/>
                <w:szCs w:val="22"/>
              </w:rPr>
              <w:t>que deve e continua sendo obrigatório.</w:t>
            </w:r>
          </w:p>
        </w:tc>
        <w:tc>
          <w:tcPr>
            <w:tcW w:w="2693" w:type="dxa"/>
            <w:shd w:val="clear" w:color="auto" w:fill="FFFFFF"/>
            <w:vAlign w:val="center"/>
          </w:tcPr>
          <w:p w:rsidR="00A5271E" w:rsidRDefault="00EF6F06" w:rsidP="00EF6F06">
            <w:pPr>
              <w:ind w:left="85" w:right="85"/>
              <w:jc w:val="both"/>
              <w:rPr>
                <w:sz w:val="22"/>
                <w:szCs w:val="22"/>
              </w:rPr>
            </w:pPr>
            <w:r>
              <w:rPr>
                <w:sz w:val="22"/>
                <w:szCs w:val="22"/>
              </w:rPr>
              <w:t>Idem ao anterior.</w:t>
            </w:r>
          </w:p>
          <w:p w:rsidR="00EF6F06" w:rsidRPr="00857283" w:rsidRDefault="00EF6F06" w:rsidP="00EF6F06">
            <w:pPr>
              <w:ind w:left="85" w:right="85"/>
              <w:jc w:val="both"/>
              <w:rPr>
                <w:sz w:val="22"/>
                <w:szCs w:val="22"/>
              </w:rPr>
            </w:pPr>
            <w:r>
              <w:rPr>
                <w:sz w:val="22"/>
                <w:szCs w:val="22"/>
              </w:rPr>
              <w:t>Deve-se destacar que na legislação atual os aditivos aftermarket para uso industrial já são isentos de registro, situação que deverá permanecer.</w:t>
            </w:r>
          </w:p>
        </w:tc>
      </w:tr>
      <w:tr w:rsidR="003F6466" w:rsidRPr="00857283" w:rsidTr="00035EDD">
        <w:trPr>
          <w:trHeight w:val="670"/>
        </w:trPr>
        <w:tc>
          <w:tcPr>
            <w:tcW w:w="1560" w:type="dxa"/>
            <w:shd w:val="clear" w:color="auto" w:fill="FFFFFF"/>
            <w:vAlign w:val="center"/>
          </w:tcPr>
          <w:p w:rsidR="003F6466" w:rsidRPr="00EA31F9" w:rsidRDefault="003F6466" w:rsidP="00AB75C0">
            <w:pPr>
              <w:jc w:val="center"/>
              <w:rPr>
                <w:b/>
                <w:bCs/>
                <w:sz w:val="22"/>
                <w:szCs w:val="22"/>
              </w:rPr>
            </w:pPr>
            <w:r w:rsidRPr="00EA31F9">
              <w:rPr>
                <w:b/>
                <w:bCs/>
                <w:color w:val="000000"/>
                <w:sz w:val="22"/>
                <w:szCs w:val="22"/>
              </w:rPr>
              <w:t>SINDILUB</w:t>
            </w:r>
          </w:p>
        </w:tc>
        <w:tc>
          <w:tcPr>
            <w:tcW w:w="3686" w:type="dxa"/>
            <w:shd w:val="clear" w:color="auto" w:fill="FFFFFF"/>
            <w:tcMar>
              <w:top w:w="20" w:type="dxa"/>
              <w:left w:w="20" w:type="dxa"/>
              <w:bottom w:w="0" w:type="dxa"/>
              <w:right w:w="20" w:type="dxa"/>
            </w:tcMar>
            <w:vAlign w:val="center"/>
          </w:tcPr>
          <w:p w:rsidR="003F6466" w:rsidRPr="00A5271E" w:rsidRDefault="003F6466" w:rsidP="00AB75C0">
            <w:pPr>
              <w:ind w:left="122" w:right="122"/>
              <w:jc w:val="center"/>
              <w:rPr>
                <w:bCs/>
                <w:sz w:val="22"/>
                <w:szCs w:val="22"/>
              </w:rPr>
            </w:pPr>
            <w:r w:rsidRPr="00A5271E">
              <w:rPr>
                <w:bCs/>
                <w:sz w:val="22"/>
                <w:szCs w:val="22"/>
              </w:rPr>
              <w:t>Isenção de registro – aditivo aftermarket</w:t>
            </w:r>
          </w:p>
        </w:tc>
        <w:tc>
          <w:tcPr>
            <w:tcW w:w="3827" w:type="dxa"/>
            <w:shd w:val="clear" w:color="auto" w:fill="FFFFFF"/>
            <w:tcMar>
              <w:top w:w="20" w:type="dxa"/>
              <w:left w:w="20" w:type="dxa"/>
              <w:bottom w:w="0" w:type="dxa"/>
              <w:right w:w="20" w:type="dxa"/>
            </w:tcMar>
            <w:vAlign w:val="center"/>
          </w:tcPr>
          <w:p w:rsidR="003F6466" w:rsidRPr="00857283" w:rsidRDefault="003F6466" w:rsidP="00AB75C0">
            <w:pPr>
              <w:ind w:left="122" w:right="120"/>
              <w:jc w:val="both"/>
              <w:rPr>
                <w:sz w:val="22"/>
                <w:szCs w:val="22"/>
              </w:rPr>
            </w:pPr>
            <w:r>
              <w:rPr>
                <w:sz w:val="22"/>
                <w:szCs w:val="22"/>
              </w:rPr>
              <w:t>Ex</w:t>
            </w:r>
            <w:r w:rsidRPr="007F35DC">
              <w:rPr>
                <w:sz w:val="22"/>
                <w:szCs w:val="22"/>
              </w:rPr>
              <w:t>clusão</w:t>
            </w:r>
            <w:r>
              <w:rPr>
                <w:sz w:val="22"/>
                <w:szCs w:val="22"/>
              </w:rPr>
              <w:t xml:space="preserve"> </w:t>
            </w:r>
            <w:r w:rsidRPr="007F35DC">
              <w:rPr>
                <w:sz w:val="22"/>
                <w:szCs w:val="22"/>
              </w:rPr>
              <w:t xml:space="preserve">dos </w:t>
            </w:r>
            <w:r w:rsidRPr="00857283">
              <w:rPr>
                <w:sz w:val="22"/>
                <w:szCs w:val="22"/>
              </w:rPr>
              <w:t>aditivos em frascos para uso automotivo</w:t>
            </w:r>
            <w:r>
              <w:rPr>
                <w:sz w:val="22"/>
                <w:szCs w:val="22"/>
              </w:rPr>
              <w:t xml:space="preserve"> e industrial d</w:t>
            </w:r>
            <w:r w:rsidRPr="007F35DC">
              <w:rPr>
                <w:sz w:val="22"/>
                <w:szCs w:val="22"/>
              </w:rPr>
              <w:t xml:space="preserve">o rol de </w:t>
            </w:r>
            <w:r>
              <w:rPr>
                <w:sz w:val="22"/>
                <w:szCs w:val="22"/>
              </w:rPr>
              <w:t xml:space="preserve">produtos </w:t>
            </w:r>
            <w:r w:rsidRPr="007F35DC">
              <w:rPr>
                <w:sz w:val="22"/>
                <w:szCs w:val="22"/>
              </w:rPr>
              <w:t>isentos</w:t>
            </w:r>
            <w:r>
              <w:rPr>
                <w:sz w:val="22"/>
                <w:szCs w:val="22"/>
              </w:rPr>
              <w:t xml:space="preserve"> de registro (Anexo III).</w:t>
            </w:r>
          </w:p>
        </w:tc>
        <w:tc>
          <w:tcPr>
            <w:tcW w:w="4253" w:type="dxa"/>
            <w:shd w:val="clear" w:color="auto" w:fill="FFFFFF"/>
            <w:tcMar>
              <w:top w:w="20" w:type="dxa"/>
              <w:left w:w="20" w:type="dxa"/>
              <w:bottom w:w="0" w:type="dxa"/>
              <w:right w:w="20" w:type="dxa"/>
            </w:tcMar>
            <w:vAlign w:val="center"/>
          </w:tcPr>
          <w:p w:rsidR="003F6466" w:rsidRPr="00857283" w:rsidRDefault="003F6466" w:rsidP="00AB75C0">
            <w:pPr>
              <w:ind w:left="122" w:right="120"/>
              <w:jc w:val="both"/>
              <w:rPr>
                <w:sz w:val="22"/>
                <w:szCs w:val="22"/>
              </w:rPr>
            </w:pPr>
            <w:r w:rsidRPr="00857283">
              <w:rPr>
                <w:sz w:val="22"/>
                <w:szCs w:val="22"/>
              </w:rPr>
              <w:t>Acompanhamos e endossamos as justificativas da Comissão de Lubrificantes e Lubrificação do IBP, da qual fazemos parte, e em especial no tocante ao aspecto de proteger o consumidor muito suscetível a propaganda e promoção de brindes, prática comum nesse tipo de comércio.</w:t>
            </w:r>
          </w:p>
        </w:tc>
        <w:tc>
          <w:tcPr>
            <w:tcW w:w="2693" w:type="dxa"/>
            <w:shd w:val="clear" w:color="auto" w:fill="FFFFFF"/>
            <w:vAlign w:val="center"/>
          </w:tcPr>
          <w:p w:rsidR="003F6466" w:rsidRDefault="003F6466" w:rsidP="00EF6F06">
            <w:pPr>
              <w:ind w:left="85" w:right="85"/>
              <w:jc w:val="both"/>
              <w:rPr>
                <w:sz w:val="22"/>
                <w:szCs w:val="22"/>
              </w:rPr>
            </w:pPr>
            <w:r>
              <w:rPr>
                <w:sz w:val="22"/>
                <w:szCs w:val="22"/>
              </w:rPr>
              <w:t>Idem ao anterior.</w:t>
            </w:r>
          </w:p>
        </w:tc>
      </w:tr>
      <w:tr w:rsidR="003F6466" w:rsidRPr="00857283" w:rsidTr="00035EDD">
        <w:trPr>
          <w:trHeight w:val="670"/>
        </w:trPr>
        <w:tc>
          <w:tcPr>
            <w:tcW w:w="1560" w:type="dxa"/>
            <w:shd w:val="clear" w:color="auto" w:fill="FFFFFF"/>
            <w:vAlign w:val="center"/>
          </w:tcPr>
          <w:p w:rsidR="003F6466" w:rsidRPr="00EA31F9" w:rsidRDefault="003F6466" w:rsidP="00AB75C0">
            <w:pPr>
              <w:jc w:val="center"/>
              <w:rPr>
                <w:b/>
                <w:bCs/>
                <w:color w:val="000000"/>
                <w:sz w:val="22"/>
                <w:szCs w:val="22"/>
              </w:rPr>
            </w:pPr>
            <w:r w:rsidRPr="00EA31F9">
              <w:rPr>
                <w:b/>
                <w:bCs/>
                <w:color w:val="000000"/>
                <w:sz w:val="22"/>
                <w:szCs w:val="22"/>
              </w:rPr>
              <w:t>Comissão de Lubrificantes e Lubrificação do IBP</w:t>
            </w:r>
          </w:p>
        </w:tc>
        <w:tc>
          <w:tcPr>
            <w:tcW w:w="3686" w:type="dxa"/>
            <w:shd w:val="clear" w:color="auto" w:fill="FFFFFF"/>
            <w:tcMar>
              <w:top w:w="20" w:type="dxa"/>
              <w:left w:w="20" w:type="dxa"/>
              <w:bottom w:w="0" w:type="dxa"/>
              <w:right w:w="20" w:type="dxa"/>
            </w:tcMar>
            <w:vAlign w:val="center"/>
          </w:tcPr>
          <w:p w:rsidR="003F6466" w:rsidRPr="00A5271E" w:rsidRDefault="003F6466" w:rsidP="00AB75C0">
            <w:pPr>
              <w:autoSpaceDE w:val="0"/>
              <w:autoSpaceDN w:val="0"/>
              <w:adjustRightInd w:val="0"/>
              <w:ind w:left="122" w:right="122"/>
              <w:jc w:val="center"/>
              <w:rPr>
                <w:sz w:val="22"/>
                <w:szCs w:val="22"/>
              </w:rPr>
            </w:pPr>
            <w:r w:rsidRPr="00A5271E">
              <w:rPr>
                <w:sz w:val="22"/>
                <w:szCs w:val="22"/>
              </w:rPr>
              <w:t>Isenção de registro – aditivo aftermarket</w:t>
            </w:r>
          </w:p>
        </w:tc>
        <w:tc>
          <w:tcPr>
            <w:tcW w:w="3827" w:type="dxa"/>
            <w:shd w:val="clear" w:color="auto" w:fill="FFFFFF"/>
            <w:tcMar>
              <w:top w:w="20" w:type="dxa"/>
              <w:left w:w="20" w:type="dxa"/>
              <w:bottom w:w="0" w:type="dxa"/>
              <w:right w:w="20" w:type="dxa"/>
            </w:tcMar>
            <w:vAlign w:val="center"/>
          </w:tcPr>
          <w:p w:rsidR="003F6466" w:rsidRPr="00857283" w:rsidRDefault="003F6466" w:rsidP="00AB75C0">
            <w:pPr>
              <w:ind w:left="122" w:right="120"/>
              <w:jc w:val="both"/>
              <w:rPr>
                <w:sz w:val="22"/>
                <w:szCs w:val="22"/>
              </w:rPr>
            </w:pPr>
            <w:r>
              <w:rPr>
                <w:sz w:val="22"/>
                <w:szCs w:val="22"/>
              </w:rPr>
              <w:t>Ex</w:t>
            </w:r>
            <w:r w:rsidRPr="007F35DC">
              <w:rPr>
                <w:sz w:val="22"/>
                <w:szCs w:val="22"/>
              </w:rPr>
              <w:t>clusão</w:t>
            </w:r>
            <w:r>
              <w:rPr>
                <w:sz w:val="22"/>
                <w:szCs w:val="22"/>
              </w:rPr>
              <w:t xml:space="preserve"> </w:t>
            </w:r>
            <w:r w:rsidRPr="007F35DC">
              <w:rPr>
                <w:sz w:val="22"/>
                <w:szCs w:val="22"/>
              </w:rPr>
              <w:t xml:space="preserve">dos </w:t>
            </w:r>
            <w:r w:rsidRPr="00857283">
              <w:rPr>
                <w:sz w:val="22"/>
                <w:szCs w:val="22"/>
              </w:rPr>
              <w:t>aditivos em frascos para uso automotivo</w:t>
            </w:r>
            <w:r>
              <w:rPr>
                <w:sz w:val="22"/>
                <w:szCs w:val="22"/>
              </w:rPr>
              <w:t xml:space="preserve"> e industrial d</w:t>
            </w:r>
            <w:r w:rsidRPr="007F35DC">
              <w:rPr>
                <w:sz w:val="22"/>
                <w:szCs w:val="22"/>
              </w:rPr>
              <w:t xml:space="preserve">o rol de </w:t>
            </w:r>
            <w:r>
              <w:rPr>
                <w:sz w:val="22"/>
                <w:szCs w:val="22"/>
              </w:rPr>
              <w:t xml:space="preserve">produtos </w:t>
            </w:r>
            <w:r w:rsidRPr="007F35DC">
              <w:rPr>
                <w:sz w:val="22"/>
                <w:szCs w:val="22"/>
              </w:rPr>
              <w:t>isentos</w:t>
            </w:r>
            <w:r>
              <w:rPr>
                <w:sz w:val="22"/>
                <w:szCs w:val="22"/>
              </w:rPr>
              <w:t xml:space="preserve"> de registro (Anexo III)</w:t>
            </w:r>
          </w:p>
        </w:tc>
        <w:tc>
          <w:tcPr>
            <w:tcW w:w="4253" w:type="dxa"/>
            <w:shd w:val="clear" w:color="auto" w:fill="FFFFFF"/>
            <w:tcMar>
              <w:top w:w="20" w:type="dxa"/>
              <w:left w:w="20" w:type="dxa"/>
              <w:bottom w:w="0" w:type="dxa"/>
              <w:right w:w="20" w:type="dxa"/>
            </w:tcMar>
            <w:vAlign w:val="center"/>
          </w:tcPr>
          <w:p w:rsidR="003F6466" w:rsidRPr="00857283" w:rsidRDefault="003F6466" w:rsidP="00AB75C0">
            <w:pPr>
              <w:autoSpaceDE w:val="0"/>
              <w:autoSpaceDN w:val="0"/>
              <w:adjustRightInd w:val="0"/>
              <w:ind w:left="122" w:right="120"/>
              <w:jc w:val="both"/>
              <w:rPr>
                <w:sz w:val="22"/>
                <w:szCs w:val="22"/>
              </w:rPr>
            </w:pPr>
            <w:r w:rsidRPr="00857283">
              <w:rPr>
                <w:sz w:val="22"/>
                <w:szCs w:val="22"/>
              </w:rPr>
              <w:t>A Comissão de Lubrificantes e Lubrificação do IBP é contra a isenção de registro para os aditivos em frasco para uso industrial e automotivo, considerando as observações feitas na própria Nota Técnica, a saber:</w:t>
            </w:r>
          </w:p>
          <w:p w:rsidR="003F6466" w:rsidRPr="00857283" w:rsidRDefault="003F6466" w:rsidP="00AB75C0">
            <w:pPr>
              <w:autoSpaceDE w:val="0"/>
              <w:autoSpaceDN w:val="0"/>
              <w:adjustRightInd w:val="0"/>
              <w:ind w:left="122" w:right="120"/>
              <w:jc w:val="both"/>
              <w:rPr>
                <w:sz w:val="22"/>
                <w:szCs w:val="22"/>
              </w:rPr>
            </w:pPr>
            <w:r w:rsidRPr="00857283">
              <w:rPr>
                <w:sz w:val="22"/>
                <w:szCs w:val="22"/>
              </w:rPr>
              <w:t>...Com isso, estará livre a entrada no mercado de outros agentes que não consideravam economicamente viável o investimento de realizar os testes exigidos para obtenção do registro (Sequência IIIF - ASTM).</w:t>
            </w:r>
          </w:p>
          <w:p w:rsidR="003F6466" w:rsidRPr="00857283" w:rsidRDefault="003F6466" w:rsidP="00AB75C0">
            <w:pPr>
              <w:autoSpaceDE w:val="0"/>
              <w:autoSpaceDN w:val="0"/>
              <w:adjustRightInd w:val="0"/>
              <w:ind w:left="122" w:right="120"/>
              <w:jc w:val="both"/>
              <w:rPr>
                <w:sz w:val="22"/>
                <w:szCs w:val="22"/>
              </w:rPr>
            </w:pPr>
            <w:r w:rsidRPr="00857283">
              <w:rPr>
                <w:sz w:val="22"/>
                <w:szCs w:val="22"/>
              </w:rPr>
              <w:t>...O uso de aditivos suplementares pode interferir no delicado balanço químico destas formulações, prejudicando a performance do pacote de aditivos. Esse desequilíbrio poderá causar efeitos colaterais como depósitos, desgaste, oxidação prematura do lubrificante, alterações na viscosidade, aumento no consumo de combustível, dentre outros.</w:t>
            </w:r>
          </w:p>
          <w:p w:rsidR="003F6466" w:rsidRPr="00857283" w:rsidRDefault="003F6466" w:rsidP="00AB75C0">
            <w:pPr>
              <w:autoSpaceDE w:val="0"/>
              <w:autoSpaceDN w:val="0"/>
              <w:adjustRightInd w:val="0"/>
              <w:ind w:left="122" w:right="120"/>
              <w:jc w:val="both"/>
              <w:rPr>
                <w:sz w:val="22"/>
                <w:szCs w:val="22"/>
              </w:rPr>
            </w:pPr>
            <w:r w:rsidRPr="00857283">
              <w:rPr>
                <w:sz w:val="22"/>
                <w:szCs w:val="22"/>
              </w:rPr>
              <w:t>...Diante do exposto, verifica-se que o uso dos aditivos aftermarket de lubrificantes pode causar danos ao veículo, perda de economia, perda da garantia entre outras consequências.</w:t>
            </w:r>
          </w:p>
          <w:p w:rsidR="003F6466" w:rsidRPr="00857283" w:rsidRDefault="003F6466" w:rsidP="00AB75C0">
            <w:pPr>
              <w:autoSpaceDE w:val="0"/>
              <w:autoSpaceDN w:val="0"/>
              <w:adjustRightInd w:val="0"/>
              <w:ind w:left="122" w:right="120"/>
              <w:jc w:val="both"/>
              <w:rPr>
                <w:sz w:val="22"/>
                <w:szCs w:val="22"/>
              </w:rPr>
            </w:pPr>
            <w:r w:rsidRPr="00857283">
              <w:rPr>
                <w:sz w:val="22"/>
                <w:szCs w:val="22"/>
              </w:rPr>
              <w:t>Além desses pontos, existe grande possibilidade de esses produtos provocarem contaminação ou danos aos sistemas de pós-tratamento disponíveis nos motores modernos, devido à contaminação de catalisadores por elementos químicos indesejáveis.</w:t>
            </w:r>
          </w:p>
          <w:p w:rsidR="003F6466" w:rsidRPr="00857283" w:rsidRDefault="003F6466" w:rsidP="00AB75C0">
            <w:pPr>
              <w:autoSpaceDE w:val="0"/>
              <w:autoSpaceDN w:val="0"/>
              <w:adjustRightInd w:val="0"/>
              <w:ind w:left="122" w:right="120"/>
              <w:jc w:val="both"/>
              <w:rPr>
                <w:sz w:val="22"/>
                <w:szCs w:val="22"/>
              </w:rPr>
            </w:pPr>
            <w:r w:rsidRPr="00857283">
              <w:rPr>
                <w:sz w:val="22"/>
                <w:szCs w:val="22"/>
              </w:rPr>
              <w:t>Nossa maior preocupação, e que nos leva a adotar essa posição contrária, é a de que com a isenção de registro e sem a proibição do uso, como é feita no caso dos óleos de motor com níveis mínimos de desempenho, poderá haver uma entrada de todo e qualquer tipo de produto, com a alegação de ser aditivo aftermarket, sem qualquer controle ou mesmo conhecimento do mercado. Nesse caso, vale rever principalmente as respostas da ANFAVEA e o interesse da ANP em proteger o consumidor final.</w:t>
            </w:r>
          </w:p>
          <w:p w:rsidR="003F6466" w:rsidRPr="00857283" w:rsidRDefault="003F6466" w:rsidP="00AB75C0">
            <w:pPr>
              <w:autoSpaceDE w:val="0"/>
              <w:autoSpaceDN w:val="0"/>
              <w:adjustRightInd w:val="0"/>
              <w:ind w:left="122" w:right="120"/>
              <w:jc w:val="both"/>
              <w:rPr>
                <w:sz w:val="22"/>
                <w:szCs w:val="22"/>
              </w:rPr>
            </w:pPr>
            <w:r w:rsidRPr="00857283">
              <w:rPr>
                <w:sz w:val="22"/>
                <w:szCs w:val="22"/>
              </w:rPr>
              <w:t>Confirmamos que, no nosso entender, o texto atual da Resolução 10 está, no momento, atendendo bem à questão dos aditivos aftermarket.</w:t>
            </w:r>
          </w:p>
        </w:tc>
        <w:tc>
          <w:tcPr>
            <w:tcW w:w="2693" w:type="dxa"/>
            <w:shd w:val="clear" w:color="auto" w:fill="FFFFFF"/>
            <w:vAlign w:val="center"/>
          </w:tcPr>
          <w:p w:rsidR="003F6466" w:rsidRDefault="003F6466" w:rsidP="00EF6F06">
            <w:pPr>
              <w:ind w:left="85" w:right="85"/>
              <w:jc w:val="both"/>
              <w:rPr>
                <w:sz w:val="22"/>
                <w:szCs w:val="22"/>
              </w:rPr>
            </w:pPr>
            <w:r>
              <w:rPr>
                <w:sz w:val="22"/>
                <w:szCs w:val="22"/>
              </w:rPr>
              <w:t>Idem ao anterior.</w:t>
            </w:r>
          </w:p>
        </w:tc>
      </w:tr>
      <w:tr w:rsidR="00A5271E" w:rsidRPr="00857283" w:rsidTr="00035EDD">
        <w:trPr>
          <w:trHeight w:val="670"/>
        </w:trPr>
        <w:tc>
          <w:tcPr>
            <w:tcW w:w="1560" w:type="dxa"/>
            <w:shd w:val="clear" w:color="auto" w:fill="FFFFFF"/>
            <w:vAlign w:val="center"/>
          </w:tcPr>
          <w:p w:rsidR="00A5271E" w:rsidRPr="00EA31F9" w:rsidRDefault="00A5271E" w:rsidP="002D183F">
            <w:pPr>
              <w:jc w:val="center"/>
              <w:rPr>
                <w:b/>
                <w:color w:val="000000"/>
                <w:sz w:val="22"/>
                <w:szCs w:val="22"/>
              </w:rPr>
            </w:pPr>
            <w:r w:rsidRPr="00EA31F9">
              <w:rPr>
                <w:b/>
                <w:color w:val="000000"/>
                <w:sz w:val="22"/>
                <w:szCs w:val="22"/>
              </w:rPr>
              <w:t>PHENIX LUB COM PRODS QUÍMICOS LTDA</w:t>
            </w:r>
          </w:p>
          <w:p w:rsidR="00A5271E" w:rsidRPr="00EA31F9" w:rsidRDefault="00A5271E" w:rsidP="00680449">
            <w:pPr>
              <w:jc w:val="center"/>
              <w:rPr>
                <w:b/>
                <w:bCs/>
                <w:color w:val="000000"/>
                <w:sz w:val="22"/>
                <w:szCs w:val="22"/>
              </w:rPr>
            </w:pPr>
          </w:p>
        </w:tc>
        <w:tc>
          <w:tcPr>
            <w:tcW w:w="3686" w:type="dxa"/>
            <w:shd w:val="clear" w:color="auto" w:fill="FFFFFF"/>
            <w:tcMar>
              <w:top w:w="20" w:type="dxa"/>
              <w:left w:w="20" w:type="dxa"/>
              <w:bottom w:w="0" w:type="dxa"/>
              <w:right w:w="20" w:type="dxa"/>
            </w:tcMar>
            <w:vAlign w:val="center"/>
          </w:tcPr>
          <w:p w:rsidR="00A5271E" w:rsidRPr="00EA31F9" w:rsidRDefault="00A5271E" w:rsidP="002D183F">
            <w:pPr>
              <w:ind w:left="122" w:right="122"/>
              <w:jc w:val="center"/>
              <w:rPr>
                <w:b/>
                <w:bCs/>
                <w:color w:val="000000"/>
                <w:sz w:val="22"/>
                <w:szCs w:val="22"/>
              </w:rPr>
            </w:pPr>
            <w:r w:rsidRPr="00EA31F9">
              <w:rPr>
                <w:sz w:val="22"/>
                <w:szCs w:val="22"/>
              </w:rPr>
              <w:t xml:space="preserve">Isenção de registro </w:t>
            </w:r>
            <w:r>
              <w:rPr>
                <w:sz w:val="22"/>
                <w:szCs w:val="22"/>
              </w:rPr>
              <w:t>– Aditivo a</w:t>
            </w:r>
            <w:r w:rsidRPr="00EA31F9">
              <w:rPr>
                <w:sz w:val="22"/>
                <w:szCs w:val="22"/>
              </w:rPr>
              <w:t>ftermarket</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Pr>
                <w:sz w:val="22"/>
                <w:szCs w:val="22"/>
              </w:rPr>
              <w:t>Manutenção do registro de aditivos e retirada da exigência da sequência IIIF para o registro.</w:t>
            </w:r>
          </w:p>
        </w:tc>
        <w:tc>
          <w:tcPr>
            <w:tcW w:w="4253" w:type="dxa"/>
            <w:shd w:val="clear" w:color="auto" w:fill="FFFFFF"/>
            <w:tcMar>
              <w:top w:w="20" w:type="dxa"/>
              <w:left w:w="20" w:type="dxa"/>
              <w:bottom w:w="0" w:type="dxa"/>
              <w:right w:w="20" w:type="dxa"/>
            </w:tcMar>
            <w:vAlign w:val="center"/>
          </w:tcPr>
          <w:p w:rsidR="00A5271E" w:rsidRPr="00857283" w:rsidRDefault="00F33DBD" w:rsidP="00F33DBD">
            <w:pPr>
              <w:ind w:left="122" w:right="120"/>
              <w:jc w:val="both"/>
              <w:rPr>
                <w:sz w:val="22"/>
                <w:szCs w:val="22"/>
              </w:rPr>
            </w:pPr>
            <w:r>
              <w:rPr>
                <w:sz w:val="22"/>
                <w:szCs w:val="22"/>
              </w:rPr>
              <w:t>N</w:t>
            </w:r>
            <w:r w:rsidRPr="00344D9E">
              <w:rPr>
                <w:sz w:val="22"/>
                <w:szCs w:val="22"/>
              </w:rPr>
              <w:t>ão somos contra o registro de aditivos aftermarket, no entanto no</w:t>
            </w:r>
            <w:r>
              <w:rPr>
                <w:sz w:val="22"/>
                <w:szCs w:val="22"/>
              </w:rPr>
              <w:t xml:space="preserve"> </w:t>
            </w:r>
            <w:r w:rsidRPr="00344D9E">
              <w:rPr>
                <w:sz w:val="22"/>
                <w:szCs w:val="22"/>
              </w:rPr>
              <w:t>aditivo de óleo do motor, gostaríamos que o processo de registro fosse</w:t>
            </w:r>
            <w:r>
              <w:rPr>
                <w:sz w:val="22"/>
                <w:szCs w:val="22"/>
              </w:rPr>
              <w:t xml:space="preserve"> </w:t>
            </w:r>
            <w:r w:rsidRPr="00344D9E">
              <w:rPr>
                <w:sz w:val="22"/>
                <w:szCs w:val="22"/>
              </w:rPr>
              <w:t xml:space="preserve">alterado, com a retirada do teste de desempenho sequência </w:t>
            </w:r>
            <w:r>
              <w:rPr>
                <w:sz w:val="22"/>
                <w:szCs w:val="22"/>
              </w:rPr>
              <w:t>IIIF.</w:t>
            </w:r>
          </w:p>
        </w:tc>
        <w:tc>
          <w:tcPr>
            <w:tcW w:w="2693" w:type="dxa"/>
            <w:shd w:val="clear" w:color="auto" w:fill="FFFFFF"/>
            <w:vAlign w:val="center"/>
          </w:tcPr>
          <w:p w:rsidR="00A5271E" w:rsidRPr="00857283" w:rsidRDefault="00EF6F06" w:rsidP="00680449">
            <w:pPr>
              <w:ind w:left="85" w:right="85"/>
              <w:jc w:val="both"/>
              <w:rPr>
                <w:sz w:val="22"/>
                <w:szCs w:val="22"/>
              </w:rPr>
            </w:pPr>
            <w:r>
              <w:rPr>
                <w:sz w:val="22"/>
                <w:szCs w:val="22"/>
              </w:rPr>
              <w:t>O aditivo aftermarket não pode ser considerado um produto essencial. A manutenção de registro para esse tipo de produto sem a exigência de testes “no harm” tornaria o registro inócuo.</w:t>
            </w:r>
          </w:p>
        </w:tc>
      </w:tr>
      <w:tr w:rsidR="003F6466" w:rsidRPr="00857283" w:rsidTr="00035EDD">
        <w:trPr>
          <w:trHeight w:val="670"/>
        </w:trPr>
        <w:tc>
          <w:tcPr>
            <w:tcW w:w="1560" w:type="dxa"/>
            <w:shd w:val="clear" w:color="auto" w:fill="FFFFFF"/>
            <w:vAlign w:val="center"/>
          </w:tcPr>
          <w:p w:rsidR="003F6466" w:rsidRPr="00C20AA7" w:rsidRDefault="003F6466" w:rsidP="00AB75C0">
            <w:pPr>
              <w:ind w:left="142" w:right="141"/>
              <w:jc w:val="center"/>
              <w:rPr>
                <w:b/>
                <w:sz w:val="22"/>
                <w:szCs w:val="22"/>
              </w:rPr>
            </w:pPr>
            <w:r w:rsidRPr="00EA31F9">
              <w:rPr>
                <w:b/>
                <w:sz w:val="22"/>
                <w:szCs w:val="22"/>
              </w:rPr>
              <w:t>Laborat</w:t>
            </w:r>
            <w:r>
              <w:rPr>
                <w:b/>
                <w:sz w:val="22"/>
                <w:szCs w:val="22"/>
              </w:rPr>
              <w:t>órios Universal Ind. e Com. Ltda.</w:t>
            </w:r>
          </w:p>
        </w:tc>
        <w:tc>
          <w:tcPr>
            <w:tcW w:w="3686" w:type="dxa"/>
            <w:shd w:val="clear" w:color="auto" w:fill="FFFFFF"/>
            <w:tcMar>
              <w:top w:w="20" w:type="dxa"/>
              <w:left w:w="20" w:type="dxa"/>
              <w:bottom w:w="0" w:type="dxa"/>
              <w:right w:w="20" w:type="dxa"/>
            </w:tcMar>
            <w:vAlign w:val="center"/>
          </w:tcPr>
          <w:p w:rsidR="003F6466" w:rsidRPr="00EA31F9" w:rsidRDefault="003F6466" w:rsidP="00AB75C0">
            <w:pPr>
              <w:ind w:left="122" w:right="122"/>
              <w:jc w:val="center"/>
              <w:rPr>
                <w:b/>
                <w:sz w:val="22"/>
                <w:szCs w:val="22"/>
              </w:rPr>
            </w:pPr>
            <w:r>
              <w:rPr>
                <w:sz w:val="22"/>
                <w:szCs w:val="22"/>
              </w:rPr>
              <w:t>Isenção de registro – aditivo aftermarket</w:t>
            </w:r>
          </w:p>
        </w:tc>
        <w:tc>
          <w:tcPr>
            <w:tcW w:w="3827" w:type="dxa"/>
            <w:shd w:val="clear" w:color="auto" w:fill="FFFFFF"/>
            <w:tcMar>
              <w:top w:w="20" w:type="dxa"/>
              <w:left w:w="20" w:type="dxa"/>
              <w:bottom w:w="0" w:type="dxa"/>
              <w:right w:w="20" w:type="dxa"/>
            </w:tcMar>
            <w:vAlign w:val="center"/>
          </w:tcPr>
          <w:p w:rsidR="003F6466" w:rsidRDefault="003F6466" w:rsidP="00AB75C0">
            <w:pPr>
              <w:pStyle w:val="Default"/>
              <w:ind w:left="122" w:right="122"/>
              <w:jc w:val="both"/>
              <w:rPr>
                <w:sz w:val="23"/>
                <w:szCs w:val="23"/>
              </w:rPr>
            </w:pPr>
          </w:p>
          <w:p w:rsidR="003F6466" w:rsidRDefault="003F6466" w:rsidP="00AB75C0">
            <w:pPr>
              <w:ind w:left="122" w:right="122"/>
              <w:jc w:val="both"/>
              <w:rPr>
                <w:sz w:val="23"/>
                <w:szCs w:val="23"/>
              </w:rPr>
            </w:pPr>
          </w:p>
          <w:p w:rsidR="003F6466" w:rsidRPr="00857283" w:rsidRDefault="003F6466" w:rsidP="00AB75C0">
            <w:pPr>
              <w:autoSpaceDE w:val="0"/>
              <w:autoSpaceDN w:val="0"/>
              <w:adjustRightInd w:val="0"/>
              <w:ind w:left="122" w:right="122"/>
              <w:jc w:val="both"/>
              <w:rPr>
                <w:sz w:val="22"/>
                <w:szCs w:val="22"/>
              </w:rPr>
            </w:pPr>
            <w:r>
              <w:rPr>
                <w:sz w:val="23"/>
                <w:szCs w:val="23"/>
              </w:rPr>
              <w:t>III.1 – Para os aditivos em frascos para o uso automotivo, será requerido o registro (assim como os óleos lubrificantes automotivos) quando o CPT/ANP regulamentar uma metodologia de analise de desempenho de lubrificantes automotivos desenvolvida por instituições brasileiras, utilizando motores com sistema flex (queimam a mistura de álcool e gasolina em qualquer proporção).</w:t>
            </w:r>
          </w:p>
        </w:tc>
        <w:tc>
          <w:tcPr>
            <w:tcW w:w="4253" w:type="dxa"/>
            <w:shd w:val="clear" w:color="auto" w:fill="FFFFFF"/>
            <w:tcMar>
              <w:top w:w="20" w:type="dxa"/>
              <w:left w:w="20" w:type="dxa"/>
              <w:bottom w:w="0" w:type="dxa"/>
              <w:right w:w="20" w:type="dxa"/>
            </w:tcMar>
            <w:vAlign w:val="center"/>
          </w:tcPr>
          <w:p w:rsidR="003F6466" w:rsidRPr="00CE2799" w:rsidRDefault="003F6466" w:rsidP="00AB75C0">
            <w:pPr>
              <w:pStyle w:val="Default"/>
              <w:ind w:left="122" w:right="120"/>
              <w:jc w:val="both"/>
              <w:rPr>
                <w:sz w:val="23"/>
                <w:szCs w:val="23"/>
              </w:rPr>
            </w:pPr>
            <w:r w:rsidRPr="00CE2799">
              <w:rPr>
                <w:sz w:val="23"/>
                <w:szCs w:val="23"/>
              </w:rPr>
              <w:t>Entendemos que, para que possamos ter uma evolução harmônica dentro do Sistema de Regulação, induzindo o setor produtivo ao desenvolvimento e crescimento tecnológico, é necessário que as co</w:t>
            </w:r>
            <w:r>
              <w:rPr>
                <w:sz w:val="23"/>
                <w:szCs w:val="23"/>
              </w:rPr>
              <w:t>ndições sejam justas e lógicas</w:t>
            </w:r>
            <w:r w:rsidRPr="00CE2799">
              <w:rPr>
                <w:sz w:val="23"/>
                <w:szCs w:val="23"/>
              </w:rPr>
              <w:t>, a fim de não h</w:t>
            </w:r>
            <w:r>
              <w:rPr>
                <w:sz w:val="23"/>
                <w:szCs w:val="23"/>
              </w:rPr>
              <w:t>aver possibilidade de desigualdades entre o tratamento aos agentes econômicos</w:t>
            </w:r>
            <w:r w:rsidRPr="00CE2799">
              <w:rPr>
                <w:sz w:val="23"/>
                <w:szCs w:val="23"/>
              </w:rPr>
              <w:t>.</w:t>
            </w:r>
          </w:p>
          <w:p w:rsidR="003F6466" w:rsidRPr="00CE2799" w:rsidRDefault="003F6466" w:rsidP="00AB75C0">
            <w:pPr>
              <w:pStyle w:val="Default"/>
              <w:ind w:left="122" w:right="120"/>
              <w:jc w:val="both"/>
              <w:rPr>
                <w:sz w:val="23"/>
                <w:szCs w:val="23"/>
              </w:rPr>
            </w:pPr>
            <w:r w:rsidRPr="00CE2799">
              <w:rPr>
                <w:sz w:val="23"/>
                <w:szCs w:val="23"/>
              </w:rPr>
              <w:t>No caso da exigência do ensaio SEQUENCIA IIIF, para que o setor produtivo possa atender as exigências colocadas, é necessário que haja disponibilidade no mercado brasileiro de</w:t>
            </w:r>
            <w:r>
              <w:rPr>
                <w:sz w:val="23"/>
                <w:szCs w:val="23"/>
              </w:rPr>
              <w:t xml:space="preserve"> l</w:t>
            </w:r>
            <w:r w:rsidRPr="00CE2799">
              <w:rPr>
                <w:sz w:val="23"/>
                <w:szCs w:val="23"/>
              </w:rPr>
              <w:t>aboratórios que executem estes ensaios, de uma maneira acessível, cujos custos/benefícios torna democrática esta determinação.</w:t>
            </w:r>
          </w:p>
          <w:p w:rsidR="003F6466" w:rsidRDefault="003F6466" w:rsidP="00AB75C0">
            <w:pPr>
              <w:pStyle w:val="Default"/>
              <w:ind w:left="122" w:right="120"/>
              <w:jc w:val="both"/>
              <w:rPr>
                <w:sz w:val="23"/>
                <w:szCs w:val="23"/>
              </w:rPr>
            </w:pPr>
            <w:r w:rsidRPr="00CE2799">
              <w:rPr>
                <w:sz w:val="23"/>
                <w:szCs w:val="23"/>
              </w:rPr>
              <w:t xml:space="preserve">Nossa posição é que este ensaio deverá ser realizado </w:t>
            </w:r>
            <w:r>
              <w:rPr>
                <w:sz w:val="23"/>
                <w:szCs w:val="23"/>
              </w:rPr>
              <w:t xml:space="preserve">pelas empresas </w:t>
            </w:r>
            <w:r w:rsidRPr="00CE2799">
              <w:rPr>
                <w:sz w:val="23"/>
                <w:szCs w:val="23"/>
              </w:rPr>
              <w:t xml:space="preserve">somente no Brasil, pois o ensaio que as multinacionais realizam no exterior não pode ser validado no nosso país, nem por tradução juramentada, devido </w:t>
            </w:r>
            <w:r>
              <w:rPr>
                <w:sz w:val="23"/>
                <w:szCs w:val="23"/>
              </w:rPr>
              <w:t xml:space="preserve">a grande diferença de </w:t>
            </w:r>
            <w:r w:rsidRPr="00CE2799">
              <w:rPr>
                <w:sz w:val="23"/>
                <w:szCs w:val="23"/>
              </w:rPr>
              <w:t xml:space="preserve">condições climáticas, </w:t>
            </w:r>
            <w:r>
              <w:rPr>
                <w:sz w:val="23"/>
                <w:szCs w:val="23"/>
              </w:rPr>
              <w:t xml:space="preserve">óleos </w:t>
            </w:r>
            <w:r w:rsidRPr="00CE2799">
              <w:rPr>
                <w:sz w:val="23"/>
                <w:szCs w:val="23"/>
              </w:rPr>
              <w:t>básicos</w:t>
            </w:r>
            <w:r>
              <w:rPr>
                <w:sz w:val="23"/>
                <w:szCs w:val="23"/>
              </w:rPr>
              <w:t xml:space="preserve"> e</w:t>
            </w:r>
            <w:r w:rsidRPr="00CE2799">
              <w:rPr>
                <w:sz w:val="23"/>
                <w:szCs w:val="23"/>
              </w:rPr>
              <w:t xml:space="preserve"> aditivos</w:t>
            </w:r>
            <w:r>
              <w:rPr>
                <w:sz w:val="23"/>
                <w:szCs w:val="23"/>
              </w:rPr>
              <w:t xml:space="preserve"> utilizados, tipo de combustível, tecnologia de motor</w:t>
            </w:r>
            <w:r w:rsidRPr="00CE2799">
              <w:rPr>
                <w:sz w:val="23"/>
                <w:szCs w:val="23"/>
              </w:rPr>
              <w:t xml:space="preserve"> e outras </w:t>
            </w:r>
            <w:r>
              <w:rPr>
                <w:sz w:val="23"/>
                <w:szCs w:val="23"/>
              </w:rPr>
              <w:t xml:space="preserve">condições que diferem </w:t>
            </w:r>
            <w:r w:rsidRPr="00CE2799">
              <w:rPr>
                <w:sz w:val="23"/>
                <w:szCs w:val="23"/>
              </w:rPr>
              <w:t xml:space="preserve">o </w:t>
            </w:r>
            <w:r>
              <w:rPr>
                <w:sz w:val="23"/>
                <w:szCs w:val="23"/>
              </w:rPr>
              <w:t>mercado brasileiro</w:t>
            </w:r>
            <w:r w:rsidRPr="00CE2799">
              <w:rPr>
                <w:sz w:val="23"/>
                <w:szCs w:val="23"/>
              </w:rPr>
              <w:t xml:space="preserve"> </w:t>
            </w:r>
            <w:r>
              <w:rPr>
                <w:sz w:val="23"/>
                <w:szCs w:val="23"/>
              </w:rPr>
              <w:t>d</w:t>
            </w:r>
            <w:r w:rsidRPr="00CE2799">
              <w:rPr>
                <w:sz w:val="23"/>
                <w:szCs w:val="23"/>
              </w:rPr>
              <w:t>o exterior.</w:t>
            </w:r>
            <w:r>
              <w:rPr>
                <w:sz w:val="23"/>
                <w:szCs w:val="23"/>
              </w:rPr>
              <w:t xml:space="preserve"> Além disso, ainda existe o pagamento de “royalties” ou direitos autorais à API, para laboratórios que executarem o ensaio.</w:t>
            </w:r>
          </w:p>
          <w:p w:rsidR="003F6466" w:rsidRPr="00CE2799" w:rsidRDefault="003F6466" w:rsidP="00AB75C0">
            <w:pPr>
              <w:pStyle w:val="Default"/>
              <w:ind w:left="122" w:right="120"/>
              <w:jc w:val="both"/>
              <w:rPr>
                <w:sz w:val="23"/>
                <w:szCs w:val="23"/>
              </w:rPr>
            </w:pPr>
          </w:p>
          <w:p w:rsidR="003F6466" w:rsidRDefault="003F6466" w:rsidP="00AB75C0">
            <w:pPr>
              <w:pStyle w:val="Default"/>
              <w:ind w:left="122" w:right="120"/>
              <w:jc w:val="both"/>
              <w:rPr>
                <w:sz w:val="23"/>
                <w:szCs w:val="23"/>
              </w:rPr>
            </w:pPr>
            <w:r>
              <w:rPr>
                <w:sz w:val="23"/>
                <w:szCs w:val="23"/>
              </w:rPr>
              <w:t>Nossa proposta é que a ANP solicite</w:t>
            </w:r>
            <w:r w:rsidRPr="00CE2799">
              <w:rPr>
                <w:sz w:val="23"/>
                <w:szCs w:val="23"/>
              </w:rPr>
              <w:t xml:space="preserve"> aos Órgãos Minist</w:t>
            </w:r>
            <w:r>
              <w:rPr>
                <w:sz w:val="23"/>
                <w:szCs w:val="23"/>
              </w:rPr>
              <w:t>eriais da Ciência e Tecnologia; Indústria e Comércio;</w:t>
            </w:r>
            <w:r w:rsidRPr="00CE2799">
              <w:rPr>
                <w:sz w:val="23"/>
                <w:szCs w:val="23"/>
              </w:rPr>
              <w:t xml:space="preserve"> da Educação e outros que</w:t>
            </w:r>
            <w:r>
              <w:rPr>
                <w:sz w:val="23"/>
                <w:szCs w:val="23"/>
              </w:rPr>
              <w:t>,</w:t>
            </w:r>
            <w:r w:rsidRPr="00CE2799">
              <w:rPr>
                <w:sz w:val="23"/>
                <w:szCs w:val="23"/>
              </w:rPr>
              <w:t xml:space="preserve"> </w:t>
            </w:r>
            <w:r>
              <w:rPr>
                <w:sz w:val="23"/>
                <w:szCs w:val="23"/>
              </w:rPr>
              <w:t>desenvolva uma Metodologia ou Procedimento similar ao ensaios da Sequencia IIIF, com motores flex, que utilizam a mistura entre álcool e gasolina em qualquer proporção, o que é a realidade do mercado brasileiro.</w:t>
            </w:r>
          </w:p>
          <w:p w:rsidR="003F6466" w:rsidRPr="007E1556" w:rsidRDefault="003F6466" w:rsidP="00AB75C0">
            <w:pPr>
              <w:pStyle w:val="Default"/>
              <w:ind w:left="122" w:right="120"/>
              <w:jc w:val="both"/>
            </w:pPr>
            <w:r>
              <w:rPr>
                <w:sz w:val="23"/>
                <w:szCs w:val="23"/>
              </w:rPr>
              <w:t>Desta maneira, os Órgãos Governamentais podem</w:t>
            </w:r>
            <w:r w:rsidRPr="00CE2799">
              <w:rPr>
                <w:sz w:val="23"/>
                <w:szCs w:val="23"/>
              </w:rPr>
              <w:t xml:space="preserve"> colaborar como a</w:t>
            </w:r>
            <w:r>
              <w:rPr>
                <w:sz w:val="23"/>
                <w:szCs w:val="23"/>
              </w:rPr>
              <w:t xml:space="preserve">gentes facilitadores de </w:t>
            </w:r>
            <w:r w:rsidRPr="00CE2799">
              <w:rPr>
                <w:sz w:val="23"/>
                <w:szCs w:val="23"/>
              </w:rPr>
              <w:t>nacionalização de tecnologias para o setor produtivo</w:t>
            </w:r>
            <w:r>
              <w:rPr>
                <w:sz w:val="23"/>
                <w:szCs w:val="23"/>
              </w:rPr>
              <w:t>, onde será formada mão de obra qualificada</w:t>
            </w:r>
            <w:r w:rsidRPr="00CE2799">
              <w:rPr>
                <w:sz w:val="23"/>
                <w:szCs w:val="23"/>
              </w:rPr>
              <w:t xml:space="preserve"> </w:t>
            </w:r>
            <w:r>
              <w:rPr>
                <w:sz w:val="23"/>
                <w:szCs w:val="23"/>
              </w:rPr>
              <w:t xml:space="preserve">no mercado brasileiro </w:t>
            </w:r>
            <w:r w:rsidRPr="00CE2799">
              <w:rPr>
                <w:sz w:val="23"/>
                <w:szCs w:val="23"/>
              </w:rPr>
              <w:t>e</w:t>
            </w:r>
            <w:r>
              <w:rPr>
                <w:sz w:val="23"/>
                <w:szCs w:val="23"/>
              </w:rPr>
              <w:t>,</w:t>
            </w:r>
            <w:r w:rsidRPr="00CE2799">
              <w:rPr>
                <w:sz w:val="23"/>
                <w:szCs w:val="23"/>
              </w:rPr>
              <w:t xml:space="preserve"> inclusive para o CPT/ANP também, que poderá rodar estes ensaios em seus laboratórios conferindo as informações prestadas pelas indústrias.</w:t>
            </w:r>
          </w:p>
          <w:p w:rsidR="003F6466" w:rsidRDefault="003F6466" w:rsidP="00AB75C0">
            <w:pPr>
              <w:pStyle w:val="Default"/>
              <w:ind w:left="122" w:right="120"/>
              <w:jc w:val="both"/>
              <w:rPr>
                <w:color w:val="auto"/>
                <w:sz w:val="23"/>
                <w:szCs w:val="23"/>
              </w:rPr>
            </w:pPr>
          </w:p>
          <w:p w:rsidR="003F6466" w:rsidRDefault="003F6466" w:rsidP="00AB75C0">
            <w:pPr>
              <w:pStyle w:val="Default"/>
              <w:ind w:left="122" w:right="120"/>
              <w:jc w:val="both"/>
              <w:rPr>
                <w:color w:val="auto"/>
                <w:sz w:val="23"/>
                <w:szCs w:val="23"/>
              </w:rPr>
            </w:pPr>
            <w:r>
              <w:rPr>
                <w:color w:val="auto"/>
                <w:sz w:val="23"/>
                <w:szCs w:val="23"/>
              </w:rPr>
              <w:t>O desenvolvimento de uma metodologia nacional também permitirá que as empresas se aproximem de maneira mais realistas as condições brasileiras.</w:t>
            </w:r>
          </w:p>
          <w:p w:rsidR="003F6466" w:rsidRDefault="003F6466" w:rsidP="00AB75C0">
            <w:pPr>
              <w:pStyle w:val="Default"/>
              <w:ind w:left="122" w:right="120"/>
              <w:jc w:val="both"/>
              <w:rPr>
                <w:color w:val="auto"/>
                <w:sz w:val="23"/>
                <w:szCs w:val="23"/>
              </w:rPr>
            </w:pPr>
            <w:r>
              <w:rPr>
                <w:color w:val="auto"/>
                <w:sz w:val="23"/>
                <w:szCs w:val="23"/>
              </w:rPr>
              <w:t>Outro fator é que o desenvolvimento de uma metodologia nacional fará com que os motores a serem utilizados sejam fabricados no Brasil, fazendo com que as empresas fabricantes de motores invistam no processo de fabricação, uma vez que será necessário a fabricação de motores padrões.</w:t>
            </w:r>
          </w:p>
          <w:p w:rsidR="003F6466" w:rsidRPr="00385AF4" w:rsidRDefault="003F6466" w:rsidP="00AB75C0">
            <w:pPr>
              <w:pStyle w:val="Default"/>
              <w:ind w:left="122" w:right="120"/>
              <w:jc w:val="both"/>
              <w:rPr>
                <w:color w:val="auto"/>
                <w:sz w:val="23"/>
                <w:szCs w:val="23"/>
              </w:rPr>
            </w:pPr>
          </w:p>
          <w:p w:rsidR="003F6466" w:rsidRPr="00C224E0" w:rsidRDefault="003F6466" w:rsidP="00AB75C0">
            <w:pPr>
              <w:pStyle w:val="Default"/>
              <w:ind w:left="122" w:right="120"/>
              <w:jc w:val="both"/>
              <w:rPr>
                <w:rFonts w:ascii="Arial" w:eastAsia="Arial Unicode MS" w:hAnsi="Arial" w:cs="Arial"/>
                <w:i/>
              </w:rPr>
            </w:pPr>
            <w:r w:rsidRPr="00385AF4">
              <w:rPr>
                <w:color w:val="auto"/>
                <w:sz w:val="23"/>
                <w:szCs w:val="23"/>
              </w:rPr>
              <w:t>Nossa maior preocupação, e que</w:t>
            </w:r>
            <w:r>
              <w:rPr>
                <w:color w:val="auto"/>
                <w:sz w:val="23"/>
                <w:szCs w:val="23"/>
              </w:rPr>
              <w:t>,</w:t>
            </w:r>
            <w:r w:rsidRPr="00385AF4">
              <w:rPr>
                <w:color w:val="auto"/>
                <w:sz w:val="23"/>
                <w:szCs w:val="23"/>
              </w:rPr>
              <w:t xml:space="preserve"> nos leva a adotar essa posição</w:t>
            </w:r>
            <w:r>
              <w:rPr>
                <w:color w:val="auto"/>
                <w:sz w:val="23"/>
                <w:szCs w:val="23"/>
              </w:rPr>
              <w:t>,</w:t>
            </w:r>
            <w:r w:rsidRPr="00385AF4">
              <w:rPr>
                <w:color w:val="auto"/>
                <w:sz w:val="23"/>
                <w:szCs w:val="23"/>
              </w:rPr>
              <w:t xml:space="preserve"> </w:t>
            </w:r>
            <w:r>
              <w:rPr>
                <w:color w:val="auto"/>
                <w:sz w:val="23"/>
                <w:szCs w:val="23"/>
              </w:rPr>
              <w:t>é</w:t>
            </w:r>
            <w:r w:rsidRPr="0091441C">
              <w:rPr>
                <w:sz w:val="23"/>
                <w:szCs w:val="23"/>
              </w:rPr>
              <w:t xml:space="preserve"> que o </w:t>
            </w:r>
            <w:r>
              <w:rPr>
                <w:sz w:val="23"/>
                <w:szCs w:val="23"/>
              </w:rPr>
              <w:t>texto atual da Resolução 10 não é democrático no momento,</w:t>
            </w:r>
            <w:r w:rsidRPr="0091441C">
              <w:rPr>
                <w:sz w:val="23"/>
                <w:szCs w:val="23"/>
              </w:rPr>
              <w:t xml:space="preserve"> à questão dos aditivos </w:t>
            </w:r>
            <w:r w:rsidRPr="0091441C">
              <w:rPr>
                <w:i/>
                <w:sz w:val="23"/>
                <w:szCs w:val="23"/>
              </w:rPr>
              <w:t>aftermarket</w:t>
            </w:r>
            <w:r>
              <w:rPr>
                <w:i/>
                <w:sz w:val="23"/>
                <w:szCs w:val="23"/>
              </w:rPr>
              <w:t xml:space="preserve">  </w:t>
            </w:r>
          </w:p>
        </w:tc>
        <w:tc>
          <w:tcPr>
            <w:tcW w:w="2693" w:type="dxa"/>
            <w:shd w:val="clear" w:color="auto" w:fill="FFFFFF"/>
            <w:vAlign w:val="center"/>
          </w:tcPr>
          <w:p w:rsidR="003F6466" w:rsidRPr="00857283" w:rsidRDefault="003F6466" w:rsidP="00680449">
            <w:pPr>
              <w:autoSpaceDE w:val="0"/>
              <w:autoSpaceDN w:val="0"/>
              <w:adjustRightInd w:val="0"/>
              <w:ind w:left="141"/>
              <w:jc w:val="both"/>
              <w:rPr>
                <w:sz w:val="22"/>
                <w:szCs w:val="22"/>
              </w:rPr>
            </w:pPr>
            <w:r>
              <w:rPr>
                <w:sz w:val="22"/>
                <w:szCs w:val="22"/>
              </w:rPr>
              <w:t>Idem ao anterior.</w:t>
            </w:r>
          </w:p>
        </w:tc>
      </w:tr>
      <w:tr w:rsidR="00A5271E" w:rsidRPr="00857283" w:rsidTr="00035EDD">
        <w:trPr>
          <w:trHeight w:val="670"/>
        </w:trPr>
        <w:tc>
          <w:tcPr>
            <w:tcW w:w="1560" w:type="dxa"/>
            <w:shd w:val="clear" w:color="auto" w:fill="FFFFFF"/>
            <w:vAlign w:val="center"/>
          </w:tcPr>
          <w:p w:rsidR="00A5271E" w:rsidRPr="00EA31F9" w:rsidRDefault="00A5271E" w:rsidP="00680449">
            <w:pPr>
              <w:jc w:val="center"/>
              <w:rPr>
                <w:b/>
                <w:bCs/>
                <w:color w:val="000000"/>
                <w:sz w:val="22"/>
                <w:szCs w:val="22"/>
              </w:rPr>
            </w:pPr>
            <w:r w:rsidRPr="00EA31F9">
              <w:rPr>
                <w:b/>
                <w:sz w:val="22"/>
                <w:szCs w:val="22"/>
              </w:rPr>
              <w:t>GC Industrial Importadora e Exportadora de Lubrificantes Ltda</w:t>
            </w:r>
          </w:p>
        </w:tc>
        <w:tc>
          <w:tcPr>
            <w:tcW w:w="3686" w:type="dxa"/>
            <w:shd w:val="clear" w:color="auto" w:fill="FFFFFF"/>
            <w:tcMar>
              <w:top w:w="20" w:type="dxa"/>
              <w:left w:w="20" w:type="dxa"/>
              <w:bottom w:w="0" w:type="dxa"/>
              <w:right w:w="20" w:type="dxa"/>
            </w:tcMar>
            <w:vAlign w:val="center"/>
          </w:tcPr>
          <w:p w:rsidR="00A5271E" w:rsidRPr="00EA31F9" w:rsidRDefault="00A5271E" w:rsidP="002D183F">
            <w:pPr>
              <w:ind w:left="122" w:right="122"/>
              <w:jc w:val="both"/>
              <w:rPr>
                <w:rFonts w:eastAsia="Arial Unicode MS"/>
                <w:b/>
                <w:bCs/>
                <w:color w:val="000000"/>
                <w:sz w:val="22"/>
                <w:szCs w:val="22"/>
              </w:rPr>
            </w:pPr>
            <w:r>
              <w:rPr>
                <w:b/>
                <w:bCs/>
                <w:color w:val="000000"/>
                <w:sz w:val="22"/>
                <w:szCs w:val="22"/>
              </w:rPr>
              <w:t>Isenção de registro. “</w:t>
            </w:r>
            <w:r w:rsidRPr="00EA31F9">
              <w:rPr>
                <w:sz w:val="22"/>
                <w:szCs w:val="22"/>
              </w:rPr>
              <w:t xml:space="preserve">No caso dos aditivos </w:t>
            </w:r>
            <w:r w:rsidRPr="00EA31F9">
              <w:rPr>
                <w:i/>
                <w:iCs/>
                <w:sz w:val="22"/>
                <w:szCs w:val="22"/>
              </w:rPr>
              <w:t>aftermarket</w:t>
            </w:r>
            <w:r w:rsidRPr="00EA31F9">
              <w:rPr>
                <w:sz w:val="22"/>
                <w:szCs w:val="22"/>
              </w:rPr>
              <w:t>, a isenção de registro se justifica por esses produtos não serem considerados essenciais para o bom funcionamento do motor. Deixar de exigir o registro prévio desses produtos propiciaria à ANP focar suas ações na garantia da qualidade de produtos que nitidamente necessitam de maior controle, que é o caso dos óleos lubrificantes e os combustíveis automotivos. Adiante tratamos sobre os problemas que podem ser causados ao motor do veículo pelo uso desse tipo de produto.</w:t>
            </w:r>
            <w:r>
              <w:rPr>
                <w:sz w:val="22"/>
                <w:szCs w:val="22"/>
              </w:rPr>
              <w:t>”</w:t>
            </w:r>
          </w:p>
        </w:tc>
        <w:tc>
          <w:tcPr>
            <w:tcW w:w="3827" w:type="dxa"/>
            <w:shd w:val="clear" w:color="auto" w:fill="FFFFFF"/>
            <w:tcMar>
              <w:top w:w="20" w:type="dxa"/>
              <w:left w:w="20" w:type="dxa"/>
              <w:bottom w:w="0" w:type="dxa"/>
              <w:right w:w="20" w:type="dxa"/>
            </w:tcMar>
            <w:vAlign w:val="center"/>
          </w:tcPr>
          <w:p w:rsidR="00A5271E" w:rsidRPr="00344D9E" w:rsidRDefault="00A5271E" w:rsidP="00C20AA7">
            <w:pPr>
              <w:autoSpaceDE w:val="0"/>
              <w:autoSpaceDN w:val="0"/>
              <w:adjustRightInd w:val="0"/>
              <w:ind w:left="122" w:right="122"/>
              <w:jc w:val="both"/>
              <w:rPr>
                <w:sz w:val="22"/>
                <w:szCs w:val="22"/>
              </w:rPr>
            </w:pPr>
            <w:r w:rsidRPr="00344D9E">
              <w:rPr>
                <w:sz w:val="22"/>
                <w:szCs w:val="22"/>
              </w:rPr>
              <w:t>Os aditivos Aftermarket somente poderão ser produzidos por produtores de lubrificantes, após a sua notificação a ANP e respectiva publicação no diário oficial.</w:t>
            </w:r>
          </w:p>
        </w:tc>
        <w:tc>
          <w:tcPr>
            <w:tcW w:w="4253" w:type="dxa"/>
            <w:shd w:val="clear" w:color="auto" w:fill="FFFFFF"/>
            <w:tcMar>
              <w:top w:w="20" w:type="dxa"/>
              <w:left w:w="20" w:type="dxa"/>
              <w:bottom w:w="0" w:type="dxa"/>
              <w:right w:w="20" w:type="dxa"/>
            </w:tcMar>
            <w:vAlign w:val="center"/>
          </w:tcPr>
          <w:p w:rsidR="00A5271E" w:rsidRPr="00344D9E" w:rsidRDefault="00A5271E" w:rsidP="00C20AA7">
            <w:pPr>
              <w:autoSpaceDE w:val="0"/>
              <w:autoSpaceDN w:val="0"/>
              <w:adjustRightInd w:val="0"/>
              <w:ind w:left="122" w:right="122"/>
              <w:jc w:val="both"/>
              <w:rPr>
                <w:color w:val="000000"/>
                <w:sz w:val="22"/>
                <w:szCs w:val="22"/>
              </w:rPr>
            </w:pPr>
            <w:r w:rsidRPr="00344D9E">
              <w:rPr>
                <w:sz w:val="22"/>
                <w:szCs w:val="22"/>
              </w:rPr>
              <w:t>Essa medida seria a única maneira de rastrear a aquisição e consumo dos óleos básicos, já que são os insumos predominantes desses aditivos.</w:t>
            </w:r>
          </w:p>
        </w:tc>
        <w:tc>
          <w:tcPr>
            <w:tcW w:w="2693" w:type="dxa"/>
            <w:shd w:val="clear" w:color="auto" w:fill="FFFFFF"/>
            <w:vAlign w:val="center"/>
          </w:tcPr>
          <w:p w:rsidR="00A5271E" w:rsidRPr="00670385" w:rsidRDefault="003F6466" w:rsidP="00680449">
            <w:pPr>
              <w:ind w:left="85" w:right="85"/>
              <w:jc w:val="both"/>
              <w:rPr>
                <w:sz w:val="22"/>
                <w:szCs w:val="22"/>
              </w:rPr>
            </w:pPr>
            <w:r w:rsidRPr="00670385">
              <w:rPr>
                <w:sz w:val="22"/>
                <w:szCs w:val="22"/>
              </w:rPr>
              <w:t>Não acatada.</w:t>
            </w:r>
          </w:p>
          <w:p w:rsidR="003F6466" w:rsidRPr="00857283" w:rsidRDefault="003F6466" w:rsidP="00670385">
            <w:pPr>
              <w:ind w:left="85" w:right="85"/>
              <w:jc w:val="both"/>
              <w:rPr>
                <w:b/>
                <w:sz w:val="22"/>
                <w:szCs w:val="22"/>
              </w:rPr>
            </w:pPr>
            <w:r w:rsidRPr="00670385">
              <w:rPr>
                <w:sz w:val="22"/>
                <w:szCs w:val="22"/>
              </w:rPr>
              <w:t>Somente os produtores de lubrificantes produzirem aditivos aftermarket não garantiria a qualidade desses produtos</w:t>
            </w:r>
            <w:r w:rsidR="00670385" w:rsidRPr="00670385">
              <w:rPr>
                <w:sz w:val="22"/>
                <w:szCs w:val="22"/>
              </w:rPr>
              <w:t>. A questão central para o registro desses produtos é se são essenciais para o consumidor.</w:t>
            </w:r>
          </w:p>
        </w:tc>
      </w:tr>
      <w:tr w:rsidR="00A5271E" w:rsidRPr="00857283" w:rsidTr="00035EDD">
        <w:trPr>
          <w:trHeight w:val="670"/>
        </w:trPr>
        <w:tc>
          <w:tcPr>
            <w:tcW w:w="1560" w:type="dxa"/>
            <w:shd w:val="clear" w:color="auto" w:fill="FFFFFF"/>
            <w:vAlign w:val="center"/>
          </w:tcPr>
          <w:p w:rsidR="00A5271E" w:rsidRPr="00EA31F9" w:rsidRDefault="00A5271E" w:rsidP="002D183F">
            <w:pPr>
              <w:ind w:right="-30"/>
              <w:jc w:val="center"/>
              <w:rPr>
                <w:b/>
                <w:bCs/>
                <w:color w:val="000000"/>
                <w:sz w:val="22"/>
                <w:szCs w:val="22"/>
              </w:rPr>
            </w:pPr>
            <w:r w:rsidRPr="00EA31F9">
              <w:rPr>
                <w:b/>
                <w:sz w:val="22"/>
                <w:szCs w:val="22"/>
              </w:rPr>
              <w:t>Tufoil Brasil</w:t>
            </w:r>
          </w:p>
        </w:tc>
        <w:tc>
          <w:tcPr>
            <w:tcW w:w="3686" w:type="dxa"/>
            <w:shd w:val="clear" w:color="auto" w:fill="FFFFFF"/>
            <w:tcMar>
              <w:top w:w="20" w:type="dxa"/>
              <w:left w:w="20" w:type="dxa"/>
              <w:bottom w:w="0" w:type="dxa"/>
              <w:right w:w="20" w:type="dxa"/>
            </w:tcMar>
            <w:vAlign w:val="center"/>
          </w:tcPr>
          <w:p w:rsidR="00A5271E" w:rsidRPr="00EA31F9" w:rsidRDefault="00A5271E" w:rsidP="002D183F">
            <w:pPr>
              <w:autoSpaceDE w:val="0"/>
              <w:autoSpaceDN w:val="0"/>
              <w:adjustRightInd w:val="0"/>
              <w:ind w:left="122" w:right="122"/>
              <w:jc w:val="both"/>
              <w:rPr>
                <w:rFonts w:eastAsiaTheme="minorHAnsi"/>
                <w:sz w:val="22"/>
                <w:szCs w:val="22"/>
                <w:lang w:eastAsia="en-US"/>
              </w:rPr>
            </w:pPr>
            <w:r w:rsidRPr="002D183F">
              <w:rPr>
                <w:rFonts w:eastAsiaTheme="minorHAnsi"/>
                <w:b/>
                <w:sz w:val="22"/>
                <w:szCs w:val="22"/>
                <w:lang w:eastAsia="en-US"/>
              </w:rPr>
              <w:t>Isenção de registro.</w:t>
            </w:r>
            <w:r>
              <w:rPr>
                <w:rFonts w:eastAsiaTheme="minorHAnsi"/>
                <w:sz w:val="22"/>
                <w:szCs w:val="22"/>
                <w:lang w:eastAsia="en-US"/>
              </w:rPr>
              <w:t xml:space="preserve"> </w:t>
            </w:r>
            <w:r w:rsidRPr="00EA31F9">
              <w:rPr>
                <w:rFonts w:eastAsiaTheme="minorHAnsi"/>
                <w:sz w:val="22"/>
                <w:szCs w:val="22"/>
                <w:lang w:eastAsia="en-US"/>
              </w:rPr>
              <w:t xml:space="preserve">Conforme fls. 5 da Nota Técnica: "Em um levantamento feito pelo Centro de Pesquisas e Análises Tecnológicas (CPT) da ANP em outros mercados sobre o uso desses produtos </w:t>
            </w:r>
            <w:r w:rsidRPr="00EA31F9">
              <w:rPr>
                <w:rFonts w:eastAsiaTheme="minorHAnsi"/>
                <w:i/>
                <w:iCs/>
                <w:sz w:val="22"/>
                <w:szCs w:val="22"/>
                <w:lang w:eastAsia="en-US"/>
              </w:rPr>
              <w:t>aftermarket</w:t>
            </w:r>
            <w:r w:rsidRPr="00EA31F9">
              <w:rPr>
                <w:rFonts w:eastAsiaTheme="minorHAnsi"/>
                <w:sz w:val="22"/>
                <w:szCs w:val="22"/>
                <w:lang w:eastAsia="en-US"/>
              </w:rPr>
              <w:t>, constatou-se que estes não são essenciais para o bom funcionamento do motor. O uso desses aditivos destina-se a um nicho de mercado muito específico em que os usuários buscam desempenhos diferenciados para seus veículos."</w:t>
            </w:r>
          </w:p>
          <w:p w:rsidR="00A5271E" w:rsidRPr="00EA31F9" w:rsidRDefault="00A5271E" w:rsidP="002D183F">
            <w:pPr>
              <w:autoSpaceDE w:val="0"/>
              <w:autoSpaceDN w:val="0"/>
              <w:adjustRightInd w:val="0"/>
              <w:ind w:left="122" w:right="122"/>
              <w:jc w:val="both"/>
              <w:rPr>
                <w:rFonts w:eastAsiaTheme="minorHAnsi"/>
                <w:sz w:val="22"/>
                <w:szCs w:val="22"/>
                <w:lang w:eastAsia="en-US"/>
              </w:rPr>
            </w:pPr>
            <w:r w:rsidRPr="00EA31F9">
              <w:rPr>
                <w:rFonts w:eastAsiaTheme="minorHAnsi"/>
                <w:sz w:val="22"/>
                <w:szCs w:val="22"/>
                <w:lang w:eastAsia="en-US"/>
              </w:rPr>
              <w:t xml:space="preserve">Conforme fls. 6 da Nota Técnica: "Tendo em vista as disposições da Lei nº </w:t>
            </w:r>
            <w:r w:rsidRPr="00EA31F9">
              <w:rPr>
                <w:rFonts w:eastAsiaTheme="minorHAnsi"/>
                <w:i/>
                <w:iCs/>
                <w:sz w:val="22"/>
                <w:szCs w:val="22"/>
                <w:lang w:eastAsia="en-US"/>
              </w:rPr>
              <w:t>9.478</w:t>
            </w:r>
            <w:r w:rsidRPr="00EA31F9">
              <w:rPr>
                <w:rFonts w:eastAsiaTheme="minorHAnsi"/>
                <w:sz w:val="22"/>
                <w:szCs w:val="22"/>
                <w:lang w:eastAsia="en-US"/>
              </w:rPr>
              <w:t xml:space="preserve">, de 6 de agosto de 1997, alterada pela Lei nº </w:t>
            </w:r>
            <w:r w:rsidRPr="00EA31F9">
              <w:rPr>
                <w:rFonts w:eastAsiaTheme="minorHAnsi"/>
                <w:i/>
                <w:iCs/>
                <w:sz w:val="22"/>
                <w:szCs w:val="22"/>
                <w:lang w:eastAsia="en-US"/>
              </w:rPr>
              <w:t>11.097</w:t>
            </w:r>
            <w:r w:rsidRPr="00EA31F9">
              <w:rPr>
                <w:rFonts w:eastAsiaTheme="minorHAnsi"/>
                <w:sz w:val="22"/>
                <w:szCs w:val="22"/>
                <w:lang w:eastAsia="en-US"/>
              </w:rPr>
              <w:t xml:space="preserve">, de 13 de janeiro de 2005, compete à ANP regular e </w:t>
            </w:r>
            <w:r w:rsidRPr="00EA31F9">
              <w:rPr>
                <w:rFonts w:eastAsiaTheme="minorHAnsi"/>
                <w:b/>
                <w:bCs/>
                <w:i/>
                <w:iCs/>
                <w:sz w:val="22"/>
                <w:szCs w:val="22"/>
                <w:lang w:eastAsia="en-US"/>
              </w:rPr>
              <w:t xml:space="preserve">fiscalizar </w:t>
            </w:r>
            <w:r w:rsidRPr="00EA31F9">
              <w:rPr>
                <w:rFonts w:eastAsiaTheme="minorHAnsi"/>
                <w:sz w:val="22"/>
                <w:szCs w:val="22"/>
                <w:lang w:eastAsia="en-US"/>
              </w:rPr>
              <w:t>o setor de lubrificantes no país" (o grifo é nosso).</w:t>
            </w:r>
          </w:p>
          <w:p w:rsidR="00A5271E" w:rsidRPr="00EA31F9" w:rsidRDefault="00A5271E" w:rsidP="002D183F">
            <w:pPr>
              <w:autoSpaceDE w:val="0"/>
              <w:autoSpaceDN w:val="0"/>
              <w:adjustRightInd w:val="0"/>
              <w:ind w:left="122" w:right="122"/>
              <w:jc w:val="both"/>
              <w:rPr>
                <w:rFonts w:eastAsiaTheme="minorHAnsi"/>
                <w:sz w:val="22"/>
                <w:szCs w:val="22"/>
                <w:lang w:eastAsia="en-US"/>
              </w:rPr>
            </w:pPr>
            <w:r w:rsidRPr="00EA31F9">
              <w:rPr>
                <w:rFonts w:eastAsiaTheme="minorHAnsi"/>
                <w:sz w:val="22"/>
                <w:szCs w:val="22"/>
                <w:lang w:eastAsia="en-US"/>
              </w:rPr>
              <w:t xml:space="preserve">Conforme fls. 10 da Nota Técnica: "No caso dos aditivos </w:t>
            </w:r>
            <w:r w:rsidRPr="00EA31F9">
              <w:rPr>
                <w:rFonts w:eastAsiaTheme="minorHAnsi"/>
                <w:i/>
                <w:iCs/>
                <w:sz w:val="22"/>
                <w:szCs w:val="22"/>
                <w:lang w:eastAsia="en-US"/>
              </w:rPr>
              <w:t>aftermarket</w:t>
            </w:r>
            <w:r w:rsidRPr="00EA31F9">
              <w:rPr>
                <w:rFonts w:eastAsiaTheme="minorHAnsi"/>
                <w:sz w:val="22"/>
                <w:szCs w:val="22"/>
                <w:lang w:eastAsia="en-US"/>
              </w:rPr>
              <w:t>, a isenção de registro se justifica por esses produtos não serem considerados essenciais para o bom funcionamento do motor."</w:t>
            </w:r>
          </w:p>
          <w:p w:rsidR="00A5271E" w:rsidRPr="00EA31F9" w:rsidRDefault="00A5271E" w:rsidP="002D183F">
            <w:pPr>
              <w:autoSpaceDE w:val="0"/>
              <w:autoSpaceDN w:val="0"/>
              <w:adjustRightInd w:val="0"/>
              <w:ind w:left="122" w:right="122"/>
              <w:jc w:val="both"/>
              <w:rPr>
                <w:rFonts w:eastAsiaTheme="minorHAnsi"/>
                <w:b/>
                <w:bCs/>
                <w:i/>
                <w:iCs/>
                <w:sz w:val="22"/>
                <w:szCs w:val="22"/>
                <w:lang w:eastAsia="en-US"/>
              </w:rPr>
            </w:pPr>
            <w:r w:rsidRPr="00EA31F9">
              <w:rPr>
                <w:rFonts w:eastAsiaTheme="minorHAnsi"/>
                <w:sz w:val="22"/>
                <w:szCs w:val="22"/>
                <w:lang w:eastAsia="en-US"/>
              </w:rPr>
              <w:t>Conforme fls. 17/18 da Nota Técnica: "</w:t>
            </w:r>
            <w:r w:rsidRPr="00EA31F9">
              <w:rPr>
                <w:rFonts w:eastAsiaTheme="minorHAnsi"/>
                <w:b/>
                <w:bCs/>
                <w:sz w:val="22"/>
                <w:szCs w:val="22"/>
                <w:lang w:eastAsia="en-US"/>
              </w:rPr>
              <w:t xml:space="preserve">(B) Isenção de registro para os </w:t>
            </w:r>
            <w:r w:rsidRPr="00EA31F9">
              <w:rPr>
                <w:rFonts w:eastAsiaTheme="minorHAnsi"/>
                <w:b/>
                <w:bCs/>
                <w:i/>
                <w:iCs/>
                <w:sz w:val="22"/>
                <w:szCs w:val="22"/>
                <w:lang w:eastAsia="en-US"/>
              </w:rPr>
              <w:t>Aftermarket</w:t>
            </w:r>
          </w:p>
          <w:p w:rsidR="00A5271E" w:rsidRPr="00EA31F9" w:rsidRDefault="00A5271E" w:rsidP="002D183F">
            <w:pPr>
              <w:autoSpaceDE w:val="0"/>
              <w:autoSpaceDN w:val="0"/>
              <w:adjustRightInd w:val="0"/>
              <w:ind w:left="122" w:right="122"/>
              <w:jc w:val="both"/>
              <w:rPr>
                <w:rFonts w:eastAsiaTheme="minorHAnsi"/>
                <w:sz w:val="22"/>
                <w:szCs w:val="22"/>
                <w:lang w:eastAsia="en-US"/>
              </w:rPr>
            </w:pPr>
            <w:r w:rsidRPr="00EA31F9">
              <w:rPr>
                <w:rFonts w:eastAsiaTheme="minorHAnsi"/>
                <w:sz w:val="22"/>
                <w:szCs w:val="22"/>
                <w:lang w:eastAsia="en-US"/>
              </w:rPr>
              <w:t>Quanto à proposta de isenção de registro para aditivos aftermarket, um dos principais impactos é de que os produtores/importadores desses produtos terão seu mercado parcialmente desregulado, isto é, não será mais necessário o registro prévio dos produtos para se realizar importação, produção e comercialização. Com isso, estará livre a entrada no mercado de outros agentes que não consideravam economicamente viável o investimento de realizar os testes exigidos para obtenção do registro (Sequência IIIF - ASTM). Outro aspecto a ser considerado sobre a isenção de registro para esse tipo de produto é que não se trata de produto essencial para uso em veículos, como o combustível e o lubrificante o são. Nesse sentido, reproduzimos abaixo resposta da ANFAVEA a questionamentos apresentados por este CPT sobre o uso de aditivos aftermaket de lubrificante."</w:t>
            </w:r>
          </w:p>
          <w:p w:rsidR="00A5271E" w:rsidRPr="00EA31F9" w:rsidRDefault="00A5271E" w:rsidP="002D183F">
            <w:pPr>
              <w:autoSpaceDE w:val="0"/>
              <w:autoSpaceDN w:val="0"/>
              <w:adjustRightInd w:val="0"/>
              <w:ind w:left="122" w:right="122"/>
              <w:jc w:val="both"/>
              <w:rPr>
                <w:rFonts w:eastAsiaTheme="minorHAnsi"/>
                <w:sz w:val="22"/>
                <w:szCs w:val="22"/>
                <w:lang w:eastAsia="en-US"/>
              </w:rPr>
            </w:pPr>
            <w:r w:rsidRPr="00EA31F9">
              <w:rPr>
                <w:rFonts w:eastAsiaTheme="minorHAnsi"/>
                <w:sz w:val="22"/>
                <w:szCs w:val="22"/>
                <w:lang w:eastAsia="en-US"/>
              </w:rPr>
              <w:t xml:space="preserve">Conforme fls. 17/18 da Nota Técnica: "Diante do exposto, verifica-se que o uso dos aditivos </w:t>
            </w:r>
            <w:r w:rsidRPr="00EA31F9">
              <w:rPr>
                <w:rFonts w:eastAsiaTheme="minorHAnsi"/>
                <w:i/>
                <w:iCs/>
                <w:sz w:val="22"/>
                <w:szCs w:val="22"/>
                <w:lang w:eastAsia="en-US"/>
              </w:rPr>
              <w:t xml:space="preserve">aftermarket </w:t>
            </w:r>
            <w:r w:rsidRPr="00EA31F9">
              <w:rPr>
                <w:rFonts w:eastAsiaTheme="minorHAnsi"/>
                <w:sz w:val="22"/>
                <w:szCs w:val="22"/>
                <w:lang w:eastAsia="en-US"/>
              </w:rPr>
              <w:t xml:space="preserve">de lubrificantes pode causar danos ao veículo, perda de economia, perda da garantia entre outras consequências. Para usuários especializados que alteram os veículos, como é o caso dos praticantes de automobilismo, os aditivos </w:t>
            </w:r>
            <w:r w:rsidRPr="00EA31F9">
              <w:rPr>
                <w:rFonts w:eastAsiaTheme="minorHAnsi"/>
                <w:b/>
                <w:bCs/>
                <w:i/>
                <w:iCs/>
                <w:sz w:val="22"/>
                <w:szCs w:val="22"/>
                <w:lang w:eastAsia="en-US"/>
              </w:rPr>
              <w:t>aftermarket</w:t>
            </w:r>
            <w:r w:rsidRPr="00EA31F9">
              <w:rPr>
                <w:rFonts w:eastAsiaTheme="minorHAnsi"/>
                <w:sz w:val="22"/>
                <w:szCs w:val="22"/>
                <w:lang w:eastAsia="en-US"/>
              </w:rPr>
              <w:t xml:space="preserve"> podem ter utilidade, ficando a cargo do usuário desse tipo de produto arcar com os riscos de seu uso, não cabendo à ANP chancelar um produto tão controverso." (o grifo é nosso).</w:t>
            </w:r>
          </w:p>
        </w:tc>
        <w:tc>
          <w:tcPr>
            <w:tcW w:w="3827" w:type="dxa"/>
            <w:shd w:val="clear" w:color="auto" w:fill="FFFFFF"/>
            <w:tcMar>
              <w:top w:w="20" w:type="dxa"/>
              <w:left w:w="20" w:type="dxa"/>
              <w:bottom w:w="0" w:type="dxa"/>
              <w:right w:w="20" w:type="dxa"/>
            </w:tcMar>
            <w:vAlign w:val="center"/>
          </w:tcPr>
          <w:p w:rsidR="00A5271E" w:rsidRPr="00C224E0" w:rsidRDefault="00A5271E" w:rsidP="00C20AA7">
            <w:pPr>
              <w:autoSpaceDE w:val="0"/>
              <w:autoSpaceDN w:val="0"/>
              <w:adjustRightInd w:val="0"/>
              <w:ind w:left="122" w:right="122"/>
              <w:jc w:val="both"/>
              <w:rPr>
                <w:sz w:val="22"/>
                <w:szCs w:val="22"/>
              </w:rPr>
            </w:pPr>
            <w:r w:rsidRPr="00C224E0">
              <w:rPr>
                <w:sz w:val="22"/>
                <w:szCs w:val="22"/>
              </w:rPr>
              <w:t>Não isentar</w:t>
            </w:r>
            <w:r>
              <w:rPr>
                <w:sz w:val="22"/>
                <w:szCs w:val="22"/>
              </w:rPr>
              <w:t xml:space="preserve"> de registro</w:t>
            </w:r>
            <w:r w:rsidRPr="00C224E0">
              <w:rPr>
                <w:sz w:val="22"/>
                <w:szCs w:val="22"/>
              </w:rPr>
              <w:t xml:space="preserve"> os produtos aftermarket</w:t>
            </w:r>
          </w:p>
        </w:tc>
        <w:tc>
          <w:tcPr>
            <w:tcW w:w="4253" w:type="dxa"/>
            <w:shd w:val="clear" w:color="auto" w:fill="FFFFFF"/>
            <w:tcMar>
              <w:top w:w="20" w:type="dxa"/>
              <w:left w:w="20" w:type="dxa"/>
              <w:bottom w:w="0" w:type="dxa"/>
              <w:right w:w="20" w:type="dxa"/>
            </w:tcMar>
            <w:vAlign w:val="center"/>
          </w:tcPr>
          <w:p w:rsidR="00A5271E" w:rsidRPr="00C224E0" w:rsidRDefault="00A5271E" w:rsidP="00C20AA7">
            <w:pPr>
              <w:autoSpaceDE w:val="0"/>
              <w:autoSpaceDN w:val="0"/>
              <w:adjustRightInd w:val="0"/>
              <w:ind w:left="122" w:right="122"/>
              <w:jc w:val="both"/>
              <w:rPr>
                <w:rFonts w:eastAsiaTheme="minorHAnsi"/>
                <w:sz w:val="22"/>
                <w:szCs w:val="22"/>
                <w:lang w:eastAsia="en-US"/>
              </w:rPr>
            </w:pPr>
            <w:r w:rsidRPr="00C224E0">
              <w:rPr>
                <w:rFonts w:eastAsiaTheme="minorHAnsi"/>
                <w:sz w:val="22"/>
                <w:szCs w:val="22"/>
                <w:lang w:eastAsia="en-US"/>
              </w:rPr>
              <w:t>Uma das funções da ANP é o de fiscalização, ou seja, caso ela não tenha esta função com os</w:t>
            </w:r>
            <w:r>
              <w:rPr>
                <w:rFonts w:eastAsiaTheme="minorHAnsi"/>
                <w:sz w:val="22"/>
                <w:szCs w:val="22"/>
                <w:lang w:eastAsia="en-US"/>
              </w:rPr>
              <w:t xml:space="preserve"> </w:t>
            </w:r>
            <w:r w:rsidRPr="00C224E0">
              <w:rPr>
                <w:rFonts w:eastAsiaTheme="minorHAnsi"/>
                <w:sz w:val="22"/>
                <w:szCs w:val="22"/>
                <w:lang w:eastAsia="en-US"/>
              </w:rPr>
              <w:t xml:space="preserve">produtos aftermarket, a mesma deixará de cumprir a </w:t>
            </w:r>
            <w:r>
              <w:rPr>
                <w:rFonts w:eastAsiaTheme="minorHAnsi"/>
                <w:sz w:val="22"/>
                <w:szCs w:val="22"/>
                <w:lang w:eastAsia="en-US"/>
              </w:rPr>
              <w:t xml:space="preserve">sua </w:t>
            </w:r>
            <w:r w:rsidR="00670385">
              <w:rPr>
                <w:rFonts w:eastAsiaTheme="minorHAnsi"/>
                <w:sz w:val="22"/>
                <w:szCs w:val="22"/>
                <w:lang w:eastAsia="en-US"/>
              </w:rPr>
              <w:t>essência</w:t>
            </w:r>
            <w:r>
              <w:rPr>
                <w:rFonts w:eastAsiaTheme="minorHAnsi"/>
                <w:sz w:val="22"/>
                <w:szCs w:val="22"/>
                <w:lang w:eastAsia="en-US"/>
              </w:rPr>
              <w:t xml:space="preserve"> que é de regular </w:t>
            </w:r>
            <w:r w:rsidRPr="00C224E0">
              <w:rPr>
                <w:rFonts w:eastAsiaTheme="minorHAnsi"/>
                <w:sz w:val="22"/>
                <w:szCs w:val="22"/>
                <w:lang w:eastAsia="en-US"/>
              </w:rPr>
              <w:t>proteger</w:t>
            </w:r>
            <w:r>
              <w:rPr>
                <w:rFonts w:eastAsiaTheme="minorHAnsi"/>
                <w:sz w:val="22"/>
                <w:szCs w:val="22"/>
                <w:lang w:eastAsia="en-US"/>
              </w:rPr>
              <w:t xml:space="preserve"> </w:t>
            </w:r>
            <w:r w:rsidRPr="00C224E0">
              <w:rPr>
                <w:rFonts w:eastAsiaTheme="minorHAnsi"/>
                <w:sz w:val="22"/>
                <w:szCs w:val="22"/>
                <w:lang w:eastAsia="en-US"/>
              </w:rPr>
              <w:t>o consumidor.</w:t>
            </w:r>
            <w:r>
              <w:rPr>
                <w:rFonts w:eastAsiaTheme="minorHAnsi"/>
                <w:sz w:val="22"/>
                <w:szCs w:val="22"/>
                <w:lang w:eastAsia="en-US"/>
              </w:rPr>
              <w:t xml:space="preserve"> </w:t>
            </w:r>
            <w:r w:rsidRPr="00C224E0">
              <w:rPr>
                <w:rFonts w:eastAsiaTheme="minorHAnsi"/>
                <w:sz w:val="22"/>
                <w:szCs w:val="22"/>
                <w:lang w:eastAsia="en-US"/>
              </w:rPr>
              <w:t>A falta de proteção no mercado aftermarket irá</w:t>
            </w:r>
            <w:r>
              <w:rPr>
                <w:rFonts w:eastAsiaTheme="minorHAnsi"/>
                <w:sz w:val="22"/>
                <w:szCs w:val="22"/>
                <w:lang w:eastAsia="en-US"/>
              </w:rPr>
              <w:t xml:space="preserve"> permitir a entrada de produto </w:t>
            </w:r>
            <w:r w:rsidRPr="00C224E0">
              <w:rPr>
                <w:rFonts w:eastAsiaTheme="minorHAnsi"/>
                <w:sz w:val="22"/>
                <w:szCs w:val="22"/>
                <w:lang w:eastAsia="en-US"/>
              </w:rPr>
              <w:t>com</w:t>
            </w:r>
            <w:r>
              <w:rPr>
                <w:rFonts w:eastAsiaTheme="minorHAnsi"/>
                <w:sz w:val="22"/>
                <w:szCs w:val="22"/>
                <w:lang w:eastAsia="en-US"/>
              </w:rPr>
              <w:t xml:space="preserve"> </w:t>
            </w:r>
            <w:r w:rsidRPr="00C224E0">
              <w:rPr>
                <w:rFonts w:eastAsiaTheme="minorHAnsi"/>
                <w:sz w:val="22"/>
                <w:szCs w:val="22"/>
                <w:lang w:eastAsia="en-US"/>
              </w:rPr>
              <w:t>componentes nocivos aos motores e aqueles que manuseiam este tipo produto (frentistas e</w:t>
            </w:r>
            <w:r>
              <w:rPr>
                <w:rFonts w:eastAsiaTheme="minorHAnsi"/>
                <w:sz w:val="22"/>
                <w:szCs w:val="22"/>
                <w:lang w:eastAsia="en-US"/>
              </w:rPr>
              <w:t xml:space="preserve"> </w:t>
            </w:r>
            <w:r w:rsidRPr="00C224E0">
              <w:rPr>
                <w:rFonts w:eastAsiaTheme="minorHAnsi"/>
                <w:sz w:val="22"/>
                <w:szCs w:val="22"/>
                <w:lang w:eastAsia="en-US"/>
              </w:rPr>
              <w:t>etc.).</w:t>
            </w:r>
            <w:r>
              <w:rPr>
                <w:rFonts w:eastAsiaTheme="minorHAnsi"/>
                <w:sz w:val="22"/>
                <w:szCs w:val="22"/>
                <w:lang w:eastAsia="en-US"/>
              </w:rPr>
              <w:t xml:space="preserve"> </w:t>
            </w:r>
            <w:r w:rsidRPr="00C224E0">
              <w:rPr>
                <w:rFonts w:eastAsiaTheme="minorHAnsi"/>
                <w:sz w:val="22"/>
                <w:szCs w:val="22"/>
                <w:lang w:eastAsia="en-US"/>
              </w:rPr>
              <w:t>Não está claro quem constatou que os produtos aftermarket colocam em risco os motores,</w:t>
            </w:r>
            <w:r>
              <w:rPr>
                <w:rFonts w:eastAsiaTheme="minorHAnsi"/>
                <w:sz w:val="22"/>
                <w:szCs w:val="22"/>
                <w:lang w:eastAsia="en-US"/>
              </w:rPr>
              <w:t xml:space="preserve"> </w:t>
            </w:r>
            <w:r w:rsidRPr="00C224E0">
              <w:rPr>
                <w:rFonts w:eastAsiaTheme="minorHAnsi"/>
                <w:sz w:val="22"/>
                <w:szCs w:val="22"/>
                <w:lang w:eastAsia="en-US"/>
              </w:rPr>
              <w:t>principalmente aqueles que se submeteram a Sequência IIIF - ASTM e em nenhum momento</w:t>
            </w:r>
            <w:r>
              <w:rPr>
                <w:rFonts w:eastAsiaTheme="minorHAnsi"/>
                <w:sz w:val="22"/>
                <w:szCs w:val="22"/>
                <w:lang w:eastAsia="en-US"/>
              </w:rPr>
              <w:t xml:space="preserve"> </w:t>
            </w:r>
            <w:r w:rsidRPr="00C224E0">
              <w:rPr>
                <w:rFonts w:eastAsiaTheme="minorHAnsi"/>
                <w:sz w:val="22"/>
                <w:szCs w:val="22"/>
                <w:lang w:eastAsia="en-US"/>
              </w:rPr>
              <w:t>foi apresentado um relatório técnico que fundamente o alegado, pois as declarações da</w:t>
            </w:r>
            <w:r>
              <w:rPr>
                <w:rFonts w:eastAsiaTheme="minorHAnsi"/>
                <w:sz w:val="22"/>
                <w:szCs w:val="22"/>
                <w:lang w:eastAsia="en-US"/>
              </w:rPr>
              <w:t xml:space="preserve"> </w:t>
            </w:r>
            <w:r w:rsidRPr="00C224E0">
              <w:rPr>
                <w:rFonts w:eastAsiaTheme="minorHAnsi"/>
                <w:sz w:val="22"/>
                <w:szCs w:val="22"/>
                <w:lang w:eastAsia="en-US"/>
              </w:rPr>
              <w:t>ANFAVEA não tem valor probatório. A ANFAVEA afirmar que os veículos não precisam de</w:t>
            </w:r>
            <w:r>
              <w:rPr>
                <w:rFonts w:eastAsiaTheme="minorHAnsi"/>
                <w:sz w:val="22"/>
                <w:szCs w:val="22"/>
                <w:lang w:eastAsia="en-US"/>
              </w:rPr>
              <w:t xml:space="preserve"> </w:t>
            </w:r>
            <w:r w:rsidRPr="00C224E0">
              <w:rPr>
                <w:rFonts w:eastAsiaTheme="minorHAnsi"/>
                <w:sz w:val="22"/>
                <w:szCs w:val="22"/>
                <w:lang w:eastAsia="en-US"/>
              </w:rPr>
              <w:t>produtos aftermarket é natural, pois caso contrário estariam afirmando que seus motores não</w:t>
            </w:r>
            <w:r>
              <w:rPr>
                <w:rFonts w:eastAsiaTheme="minorHAnsi"/>
                <w:sz w:val="22"/>
                <w:szCs w:val="22"/>
                <w:lang w:eastAsia="en-US"/>
              </w:rPr>
              <w:t xml:space="preserve"> </w:t>
            </w:r>
            <w:r w:rsidRPr="00C224E0">
              <w:rPr>
                <w:rFonts w:eastAsiaTheme="minorHAnsi"/>
                <w:sz w:val="22"/>
                <w:szCs w:val="22"/>
                <w:lang w:eastAsia="en-US"/>
              </w:rPr>
              <w:t>são bons o suficiente para rodarem somente com óleo lubrificante, o mesmo para os</w:t>
            </w:r>
            <w:r>
              <w:rPr>
                <w:rFonts w:eastAsiaTheme="minorHAnsi"/>
                <w:sz w:val="22"/>
                <w:szCs w:val="22"/>
                <w:lang w:eastAsia="en-US"/>
              </w:rPr>
              <w:t xml:space="preserve"> </w:t>
            </w:r>
            <w:r w:rsidRPr="00C224E0">
              <w:rPr>
                <w:rFonts w:eastAsiaTheme="minorHAnsi"/>
                <w:sz w:val="22"/>
                <w:szCs w:val="22"/>
                <w:lang w:eastAsia="en-US"/>
              </w:rPr>
              <w:t>produtores de óleo lubrificante, que em momento algum afir</w:t>
            </w:r>
            <w:r>
              <w:rPr>
                <w:rFonts w:eastAsiaTheme="minorHAnsi"/>
                <w:sz w:val="22"/>
                <w:szCs w:val="22"/>
                <w:lang w:eastAsia="en-US"/>
              </w:rPr>
              <w:t xml:space="preserve">mariam que seus </w:t>
            </w:r>
            <w:r w:rsidRPr="00C224E0">
              <w:rPr>
                <w:rFonts w:eastAsiaTheme="minorHAnsi"/>
                <w:sz w:val="22"/>
                <w:szCs w:val="22"/>
                <w:lang w:eastAsia="en-US"/>
              </w:rPr>
              <w:t>produtos</w:t>
            </w:r>
            <w:r>
              <w:rPr>
                <w:rFonts w:eastAsiaTheme="minorHAnsi"/>
                <w:sz w:val="22"/>
                <w:szCs w:val="22"/>
                <w:lang w:eastAsia="en-US"/>
              </w:rPr>
              <w:t xml:space="preserve"> </w:t>
            </w:r>
            <w:r w:rsidRPr="00C224E0">
              <w:rPr>
                <w:rFonts w:eastAsiaTheme="minorHAnsi"/>
                <w:sz w:val="22"/>
                <w:szCs w:val="22"/>
                <w:lang w:eastAsia="en-US"/>
              </w:rPr>
              <w:t>precisam de aditivos extras, além daqueles que fazem parte de sua composição.</w:t>
            </w:r>
            <w:r>
              <w:rPr>
                <w:rFonts w:eastAsiaTheme="minorHAnsi"/>
                <w:sz w:val="22"/>
                <w:szCs w:val="22"/>
                <w:lang w:eastAsia="en-US"/>
              </w:rPr>
              <w:t xml:space="preserve"> </w:t>
            </w:r>
            <w:r w:rsidRPr="00C224E0">
              <w:rPr>
                <w:rFonts w:eastAsiaTheme="minorHAnsi"/>
                <w:sz w:val="22"/>
                <w:szCs w:val="22"/>
                <w:lang w:eastAsia="en-US"/>
              </w:rPr>
              <w:t>Os produtos aftermarket são vendidos no mundo todo e como tais não sofrem restrições em</w:t>
            </w:r>
            <w:r>
              <w:rPr>
                <w:rFonts w:eastAsiaTheme="minorHAnsi"/>
                <w:sz w:val="22"/>
                <w:szCs w:val="22"/>
                <w:lang w:eastAsia="en-US"/>
              </w:rPr>
              <w:t xml:space="preserve"> </w:t>
            </w:r>
            <w:r w:rsidRPr="00C224E0">
              <w:rPr>
                <w:rFonts w:eastAsiaTheme="minorHAnsi"/>
                <w:sz w:val="22"/>
                <w:szCs w:val="22"/>
                <w:lang w:eastAsia="en-US"/>
              </w:rPr>
              <w:t>seu uso. A própria ANP reconhece que os aditivos aftermarket podem ser de utilidade para os</w:t>
            </w:r>
            <w:r>
              <w:rPr>
                <w:rFonts w:eastAsiaTheme="minorHAnsi"/>
                <w:sz w:val="22"/>
                <w:szCs w:val="22"/>
                <w:lang w:eastAsia="en-US"/>
              </w:rPr>
              <w:t xml:space="preserve"> </w:t>
            </w:r>
            <w:r w:rsidRPr="00C224E0">
              <w:rPr>
                <w:rFonts w:eastAsiaTheme="minorHAnsi"/>
                <w:sz w:val="22"/>
                <w:szCs w:val="22"/>
                <w:lang w:eastAsia="en-US"/>
              </w:rPr>
              <w:t>praticantes de automobilismo, ora Srs., se os formadores de opinião são os praticantes de</w:t>
            </w:r>
            <w:r>
              <w:rPr>
                <w:rFonts w:eastAsiaTheme="minorHAnsi"/>
                <w:sz w:val="22"/>
                <w:szCs w:val="22"/>
                <w:lang w:eastAsia="en-US"/>
              </w:rPr>
              <w:t xml:space="preserve"> </w:t>
            </w:r>
            <w:r w:rsidRPr="00C224E0">
              <w:rPr>
                <w:rFonts w:eastAsiaTheme="minorHAnsi"/>
                <w:sz w:val="22"/>
                <w:szCs w:val="22"/>
                <w:lang w:eastAsia="en-US"/>
              </w:rPr>
              <w:t>automobilismo, como poderiam estes produtos causar danos, além de que o grande público</w:t>
            </w:r>
            <w:r>
              <w:rPr>
                <w:rFonts w:eastAsiaTheme="minorHAnsi"/>
                <w:sz w:val="22"/>
                <w:szCs w:val="22"/>
                <w:lang w:eastAsia="en-US"/>
              </w:rPr>
              <w:t xml:space="preserve"> </w:t>
            </w:r>
            <w:r w:rsidRPr="00C224E0">
              <w:rPr>
                <w:rFonts w:eastAsiaTheme="minorHAnsi"/>
                <w:sz w:val="22"/>
                <w:szCs w:val="22"/>
                <w:lang w:eastAsia="en-US"/>
              </w:rPr>
              <w:t>acompanha quais os produtos que os pilotos utilizam. As próprias montadoras de veículos e</w:t>
            </w:r>
          </w:p>
          <w:p w:rsidR="00A5271E" w:rsidRPr="0020475D" w:rsidRDefault="00A5271E" w:rsidP="00C20AA7">
            <w:pPr>
              <w:autoSpaceDE w:val="0"/>
              <w:autoSpaceDN w:val="0"/>
              <w:adjustRightInd w:val="0"/>
              <w:ind w:left="122" w:right="122"/>
              <w:jc w:val="both"/>
              <w:rPr>
                <w:rFonts w:eastAsiaTheme="minorHAnsi"/>
                <w:sz w:val="22"/>
                <w:szCs w:val="22"/>
                <w:lang w:eastAsia="en-US"/>
              </w:rPr>
            </w:pPr>
            <w:r w:rsidRPr="00C224E0">
              <w:rPr>
                <w:rFonts w:eastAsiaTheme="minorHAnsi"/>
                <w:sz w:val="22"/>
                <w:szCs w:val="22"/>
                <w:lang w:eastAsia="en-US"/>
              </w:rPr>
              <w:t>fabricantes de óleo exploram a imagem destes pilotos para incrementar suas vendas e</w:t>
            </w:r>
            <w:r>
              <w:rPr>
                <w:rFonts w:eastAsiaTheme="minorHAnsi"/>
                <w:sz w:val="22"/>
                <w:szCs w:val="22"/>
                <w:lang w:eastAsia="en-US"/>
              </w:rPr>
              <w:t xml:space="preserve"> </w:t>
            </w:r>
            <w:r w:rsidRPr="00C224E0">
              <w:rPr>
                <w:rFonts w:eastAsiaTheme="minorHAnsi"/>
                <w:sz w:val="22"/>
                <w:szCs w:val="22"/>
                <w:lang w:eastAsia="en-US"/>
              </w:rPr>
              <w:t>direcionar a opinião pública.</w:t>
            </w:r>
            <w:r>
              <w:rPr>
                <w:rFonts w:eastAsiaTheme="minorHAnsi"/>
                <w:sz w:val="22"/>
                <w:szCs w:val="22"/>
                <w:lang w:eastAsia="en-US"/>
              </w:rPr>
              <w:t xml:space="preserve"> </w:t>
            </w:r>
            <w:r w:rsidRPr="00C224E0">
              <w:rPr>
                <w:rFonts w:eastAsiaTheme="minorHAnsi"/>
                <w:sz w:val="22"/>
                <w:szCs w:val="22"/>
                <w:lang w:eastAsia="en-US"/>
              </w:rPr>
              <w:t>O risco que os consumidores podem sofrer com a abertura de aditivos aftermarket sem a</w:t>
            </w:r>
            <w:r>
              <w:rPr>
                <w:rFonts w:eastAsiaTheme="minorHAnsi"/>
                <w:sz w:val="22"/>
                <w:szCs w:val="22"/>
                <w:lang w:eastAsia="en-US"/>
              </w:rPr>
              <w:t xml:space="preserve"> </w:t>
            </w:r>
            <w:r w:rsidRPr="00C224E0">
              <w:rPr>
                <w:rFonts w:eastAsiaTheme="minorHAnsi"/>
                <w:sz w:val="22"/>
                <w:szCs w:val="22"/>
                <w:lang w:eastAsia="en-US"/>
              </w:rPr>
              <w:t>devida regularização, podem causar prejuízos incalculáveis e com isso provocar uma Ação Civil</w:t>
            </w:r>
            <w:r>
              <w:rPr>
                <w:rFonts w:eastAsiaTheme="minorHAnsi"/>
                <w:sz w:val="22"/>
                <w:szCs w:val="22"/>
                <w:lang w:eastAsia="en-US"/>
              </w:rPr>
              <w:t xml:space="preserve"> </w:t>
            </w:r>
            <w:r w:rsidRPr="00C224E0">
              <w:rPr>
                <w:rFonts w:eastAsiaTheme="minorHAnsi"/>
                <w:sz w:val="22"/>
                <w:szCs w:val="22"/>
                <w:lang w:eastAsia="en-US"/>
              </w:rPr>
              <w:t>Pública ou um processo Contra a Economia Popular promovidos pelo Ministério Público Federal.</w:t>
            </w:r>
            <w:r>
              <w:rPr>
                <w:rFonts w:eastAsiaTheme="minorHAnsi"/>
                <w:sz w:val="22"/>
                <w:szCs w:val="22"/>
                <w:lang w:eastAsia="en-US"/>
              </w:rPr>
              <w:t xml:space="preserve"> </w:t>
            </w:r>
            <w:r w:rsidRPr="00C224E0">
              <w:rPr>
                <w:rFonts w:eastAsiaTheme="minorHAnsi"/>
                <w:sz w:val="22"/>
                <w:szCs w:val="22"/>
                <w:lang w:eastAsia="en-US"/>
              </w:rPr>
              <w:t>Produtos obsoletos que a ANP quer banir do mercado brasileiro, acharão a falta de registro</w:t>
            </w:r>
            <w:r>
              <w:rPr>
                <w:rFonts w:eastAsiaTheme="minorHAnsi"/>
                <w:sz w:val="22"/>
                <w:szCs w:val="22"/>
                <w:lang w:eastAsia="en-US"/>
              </w:rPr>
              <w:t xml:space="preserve"> </w:t>
            </w:r>
            <w:r w:rsidRPr="00C224E0">
              <w:rPr>
                <w:rFonts w:eastAsiaTheme="minorHAnsi"/>
                <w:sz w:val="22"/>
                <w:szCs w:val="22"/>
                <w:lang w:eastAsia="en-US"/>
              </w:rPr>
              <w:t xml:space="preserve">como uma porta de entrada para vender no mercado tais </w:t>
            </w:r>
            <w:r>
              <w:rPr>
                <w:rFonts w:eastAsiaTheme="minorHAnsi"/>
                <w:sz w:val="22"/>
                <w:szCs w:val="22"/>
                <w:lang w:eastAsia="en-US"/>
              </w:rPr>
              <w:t xml:space="preserve">produtos com agentes nocivos o </w:t>
            </w:r>
            <w:r w:rsidRPr="00C224E0">
              <w:rPr>
                <w:rFonts w:eastAsiaTheme="minorHAnsi"/>
                <w:sz w:val="22"/>
                <w:szCs w:val="22"/>
                <w:lang w:eastAsia="en-US"/>
              </w:rPr>
              <w:t>que</w:t>
            </w:r>
            <w:r>
              <w:rPr>
                <w:rFonts w:eastAsiaTheme="minorHAnsi"/>
                <w:sz w:val="22"/>
                <w:szCs w:val="22"/>
                <w:lang w:eastAsia="en-US"/>
              </w:rPr>
              <w:t xml:space="preserve"> </w:t>
            </w:r>
            <w:r w:rsidRPr="00C224E0">
              <w:rPr>
                <w:rFonts w:eastAsiaTheme="minorHAnsi"/>
                <w:sz w:val="22"/>
                <w:szCs w:val="22"/>
                <w:lang w:eastAsia="en-US"/>
              </w:rPr>
              <w:t>simplesmente não fazem o que dizem.</w:t>
            </w:r>
            <w:r>
              <w:rPr>
                <w:rFonts w:eastAsiaTheme="minorHAnsi"/>
                <w:sz w:val="22"/>
                <w:szCs w:val="22"/>
                <w:lang w:eastAsia="en-US"/>
              </w:rPr>
              <w:t xml:space="preserve"> </w:t>
            </w:r>
            <w:r w:rsidRPr="00C224E0">
              <w:rPr>
                <w:rFonts w:eastAsiaTheme="minorHAnsi"/>
                <w:sz w:val="22"/>
                <w:szCs w:val="22"/>
                <w:lang w:eastAsia="en-US"/>
              </w:rPr>
              <w:t>A solução seria a ANP credenciar laboratórios no Brasil que promovessem testes mínimos de</w:t>
            </w:r>
            <w:r>
              <w:rPr>
                <w:rFonts w:eastAsiaTheme="minorHAnsi"/>
                <w:sz w:val="22"/>
                <w:szCs w:val="22"/>
                <w:lang w:eastAsia="en-US"/>
              </w:rPr>
              <w:t xml:space="preserve"> </w:t>
            </w:r>
            <w:r w:rsidRPr="00C224E0">
              <w:rPr>
                <w:rFonts w:eastAsiaTheme="minorHAnsi"/>
                <w:sz w:val="22"/>
                <w:szCs w:val="22"/>
                <w:lang w:eastAsia="en-US"/>
              </w:rPr>
              <w:t>análises químicas e mecânicas, e estes laboratórios ser</w:t>
            </w:r>
            <w:r>
              <w:rPr>
                <w:rFonts w:eastAsiaTheme="minorHAnsi"/>
                <w:sz w:val="22"/>
                <w:szCs w:val="22"/>
                <w:lang w:eastAsia="en-US"/>
              </w:rPr>
              <w:t xml:space="preserve">em fiscalizados pela ANP. Hoje, </w:t>
            </w:r>
            <w:r w:rsidRPr="00C224E0">
              <w:rPr>
                <w:rFonts w:eastAsiaTheme="minorHAnsi"/>
                <w:sz w:val="22"/>
                <w:szCs w:val="22"/>
                <w:lang w:eastAsia="en-US"/>
              </w:rPr>
              <w:t>em</w:t>
            </w:r>
            <w:r>
              <w:rPr>
                <w:rFonts w:eastAsiaTheme="minorHAnsi"/>
                <w:sz w:val="22"/>
                <w:szCs w:val="22"/>
                <w:lang w:eastAsia="en-US"/>
              </w:rPr>
              <w:t xml:space="preserve"> </w:t>
            </w:r>
            <w:r w:rsidRPr="00C224E0">
              <w:rPr>
                <w:rFonts w:eastAsiaTheme="minorHAnsi"/>
                <w:sz w:val="22"/>
                <w:szCs w:val="22"/>
                <w:lang w:eastAsia="en-US"/>
              </w:rPr>
              <w:t>razão da Resolução 10/2007 da ANP, a mesma se torna inconstitucional por não habilitar meios</w:t>
            </w:r>
            <w:r>
              <w:rPr>
                <w:rFonts w:eastAsiaTheme="minorHAnsi"/>
                <w:sz w:val="22"/>
                <w:szCs w:val="22"/>
                <w:lang w:eastAsia="en-US"/>
              </w:rPr>
              <w:t xml:space="preserve"> </w:t>
            </w:r>
            <w:r w:rsidRPr="0020475D">
              <w:rPr>
                <w:rFonts w:eastAsiaTheme="minorHAnsi"/>
                <w:sz w:val="22"/>
                <w:szCs w:val="22"/>
                <w:lang w:eastAsia="en-US"/>
              </w:rPr>
              <w:t>de cumprimento do que é exigido. O Governo não pode exigir aquilo que ele não proporciona</w:t>
            </w:r>
            <w:r>
              <w:rPr>
                <w:rFonts w:eastAsiaTheme="minorHAnsi"/>
                <w:sz w:val="22"/>
                <w:szCs w:val="22"/>
                <w:lang w:eastAsia="en-US"/>
              </w:rPr>
              <w:t xml:space="preserve"> </w:t>
            </w:r>
            <w:r w:rsidRPr="0020475D">
              <w:rPr>
                <w:rFonts w:eastAsiaTheme="minorHAnsi"/>
                <w:sz w:val="22"/>
                <w:szCs w:val="22"/>
                <w:lang w:eastAsia="en-US"/>
              </w:rPr>
              <w:t>ou indica os meios de cumprimento, mas também, não pode se eximir de suas</w:t>
            </w:r>
            <w:r>
              <w:rPr>
                <w:rFonts w:eastAsiaTheme="minorHAnsi"/>
                <w:sz w:val="22"/>
                <w:szCs w:val="22"/>
                <w:lang w:eastAsia="en-US"/>
              </w:rPr>
              <w:t xml:space="preserve"> </w:t>
            </w:r>
            <w:r w:rsidRPr="0020475D">
              <w:rPr>
                <w:rFonts w:eastAsiaTheme="minorHAnsi"/>
                <w:sz w:val="22"/>
                <w:szCs w:val="22"/>
                <w:lang w:eastAsia="en-US"/>
              </w:rPr>
              <w:t>responsabilidades não proteção do consumidor.</w:t>
            </w:r>
          </w:p>
        </w:tc>
        <w:tc>
          <w:tcPr>
            <w:tcW w:w="2693" w:type="dxa"/>
            <w:shd w:val="clear" w:color="auto" w:fill="FFFFFF"/>
            <w:vAlign w:val="center"/>
          </w:tcPr>
          <w:p w:rsidR="00A5271E" w:rsidRPr="00670385" w:rsidRDefault="00670385" w:rsidP="00680449">
            <w:pPr>
              <w:ind w:left="85" w:right="85"/>
              <w:jc w:val="both"/>
              <w:rPr>
                <w:sz w:val="22"/>
                <w:szCs w:val="22"/>
              </w:rPr>
            </w:pPr>
            <w:r w:rsidRPr="00670385">
              <w:rPr>
                <w:sz w:val="22"/>
                <w:szCs w:val="22"/>
              </w:rPr>
              <w:t>Idem ao anterior</w:t>
            </w:r>
            <w:r>
              <w:rPr>
                <w:sz w:val="22"/>
                <w:szCs w:val="22"/>
              </w:rPr>
              <w:t>.</w:t>
            </w:r>
          </w:p>
        </w:tc>
      </w:tr>
      <w:tr w:rsidR="003F6466" w:rsidRPr="00857283" w:rsidTr="00035EDD">
        <w:trPr>
          <w:trHeight w:val="670"/>
        </w:trPr>
        <w:tc>
          <w:tcPr>
            <w:tcW w:w="1560" w:type="dxa"/>
            <w:shd w:val="clear" w:color="auto" w:fill="FFFFFF"/>
            <w:vAlign w:val="center"/>
          </w:tcPr>
          <w:p w:rsidR="003F6466" w:rsidRPr="00EA31F9" w:rsidRDefault="003F6466" w:rsidP="00AB75C0">
            <w:pPr>
              <w:jc w:val="center"/>
              <w:rPr>
                <w:b/>
                <w:bCs/>
                <w:color w:val="000000"/>
                <w:sz w:val="22"/>
                <w:szCs w:val="22"/>
              </w:rPr>
            </w:pPr>
            <w:r>
              <w:rPr>
                <w:b/>
                <w:bCs/>
                <w:color w:val="000000"/>
                <w:sz w:val="22"/>
                <w:szCs w:val="22"/>
              </w:rPr>
              <w:t>SIMEPETRO</w:t>
            </w:r>
          </w:p>
        </w:tc>
        <w:tc>
          <w:tcPr>
            <w:tcW w:w="3686" w:type="dxa"/>
            <w:shd w:val="clear" w:color="auto" w:fill="FFFFFF"/>
            <w:tcMar>
              <w:top w:w="20" w:type="dxa"/>
              <w:left w:w="20" w:type="dxa"/>
              <w:bottom w:w="0" w:type="dxa"/>
              <w:right w:w="20" w:type="dxa"/>
            </w:tcMar>
            <w:vAlign w:val="center"/>
          </w:tcPr>
          <w:p w:rsidR="003F6466" w:rsidRPr="00554A6C" w:rsidRDefault="003F6466" w:rsidP="00AB75C0">
            <w:pPr>
              <w:autoSpaceDE w:val="0"/>
              <w:autoSpaceDN w:val="0"/>
              <w:adjustRightInd w:val="0"/>
              <w:ind w:left="122" w:right="122"/>
              <w:jc w:val="center"/>
              <w:rPr>
                <w:sz w:val="22"/>
                <w:szCs w:val="22"/>
              </w:rPr>
            </w:pPr>
            <w:r w:rsidRPr="00554A6C">
              <w:rPr>
                <w:rFonts w:eastAsia="Arial Unicode MS"/>
                <w:sz w:val="22"/>
                <w:szCs w:val="22"/>
              </w:rPr>
              <w:t xml:space="preserve">Isenção de registro </w:t>
            </w:r>
            <w:r>
              <w:rPr>
                <w:rFonts w:eastAsia="Arial Unicode MS"/>
                <w:sz w:val="22"/>
                <w:szCs w:val="22"/>
              </w:rPr>
              <w:t>–</w:t>
            </w:r>
            <w:r w:rsidRPr="00554A6C">
              <w:rPr>
                <w:rFonts w:eastAsia="Arial Unicode MS"/>
                <w:sz w:val="22"/>
                <w:szCs w:val="22"/>
              </w:rPr>
              <w:t xml:space="preserve"> </w:t>
            </w:r>
            <w:r>
              <w:rPr>
                <w:rFonts w:eastAsia="Arial Unicode MS"/>
                <w:sz w:val="22"/>
                <w:szCs w:val="22"/>
              </w:rPr>
              <w:t>lubrificantes i</w:t>
            </w:r>
            <w:r w:rsidRPr="00554A6C">
              <w:rPr>
                <w:rFonts w:eastAsia="Arial Unicode MS"/>
                <w:sz w:val="22"/>
                <w:szCs w:val="22"/>
              </w:rPr>
              <w:t>ndustriais</w:t>
            </w:r>
          </w:p>
        </w:tc>
        <w:tc>
          <w:tcPr>
            <w:tcW w:w="3827" w:type="dxa"/>
            <w:shd w:val="clear" w:color="auto" w:fill="FFFFFF"/>
            <w:tcMar>
              <w:top w:w="20" w:type="dxa"/>
              <w:left w:w="20" w:type="dxa"/>
              <w:bottom w:w="0" w:type="dxa"/>
              <w:right w:w="20" w:type="dxa"/>
            </w:tcMar>
            <w:vAlign w:val="center"/>
          </w:tcPr>
          <w:p w:rsidR="003F6466" w:rsidRPr="00857283" w:rsidRDefault="003F6466" w:rsidP="00AB75C0">
            <w:pPr>
              <w:autoSpaceDE w:val="0"/>
              <w:autoSpaceDN w:val="0"/>
              <w:adjustRightInd w:val="0"/>
              <w:ind w:left="122" w:right="122"/>
              <w:jc w:val="both"/>
              <w:rPr>
                <w:sz w:val="22"/>
                <w:szCs w:val="22"/>
              </w:rPr>
            </w:pPr>
            <w:r w:rsidRPr="00857283">
              <w:rPr>
                <w:sz w:val="22"/>
                <w:szCs w:val="22"/>
              </w:rPr>
              <w:t>Concordamos com a sugestão proposta na revisão da Res.10/2007</w:t>
            </w:r>
            <w:r>
              <w:rPr>
                <w:sz w:val="22"/>
                <w:szCs w:val="22"/>
              </w:rPr>
              <w:t xml:space="preserve"> de isenção de registro para alguns lubrificantes industriais</w:t>
            </w:r>
          </w:p>
        </w:tc>
        <w:tc>
          <w:tcPr>
            <w:tcW w:w="4253" w:type="dxa"/>
            <w:shd w:val="clear" w:color="auto" w:fill="FFFFFF"/>
            <w:tcMar>
              <w:top w:w="20" w:type="dxa"/>
              <w:left w:w="20" w:type="dxa"/>
              <w:bottom w:w="0" w:type="dxa"/>
              <w:right w:w="20" w:type="dxa"/>
            </w:tcMar>
            <w:vAlign w:val="center"/>
          </w:tcPr>
          <w:p w:rsidR="003F6466" w:rsidRPr="00857283" w:rsidRDefault="003F6466" w:rsidP="00AB75C0">
            <w:pPr>
              <w:autoSpaceDE w:val="0"/>
              <w:autoSpaceDN w:val="0"/>
              <w:adjustRightInd w:val="0"/>
              <w:ind w:left="122" w:right="122"/>
              <w:jc w:val="center"/>
              <w:rPr>
                <w:sz w:val="22"/>
                <w:szCs w:val="22"/>
              </w:rPr>
            </w:pPr>
            <w:r>
              <w:rPr>
                <w:sz w:val="22"/>
                <w:szCs w:val="22"/>
              </w:rPr>
              <w:t>-</w:t>
            </w:r>
          </w:p>
        </w:tc>
        <w:tc>
          <w:tcPr>
            <w:tcW w:w="2693" w:type="dxa"/>
            <w:shd w:val="clear" w:color="auto" w:fill="FFFFFF"/>
            <w:vAlign w:val="center"/>
          </w:tcPr>
          <w:p w:rsidR="003F6466" w:rsidRPr="00857283" w:rsidRDefault="003F6466" w:rsidP="00AB75C0">
            <w:pPr>
              <w:ind w:left="85" w:right="85"/>
              <w:jc w:val="both"/>
              <w:rPr>
                <w:sz w:val="22"/>
                <w:szCs w:val="22"/>
              </w:rPr>
            </w:pPr>
            <w:r>
              <w:rPr>
                <w:sz w:val="22"/>
                <w:szCs w:val="22"/>
              </w:rPr>
              <w:t>Acatada.</w:t>
            </w:r>
          </w:p>
        </w:tc>
      </w:tr>
      <w:tr w:rsidR="003F6466" w:rsidRPr="00857283" w:rsidTr="00035EDD">
        <w:trPr>
          <w:trHeight w:val="670"/>
        </w:trPr>
        <w:tc>
          <w:tcPr>
            <w:tcW w:w="1560" w:type="dxa"/>
            <w:shd w:val="clear" w:color="auto" w:fill="FFFFFF"/>
            <w:vAlign w:val="center"/>
          </w:tcPr>
          <w:p w:rsidR="003F6466" w:rsidRPr="00EA31F9" w:rsidRDefault="003F6466" w:rsidP="00AB75C0">
            <w:pPr>
              <w:jc w:val="center"/>
              <w:rPr>
                <w:b/>
                <w:bCs/>
                <w:color w:val="000000"/>
                <w:sz w:val="22"/>
                <w:szCs w:val="22"/>
              </w:rPr>
            </w:pPr>
            <w:r w:rsidRPr="00EA31F9">
              <w:rPr>
                <w:b/>
                <w:bCs/>
                <w:color w:val="000000"/>
                <w:sz w:val="22"/>
                <w:szCs w:val="22"/>
              </w:rPr>
              <w:t>PROMAX</w:t>
            </w:r>
          </w:p>
        </w:tc>
        <w:tc>
          <w:tcPr>
            <w:tcW w:w="3686" w:type="dxa"/>
            <w:shd w:val="clear" w:color="auto" w:fill="FFFFFF"/>
            <w:tcMar>
              <w:top w:w="20" w:type="dxa"/>
              <w:left w:w="20" w:type="dxa"/>
              <w:bottom w:w="0" w:type="dxa"/>
              <w:right w:w="20" w:type="dxa"/>
            </w:tcMar>
            <w:vAlign w:val="center"/>
          </w:tcPr>
          <w:p w:rsidR="003F6466" w:rsidRPr="00A5271E" w:rsidRDefault="003F6466" w:rsidP="00AB75C0">
            <w:pPr>
              <w:autoSpaceDE w:val="0"/>
              <w:autoSpaceDN w:val="0"/>
              <w:adjustRightInd w:val="0"/>
              <w:ind w:left="122" w:right="122"/>
              <w:jc w:val="center"/>
              <w:rPr>
                <w:sz w:val="22"/>
                <w:szCs w:val="22"/>
              </w:rPr>
            </w:pPr>
            <w:r w:rsidRPr="00A5271E">
              <w:rPr>
                <w:rFonts w:eastAsia="Arial Unicode MS"/>
                <w:sz w:val="22"/>
                <w:szCs w:val="22"/>
              </w:rPr>
              <w:t xml:space="preserve">Isenção de registro – </w:t>
            </w:r>
            <w:r w:rsidRPr="00A5271E">
              <w:rPr>
                <w:sz w:val="22"/>
                <w:szCs w:val="22"/>
              </w:rPr>
              <w:t>lubrificantes industriais</w:t>
            </w:r>
          </w:p>
        </w:tc>
        <w:tc>
          <w:tcPr>
            <w:tcW w:w="3827" w:type="dxa"/>
            <w:shd w:val="clear" w:color="auto" w:fill="FFFFFF"/>
            <w:tcMar>
              <w:top w:w="20" w:type="dxa"/>
              <w:left w:w="20" w:type="dxa"/>
              <w:bottom w:w="0" w:type="dxa"/>
              <w:right w:w="20" w:type="dxa"/>
            </w:tcMar>
            <w:vAlign w:val="center"/>
          </w:tcPr>
          <w:p w:rsidR="003F6466" w:rsidRPr="00E021A4" w:rsidRDefault="003F6466" w:rsidP="00AB75C0">
            <w:pPr>
              <w:autoSpaceDE w:val="0"/>
              <w:autoSpaceDN w:val="0"/>
              <w:adjustRightInd w:val="0"/>
              <w:ind w:left="122" w:right="122"/>
              <w:jc w:val="both"/>
              <w:rPr>
                <w:sz w:val="22"/>
                <w:szCs w:val="22"/>
              </w:rPr>
            </w:pPr>
            <w:r w:rsidRPr="00E021A4">
              <w:rPr>
                <w:sz w:val="22"/>
                <w:szCs w:val="22"/>
              </w:rPr>
              <w:t>Somos favoráveis a revisão da Resolução ANP 10/2007, no que se refere a “lubrificantes industriais”</w:t>
            </w:r>
          </w:p>
        </w:tc>
        <w:tc>
          <w:tcPr>
            <w:tcW w:w="4253" w:type="dxa"/>
            <w:shd w:val="clear" w:color="auto" w:fill="FFFFFF"/>
            <w:tcMar>
              <w:top w:w="20" w:type="dxa"/>
              <w:left w:w="20" w:type="dxa"/>
              <w:bottom w:w="0" w:type="dxa"/>
              <w:right w:w="20" w:type="dxa"/>
            </w:tcMar>
            <w:vAlign w:val="center"/>
          </w:tcPr>
          <w:p w:rsidR="003F6466" w:rsidRPr="00857283" w:rsidRDefault="003F6466" w:rsidP="00AB75C0">
            <w:pPr>
              <w:ind w:left="122" w:right="122"/>
              <w:jc w:val="both"/>
              <w:rPr>
                <w:sz w:val="22"/>
                <w:szCs w:val="22"/>
              </w:rPr>
            </w:pPr>
            <w:r w:rsidRPr="00E021A4">
              <w:rPr>
                <w:sz w:val="22"/>
                <w:szCs w:val="22"/>
              </w:rPr>
              <w:t>“...pois entendemos que esse nível de cliente tem condições de avaliar a qualidade dos produtos que estão adquirindo.”</w:t>
            </w:r>
          </w:p>
        </w:tc>
        <w:tc>
          <w:tcPr>
            <w:tcW w:w="2693" w:type="dxa"/>
            <w:shd w:val="clear" w:color="auto" w:fill="FFFFFF"/>
            <w:vAlign w:val="center"/>
          </w:tcPr>
          <w:p w:rsidR="003F6466" w:rsidRPr="00857283" w:rsidRDefault="003F6466" w:rsidP="00AB75C0">
            <w:pPr>
              <w:ind w:left="85" w:right="85"/>
              <w:jc w:val="both"/>
              <w:rPr>
                <w:sz w:val="22"/>
                <w:szCs w:val="22"/>
              </w:rPr>
            </w:pPr>
            <w:r>
              <w:rPr>
                <w:sz w:val="22"/>
                <w:szCs w:val="22"/>
              </w:rPr>
              <w:t>Acatada.</w:t>
            </w:r>
          </w:p>
        </w:tc>
      </w:tr>
      <w:tr w:rsidR="003F6466" w:rsidRPr="00857283" w:rsidTr="00035EDD">
        <w:trPr>
          <w:trHeight w:val="670"/>
        </w:trPr>
        <w:tc>
          <w:tcPr>
            <w:tcW w:w="1560" w:type="dxa"/>
            <w:shd w:val="clear" w:color="auto" w:fill="FFFFFF"/>
            <w:vAlign w:val="center"/>
          </w:tcPr>
          <w:p w:rsidR="003F6466" w:rsidRPr="00EA31F9" w:rsidRDefault="003F6466" w:rsidP="00AB75C0">
            <w:pPr>
              <w:jc w:val="center"/>
              <w:rPr>
                <w:b/>
                <w:bCs/>
                <w:sz w:val="22"/>
                <w:szCs w:val="22"/>
              </w:rPr>
            </w:pPr>
            <w:r w:rsidRPr="00EA31F9">
              <w:rPr>
                <w:b/>
                <w:bCs/>
                <w:color w:val="000000"/>
                <w:sz w:val="22"/>
                <w:szCs w:val="22"/>
              </w:rPr>
              <w:t>SINDILUB</w:t>
            </w:r>
          </w:p>
        </w:tc>
        <w:tc>
          <w:tcPr>
            <w:tcW w:w="3686" w:type="dxa"/>
            <w:shd w:val="clear" w:color="auto" w:fill="FFFFFF"/>
            <w:tcMar>
              <w:top w:w="20" w:type="dxa"/>
              <w:left w:w="20" w:type="dxa"/>
              <w:bottom w:w="0" w:type="dxa"/>
              <w:right w:w="20" w:type="dxa"/>
            </w:tcMar>
            <w:vAlign w:val="center"/>
          </w:tcPr>
          <w:p w:rsidR="003F6466" w:rsidRPr="004C2764" w:rsidRDefault="003F6466" w:rsidP="00AB75C0">
            <w:pPr>
              <w:ind w:left="122" w:right="122"/>
              <w:jc w:val="center"/>
              <w:rPr>
                <w:rFonts w:eastAsia="Arial Unicode MS"/>
                <w:b/>
                <w:bCs/>
                <w:sz w:val="22"/>
                <w:szCs w:val="22"/>
              </w:rPr>
            </w:pPr>
            <w:r w:rsidRPr="00A5271E">
              <w:rPr>
                <w:rFonts w:eastAsia="Arial Unicode MS"/>
                <w:sz w:val="22"/>
                <w:szCs w:val="22"/>
              </w:rPr>
              <w:t xml:space="preserve">Isenção de registro – </w:t>
            </w:r>
            <w:r w:rsidRPr="00A5271E">
              <w:rPr>
                <w:sz w:val="22"/>
                <w:szCs w:val="22"/>
              </w:rPr>
              <w:t>lubrificantes industriais</w:t>
            </w:r>
          </w:p>
        </w:tc>
        <w:tc>
          <w:tcPr>
            <w:tcW w:w="3827" w:type="dxa"/>
            <w:shd w:val="clear" w:color="auto" w:fill="FFFFFF"/>
            <w:tcMar>
              <w:top w:w="20" w:type="dxa"/>
              <w:left w:w="20" w:type="dxa"/>
              <w:bottom w:w="0" w:type="dxa"/>
              <w:right w:w="20" w:type="dxa"/>
            </w:tcMar>
            <w:vAlign w:val="center"/>
          </w:tcPr>
          <w:p w:rsidR="003F6466" w:rsidRPr="00857283" w:rsidRDefault="003F6466" w:rsidP="00AB75C0">
            <w:pPr>
              <w:ind w:left="122" w:right="122"/>
              <w:jc w:val="both"/>
              <w:rPr>
                <w:rFonts w:eastAsia="Arial Unicode MS"/>
                <w:sz w:val="22"/>
                <w:szCs w:val="22"/>
              </w:rPr>
            </w:pPr>
            <w:r w:rsidRPr="00857283">
              <w:rPr>
                <w:sz w:val="22"/>
                <w:szCs w:val="22"/>
              </w:rPr>
              <w:t xml:space="preserve">Concordamos com a proposta de isenção de registro para os produtos relacionados no item “C” </w:t>
            </w:r>
            <w:r>
              <w:rPr>
                <w:sz w:val="22"/>
                <w:szCs w:val="22"/>
              </w:rPr>
              <w:t>(alguns tipos de lubrificantes industriais)</w:t>
            </w:r>
          </w:p>
        </w:tc>
        <w:tc>
          <w:tcPr>
            <w:tcW w:w="4253" w:type="dxa"/>
            <w:shd w:val="clear" w:color="auto" w:fill="FFFFFF"/>
            <w:tcMar>
              <w:top w:w="20" w:type="dxa"/>
              <w:left w:w="20" w:type="dxa"/>
              <w:bottom w:w="0" w:type="dxa"/>
              <w:right w:w="20" w:type="dxa"/>
            </w:tcMar>
            <w:vAlign w:val="center"/>
          </w:tcPr>
          <w:p w:rsidR="003F6466" w:rsidRPr="00857283" w:rsidRDefault="003F6466" w:rsidP="00AB75C0">
            <w:pPr>
              <w:ind w:left="122" w:right="122"/>
              <w:jc w:val="both"/>
              <w:rPr>
                <w:rFonts w:eastAsia="Arial Unicode MS"/>
                <w:sz w:val="22"/>
                <w:szCs w:val="22"/>
              </w:rPr>
            </w:pPr>
            <w:r w:rsidRPr="00857283">
              <w:rPr>
                <w:sz w:val="22"/>
                <w:szCs w:val="22"/>
              </w:rPr>
              <w:t>Além de concordar com a exposição de motivo do item “C” do Relatório de Avaliação, muitas das necessidades específicas dos consumidores industriais são levantadas pela Revenda Atacadista que atua como elo entre os produtores e o cliente.</w:t>
            </w:r>
          </w:p>
        </w:tc>
        <w:tc>
          <w:tcPr>
            <w:tcW w:w="2693" w:type="dxa"/>
            <w:shd w:val="clear" w:color="auto" w:fill="FFFFFF"/>
            <w:vAlign w:val="center"/>
          </w:tcPr>
          <w:p w:rsidR="003F6466" w:rsidRPr="00857283" w:rsidRDefault="003F6466" w:rsidP="00AB75C0">
            <w:pPr>
              <w:ind w:left="85" w:right="85"/>
              <w:rPr>
                <w:sz w:val="22"/>
                <w:szCs w:val="22"/>
              </w:rPr>
            </w:pPr>
            <w:r>
              <w:rPr>
                <w:sz w:val="22"/>
                <w:szCs w:val="22"/>
              </w:rPr>
              <w:t>Acatada.</w:t>
            </w:r>
          </w:p>
        </w:tc>
      </w:tr>
      <w:tr w:rsidR="00A5271E" w:rsidRPr="00857283" w:rsidTr="00035EDD">
        <w:trPr>
          <w:trHeight w:val="670"/>
        </w:trPr>
        <w:tc>
          <w:tcPr>
            <w:tcW w:w="1560" w:type="dxa"/>
            <w:shd w:val="clear" w:color="auto" w:fill="FFFFFF"/>
            <w:vAlign w:val="center"/>
          </w:tcPr>
          <w:p w:rsidR="00A5271E" w:rsidRPr="00EA31F9" w:rsidRDefault="00A5271E" w:rsidP="00554A6C">
            <w:pPr>
              <w:jc w:val="center"/>
              <w:rPr>
                <w:rFonts w:eastAsiaTheme="minorHAnsi"/>
                <w:sz w:val="22"/>
                <w:szCs w:val="22"/>
                <w:lang w:eastAsia="en-US"/>
              </w:rPr>
            </w:pPr>
            <w:r w:rsidRPr="00EA31F9">
              <w:rPr>
                <w:b/>
                <w:bCs/>
                <w:color w:val="000000"/>
                <w:sz w:val="22"/>
                <w:szCs w:val="22"/>
              </w:rPr>
              <w:t xml:space="preserve">SIMEPETRO </w:t>
            </w:r>
          </w:p>
        </w:tc>
        <w:tc>
          <w:tcPr>
            <w:tcW w:w="3686" w:type="dxa"/>
            <w:shd w:val="clear" w:color="auto" w:fill="FFFFFF"/>
            <w:tcMar>
              <w:top w:w="20" w:type="dxa"/>
              <w:left w:w="20" w:type="dxa"/>
              <w:bottom w:w="0" w:type="dxa"/>
              <w:right w:w="20" w:type="dxa"/>
            </w:tcMar>
            <w:vAlign w:val="center"/>
          </w:tcPr>
          <w:p w:rsidR="00A5271E" w:rsidRPr="00EA31F9" w:rsidRDefault="00A5271E" w:rsidP="00134480">
            <w:pPr>
              <w:autoSpaceDE w:val="0"/>
              <w:autoSpaceDN w:val="0"/>
              <w:adjustRightInd w:val="0"/>
              <w:jc w:val="center"/>
              <w:rPr>
                <w:sz w:val="22"/>
                <w:szCs w:val="22"/>
              </w:rPr>
            </w:pPr>
            <w:r>
              <w:rPr>
                <w:sz w:val="22"/>
                <w:szCs w:val="22"/>
              </w:rPr>
              <w:t>Assunto estranho à nota técnica</w:t>
            </w:r>
          </w:p>
        </w:tc>
        <w:tc>
          <w:tcPr>
            <w:tcW w:w="3827"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0"/>
              <w:jc w:val="both"/>
              <w:rPr>
                <w:sz w:val="22"/>
                <w:szCs w:val="22"/>
              </w:rPr>
            </w:pPr>
            <w:r w:rsidRPr="00857283">
              <w:rPr>
                <w:sz w:val="22"/>
                <w:szCs w:val="22"/>
              </w:rPr>
              <w:t>Sugestão de maior acompanhamento para registro de lubrificantes para uso nas indústrias alimentícias.</w:t>
            </w:r>
          </w:p>
        </w:tc>
        <w:tc>
          <w:tcPr>
            <w:tcW w:w="4253" w:type="dxa"/>
            <w:shd w:val="clear" w:color="auto" w:fill="FFFFFF"/>
            <w:tcMar>
              <w:top w:w="20" w:type="dxa"/>
              <w:left w:w="20" w:type="dxa"/>
              <w:bottom w:w="0" w:type="dxa"/>
              <w:right w:w="20" w:type="dxa"/>
            </w:tcMar>
            <w:vAlign w:val="center"/>
          </w:tcPr>
          <w:p w:rsidR="00A5271E" w:rsidRPr="00857283" w:rsidRDefault="00A5271E" w:rsidP="00C20AA7">
            <w:pPr>
              <w:autoSpaceDE w:val="0"/>
              <w:autoSpaceDN w:val="0"/>
              <w:adjustRightInd w:val="0"/>
              <w:ind w:left="122" w:right="122"/>
              <w:jc w:val="both"/>
              <w:rPr>
                <w:sz w:val="22"/>
                <w:szCs w:val="22"/>
              </w:rPr>
            </w:pPr>
            <w:r w:rsidRPr="00857283">
              <w:rPr>
                <w:sz w:val="22"/>
                <w:szCs w:val="22"/>
              </w:rPr>
              <w:t>Sugere-se que tenhamos em nosso segmento, instituição que possa fiscalizar e acompanhar os registros de produtos lubrificantes e graxas, para uso nos equipamentos das indústrias alimentícias. Sabemos que atualmente temos produtos produzidos em nossas industrias brasileiras e alguns importados que também são registrados na ANP. Porém entendemos que estes produtos devem ser fiscalizados e acompanhados frequentemente por instituição que tenha toda a condição de equipamentos de laboratórios e profissionais capacitados que possam avaliar e atestar que realmente as matérias primas e os procedimentos de produção e as embalagens realmente atendem o que preconiza nos organismos internacionais sobre tais linhas de produtos aqui mencionados.Entendemos que é um segmento bastante especifico mas e tratando da ANP e de revisão da resolução que trata de registro de lubrificantes junto a ANP, precisamos “avançar” tecnicamente nas exigências de registros e no acompanhamento de comercialização, e nas inspeções das plantas que se presta a produzir estes produtos, que são de extrema importância em termos de valor agregado, para quem fabrica de maneira apropriada, mas quando “compete” com alguns produtos que não são produzidos de maneira tão criteriosa segundo padrões que são obrigatórios para que se tenha lubrificante que possa desempenhar seu papel na lubrificação, mas se caso tenha contato eventual com o alimento que está sendo preparado coloca as pessoas que irão consumir tais alimentos em total risco durante seu consumo, seja por contaminação eventual ou por consumir produtos que sofram contaminações paulatinas e freqüentes ao longo de sua produção. Desta forma entendemos que precisamos ter uma força tarefa neste caso que envolva o ministério da agricultura, vigilância sanitária e ANP, podendo ser auxiliada pelo IBP que tem uma comissão de lubrificantes e lubrificação com profissionais de extremo conhecimento que poderiam contribuir e outros órgãos que se sintam em condição de contribuir nesta estruturação de dados para que possamos nos sentir mais seguros sobre os lubrificantes e graxas que atualmente são empregados nesta lubrificação dos equipamentos de produção de nossas indústrias alimentícias. Inclusive atualmente o órgão americano que registra produtos ou empresas que queiram atuar neste segmento não é órgão do governo o que mostra que temos condição de termos internamente instituição que possa fazer este mesmo tipo de registro, e que futuramente consiga ir ao mercado e conjuntamente com a ANP fazer esta fiscalização através de amostragem e análise dos produtos comercializados para termos maior segurança no que está sendo usado por nossas indústrias alimentícias.</w:t>
            </w:r>
          </w:p>
        </w:tc>
        <w:tc>
          <w:tcPr>
            <w:tcW w:w="2693" w:type="dxa"/>
            <w:shd w:val="clear" w:color="auto" w:fill="FFFFFF"/>
            <w:vAlign w:val="center"/>
          </w:tcPr>
          <w:p w:rsidR="00A5271E" w:rsidRPr="00857283" w:rsidRDefault="003F6466" w:rsidP="00680449">
            <w:pPr>
              <w:ind w:left="85" w:right="85"/>
              <w:jc w:val="both"/>
              <w:rPr>
                <w:sz w:val="22"/>
                <w:szCs w:val="22"/>
              </w:rPr>
            </w:pPr>
            <w:r>
              <w:rPr>
                <w:sz w:val="22"/>
                <w:szCs w:val="22"/>
              </w:rPr>
              <w:t>-</w:t>
            </w:r>
          </w:p>
        </w:tc>
      </w:tr>
    </w:tbl>
    <w:p w:rsidR="004A03D7" w:rsidRDefault="004A03D7" w:rsidP="007F2602">
      <w:pPr>
        <w:jc w:val="center"/>
        <w:rPr>
          <w:rFonts w:eastAsia="Arial Unicode MS"/>
          <w:sz w:val="22"/>
          <w:szCs w:val="22"/>
        </w:rPr>
      </w:pPr>
    </w:p>
    <w:p w:rsidR="007F2602" w:rsidRPr="00857283" w:rsidRDefault="007F2602" w:rsidP="007F2602">
      <w:pPr>
        <w:jc w:val="center"/>
        <w:rPr>
          <w:sz w:val="22"/>
          <w:szCs w:val="22"/>
        </w:rPr>
      </w:pPr>
      <w:r w:rsidRPr="00857283">
        <w:rPr>
          <w:rFonts w:eastAsia="Arial Unicode MS"/>
          <w:sz w:val="22"/>
          <w:szCs w:val="22"/>
        </w:rPr>
        <w:t xml:space="preserve">Este formulário deverá ser encaminhado à ANP para o endereço eletrônico: </w:t>
      </w:r>
      <w:hyperlink r:id="rId10" w:history="1">
        <w:r w:rsidRPr="00857283">
          <w:rPr>
            <w:rStyle w:val="Hyperlink"/>
            <w:rFonts w:eastAsia="Arial Unicode MS"/>
            <w:sz w:val="22"/>
            <w:szCs w:val="22"/>
          </w:rPr>
          <w:t>registrodelubrificantes@anp.gov.br</w:t>
        </w:r>
      </w:hyperlink>
      <w:r w:rsidRPr="00857283">
        <w:rPr>
          <w:rFonts w:eastAsia="Arial Unicode MS"/>
          <w:sz w:val="22"/>
          <w:szCs w:val="22"/>
        </w:rPr>
        <w:t>.</w:t>
      </w:r>
    </w:p>
    <w:p w:rsidR="00680449" w:rsidRPr="00857283" w:rsidRDefault="00680449" w:rsidP="00680449">
      <w:pPr>
        <w:rPr>
          <w:sz w:val="22"/>
          <w:szCs w:val="22"/>
        </w:rPr>
      </w:pPr>
    </w:p>
    <w:p w:rsidR="00680449" w:rsidRPr="00857283" w:rsidRDefault="00680449">
      <w:pPr>
        <w:rPr>
          <w:sz w:val="22"/>
          <w:szCs w:val="22"/>
        </w:rPr>
      </w:pPr>
    </w:p>
    <w:sectPr w:rsidR="00680449" w:rsidRPr="00857283" w:rsidSect="00680449">
      <w:footerReference w:type="default" r:id="rId11"/>
      <w:pgSz w:w="16840" w:h="11907" w:orient="landscape" w:code="9"/>
      <w:pgMar w:top="1418"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F06" w:rsidRDefault="00EF6F06" w:rsidP="00BE0237">
      <w:r>
        <w:separator/>
      </w:r>
    </w:p>
  </w:endnote>
  <w:endnote w:type="continuationSeparator" w:id="0">
    <w:p w:rsidR="00EF6F06" w:rsidRDefault="00EF6F06" w:rsidP="00BE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59871"/>
      <w:docPartObj>
        <w:docPartGallery w:val="Page Numbers (Bottom of Page)"/>
        <w:docPartUnique/>
      </w:docPartObj>
    </w:sdtPr>
    <w:sdtEndPr/>
    <w:sdtContent>
      <w:p w:rsidR="00EF6F06" w:rsidRDefault="00DB5CF2">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rsidR="00EF6F06" w:rsidRDefault="00EF6F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F06" w:rsidRDefault="00EF6F06" w:rsidP="00BE0237">
      <w:r>
        <w:separator/>
      </w:r>
    </w:p>
  </w:footnote>
  <w:footnote w:type="continuationSeparator" w:id="0">
    <w:p w:rsidR="00EF6F06" w:rsidRDefault="00EF6F06" w:rsidP="00BE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A6F59"/>
    <w:multiLevelType w:val="hybridMultilevel"/>
    <w:tmpl w:val="ECECA484"/>
    <w:lvl w:ilvl="0" w:tplc="054A5C00">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2D4C0017"/>
    <w:multiLevelType w:val="hybridMultilevel"/>
    <w:tmpl w:val="266C4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1B239C"/>
    <w:multiLevelType w:val="hybridMultilevel"/>
    <w:tmpl w:val="8650240A"/>
    <w:lvl w:ilvl="0" w:tplc="4C6095A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391CB6"/>
    <w:multiLevelType w:val="hybridMultilevel"/>
    <w:tmpl w:val="88F4703A"/>
    <w:lvl w:ilvl="0" w:tplc="E3B06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49"/>
    <w:rsid w:val="00035EDD"/>
    <w:rsid w:val="000C6FFC"/>
    <w:rsid w:val="000D05C1"/>
    <w:rsid w:val="000D52A4"/>
    <w:rsid w:val="000F5B2B"/>
    <w:rsid w:val="00134480"/>
    <w:rsid w:val="00146DE3"/>
    <w:rsid w:val="0018186A"/>
    <w:rsid w:val="0020475D"/>
    <w:rsid w:val="00290287"/>
    <w:rsid w:val="002B0F35"/>
    <w:rsid w:val="002D183F"/>
    <w:rsid w:val="002E655B"/>
    <w:rsid w:val="00313A19"/>
    <w:rsid w:val="003253FF"/>
    <w:rsid w:val="00325C62"/>
    <w:rsid w:val="00344D9E"/>
    <w:rsid w:val="00352E42"/>
    <w:rsid w:val="003F6466"/>
    <w:rsid w:val="004A03D7"/>
    <w:rsid w:val="004C2764"/>
    <w:rsid w:val="00545B43"/>
    <w:rsid w:val="00554A6C"/>
    <w:rsid w:val="005751A7"/>
    <w:rsid w:val="00670385"/>
    <w:rsid w:val="006721F2"/>
    <w:rsid w:val="00680449"/>
    <w:rsid w:val="00714C33"/>
    <w:rsid w:val="007D15E2"/>
    <w:rsid w:val="007F2602"/>
    <w:rsid w:val="007F35DC"/>
    <w:rsid w:val="00857283"/>
    <w:rsid w:val="008A2F9D"/>
    <w:rsid w:val="0093395B"/>
    <w:rsid w:val="009756B0"/>
    <w:rsid w:val="009C1696"/>
    <w:rsid w:val="009D05FC"/>
    <w:rsid w:val="00A5271E"/>
    <w:rsid w:val="00A63BF8"/>
    <w:rsid w:val="00A742A5"/>
    <w:rsid w:val="00AE7B15"/>
    <w:rsid w:val="00AF5807"/>
    <w:rsid w:val="00B43785"/>
    <w:rsid w:val="00B83BB9"/>
    <w:rsid w:val="00B91763"/>
    <w:rsid w:val="00BE0237"/>
    <w:rsid w:val="00C20AA7"/>
    <w:rsid w:val="00C224E0"/>
    <w:rsid w:val="00C32832"/>
    <w:rsid w:val="00C62587"/>
    <w:rsid w:val="00D0327B"/>
    <w:rsid w:val="00D57358"/>
    <w:rsid w:val="00DB5CF2"/>
    <w:rsid w:val="00DB6881"/>
    <w:rsid w:val="00E021A4"/>
    <w:rsid w:val="00E225A0"/>
    <w:rsid w:val="00E34CFD"/>
    <w:rsid w:val="00E806BE"/>
    <w:rsid w:val="00EA31F9"/>
    <w:rsid w:val="00EF6F06"/>
    <w:rsid w:val="00F058BF"/>
    <w:rsid w:val="00F33DBD"/>
    <w:rsid w:val="00FA3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7"/>
    <o:shapelayout v:ext="edit">
      <o:idmap v:ext="edit" data="1"/>
    </o:shapelayout>
  </w:shapeDefaults>
  <w:decimalSymbol w:val=","/>
  <w:listSeparator w:val=";"/>
  <w15:docId w15:val="{9ECCE66D-4281-4885-B8FD-98EAD826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44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0449"/>
    <w:pPr>
      <w:spacing w:before="120"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rsid w:val="007F2602"/>
    <w:rPr>
      <w:color w:val="0000FF"/>
      <w:u w:val="single"/>
    </w:rPr>
  </w:style>
  <w:style w:type="paragraph" w:customStyle="1" w:styleId="Default">
    <w:name w:val="Default"/>
    <w:rsid w:val="002E655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semiHidden/>
    <w:unhideWhenUsed/>
    <w:rsid w:val="00BE0237"/>
    <w:pPr>
      <w:tabs>
        <w:tab w:val="center" w:pos="4252"/>
        <w:tab w:val="right" w:pos="8504"/>
      </w:tabs>
    </w:pPr>
  </w:style>
  <w:style w:type="character" w:customStyle="1" w:styleId="CabealhoChar">
    <w:name w:val="Cabeçalho Char"/>
    <w:basedOn w:val="Fontepargpadro"/>
    <w:link w:val="Cabealho"/>
    <w:uiPriority w:val="99"/>
    <w:semiHidden/>
    <w:rsid w:val="00BE023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E0237"/>
    <w:pPr>
      <w:tabs>
        <w:tab w:val="center" w:pos="4252"/>
        <w:tab w:val="right" w:pos="8504"/>
      </w:tabs>
    </w:pPr>
  </w:style>
  <w:style w:type="character" w:customStyle="1" w:styleId="RodapChar">
    <w:name w:val="Rodapé Char"/>
    <w:basedOn w:val="Fontepargpadro"/>
    <w:link w:val="Rodap"/>
    <w:uiPriority w:val="99"/>
    <w:rsid w:val="00BE023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registrodelubrificantes@anp.gov.b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F54555C1CA216843897EC6AFC4746615" ma:contentTypeVersion="2" ma:contentTypeDescription="Crie um novo documento." ma:contentTypeScope="" ma:versionID="d27c6416dae1f25892b92255a63a6134">
  <xsd:schema xmlns:xsd="http://www.w3.org/2001/XMLSchema" xmlns:xs="http://www.w3.org/2001/XMLSchema" xmlns:p="http://schemas.microsoft.com/office/2006/metadata/properties" xmlns:ns2="bf652690-9d57-4c03-aa54-01d7f2bf521b" targetNamespace="http://schemas.microsoft.com/office/2006/metadata/properties" ma:root="true" ma:fieldsID="ea155aefbcb61d3e665fc5b0346a0c47" ns2:_="">
    <xsd:import namespace="bf652690-9d57-4c03-aa54-01d7f2bf52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52690-9d57-4c03-aa54-01d7f2bf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F1272-3C9E-43A5-B0D3-7AD1F87D30DE}">
  <ds:schemaRefs>
    <ds:schemaRef ds:uri="http://schemas.openxmlformats.org/officeDocument/2006/bibliography"/>
  </ds:schemaRefs>
</ds:datastoreItem>
</file>

<file path=customXml/itemProps2.xml><?xml version="1.0" encoding="utf-8"?>
<ds:datastoreItem xmlns:ds="http://schemas.openxmlformats.org/officeDocument/2006/customXml" ds:itemID="{452BDD51-4DE4-4D13-806E-68B19B0AE5D1}"/>
</file>

<file path=customXml/itemProps3.xml><?xml version="1.0" encoding="utf-8"?>
<ds:datastoreItem xmlns:ds="http://schemas.openxmlformats.org/officeDocument/2006/customXml" ds:itemID="{609B6204-3794-4C5C-81A4-F5ED87BB1612}"/>
</file>

<file path=customXml/itemProps4.xml><?xml version="1.0" encoding="utf-8"?>
<ds:datastoreItem xmlns:ds="http://schemas.openxmlformats.org/officeDocument/2006/customXml" ds:itemID="{C2E5D86F-88BE-489B-8F46-6E1A4479410F}"/>
</file>

<file path=docProps/app.xml><?xml version="1.0" encoding="utf-8"?>
<Properties xmlns="http://schemas.openxmlformats.org/officeDocument/2006/extended-properties" xmlns:vt="http://schemas.openxmlformats.org/officeDocument/2006/docPropsVTypes">
  <Template>Normal.dotm</Template>
  <TotalTime>1</TotalTime>
  <Pages>21</Pages>
  <Words>5117</Words>
  <Characters>27635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CELMA DA SILVA ANASTACIO ROCCO</cp:lastModifiedBy>
  <cp:revision>2</cp:revision>
  <dcterms:created xsi:type="dcterms:W3CDTF">2019-04-04T13:14:00Z</dcterms:created>
  <dcterms:modified xsi:type="dcterms:W3CDTF">2019-04-04T13:14:00Z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0x010100F54555C1CA216843897EC6AFC4746615</vt:lpwstr>
  </property>
</Properties>
</file>