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67" w:rsidRDefault="00C6133B" w:rsidP="002B3567">
      <w:pPr>
        <w:jc w:val="center"/>
        <w:rPr>
          <w:b/>
          <w:sz w:val="32"/>
          <w:szCs w:val="32"/>
        </w:rPr>
      </w:pPr>
      <w:bookmarkStart w:id="0" w:name="_GoBack"/>
      <w:bookmarkEnd w:id="0"/>
      <w:r>
        <w:rPr>
          <w:b/>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pt;margin-top:14.35pt;width:77.3pt;height:107.6pt;z-index:251657728;mso-position-vertical-relative:page">
            <v:imagedata r:id="rId7" o:title=""/>
            <w10:wrap type="square" anchory="page"/>
          </v:shape>
          <o:OLEObject Type="Embed" ProgID="MSPhotoEd.3" ShapeID="_x0000_s1026" DrawAspect="Content" ObjectID="_1615818459" r:id="rId8"/>
        </w:object>
      </w:r>
    </w:p>
    <w:p w:rsidR="002B3567" w:rsidRPr="00F65F4F" w:rsidRDefault="008F7F92" w:rsidP="00817E37">
      <w:pPr>
        <w:jc w:val="center"/>
        <w:rPr>
          <w:b/>
          <w:sz w:val="32"/>
          <w:szCs w:val="32"/>
        </w:rPr>
      </w:pPr>
      <w:r w:rsidRPr="00F65F4F">
        <w:rPr>
          <w:b/>
          <w:sz w:val="32"/>
          <w:szCs w:val="32"/>
        </w:rPr>
        <w:t>RELATÓRIO CONSOLIDADO</w:t>
      </w:r>
      <w:r w:rsidR="002B3567" w:rsidRPr="00F65F4F">
        <w:rPr>
          <w:b/>
          <w:sz w:val="32"/>
          <w:szCs w:val="32"/>
        </w:rPr>
        <w:t xml:space="preserve"> DE COMENTÁRIOS E SUGESTÕES</w:t>
      </w:r>
    </w:p>
    <w:p w:rsidR="002B3567" w:rsidRPr="00F65F4F" w:rsidRDefault="002D03E5" w:rsidP="00817E37">
      <w:pPr>
        <w:jc w:val="center"/>
        <w:rPr>
          <w:b/>
          <w:sz w:val="26"/>
          <w:szCs w:val="26"/>
          <w:u w:val="single"/>
        </w:rPr>
      </w:pPr>
      <w:r>
        <w:rPr>
          <w:b/>
          <w:sz w:val="26"/>
          <w:szCs w:val="26"/>
          <w:u w:val="single"/>
        </w:rPr>
        <w:t xml:space="preserve">CONSULTA PÚBLICA N° </w:t>
      </w:r>
      <w:r w:rsidR="00A841FC">
        <w:rPr>
          <w:b/>
          <w:sz w:val="26"/>
          <w:szCs w:val="26"/>
          <w:u w:val="single"/>
        </w:rPr>
        <w:t>1</w:t>
      </w:r>
      <w:r w:rsidR="002660A8">
        <w:rPr>
          <w:b/>
          <w:sz w:val="26"/>
          <w:szCs w:val="26"/>
          <w:u w:val="single"/>
        </w:rPr>
        <w:t>9</w:t>
      </w:r>
      <w:r w:rsidR="00A841FC">
        <w:rPr>
          <w:b/>
          <w:sz w:val="26"/>
          <w:szCs w:val="26"/>
          <w:u w:val="single"/>
        </w:rPr>
        <w:t xml:space="preserve">/2012 - DE </w:t>
      </w:r>
      <w:r w:rsidR="002660A8">
        <w:rPr>
          <w:b/>
          <w:sz w:val="26"/>
          <w:szCs w:val="26"/>
          <w:u w:val="single"/>
        </w:rPr>
        <w:t>20</w:t>
      </w:r>
      <w:r w:rsidR="00A841FC">
        <w:rPr>
          <w:b/>
          <w:sz w:val="26"/>
          <w:szCs w:val="26"/>
          <w:u w:val="single"/>
        </w:rPr>
        <w:t>/1</w:t>
      </w:r>
      <w:r w:rsidR="002660A8">
        <w:rPr>
          <w:b/>
          <w:sz w:val="26"/>
          <w:szCs w:val="26"/>
          <w:u w:val="single"/>
        </w:rPr>
        <w:t>1</w:t>
      </w:r>
      <w:r w:rsidR="00A841FC">
        <w:rPr>
          <w:b/>
          <w:sz w:val="26"/>
          <w:szCs w:val="26"/>
          <w:u w:val="single"/>
        </w:rPr>
        <w:t xml:space="preserve">/2012 a </w:t>
      </w:r>
      <w:r w:rsidR="002660A8">
        <w:rPr>
          <w:b/>
          <w:sz w:val="26"/>
          <w:szCs w:val="26"/>
          <w:u w:val="single"/>
        </w:rPr>
        <w:t>04</w:t>
      </w:r>
      <w:r w:rsidR="00A841FC">
        <w:rPr>
          <w:b/>
          <w:sz w:val="26"/>
          <w:szCs w:val="26"/>
          <w:u w:val="single"/>
        </w:rPr>
        <w:t>/1</w:t>
      </w:r>
      <w:r w:rsidR="002660A8">
        <w:rPr>
          <w:b/>
          <w:sz w:val="26"/>
          <w:szCs w:val="26"/>
          <w:u w:val="single"/>
        </w:rPr>
        <w:t>2</w:t>
      </w:r>
      <w:r w:rsidR="00A841FC">
        <w:rPr>
          <w:b/>
          <w:sz w:val="26"/>
          <w:szCs w:val="26"/>
          <w:u w:val="single"/>
        </w:rPr>
        <w:t>/2012</w:t>
      </w:r>
    </w:p>
    <w:p w:rsidR="00817E37" w:rsidRPr="00F65F4F" w:rsidRDefault="00817E37" w:rsidP="00817E37">
      <w:pPr>
        <w:ind w:left="4111"/>
        <w:rPr>
          <w:b/>
          <w:sz w:val="26"/>
          <w:szCs w:val="26"/>
          <w:u w:val="single"/>
        </w:rPr>
      </w:pPr>
    </w:p>
    <w:p w:rsidR="002B3567" w:rsidRDefault="002B3567" w:rsidP="00817E37">
      <w:pPr>
        <w:ind w:left="4111"/>
        <w:rPr>
          <w:sz w:val="26"/>
          <w:szCs w:val="26"/>
        </w:rPr>
      </w:pPr>
    </w:p>
    <w:p w:rsidR="00213361" w:rsidRDefault="00213361" w:rsidP="002B3567">
      <w:pPr>
        <w:ind w:left="4111"/>
        <w:jc w:val="center"/>
        <w:rPr>
          <w:sz w:val="26"/>
          <w:szCs w:val="26"/>
        </w:rPr>
      </w:pPr>
    </w:p>
    <w:p w:rsidR="008F7F92" w:rsidRPr="008F7F92" w:rsidRDefault="008F7F92" w:rsidP="00F7581B">
      <w:pPr>
        <w:autoSpaceDE w:val="0"/>
        <w:autoSpaceDN w:val="0"/>
        <w:adjustRightInd w:val="0"/>
        <w:rPr>
          <w:rFonts w:ascii="Arial" w:hAnsi="Arial" w:cs="Arial"/>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243"/>
        <w:gridCol w:w="11"/>
        <w:gridCol w:w="11"/>
        <w:gridCol w:w="3465"/>
        <w:gridCol w:w="11"/>
        <w:gridCol w:w="90"/>
        <w:gridCol w:w="5150"/>
        <w:gridCol w:w="20"/>
        <w:gridCol w:w="8"/>
        <w:gridCol w:w="11"/>
        <w:gridCol w:w="3676"/>
        <w:gridCol w:w="15"/>
      </w:tblGrid>
      <w:tr w:rsidR="000A1506" w:rsidRPr="006C384C" w:rsidTr="00AC6460">
        <w:trPr>
          <w:trHeight w:val="954"/>
        </w:trPr>
        <w:tc>
          <w:tcPr>
            <w:tcW w:w="5000" w:type="pct"/>
            <w:gridSpan w:val="13"/>
            <w:shd w:val="clear" w:color="auto" w:fill="92D050"/>
            <w:vAlign w:val="center"/>
          </w:tcPr>
          <w:p w:rsidR="00E938B9" w:rsidRDefault="00E938B9" w:rsidP="004418E1">
            <w:pPr>
              <w:autoSpaceDE w:val="0"/>
              <w:autoSpaceDN w:val="0"/>
              <w:adjustRightInd w:val="0"/>
              <w:jc w:val="center"/>
              <w:rPr>
                <w:b/>
                <w:bCs/>
                <w:sz w:val="28"/>
                <w:szCs w:val="28"/>
              </w:rPr>
            </w:pPr>
            <w:r>
              <w:rPr>
                <w:rFonts w:ascii="Arial" w:hAnsi="Arial" w:cs="Arial"/>
                <w:bCs/>
                <w:sz w:val="28"/>
                <w:szCs w:val="28"/>
              </w:rPr>
              <w:t>Consulta Pública sobre a minuta da Resolução que altera dispositivos da Resolução ANP nº 65, de 9/12/2011, que estabelece as especificações dos óleos diesel rodoviários comercializados no país.</w:t>
            </w:r>
          </w:p>
          <w:p w:rsidR="00E938B9" w:rsidRDefault="00E938B9" w:rsidP="004418E1">
            <w:pPr>
              <w:autoSpaceDE w:val="0"/>
              <w:autoSpaceDN w:val="0"/>
              <w:adjustRightInd w:val="0"/>
              <w:jc w:val="center"/>
              <w:rPr>
                <w:rFonts w:ascii="Arial" w:hAnsi="Arial" w:cs="Arial"/>
                <w:bCs/>
                <w:sz w:val="28"/>
                <w:szCs w:val="28"/>
              </w:rPr>
            </w:pPr>
          </w:p>
        </w:tc>
      </w:tr>
      <w:tr w:rsidR="000A1506" w:rsidTr="00AC6460">
        <w:trPr>
          <w:trHeight w:val="679"/>
        </w:trPr>
        <w:tc>
          <w:tcPr>
            <w:tcW w:w="689" w:type="pct"/>
            <w:tcBorders>
              <w:bottom w:val="single" w:sz="4" w:space="0" w:color="auto"/>
            </w:tcBorders>
            <w:shd w:val="clear" w:color="auto" w:fill="C2D69B"/>
            <w:vAlign w:val="center"/>
          </w:tcPr>
          <w:p w:rsidR="00E938B9" w:rsidRPr="006C384C" w:rsidRDefault="00E938B9" w:rsidP="00E46CE7">
            <w:pPr>
              <w:ind w:right="72"/>
              <w:jc w:val="center"/>
              <w:rPr>
                <w:b/>
                <w:sz w:val="24"/>
                <w:szCs w:val="24"/>
              </w:rPr>
            </w:pPr>
            <w:r w:rsidRPr="006C384C">
              <w:rPr>
                <w:b/>
                <w:sz w:val="24"/>
                <w:szCs w:val="24"/>
              </w:rPr>
              <w:t>AGEN</w:t>
            </w:r>
            <w:r>
              <w:rPr>
                <w:b/>
                <w:sz w:val="24"/>
                <w:szCs w:val="24"/>
              </w:rPr>
              <w:t>TE ECONÔMICO</w:t>
            </w:r>
          </w:p>
        </w:tc>
        <w:tc>
          <w:tcPr>
            <w:tcW w:w="391" w:type="pct"/>
            <w:tcBorders>
              <w:bottom w:val="single" w:sz="4" w:space="0" w:color="auto"/>
            </w:tcBorders>
            <w:shd w:val="clear" w:color="auto" w:fill="C2D69B"/>
            <w:vAlign w:val="center"/>
          </w:tcPr>
          <w:p w:rsidR="00E938B9" w:rsidRPr="006C384C" w:rsidRDefault="00E938B9" w:rsidP="000B0E1C">
            <w:pPr>
              <w:tabs>
                <w:tab w:val="left" w:pos="2928"/>
              </w:tabs>
              <w:ind w:left="-105" w:right="-116"/>
              <w:jc w:val="center"/>
              <w:rPr>
                <w:b/>
                <w:sz w:val="24"/>
                <w:szCs w:val="24"/>
              </w:rPr>
            </w:pPr>
            <w:r w:rsidRPr="006C384C">
              <w:rPr>
                <w:b/>
                <w:sz w:val="24"/>
                <w:szCs w:val="24"/>
              </w:rPr>
              <w:t>ARTIGO DA MINUTA</w:t>
            </w:r>
          </w:p>
        </w:tc>
        <w:tc>
          <w:tcPr>
            <w:tcW w:w="1130" w:type="pct"/>
            <w:gridSpan w:val="5"/>
            <w:tcBorders>
              <w:bottom w:val="single" w:sz="4" w:space="0" w:color="auto"/>
            </w:tcBorders>
            <w:shd w:val="clear" w:color="auto" w:fill="C2D69B"/>
            <w:vAlign w:val="center"/>
          </w:tcPr>
          <w:p w:rsidR="00E938B9" w:rsidRPr="006C384C" w:rsidRDefault="00E938B9" w:rsidP="006C384C">
            <w:pPr>
              <w:jc w:val="center"/>
              <w:rPr>
                <w:b/>
                <w:sz w:val="24"/>
                <w:szCs w:val="24"/>
              </w:rPr>
            </w:pPr>
            <w:r>
              <w:rPr>
                <w:b/>
                <w:sz w:val="24"/>
                <w:szCs w:val="24"/>
              </w:rPr>
              <w:t>COMENTÁRIO / SUGESTÃO</w:t>
            </w:r>
          </w:p>
        </w:tc>
        <w:tc>
          <w:tcPr>
            <w:tcW w:w="1618" w:type="pct"/>
            <w:tcBorders>
              <w:bottom w:val="single" w:sz="4" w:space="0" w:color="auto"/>
            </w:tcBorders>
            <w:shd w:val="clear" w:color="auto" w:fill="C2D69B"/>
            <w:vAlign w:val="center"/>
          </w:tcPr>
          <w:p w:rsidR="00E938B9" w:rsidRPr="006C384C" w:rsidRDefault="00E938B9" w:rsidP="006C384C">
            <w:pPr>
              <w:ind w:right="-15"/>
              <w:jc w:val="center"/>
              <w:rPr>
                <w:b/>
                <w:sz w:val="24"/>
                <w:szCs w:val="24"/>
              </w:rPr>
            </w:pPr>
            <w:r w:rsidRPr="006C384C">
              <w:rPr>
                <w:b/>
                <w:sz w:val="24"/>
                <w:szCs w:val="24"/>
              </w:rPr>
              <w:t>JUSTIFICATIVA</w:t>
            </w:r>
            <w:r>
              <w:rPr>
                <w:b/>
                <w:sz w:val="24"/>
                <w:szCs w:val="24"/>
              </w:rPr>
              <w:t xml:space="preserve"> DO AGENTE ECONÔMICO</w:t>
            </w:r>
          </w:p>
        </w:tc>
        <w:tc>
          <w:tcPr>
            <w:tcW w:w="1172" w:type="pct"/>
            <w:gridSpan w:val="5"/>
            <w:tcBorders>
              <w:bottom w:val="single" w:sz="4" w:space="0" w:color="auto"/>
            </w:tcBorders>
            <w:shd w:val="clear" w:color="auto" w:fill="C2D69B"/>
            <w:vAlign w:val="center"/>
          </w:tcPr>
          <w:p w:rsidR="00E938B9" w:rsidRPr="006C384C" w:rsidRDefault="00E938B9" w:rsidP="00E938B9">
            <w:pPr>
              <w:ind w:right="-15"/>
              <w:jc w:val="center"/>
              <w:rPr>
                <w:b/>
                <w:sz w:val="24"/>
                <w:szCs w:val="24"/>
              </w:rPr>
            </w:pPr>
            <w:r>
              <w:rPr>
                <w:b/>
                <w:sz w:val="24"/>
                <w:szCs w:val="24"/>
              </w:rPr>
              <w:t>PARECER DA ANP</w:t>
            </w:r>
          </w:p>
        </w:tc>
      </w:tr>
      <w:tr w:rsidR="000A1506" w:rsidRPr="00C55FC3" w:rsidTr="00AC6460">
        <w:trPr>
          <w:trHeight w:val="547"/>
        </w:trPr>
        <w:tc>
          <w:tcPr>
            <w:tcW w:w="5000" w:type="pct"/>
            <w:gridSpan w:val="13"/>
            <w:shd w:val="clear" w:color="auto" w:fill="FFFFCC"/>
            <w:vAlign w:val="center"/>
          </w:tcPr>
          <w:p w:rsidR="00E938B9" w:rsidRDefault="00E938B9" w:rsidP="00A549CA">
            <w:pPr>
              <w:jc w:val="center"/>
              <w:rPr>
                <w:b/>
                <w:sz w:val="24"/>
                <w:szCs w:val="24"/>
                <w:u w:val="single"/>
              </w:rPr>
            </w:pPr>
            <w:r>
              <w:rPr>
                <w:b/>
                <w:sz w:val="24"/>
                <w:szCs w:val="24"/>
                <w:u w:val="single"/>
              </w:rPr>
              <w:t>BOLETIM DE CONFORMIDADE</w:t>
            </w:r>
          </w:p>
        </w:tc>
      </w:tr>
      <w:tr w:rsidR="001D6C2E" w:rsidRPr="005554C0" w:rsidTr="00AC6460">
        <w:trPr>
          <w:trHeight w:val="1691"/>
        </w:trPr>
        <w:tc>
          <w:tcPr>
            <w:tcW w:w="689" w:type="pct"/>
            <w:shd w:val="clear" w:color="auto" w:fill="FFFFFF"/>
            <w:vAlign w:val="center"/>
          </w:tcPr>
          <w:p w:rsidR="001D6C2E" w:rsidRPr="00FE222A" w:rsidRDefault="001D6C2E" w:rsidP="00284D7A">
            <w:pPr>
              <w:jc w:val="center"/>
              <w:rPr>
                <w:b/>
                <w:sz w:val="22"/>
                <w:szCs w:val="22"/>
              </w:rPr>
            </w:pPr>
            <w:r>
              <w:rPr>
                <w:b/>
                <w:sz w:val="22"/>
                <w:szCs w:val="22"/>
              </w:rPr>
              <w:t>ANP / SFI</w:t>
            </w:r>
          </w:p>
        </w:tc>
        <w:tc>
          <w:tcPr>
            <w:tcW w:w="391" w:type="pct"/>
            <w:shd w:val="clear" w:color="auto" w:fill="FFFFFF"/>
            <w:vAlign w:val="center"/>
          </w:tcPr>
          <w:p w:rsidR="001D6C2E" w:rsidRPr="00FE222A" w:rsidRDefault="001D6C2E" w:rsidP="00284D7A">
            <w:pPr>
              <w:jc w:val="center"/>
              <w:rPr>
                <w:rFonts w:eastAsia="Arial Unicode MS"/>
                <w:bCs/>
                <w:sz w:val="22"/>
                <w:szCs w:val="22"/>
              </w:rPr>
            </w:pPr>
            <w:r w:rsidRPr="00FE222A">
              <w:rPr>
                <w:bCs/>
                <w:color w:val="000000"/>
                <w:sz w:val="22"/>
                <w:szCs w:val="22"/>
              </w:rPr>
              <w:t>Art. 2º.</w:t>
            </w:r>
          </w:p>
        </w:tc>
        <w:tc>
          <w:tcPr>
            <w:tcW w:w="1130" w:type="pct"/>
            <w:gridSpan w:val="5"/>
            <w:shd w:val="clear" w:color="auto" w:fill="FFFFFF"/>
            <w:vAlign w:val="center"/>
          </w:tcPr>
          <w:p w:rsidR="001D6C2E" w:rsidRPr="00FE222A" w:rsidRDefault="001D6C2E" w:rsidP="00284D7A">
            <w:pPr>
              <w:jc w:val="both"/>
              <w:rPr>
                <w:b/>
                <w:sz w:val="22"/>
                <w:szCs w:val="22"/>
              </w:rPr>
            </w:pPr>
            <w:r w:rsidRPr="00FE222A">
              <w:rPr>
                <w:b/>
                <w:sz w:val="22"/>
                <w:szCs w:val="22"/>
              </w:rPr>
              <w:t>Comentário:</w:t>
            </w:r>
          </w:p>
          <w:p w:rsidR="001D6C2E" w:rsidRPr="00FE222A" w:rsidRDefault="001D6C2E" w:rsidP="00284D7A">
            <w:pPr>
              <w:jc w:val="both"/>
              <w:rPr>
                <w:sz w:val="22"/>
                <w:szCs w:val="22"/>
              </w:rPr>
            </w:pPr>
            <w:r w:rsidRPr="00FE222A">
              <w:rPr>
                <w:sz w:val="22"/>
                <w:szCs w:val="22"/>
              </w:rPr>
              <w:t xml:space="preserve">O § 4º do Artigo 9º da Resolução ANP n° 65, de 9 de dezembro de 2011, passa a vigorar, </w:t>
            </w:r>
            <w:r w:rsidRPr="00FE222A">
              <w:rPr>
                <w:sz w:val="22"/>
                <w:szCs w:val="22"/>
                <w:u w:val="single"/>
              </w:rPr>
              <w:t>a partir de 1º de janeiro de 2013</w:t>
            </w:r>
            <w:r w:rsidRPr="00FE222A">
              <w:rPr>
                <w:sz w:val="22"/>
                <w:szCs w:val="22"/>
              </w:rPr>
              <w:t>, acrescido do seguinte parágrafo.</w:t>
            </w:r>
          </w:p>
        </w:tc>
        <w:tc>
          <w:tcPr>
            <w:tcW w:w="1618" w:type="pct"/>
            <w:shd w:val="clear" w:color="auto" w:fill="FFFFFF"/>
            <w:vAlign w:val="center"/>
          </w:tcPr>
          <w:p w:rsidR="001D6C2E" w:rsidRPr="0071646E" w:rsidRDefault="001D6C2E" w:rsidP="00284D7A">
            <w:pPr>
              <w:jc w:val="both"/>
              <w:rPr>
                <w:rFonts w:ascii="Cambria Math" w:eastAsia="Arial Unicode MS" w:hAnsi="Cambria Math"/>
                <w:sz w:val="22"/>
                <w:szCs w:val="22"/>
              </w:rPr>
            </w:pPr>
            <w:r w:rsidRPr="00FE222A">
              <w:rPr>
                <w:sz w:val="22"/>
                <w:szCs w:val="22"/>
              </w:rPr>
              <w:t>Para manter a sincronia com os demais artigos. Ademais, com a redação proposta pela SBQ (a partir de 1º de janeiro de 2014) fica a seguinte dúvida, a saber: Quais ensaios deverão conter o Boletim de Conformidade no período de 1º de janeiro de 2013 a 31 dezembro de 2013.</w:t>
            </w:r>
          </w:p>
        </w:tc>
        <w:tc>
          <w:tcPr>
            <w:tcW w:w="1172" w:type="pct"/>
            <w:gridSpan w:val="5"/>
            <w:shd w:val="clear" w:color="auto" w:fill="FFFFFF"/>
            <w:vAlign w:val="center"/>
          </w:tcPr>
          <w:p w:rsidR="00475762" w:rsidRDefault="00475762" w:rsidP="00284D7A">
            <w:pPr>
              <w:jc w:val="both"/>
              <w:rPr>
                <w:sz w:val="22"/>
                <w:szCs w:val="22"/>
              </w:rPr>
            </w:pPr>
          </w:p>
          <w:p w:rsidR="00475762" w:rsidRPr="00475762" w:rsidRDefault="005765BB" w:rsidP="00284D7A">
            <w:pPr>
              <w:jc w:val="both"/>
              <w:rPr>
                <w:b/>
                <w:sz w:val="22"/>
                <w:szCs w:val="22"/>
              </w:rPr>
            </w:pPr>
            <w:r>
              <w:rPr>
                <w:b/>
                <w:sz w:val="22"/>
                <w:szCs w:val="22"/>
              </w:rPr>
              <w:t>INCORPORADA</w:t>
            </w:r>
            <w:r w:rsidR="00F8661C">
              <w:rPr>
                <w:b/>
                <w:sz w:val="22"/>
                <w:szCs w:val="22"/>
              </w:rPr>
              <w:t xml:space="preserve"> PARCIALMENTE</w:t>
            </w:r>
          </w:p>
          <w:p w:rsidR="007A036E" w:rsidRDefault="007A036E" w:rsidP="00284D7A">
            <w:pPr>
              <w:jc w:val="both"/>
              <w:rPr>
                <w:sz w:val="22"/>
                <w:szCs w:val="22"/>
              </w:rPr>
            </w:pPr>
          </w:p>
          <w:p w:rsidR="001D6C2E" w:rsidRDefault="001D6C2E" w:rsidP="00284D7A">
            <w:pPr>
              <w:jc w:val="both"/>
              <w:rPr>
                <w:sz w:val="22"/>
                <w:szCs w:val="22"/>
              </w:rPr>
            </w:pPr>
            <w:r w:rsidRPr="0094151D">
              <w:rPr>
                <w:sz w:val="22"/>
                <w:szCs w:val="22"/>
              </w:rPr>
              <w:t xml:space="preserve">Da forma como o texto </w:t>
            </w:r>
            <w:r w:rsidR="00A97F37">
              <w:rPr>
                <w:sz w:val="22"/>
                <w:szCs w:val="22"/>
              </w:rPr>
              <w:t>se apresenta na minuta em que</w:t>
            </w:r>
            <w:r w:rsidRPr="0094151D">
              <w:rPr>
                <w:sz w:val="22"/>
                <w:szCs w:val="22"/>
              </w:rPr>
              <w:t xml:space="preserve">stão, </w:t>
            </w:r>
            <w:r w:rsidR="005112F8">
              <w:rPr>
                <w:sz w:val="22"/>
                <w:szCs w:val="22"/>
              </w:rPr>
              <w:t>a data de 1º de janeiro de 2014 deixou dúvida</w:t>
            </w:r>
            <w:r w:rsidR="00A97F37">
              <w:rPr>
                <w:sz w:val="22"/>
                <w:szCs w:val="22"/>
              </w:rPr>
              <w:t xml:space="preserve"> quanto </w:t>
            </w:r>
            <w:r w:rsidR="00F8661C">
              <w:rPr>
                <w:sz w:val="22"/>
                <w:szCs w:val="22"/>
              </w:rPr>
              <w:t>à</w:t>
            </w:r>
            <w:r w:rsidR="00A97F37">
              <w:rPr>
                <w:sz w:val="22"/>
                <w:szCs w:val="22"/>
              </w:rPr>
              <w:t xml:space="preserve"> manutenção da</w:t>
            </w:r>
            <w:r w:rsidR="005112F8">
              <w:rPr>
                <w:sz w:val="22"/>
                <w:szCs w:val="22"/>
              </w:rPr>
              <w:t>s características exigidas para o</w:t>
            </w:r>
            <w:r w:rsidR="00A97F37">
              <w:rPr>
                <w:sz w:val="22"/>
                <w:szCs w:val="22"/>
              </w:rPr>
              <w:t xml:space="preserve"> Boletim de Conformidade durante o ano de 2013</w:t>
            </w:r>
            <w:r>
              <w:rPr>
                <w:sz w:val="22"/>
                <w:szCs w:val="22"/>
              </w:rPr>
              <w:t>.</w:t>
            </w:r>
          </w:p>
          <w:p w:rsidR="001D6C2E" w:rsidRDefault="001D6C2E" w:rsidP="00284D7A">
            <w:pPr>
              <w:jc w:val="both"/>
              <w:rPr>
                <w:sz w:val="22"/>
                <w:szCs w:val="22"/>
              </w:rPr>
            </w:pPr>
          </w:p>
          <w:p w:rsidR="001D6C2E" w:rsidRDefault="00AC6460" w:rsidP="00284D7A">
            <w:pPr>
              <w:jc w:val="both"/>
              <w:rPr>
                <w:sz w:val="22"/>
                <w:szCs w:val="22"/>
              </w:rPr>
            </w:pPr>
            <w:r>
              <w:rPr>
                <w:sz w:val="22"/>
                <w:szCs w:val="22"/>
              </w:rPr>
              <w:t>O</w:t>
            </w:r>
            <w:r w:rsidR="001D6C2E">
              <w:rPr>
                <w:sz w:val="22"/>
                <w:szCs w:val="22"/>
              </w:rPr>
              <w:t xml:space="preserve"> Art. 2º pass</w:t>
            </w:r>
            <w:r w:rsidR="005112F8">
              <w:rPr>
                <w:sz w:val="22"/>
                <w:szCs w:val="22"/>
              </w:rPr>
              <w:t>a</w:t>
            </w:r>
            <w:r w:rsidR="001D6C2E">
              <w:rPr>
                <w:sz w:val="22"/>
                <w:szCs w:val="22"/>
              </w:rPr>
              <w:t xml:space="preserve"> a vigorar com a seguinte redação:</w:t>
            </w:r>
          </w:p>
          <w:p w:rsidR="001D6C2E" w:rsidRPr="009D0AC3" w:rsidRDefault="001D6C2E" w:rsidP="00284D7A">
            <w:pPr>
              <w:jc w:val="both"/>
              <w:rPr>
                <w:i/>
                <w:sz w:val="22"/>
                <w:szCs w:val="22"/>
              </w:rPr>
            </w:pPr>
          </w:p>
          <w:p w:rsidR="00F8661C" w:rsidRPr="00F8661C" w:rsidRDefault="001D6C2E" w:rsidP="00284D7A">
            <w:pPr>
              <w:ind w:firstLine="720"/>
              <w:jc w:val="both"/>
              <w:rPr>
                <w:i/>
                <w:sz w:val="22"/>
                <w:szCs w:val="22"/>
              </w:rPr>
            </w:pPr>
            <w:r w:rsidRPr="009D0AC3">
              <w:rPr>
                <w:i/>
                <w:sz w:val="24"/>
                <w:szCs w:val="24"/>
              </w:rPr>
              <w:t xml:space="preserve"> </w:t>
            </w:r>
            <w:r w:rsidRPr="00F8661C">
              <w:rPr>
                <w:sz w:val="22"/>
                <w:szCs w:val="22"/>
              </w:rPr>
              <w:t>“</w:t>
            </w:r>
            <w:r w:rsidR="00F8661C">
              <w:rPr>
                <w:sz w:val="22"/>
                <w:szCs w:val="22"/>
              </w:rPr>
              <w:t xml:space="preserve"> </w:t>
            </w:r>
            <w:r w:rsidR="005112F8" w:rsidRPr="005112F8">
              <w:rPr>
                <w:i/>
                <w:sz w:val="22"/>
                <w:szCs w:val="22"/>
              </w:rPr>
              <w:t xml:space="preserve">Art. 2º </w:t>
            </w:r>
            <w:r w:rsidR="00F8661C" w:rsidRPr="005112F8">
              <w:rPr>
                <w:i/>
                <w:sz w:val="22"/>
                <w:szCs w:val="22"/>
              </w:rPr>
              <w:t>O</w:t>
            </w:r>
            <w:r w:rsidR="00F8661C" w:rsidRPr="00F8661C">
              <w:rPr>
                <w:i/>
                <w:sz w:val="22"/>
                <w:szCs w:val="22"/>
              </w:rPr>
              <w:t xml:space="preserve"> parágrafo 4° do artigo 9° da Resolução ANP n° 65, de 9 de dezembro de 2011, a partir de 1° de janeiro de 2013, passa a vigorar com a seguinte redação:</w:t>
            </w:r>
          </w:p>
          <w:p w:rsidR="001D6C2E" w:rsidRPr="00284D7A" w:rsidRDefault="005112F8" w:rsidP="00284D7A">
            <w:pPr>
              <w:ind w:firstLine="720"/>
              <w:jc w:val="both"/>
              <w:rPr>
                <w:i/>
                <w:color w:val="0033CC"/>
                <w:sz w:val="24"/>
                <w:szCs w:val="24"/>
                <w:u w:val="single"/>
              </w:rPr>
            </w:pPr>
            <w:r>
              <w:rPr>
                <w:sz w:val="22"/>
                <w:szCs w:val="22"/>
              </w:rPr>
              <w:t>‘</w:t>
            </w:r>
            <w:r w:rsidR="001D6C2E" w:rsidRPr="00F8661C">
              <w:rPr>
                <w:sz w:val="22"/>
                <w:szCs w:val="22"/>
              </w:rPr>
              <w:t xml:space="preserve">§ </w:t>
            </w:r>
            <w:r w:rsidR="001D6C2E" w:rsidRPr="00F8661C">
              <w:rPr>
                <w:i/>
                <w:sz w:val="22"/>
                <w:szCs w:val="22"/>
              </w:rPr>
              <w:t>4º O Boletim de Conformidade deverá</w:t>
            </w:r>
            <w:r w:rsidR="001D6C2E" w:rsidRPr="00F8661C">
              <w:rPr>
                <w:i/>
                <w:sz w:val="24"/>
                <w:szCs w:val="24"/>
              </w:rPr>
              <w:t xml:space="preserve"> conter</w:t>
            </w:r>
            <w:r w:rsidR="00F8661C">
              <w:rPr>
                <w:i/>
                <w:sz w:val="24"/>
                <w:szCs w:val="24"/>
              </w:rPr>
              <w:t xml:space="preserve"> </w:t>
            </w:r>
            <w:r w:rsidR="001D6C2E" w:rsidRPr="009D0AC3">
              <w:rPr>
                <w:i/>
                <w:sz w:val="24"/>
                <w:szCs w:val="24"/>
              </w:rPr>
              <w:t xml:space="preserve">pelo menos, os resultados das seguintes análises: aspecto; cor visual; ponto de fulgor; massa específica; </w:t>
            </w:r>
            <w:r w:rsidR="001D6C2E" w:rsidRPr="009D0AC3">
              <w:rPr>
                <w:i/>
                <w:sz w:val="24"/>
                <w:szCs w:val="24"/>
              </w:rPr>
              <w:lastRenderedPageBreak/>
              <w:t>condutividade elétrica, e teor de água</w:t>
            </w:r>
            <w:r w:rsidR="000D4765" w:rsidRPr="000D4765">
              <w:rPr>
                <w:i/>
                <w:sz w:val="24"/>
                <w:szCs w:val="24"/>
              </w:rPr>
              <w:t>, sendo o teor de água a partir de 1º de janeiro de 2014 e a condutividade elétrica para os óleos diesel B S500 e B S1800 a partir de 1º de julho de 2013</w:t>
            </w:r>
            <w:r w:rsidR="001D6C2E" w:rsidRPr="009D0AC3">
              <w:rPr>
                <w:i/>
                <w:sz w:val="24"/>
                <w:szCs w:val="24"/>
              </w:rPr>
              <w:t>.</w:t>
            </w:r>
            <w:r>
              <w:rPr>
                <w:i/>
                <w:sz w:val="24"/>
                <w:szCs w:val="24"/>
              </w:rPr>
              <w:t>’</w:t>
            </w:r>
            <w:r w:rsidR="001D6C2E" w:rsidRPr="009D0AC3">
              <w:rPr>
                <w:i/>
                <w:sz w:val="24"/>
                <w:szCs w:val="24"/>
              </w:rPr>
              <w:t>”</w:t>
            </w:r>
          </w:p>
        </w:tc>
      </w:tr>
      <w:tr w:rsidR="001D6C2E" w:rsidRPr="00547EE8" w:rsidTr="00AC6460">
        <w:trPr>
          <w:trHeight w:val="3105"/>
        </w:trPr>
        <w:tc>
          <w:tcPr>
            <w:tcW w:w="689" w:type="pct"/>
            <w:shd w:val="clear" w:color="auto" w:fill="FFFFFF"/>
            <w:vAlign w:val="center"/>
          </w:tcPr>
          <w:p w:rsidR="001D6C2E" w:rsidRPr="00547EE8" w:rsidRDefault="001D6C2E" w:rsidP="00284D7A">
            <w:pPr>
              <w:jc w:val="center"/>
              <w:rPr>
                <w:b/>
                <w:sz w:val="22"/>
                <w:szCs w:val="22"/>
              </w:rPr>
            </w:pPr>
            <w:r w:rsidRPr="00547EE8">
              <w:rPr>
                <w:b/>
                <w:sz w:val="22"/>
                <w:szCs w:val="22"/>
              </w:rPr>
              <w:lastRenderedPageBreak/>
              <w:t>TOTAL</w:t>
            </w:r>
          </w:p>
        </w:tc>
        <w:tc>
          <w:tcPr>
            <w:tcW w:w="391" w:type="pct"/>
            <w:shd w:val="clear" w:color="auto" w:fill="FFFFFF"/>
            <w:vAlign w:val="center"/>
          </w:tcPr>
          <w:p w:rsidR="001D6C2E" w:rsidRPr="00547EE8" w:rsidRDefault="001D6C2E" w:rsidP="00284D7A">
            <w:pPr>
              <w:jc w:val="center"/>
              <w:rPr>
                <w:rFonts w:eastAsia="Arial Unicode MS"/>
                <w:bCs/>
                <w:sz w:val="22"/>
                <w:szCs w:val="22"/>
              </w:rPr>
            </w:pPr>
            <w:r w:rsidRPr="00547EE8">
              <w:rPr>
                <w:bCs/>
                <w:color w:val="000000"/>
                <w:sz w:val="22"/>
                <w:szCs w:val="22"/>
              </w:rPr>
              <w:t>Art. 2º.</w:t>
            </w:r>
          </w:p>
        </w:tc>
        <w:tc>
          <w:tcPr>
            <w:tcW w:w="1130" w:type="pct"/>
            <w:gridSpan w:val="5"/>
            <w:shd w:val="clear" w:color="auto" w:fill="FFFFFF"/>
            <w:vAlign w:val="center"/>
          </w:tcPr>
          <w:p w:rsidR="001D6C2E" w:rsidRPr="00547EE8" w:rsidRDefault="001D6C2E" w:rsidP="00284D7A">
            <w:pPr>
              <w:jc w:val="both"/>
              <w:rPr>
                <w:b/>
                <w:sz w:val="22"/>
                <w:szCs w:val="22"/>
              </w:rPr>
            </w:pPr>
            <w:r w:rsidRPr="00547EE8">
              <w:rPr>
                <w:b/>
                <w:sz w:val="22"/>
                <w:szCs w:val="22"/>
              </w:rPr>
              <w:t>Comentário:</w:t>
            </w:r>
          </w:p>
          <w:p w:rsidR="001D6C2E" w:rsidRPr="00547EE8" w:rsidRDefault="001D6C2E" w:rsidP="00284D7A">
            <w:pPr>
              <w:jc w:val="both"/>
              <w:rPr>
                <w:sz w:val="22"/>
                <w:szCs w:val="22"/>
              </w:rPr>
            </w:pPr>
            <w:r w:rsidRPr="00547EE8">
              <w:rPr>
                <w:sz w:val="22"/>
                <w:szCs w:val="22"/>
              </w:rPr>
              <w:t>O artigo 9° da Resolução ANP n° 65, de 9 de dezembro de 2011, passa a vigorar acrescido do seguinte parágrafo:</w:t>
            </w:r>
          </w:p>
          <w:p w:rsidR="001D6C2E" w:rsidRPr="00547EE8" w:rsidRDefault="001D6C2E" w:rsidP="00284D7A">
            <w:pPr>
              <w:jc w:val="both"/>
              <w:rPr>
                <w:sz w:val="22"/>
                <w:szCs w:val="22"/>
              </w:rPr>
            </w:pPr>
          </w:p>
          <w:p w:rsidR="001D6C2E" w:rsidRPr="00547EE8" w:rsidRDefault="001D6C2E" w:rsidP="00284D7A">
            <w:pPr>
              <w:jc w:val="both"/>
              <w:rPr>
                <w:i/>
                <w:sz w:val="22"/>
                <w:szCs w:val="22"/>
              </w:rPr>
            </w:pPr>
            <w:r w:rsidRPr="00547EE8">
              <w:rPr>
                <w:sz w:val="22"/>
                <w:szCs w:val="22"/>
              </w:rPr>
              <w:t>“</w:t>
            </w:r>
            <w:r w:rsidRPr="00547EE8">
              <w:rPr>
                <w:i/>
                <w:sz w:val="22"/>
                <w:szCs w:val="22"/>
              </w:rPr>
              <w:t>Art. 9º ...............</w:t>
            </w:r>
          </w:p>
          <w:p w:rsidR="001D6C2E" w:rsidRPr="00547EE8" w:rsidRDefault="001D6C2E" w:rsidP="00284D7A">
            <w:pPr>
              <w:jc w:val="both"/>
              <w:rPr>
                <w:i/>
                <w:sz w:val="22"/>
                <w:szCs w:val="22"/>
              </w:rPr>
            </w:pPr>
            <w:r w:rsidRPr="00547EE8">
              <w:rPr>
                <w:i/>
                <w:sz w:val="22"/>
                <w:szCs w:val="22"/>
              </w:rPr>
              <w:t>...............</w:t>
            </w:r>
          </w:p>
          <w:p w:rsidR="001D6C2E" w:rsidRPr="00547EE8" w:rsidRDefault="001D6C2E" w:rsidP="00284D7A">
            <w:pPr>
              <w:jc w:val="both"/>
              <w:rPr>
                <w:sz w:val="22"/>
                <w:szCs w:val="22"/>
              </w:rPr>
            </w:pPr>
            <w:r w:rsidRPr="00547EE8">
              <w:rPr>
                <w:i/>
                <w:sz w:val="22"/>
                <w:szCs w:val="22"/>
              </w:rPr>
              <w:t>§ 4º O Boletim de Conformidade deverá conter, a partir de 1º de janeiro de 2014, pelo menos, os resultados das seguintes análises: aspecto; cor visual; ponto de fulgor; massa específica; condutividade elétrica, e teor de água.”</w:t>
            </w:r>
          </w:p>
        </w:tc>
        <w:tc>
          <w:tcPr>
            <w:tcW w:w="1618" w:type="pct"/>
            <w:shd w:val="clear" w:color="auto" w:fill="FFFFFF"/>
            <w:vAlign w:val="center"/>
          </w:tcPr>
          <w:p w:rsidR="001D6C2E" w:rsidRPr="00547EE8" w:rsidRDefault="001D6C2E" w:rsidP="00284D7A">
            <w:pPr>
              <w:jc w:val="both"/>
              <w:rPr>
                <w:sz w:val="22"/>
                <w:szCs w:val="22"/>
              </w:rPr>
            </w:pPr>
            <w:r w:rsidRPr="00547EE8">
              <w:rPr>
                <w:sz w:val="22"/>
                <w:szCs w:val="22"/>
              </w:rPr>
              <w:t>Observando a alteração proposta com a inclusão da nova redação a ser dada ao parágrafo 4º do artigo 9º da Resolução 65/11, há uma substituição direta das exigências que atualmente são solicitadas aos distribuidores no que concerne aos elementos obrigatórios no Boletim de Conformidade.</w:t>
            </w:r>
          </w:p>
          <w:p w:rsidR="001D6C2E" w:rsidRPr="00547EE8" w:rsidRDefault="001D6C2E" w:rsidP="00284D7A">
            <w:pPr>
              <w:jc w:val="both"/>
              <w:rPr>
                <w:sz w:val="22"/>
                <w:szCs w:val="22"/>
              </w:rPr>
            </w:pPr>
          </w:p>
          <w:p w:rsidR="00FA13DF" w:rsidRDefault="00BB3754" w:rsidP="00284D7A">
            <w:pPr>
              <w:jc w:val="both"/>
              <w:rPr>
                <w:sz w:val="22"/>
                <w:szCs w:val="22"/>
              </w:rPr>
            </w:pPr>
            <w:r w:rsidRPr="00547EE8">
              <w:rPr>
                <w:sz w:val="22"/>
                <w:szCs w:val="22"/>
              </w:rPr>
              <w:t>Logo, o § 4º da Resolução 65, deve manter as características físico-químicas a serem exigidas durante o ano de 2013 até a implementação das novas exigências de qualidade.</w:t>
            </w:r>
            <w:r w:rsidR="00FA13DF" w:rsidRPr="00547EE8">
              <w:rPr>
                <w:sz w:val="22"/>
                <w:szCs w:val="22"/>
              </w:rPr>
              <w:t xml:space="preserve"> </w:t>
            </w:r>
          </w:p>
          <w:p w:rsidR="00FA13DF" w:rsidRDefault="00FA13DF" w:rsidP="00284D7A">
            <w:pPr>
              <w:jc w:val="both"/>
              <w:rPr>
                <w:sz w:val="22"/>
                <w:szCs w:val="22"/>
              </w:rPr>
            </w:pPr>
          </w:p>
          <w:p w:rsidR="00FA13DF" w:rsidRDefault="00FA13DF" w:rsidP="00284D7A">
            <w:pPr>
              <w:jc w:val="both"/>
              <w:rPr>
                <w:sz w:val="22"/>
                <w:szCs w:val="22"/>
              </w:rPr>
            </w:pPr>
            <w:r w:rsidRPr="00547EE8">
              <w:rPr>
                <w:sz w:val="22"/>
                <w:szCs w:val="22"/>
              </w:rPr>
              <w:t>Por fim, a redação inicialmente apontada para ser o § 4º da Resolução 65 deve ser mantida, porém, não como ou em substituição da atualmente existente, e sim, como mais um novo parágrafo a ser inserido dentre os parágrafos do art. 9º da Resolução 65/11..</w:t>
            </w:r>
          </w:p>
          <w:p w:rsidR="00FA13DF" w:rsidRDefault="00FA13DF" w:rsidP="00284D7A">
            <w:pPr>
              <w:jc w:val="both"/>
              <w:rPr>
                <w:sz w:val="22"/>
                <w:szCs w:val="22"/>
              </w:rPr>
            </w:pPr>
          </w:p>
          <w:p w:rsidR="00FA13DF" w:rsidRPr="00547EE8" w:rsidRDefault="00FA13DF" w:rsidP="00284D7A">
            <w:pPr>
              <w:jc w:val="both"/>
              <w:rPr>
                <w:sz w:val="22"/>
                <w:szCs w:val="22"/>
              </w:rPr>
            </w:pPr>
            <w:r w:rsidRPr="00547EE8">
              <w:rPr>
                <w:sz w:val="22"/>
                <w:szCs w:val="22"/>
              </w:rPr>
              <w:t>Ou seja, com a inclusão pura e simples do parágrafo 4º proposto haverá a imediata supressão do que é atualmente exigido no Boletim de Conformidade a ser expedido pelo Distribuidor. Tem-se assim uma lacuna que irá perdurar durante praticamente todo o ano de 2013, até o início do ano de 2014, quando entrará efetivamente em vigor as regras alocadas na nova redação do parágrafo 4º.</w:t>
            </w:r>
          </w:p>
          <w:p w:rsidR="00FA13DF" w:rsidRPr="00547EE8" w:rsidRDefault="00FA13DF" w:rsidP="00284D7A">
            <w:pPr>
              <w:jc w:val="both"/>
              <w:rPr>
                <w:sz w:val="22"/>
                <w:szCs w:val="22"/>
              </w:rPr>
            </w:pPr>
          </w:p>
          <w:p w:rsidR="00FA13DF" w:rsidRPr="00547EE8" w:rsidRDefault="00FA13DF" w:rsidP="00284D7A">
            <w:pPr>
              <w:jc w:val="both"/>
              <w:rPr>
                <w:sz w:val="22"/>
                <w:szCs w:val="22"/>
              </w:rPr>
            </w:pPr>
            <w:r w:rsidRPr="00547EE8">
              <w:rPr>
                <w:sz w:val="22"/>
                <w:szCs w:val="22"/>
              </w:rPr>
              <w:t>Assim sendo, se faz por pertinente, que essa Agência deixe devidamente definido e apontado quais as características físico-químicas que devem ser exigidas até a entrada em vigor das novas exigências em 2014.</w:t>
            </w:r>
          </w:p>
          <w:p w:rsidR="001D6C2E" w:rsidRPr="00547EE8" w:rsidRDefault="001D6C2E" w:rsidP="00284D7A">
            <w:pPr>
              <w:jc w:val="both"/>
              <w:rPr>
                <w:rFonts w:eastAsia="Arial Unicode MS"/>
                <w:sz w:val="22"/>
                <w:szCs w:val="22"/>
              </w:rPr>
            </w:pPr>
          </w:p>
        </w:tc>
        <w:tc>
          <w:tcPr>
            <w:tcW w:w="1172" w:type="pct"/>
            <w:gridSpan w:val="5"/>
            <w:shd w:val="clear" w:color="auto" w:fill="FFFFFF"/>
            <w:vAlign w:val="center"/>
          </w:tcPr>
          <w:p w:rsidR="001E2381" w:rsidRPr="001E2381" w:rsidRDefault="001E2381" w:rsidP="00284D7A">
            <w:pPr>
              <w:jc w:val="both"/>
              <w:rPr>
                <w:b/>
                <w:sz w:val="22"/>
                <w:szCs w:val="22"/>
              </w:rPr>
            </w:pPr>
            <w:r>
              <w:rPr>
                <w:b/>
                <w:sz w:val="22"/>
                <w:szCs w:val="22"/>
              </w:rPr>
              <w:t>INCORPORADA</w:t>
            </w:r>
            <w:r w:rsidR="00F378DA">
              <w:rPr>
                <w:b/>
                <w:sz w:val="22"/>
                <w:szCs w:val="22"/>
              </w:rPr>
              <w:t xml:space="preserve"> P</w:t>
            </w:r>
            <w:r w:rsidR="00284D7A">
              <w:rPr>
                <w:b/>
                <w:sz w:val="22"/>
                <w:szCs w:val="22"/>
              </w:rPr>
              <w:t>ARCIALMENTE</w:t>
            </w:r>
          </w:p>
          <w:p w:rsidR="00284D7A" w:rsidRDefault="00284D7A" w:rsidP="00284D7A">
            <w:pPr>
              <w:jc w:val="both"/>
              <w:rPr>
                <w:sz w:val="22"/>
                <w:szCs w:val="22"/>
              </w:rPr>
            </w:pPr>
          </w:p>
          <w:p w:rsidR="001D6C2E" w:rsidRPr="00547EE8" w:rsidRDefault="003353E3" w:rsidP="00284D7A">
            <w:pPr>
              <w:jc w:val="both"/>
              <w:rPr>
                <w:sz w:val="22"/>
                <w:szCs w:val="22"/>
              </w:rPr>
            </w:pPr>
            <w:r w:rsidRPr="003353E3">
              <w:rPr>
                <w:sz w:val="22"/>
                <w:szCs w:val="22"/>
              </w:rPr>
              <w:t xml:space="preserve">Idem ao </w:t>
            </w:r>
            <w:r>
              <w:rPr>
                <w:sz w:val="22"/>
                <w:szCs w:val="22"/>
              </w:rPr>
              <w:t>Parecer anterior</w:t>
            </w:r>
            <w:r w:rsidRPr="003353E3">
              <w:rPr>
                <w:sz w:val="22"/>
                <w:szCs w:val="22"/>
              </w:rPr>
              <w:t>.</w:t>
            </w:r>
          </w:p>
        </w:tc>
      </w:tr>
      <w:tr w:rsidR="00CC2E2D" w:rsidTr="00AC6460">
        <w:trPr>
          <w:trHeight w:val="2511"/>
        </w:trPr>
        <w:tc>
          <w:tcPr>
            <w:tcW w:w="689" w:type="pct"/>
            <w:shd w:val="clear" w:color="auto" w:fill="FFFFFF"/>
            <w:vAlign w:val="center"/>
          </w:tcPr>
          <w:p w:rsidR="00CC2E2D" w:rsidRPr="00D57CFA" w:rsidRDefault="00CC2E2D" w:rsidP="00284D7A">
            <w:pPr>
              <w:jc w:val="center"/>
              <w:rPr>
                <w:b/>
                <w:sz w:val="22"/>
                <w:szCs w:val="22"/>
              </w:rPr>
            </w:pPr>
            <w:r w:rsidRPr="00D57CFA">
              <w:rPr>
                <w:b/>
                <w:sz w:val="22"/>
                <w:szCs w:val="22"/>
              </w:rPr>
              <w:lastRenderedPageBreak/>
              <w:t>SINDICOM</w:t>
            </w:r>
          </w:p>
        </w:tc>
        <w:tc>
          <w:tcPr>
            <w:tcW w:w="391" w:type="pct"/>
            <w:shd w:val="clear" w:color="auto" w:fill="FFFFFF"/>
            <w:vAlign w:val="center"/>
          </w:tcPr>
          <w:p w:rsidR="00CC2E2D" w:rsidRPr="00D57CFA" w:rsidRDefault="00CC2E2D" w:rsidP="00284D7A">
            <w:pPr>
              <w:jc w:val="center"/>
              <w:rPr>
                <w:rFonts w:eastAsia="Arial Unicode MS"/>
                <w:bCs/>
                <w:sz w:val="22"/>
                <w:szCs w:val="22"/>
              </w:rPr>
            </w:pPr>
            <w:r w:rsidRPr="00D57CFA">
              <w:rPr>
                <w:bCs/>
                <w:color w:val="000000"/>
                <w:sz w:val="22"/>
                <w:szCs w:val="22"/>
              </w:rPr>
              <w:t>Art. 2º.</w:t>
            </w:r>
          </w:p>
        </w:tc>
        <w:tc>
          <w:tcPr>
            <w:tcW w:w="1130" w:type="pct"/>
            <w:gridSpan w:val="5"/>
            <w:shd w:val="clear" w:color="auto" w:fill="FFFFFF"/>
            <w:vAlign w:val="center"/>
          </w:tcPr>
          <w:p w:rsidR="00CC2E2D" w:rsidRPr="00D57CFA" w:rsidRDefault="00CC2E2D" w:rsidP="00284D7A">
            <w:pPr>
              <w:jc w:val="both"/>
              <w:rPr>
                <w:b/>
                <w:sz w:val="22"/>
                <w:szCs w:val="22"/>
              </w:rPr>
            </w:pPr>
            <w:r w:rsidRPr="00D57CFA">
              <w:rPr>
                <w:b/>
                <w:sz w:val="22"/>
                <w:szCs w:val="22"/>
              </w:rPr>
              <w:t>Comentário:</w:t>
            </w:r>
          </w:p>
          <w:p w:rsidR="00CC2E2D" w:rsidRPr="00D57CFA" w:rsidRDefault="00CC2E2D" w:rsidP="00284D7A">
            <w:pPr>
              <w:jc w:val="both"/>
              <w:rPr>
                <w:i/>
                <w:sz w:val="22"/>
                <w:szCs w:val="22"/>
              </w:rPr>
            </w:pPr>
            <w:r w:rsidRPr="00D57CFA">
              <w:rPr>
                <w:i/>
                <w:sz w:val="22"/>
                <w:szCs w:val="22"/>
              </w:rPr>
              <w:t>“§ 4º O Boletim de Conformidade deverá conter, a partir de 1º de janeiro de 2014, pelo menos, os resultados das seguintes análises: aspecto; cor visual; ponto de fulgor; massa específica; condutividade elétrica, e teor de água.”</w:t>
            </w:r>
          </w:p>
        </w:tc>
        <w:tc>
          <w:tcPr>
            <w:tcW w:w="1618" w:type="pct"/>
            <w:shd w:val="clear" w:color="auto" w:fill="FFFFFF"/>
            <w:vAlign w:val="center"/>
          </w:tcPr>
          <w:p w:rsidR="00CC2E2D" w:rsidRPr="00F74C0E" w:rsidRDefault="00CC2E2D" w:rsidP="00284D7A">
            <w:pPr>
              <w:jc w:val="both"/>
              <w:rPr>
                <w:rFonts w:eastAsia="Arial Unicode MS"/>
                <w:sz w:val="22"/>
                <w:szCs w:val="22"/>
              </w:rPr>
            </w:pPr>
            <w:r w:rsidRPr="00D57CFA">
              <w:rPr>
                <w:sz w:val="22"/>
                <w:szCs w:val="22"/>
              </w:rPr>
              <w:t>Vale salientar que é indispensável a divulgação a todos os laboratórios prestadores de serviço da necessidade de se prepararem para a adequação ao ensaio do teor de água.</w:t>
            </w:r>
          </w:p>
        </w:tc>
        <w:tc>
          <w:tcPr>
            <w:tcW w:w="1172" w:type="pct"/>
            <w:gridSpan w:val="5"/>
            <w:shd w:val="clear" w:color="auto" w:fill="FFFFFF"/>
            <w:vAlign w:val="center"/>
          </w:tcPr>
          <w:p w:rsidR="00A973B0" w:rsidRDefault="00A973B0" w:rsidP="00284D7A">
            <w:pPr>
              <w:jc w:val="both"/>
              <w:rPr>
                <w:b/>
                <w:sz w:val="22"/>
                <w:szCs w:val="22"/>
              </w:rPr>
            </w:pPr>
          </w:p>
          <w:p w:rsidR="00AA38A6" w:rsidRPr="00AA38A6" w:rsidRDefault="00AA38A6" w:rsidP="00284D7A">
            <w:pPr>
              <w:jc w:val="both"/>
              <w:rPr>
                <w:b/>
                <w:sz w:val="22"/>
                <w:szCs w:val="22"/>
              </w:rPr>
            </w:pPr>
            <w:r>
              <w:rPr>
                <w:b/>
                <w:sz w:val="22"/>
                <w:szCs w:val="22"/>
              </w:rPr>
              <w:t>COMENTÁRIO</w:t>
            </w:r>
          </w:p>
          <w:p w:rsidR="00CC2E2D" w:rsidRPr="00D57CFA" w:rsidRDefault="00F62DE9" w:rsidP="00AC6460">
            <w:pPr>
              <w:jc w:val="both"/>
              <w:rPr>
                <w:sz w:val="22"/>
                <w:szCs w:val="22"/>
              </w:rPr>
            </w:pPr>
            <w:r>
              <w:rPr>
                <w:sz w:val="22"/>
                <w:szCs w:val="22"/>
              </w:rPr>
              <w:t xml:space="preserve">Alguns </w:t>
            </w:r>
            <w:r w:rsidR="002A2A2C">
              <w:rPr>
                <w:sz w:val="22"/>
                <w:szCs w:val="22"/>
              </w:rPr>
              <w:t xml:space="preserve">laboratórios cadastrados pela ANP para certificação de biodiesel, com fulcro na Resolução nº 46/2011, estão habilitados a analisar a característica teor de água. </w:t>
            </w:r>
            <w:r>
              <w:rPr>
                <w:sz w:val="22"/>
                <w:szCs w:val="22"/>
              </w:rPr>
              <w:t xml:space="preserve">A lista com esses laboratórios </w:t>
            </w:r>
            <w:r w:rsidR="002A2A2C">
              <w:rPr>
                <w:sz w:val="22"/>
                <w:szCs w:val="22"/>
              </w:rPr>
              <w:t>pode ser encontrad</w:t>
            </w:r>
            <w:r>
              <w:rPr>
                <w:sz w:val="22"/>
                <w:szCs w:val="22"/>
              </w:rPr>
              <w:t>a</w:t>
            </w:r>
            <w:r w:rsidR="002A2A2C">
              <w:rPr>
                <w:sz w:val="22"/>
                <w:szCs w:val="22"/>
              </w:rPr>
              <w:t xml:space="preserve"> no </w:t>
            </w:r>
            <w:r w:rsidR="00AC6460">
              <w:rPr>
                <w:sz w:val="22"/>
                <w:szCs w:val="22"/>
              </w:rPr>
              <w:t>endereço eletrônico</w:t>
            </w:r>
            <w:r w:rsidR="002A2A2C">
              <w:rPr>
                <w:sz w:val="22"/>
                <w:szCs w:val="22"/>
              </w:rPr>
              <w:t xml:space="preserve"> da ANP</w:t>
            </w:r>
            <w:r>
              <w:rPr>
                <w:sz w:val="22"/>
                <w:szCs w:val="22"/>
              </w:rPr>
              <w:t xml:space="preserve"> (</w:t>
            </w:r>
            <w:hyperlink r:id="rId9" w:history="1">
              <w:r w:rsidR="00BB3754" w:rsidRPr="006016FB">
                <w:rPr>
                  <w:rStyle w:val="Hyperlink"/>
                  <w:sz w:val="22"/>
                  <w:szCs w:val="22"/>
                </w:rPr>
                <w:t>www.anp.gov.br</w:t>
              </w:r>
            </w:hyperlink>
            <w:r>
              <w:rPr>
                <w:sz w:val="22"/>
                <w:szCs w:val="22"/>
              </w:rPr>
              <w:t>)</w:t>
            </w:r>
            <w:r w:rsidR="002A2A2C">
              <w:rPr>
                <w:sz w:val="22"/>
                <w:szCs w:val="22"/>
              </w:rPr>
              <w:t>.</w:t>
            </w:r>
          </w:p>
        </w:tc>
      </w:tr>
      <w:tr w:rsidR="000A1506" w:rsidRPr="00C124BD" w:rsidTr="00F378DA">
        <w:trPr>
          <w:trHeight w:val="1708"/>
        </w:trPr>
        <w:tc>
          <w:tcPr>
            <w:tcW w:w="689" w:type="pct"/>
            <w:shd w:val="clear" w:color="auto" w:fill="auto"/>
            <w:vAlign w:val="center"/>
          </w:tcPr>
          <w:p w:rsidR="00E938B9" w:rsidRPr="00ED7706" w:rsidRDefault="00E938B9" w:rsidP="00284D7A">
            <w:pPr>
              <w:jc w:val="center"/>
              <w:rPr>
                <w:b/>
                <w:sz w:val="22"/>
                <w:szCs w:val="22"/>
              </w:rPr>
            </w:pPr>
            <w:r w:rsidRPr="00ED7706">
              <w:rPr>
                <w:b/>
                <w:sz w:val="22"/>
                <w:szCs w:val="22"/>
              </w:rPr>
              <w:t>PETROBRAS</w:t>
            </w:r>
          </w:p>
        </w:tc>
        <w:tc>
          <w:tcPr>
            <w:tcW w:w="391" w:type="pct"/>
            <w:shd w:val="clear" w:color="auto" w:fill="auto"/>
            <w:vAlign w:val="center"/>
          </w:tcPr>
          <w:p w:rsidR="00E938B9" w:rsidRPr="00ED7706" w:rsidRDefault="00E938B9" w:rsidP="00284D7A">
            <w:pPr>
              <w:jc w:val="center"/>
              <w:rPr>
                <w:rFonts w:eastAsia="Arial Unicode MS"/>
                <w:bCs/>
                <w:sz w:val="22"/>
                <w:szCs w:val="22"/>
              </w:rPr>
            </w:pPr>
            <w:r w:rsidRPr="00ED7706">
              <w:rPr>
                <w:bCs/>
                <w:color w:val="000000"/>
                <w:sz w:val="22"/>
                <w:szCs w:val="22"/>
              </w:rPr>
              <w:t>Art. 2º.</w:t>
            </w:r>
          </w:p>
        </w:tc>
        <w:tc>
          <w:tcPr>
            <w:tcW w:w="1130" w:type="pct"/>
            <w:gridSpan w:val="5"/>
            <w:shd w:val="clear" w:color="auto" w:fill="auto"/>
            <w:vAlign w:val="center"/>
          </w:tcPr>
          <w:p w:rsidR="00E938B9" w:rsidRPr="00ED7706" w:rsidRDefault="00E938B9" w:rsidP="00284D7A">
            <w:pPr>
              <w:jc w:val="both"/>
              <w:rPr>
                <w:b/>
                <w:sz w:val="22"/>
                <w:szCs w:val="22"/>
              </w:rPr>
            </w:pPr>
            <w:r w:rsidRPr="00ED7706">
              <w:rPr>
                <w:b/>
                <w:sz w:val="22"/>
                <w:szCs w:val="22"/>
              </w:rPr>
              <w:t>Comentário:</w:t>
            </w:r>
          </w:p>
          <w:p w:rsidR="00E938B9" w:rsidRPr="00ED7706" w:rsidRDefault="00E938B9" w:rsidP="00284D7A">
            <w:pPr>
              <w:jc w:val="both"/>
              <w:rPr>
                <w:sz w:val="22"/>
                <w:szCs w:val="22"/>
              </w:rPr>
            </w:pPr>
            <w:r w:rsidRPr="00ED7706">
              <w:rPr>
                <w:sz w:val="22"/>
                <w:szCs w:val="22"/>
              </w:rPr>
              <w:t>Incluir o teor de biodiesel no rol de análises mínimas do Boletim de Conformidade.</w:t>
            </w:r>
          </w:p>
        </w:tc>
        <w:tc>
          <w:tcPr>
            <w:tcW w:w="1618" w:type="pct"/>
            <w:shd w:val="clear" w:color="auto" w:fill="auto"/>
            <w:vAlign w:val="center"/>
          </w:tcPr>
          <w:p w:rsidR="00E938B9" w:rsidRPr="00ED7706" w:rsidRDefault="00E938B9" w:rsidP="00284D7A">
            <w:pPr>
              <w:jc w:val="both"/>
              <w:rPr>
                <w:rFonts w:eastAsia="Arial Unicode MS"/>
                <w:sz w:val="22"/>
                <w:szCs w:val="22"/>
              </w:rPr>
            </w:pPr>
            <w:r w:rsidRPr="00ED7706">
              <w:rPr>
                <w:sz w:val="22"/>
                <w:szCs w:val="22"/>
              </w:rPr>
              <w:t>Boletim de Conformidade refletindo maior garantia de qualidade do produto.</w:t>
            </w:r>
          </w:p>
        </w:tc>
        <w:tc>
          <w:tcPr>
            <w:tcW w:w="1172" w:type="pct"/>
            <w:gridSpan w:val="5"/>
            <w:shd w:val="clear" w:color="auto" w:fill="auto"/>
            <w:vAlign w:val="center"/>
          </w:tcPr>
          <w:p w:rsidR="00ED7706" w:rsidRPr="00ED7706" w:rsidRDefault="00284D7A" w:rsidP="00284D7A">
            <w:pPr>
              <w:jc w:val="both"/>
              <w:rPr>
                <w:b/>
                <w:sz w:val="22"/>
                <w:szCs w:val="22"/>
              </w:rPr>
            </w:pPr>
            <w:r>
              <w:rPr>
                <w:sz w:val="22"/>
                <w:szCs w:val="22"/>
              </w:rPr>
              <w:t>Durante</w:t>
            </w:r>
            <w:r w:rsidR="00ED7706" w:rsidRPr="00ED7706">
              <w:rPr>
                <w:sz w:val="22"/>
                <w:szCs w:val="22"/>
              </w:rPr>
              <w:t xml:space="preserve"> a Audiência Pública a PETROBRAS solicitou a retirada da sugestão</w:t>
            </w:r>
            <w:r>
              <w:rPr>
                <w:sz w:val="22"/>
                <w:szCs w:val="22"/>
              </w:rPr>
              <w:t>, conforme relatado na Súmula da AP nº 19/2012.</w:t>
            </w:r>
          </w:p>
        </w:tc>
      </w:tr>
      <w:tr w:rsidR="000A1506" w:rsidRPr="00C55FC3" w:rsidTr="00AC6460">
        <w:trPr>
          <w:trHeight w:val="547"/>
        </w:trPr>
        <w:tc>
          <w:tcPr>
            <w:tcW w:w="5000" w:type="pct"/>
            <w:gridSpan w:val="13"/>
            <w:shd w:val="clear" w:color="auto" w:fill="FFFFCC"/>
            <w:vAlign w:val="center"/>
          </w:tcPr>
          <w:p w:rsidR="00E938B9" w:rsidRDefault="00E938B9" w:rsidP="00A973B0">
            <w:pPr>
              <w:jc w:val="center"/>
              <w:rPr>
                <w:b/>
                <w:sz w:val="24"/>
                <w:szCs w:val="24"/>
                <w:u w:val="single"/>
              </w:rPr>
            </w:pPr>
            <w:r>
              <w:rPr>
                <w:b/>
                <w:sz w:val="24"/>
                <w:szCs w:val="24"/>
                <w:u w:val="single"/>
              </w:rPr>
              <w:t>SEGMENTO NÃO RODOVIÁRIO</w:t>
            </w:r>
          </w:p>
        </w:tc>
      </w:tr>
      <w:tr w:rsidR="006169FE" w:rsidRPr="002F524A" w:rsidTr="00AC6460">
        <w:trPr>
          <w:gridAfter w:val="1"/>
          <w:wAfter w:w="6" w:type="pct"/>
          <w:trHeight w:val="1829"/>
        </w:trPr>
        <w:tc>
          <w:tcPr>
            <w:tcW w:w="689" w:type="pct"/>
            <w:shd w:val="clear" w:color="auto" w:fill="FFFFFF"/>
            <w:vAlign w:val="center"/>
          </w:tcPr>
          <w:p w:rsidR="00E938B9" w:rsidRPr="002F524A" w:rsidRDefault="00E938B9" w:rsidP="00284D7A">
            <w:pPr>
              <w:jc w:val="center"/>
              <w:rPr>
                <w:b/>
                <w:sz w:val="22"/>
                <w:szCs w:val="22"/>
              </w:rPr>
            </w:pPr>
            <w:r w:rsidRPr="002F524A">
              <w:rPr>
                <w:b/>
                <w:sz w:val="22"/>
                <w:szCs w:val="22"/>
              </w:rPr>
              <w:t>AEA</w:t>
            </w:r>
          </w:p>
        </w:tc>
        <w:tc>
          <w:tcPr>
            <w:tcW w:w="395" w:type="pct"/>
            <w:gridSpan w:val="2"/>
            <w:shd w:val="clear" w:color="auto" w:fill="FFFFFF"/>
            <w:vAlign w:val="center"/>
          </w:tcPr>
          <w:p w:rsidR="00E938B9" w:rsidRPr="002F524A" w:rsidRDefault="00E938B9" w:rsidP="00284D7A">
            <w:pPr>
              <w:jc w:val="center"/>
              <w:rPr>
                <w:rFonts w:eastAsia="Arial Unicode MS"/>
                <w:bCs/>
                <w:sz w:val="22"/>
                <w:szCs w:val="22"/>
              </w:rPr>
            </w:pPr>
            <w:r w:rsidRPr="002F524A">
              <w:rPr>
                <w:bCs/>
                <w:color w:val="000000"/>
                <w:sz w:val="22"/>
                <w:szCs w:val="22"/>
              </w:rPr>
              <w:t>Art. 4º.</w:t>
            </w:r>
          </w:p>
        </w:tc>
        <w:tc>
          <w:tcPr>
            <w:tcW w:w="1093" w:type="pct"/>
            <w:gridSpan w:val="2"/>
            <w:shd w:val="clear" w:color="auto" w:fill="FFFFFF"/>
            <w:vAlign w:val="center"/>
          </w:tcPr>
          <w:p w:rsidR="00E938B9" w:rsidRPr="002F524A" w:rsidRDefault="00E938B9" w:rsidP="00284D7A">
            <w:pPr>
              <w:jc w:val="both"/>
              <w:rPr>
                <w:b/>
                <w:sz w:val="22"/>
                <w:szCs w:val="22"/>
              </w:rPr>
            </w:pPr>
            <w:r w:rsidRPr="002F524A">
              <w:rPr>
                <w:b/>
                <w:sz w:val="22"/>
                <w:szCs w:val="22"/>
              </w:rPr>
              <w:t>Comentário:</w:t>
            </w:r>
          </w:p>
          <w:p w:rsidR="00E938B9" w:rsidRPr="002F524A" w:rsidRDefault="00E938B9" w:rsidP="00284D7A">
            <w:pPr>
              <w:jc w:val="both"/>
              <w:rPr>
                <w:sz w:val="22"/>
                <w:szCs w:val="22"/>
              </w:rPr>
            </w:pPr>
            <w:r w:rsidRPr="002F524A">
              <w:rPr>
                <w:sz w:val="22"/>
                <w:szCs w:val="22"/>
              </w:rPr>
              <w:t>Remover do texto a referência ao suprimento das máquinas rodoviárias e incluir mineração a céu aberto, e uso em equipamentos sem regulamentação de emissões, conforme segue:</w:t>
            </w:r>
          </w:p>
          <w:p w:rsidR="00E938B9" w:rsidRPr="002F524A" w:rsidRDefault="00E938B9" w:rsidP="00284D7A">
            <w:pPr>
              <w:jc w:val="both"/>
              <w:rPr>
                <w:sz w:val="22"/>
                <w:szCs w:val="22"/>
              </w:rPr>
            </w:pPr>
          </w:p>
          <w:p w:rsidR="00E938B9" w:rsidRPr="002F524A" w:rsidRDefault="00E938B9" w:rsidP="00284D7A">
            <w:pPr>
              <w:jc w:val="both"/>
              <w:rPr>
                <w:i/>
                <w:sz w:val="22"/>
                <w:szCs w:val="22"/>
              </w:rPr>
            </w:pPr>
            <w:r w:rsidRPr="002F524A">
              <w:rPr>
                <w:i/>
                <w:sz w:val="22"/>
                <w:szCs w:val="22"/>
              </w:rPr>
              <w:t>“Art. 14 ...................</w:t>
            </w:r>
          </w:p>
          <w:p w:rsidR="00E938B9" w:rsidRPr="002F524A" w:rsidRDefault="00E938B9" w:rsidP="00284D7A">
            <w:pPr>
              <w:jc w:val="both"/>
              <w:rPr>
                <w:i/>
                <w:sz w:val="22"/>
                <w:szCs w:val="22"/>
              </w:rPr>
            </w:pPr>
            <w:r w:rsidRPr="002F524A">
              <w:rPr>
                <w:i/>
                <w:sz w:val="22"/>
                <w:szCs w:val="22"/>
              </w:rPr>
              <w:t>..........................</w:t>
            </w:r>
          </w:p>
          <w:p w:rsidR="00E938B9" w:rsidRPr="002F524A" w:rsidRDefault="00E938B9" w:rsidP="00284D7A">
            <w:pPr>
              <w:jc w:val="both"/>
              <w:rPr>
                <w:rFonts w:eastAsia="Arial Unicode MS"/>
                <w:i/>
                <w:sz w:val="22"/>
                <w:szCs w:val="22"/>
              </w:rPr>
            </w:pPr>
            <w:r w:rsidRPr="002F524A">
              <w:rPr>
                <w:i/>
                <w:sz w:val="22"/>
                <w:szCs w:val="22"/>
              </w:rPr>
              <w:t xml:space="preserve">c) Extração mineral </w:t>
            </w:r>
            <w:r w:rsidRPr="002F524A">
              <w:rPr>
                <w:i/>
                <w:color w:val="0033CC"/>
                <w:sz w:val="22"/>
                <w:szCs w:val="22"/>
                <w:u w:val="single"/>
              </w:rPr>
              <w:t>considerada a céu aberto pelo Departamento Nacional de Produção Mineral - DNPM</w:t>
            </w:r>
            <w:r w:rsidRPr="002F524A">
              <w:rPr>
                <w:i/>
                <w:sz w:val="22"/>
                <w:szCs w:val="22"/>
              </w:rPr>
              <w:t xml:space="preserve">, quando o adquirente detentor de Ponto de Abastecimento for autorizado nos termos da Resolução ANP n° 12, de 21 de março de 2007, para o suprimento de </w:t>
            </w:r>
            <w:r w:rsidRPr="002F524A">
              <w:rPr>
                <w:i/>
                <w:color w:val="0033CC"/>
                <w:sz w:val="22"/>
                <w:szCs w:val="22"/>
                <w:u w:val="single"/>
              </w:rPr>
              <w:t>equipamentos não controlados pela regulamentação de emissões</w:t>
            </w:r>
            <w:r w:rsidRPr="002F524A">
              <w:rPr>
                <w:i/>
                <w:sz w:val="22"/>
                <w:szCs w:val="22"/>
              </w:rPr>
              <w:t xml:space="preserve"> </w:t>
            </w:r>
            <w:r w:rsidRPr="002F524A">
              <w:rPr>
                <w:i/>
                <w:strike/>
                <w:color w:val="FF0000"/>
                <w:sz w:val="22"/>
                <w:szCs w:val="22"/>
              </w:rPr>
              <w:t>máquinas rodoviárias descritas no Anexo B da Resolução CONAMA n° 433, de 13 de julho de 2011</w:t>
            </w:r>
            <w:r w:rsidRPr="002F524A">
              <w:rPr>
                <w:i/>
                <w:sz w:val="22"/>
                <w:szCs w:val="22"/>
              </w:rPr>
              <w:t>.</w:t>
            </w:r>
            <w:r w:rsidRPr="002F524A">
              <w:rPr>
                <w:i/>
                <w:color w:val="000000"/>
                <w:sz w:val="22"/>
                <w:szCs w:val="22"/>
              </w:rPr>
              <w:t>”</w:t>
            </w:r>
          </w:p>
        </w:tc>
        <w:tc>
          <w:tcPr>
            <w:tcW w:w="1658" w:type="pct"/>
            <w:gridSpan w:val="4"/>
            <w:shd w:val="clear" w:color="auto" w:fill="FFFFFF"/>
            <w:vAlign w:val="center"/>
          </w:tcPr>
          <w:p w:rsidR="00E938B9" w:rsidRPr="002F524A" w:rsidRDefault="00E938B9" w:rsidP="00284D7A">
            <w:pPr>
              <w:jc w:val="both"/>
              <w:rPr>
                <w:rFonts w:eastAsia="Arial Unicode MS"/>
                <w:sz w:val="22"/>
                <w:szCs w:val="22"/>
              </w:rPr>
            </w:pPr>
            <w:r w:rsidRPr="002F524A">
              <w:rPr>
                <w:rFonts w:eastAsia="Arial Unicode MS"/>
                <w:sz w:val="22"/>
                <w:szCs w:val="22"/>
              </w:rPr>
              <w:t>1- Alinhamento com a Minuta de Resolução ANP para especificação do óleo diesel não rodoviário comercial – 26 de outubro de 2012, onde se lê:</w:t>
            </w:r>
          </w:p>
          <w:p w:rsidR="00E938B9" w:rsidRPr="002F524A" w:rsidRDefault="00E938B9" w:rsidP="00284D7A">
            <w:pPr>
              <w:jc w:val="both"/>
              <w:rPr>
                <w:rFonts w:eastAsia="Arial Unicode MS"/>
                <w:sz w:val="22"/>
                <w:szCs w:val="22"/>
              </w:rPr>
            </w:pPr>
          </w:p>
          <w:p w:rsidR="00E938B9" w:rsidRPr="002F524A" w:rsidRDefault="00E938B9" w:rsidP="00284D7A">
            <w:pPr>
              <w:jc w:val="both"/>
              <w:rPr>
                <w:rFonts w:eastAsia="Arial Unicode MS"/>
                <w:i/>
                <w:sz w:val="22"/>
                <w:szCs w:val="22"/>
              </w:rPr>
            </w:pPr>
            <w:r w:rsidRPr="002F524A">
              <w:rPr>
                <w:rFonts w:eastAsia="Arial Unicode MS"/>
                <w:i/>
                <w:sz w:val="22"/>
                <w:szCs w:val="22"/>
              </w:rPr>
              <w:t>“Art. 4° ................</w:t>
            </w:r>
          </w:p>
          <w:p w:rsidR="00E938B9" w:rsidRPr="002F524A" w:rsidRDefault="00E938B9" w:rsidP="00284D7A">
            <w:pPr>
              <w:jc w:val="both"/>
              <w:rPr>
                <w:rFonts w:eastAsia="Arial Unicode MS"/>
                <w:i/>
                <w:sz w:val="22"/>
                <w:szCs w:val="22"/>
              </w:rPr>
            </w:pPr>
            <w:r w:rsidRPr="002F524A">
              <w:rPr>
                <w:rFonts w:eastAsia="Arial Unicode MS"/>
                <w:i/>
                <w:sz w:val="22"/>
                <w:szCs w:val="22"/>
              </w:rPr>
              <w:t>....................</w:t>
            </w:r>
          </w:p>
          <w:p w:rsidR="00E938B9" w:rsidRPr="002F524A" w:rsidRDefault="00E938B9" w:rsidP="00284D7A">
            <w:pPr>
              <w:jc w:val="both"/>
              <w:rPr>
                <w:rFonts w:eastAsia="Arial Unicode MS"/>
                <w:i/>
                <w:sz w:val="22"/>
                <w:szCs w:val="22"/>
              </w:rPr>
            </w:pPr>
            <w:r w:rsidRPr="002F524A">
              <w:rPr>
                <w:rFonts w:eastAsia="Arial Unicode MS"/>
                <w:i/>
                <w:sz w:val="22"/>
                <w:szCs w:val="22"/>
              </w:rPr>
              <w:t>c) Atividade de extração mineral considerada a céu aberto pelo Departamento Nacional de Produção Mineral - DNPM.”</w:t>
            </w:r>
          </w:p>
          <w:p w:rsidR="00E938B9" w:rsidRPr="002F524A" w:rsidRDefault="00E938B9" w:rsidP="00284D7A">
            <w:pPr>
              <w:jc w:val="both"/>
              <w:rPr>
                <w:rFonts w:eastAsia="Arial Unicode MS"/>
                <w:sz w:val="22"/>
                <w:szCs w:val="22"/>
              </w:rPr>
            </w:pPr>
          </w:p>
          <w:p w:rsidR="00E938B9" w:rsidRPr="002F524A" w:rsidRDefault="00E938B9" w:rsidP="00284D7A">
            <w:pPr>
              <w:jc w:val="both"/>
              <w:rPr>
                <w:rFonts w:eastAsia="Arial Unicode MS"/>
                <w:sz w:val="22"/>
                <w:szCs w:val="22"/>
              </w:rPr>
            </w:pPr>
            <w:r w:rsidRPr="002F524A">
              <w:rPr>
                <w:rFonts w:eastAsia="Arial Unicode MS"/>
                <w:sz w:val="22"/>
                <w:szCs w:val="22"/>
              </w:rPr>
              <w:t>2- Tanto as máquinas agrícolas como as máquinas rodoviárias possuem motores da mesma classe e similares, e estão regulamentadas pela mesma legislação de emissões  MAR-I (Res. CONAMA 433/2011), exigindo combustíveis adequados de mesma qualidade.</w:t>
            </w:r>
          </w:p>
          <w:p w:rsidR="00E938B9" w:rsidRPr="002F524A" w:rsidRDefault="00E938B9" w:rsidP="00284D7A">
            <w:pPr>
              <w:jc w:val="both"/>
              <w:rPr>
                <w:rFonts w:eastAsia="Arial Unicode MS"/>
                <w:sz w:val="22"/>
                <w:szCs w:val="22"/>
              </w:rPr>
            </w:pPr>
          </w:p>
          <w:p w:rsidR="00E938B9" w:rsidRPr="002F524A" w:rsidRDefault="00E938B9" w:rsidP="00284D7A">
            <w:pPr>
              <w:jc w:val="both"/>
              <w:rPr>
                <w:rFonts w:eastAsia="Arial Unicode MS"/>
                <w:sz w:val="22"/>
                <w:szCs w:val="22"/>
              </w:rPr>
            </w:pPr>
            <w:r w:rsidRPr="002F524A">
              <w:rPr>
                <w:rFonts w:eastAsia="Arial Unicode MS"/>
                <w:sz w:val="22"/>
                <w:szCs w:val="22"/>
              </w:rPr>
              <w:t xml:space="preserve">As mineradoras de forma geral utilizam um grande número de equipamentos incluindo máquinas e veiculos com diferentes níveis de exigênicas pela regulamentação de emissões vigente. </w:t>
            </w:r>
          </w:p>
          <w:p w:rsidR="00E938B9" w:rsidRPr="002F524A" w:rsidRDefault="00E938B9" w:rsidP="00284D7A">
            <w:pPr>
              <w:jc w:val="both"/>
              <w:rPr>
                <w:rFonts w:eastAsia="Arial Unicode MS"/>
                <w:sz w:val="22"/>
                <w:szCs w:val="22"/>
              </w:rPr>
            </w:pPr>
          </w:p>
          <w:p w:rsidR="00E938B9" w:rsidRPr="002F524A" w:rsidRDefault="00E938B9" w:rsidP="00284D7A">
            <w:pPr>
              <w:jc w:val="both"/>
              <w:rPr>
                <w:rFonts w:eastAsia="Arial Unicode MS"/>
                <w:sz w:val="22"/>
                <w:szCs w:val="22"/>
              </w:rPr>
            </w:pPr>
            <w:r w:rsidRPr="002F524A">
              <w:rPr>
                <w:rFonts w:eastAsia="Arial Unicode MS"/>
                <w:sz w:val="22"/>
                <w:szCs w:val="22"/>
              </w:rPr>
              <w:t xml:space="preserve">A Res 433/2011 do CONAMA regulamenta máquinas até a potência de 560 kW , máquinas acima deste limite de potência não são controladas e podem receber Diesel </w:t>
            </w:r>
            <w:r w:rsidRPr="002F524A">
              <w:rPr>
                <w:rFonts w:eastAsia="Arial Unicode MS"/>
                <w:sz w:val="22"/>
                <w:szCs w:val="22"/>
              </w:rPr>
              <w:lastRenderedPageBreak/>
              <w:t>de maior nível de enxofre como o BS1800.</w:t>
            </w:r>
          </w:p>
          <w:p w:rsidR="00E938B9" w:rsidRPr="002F524A" w:rsidRDefault="00E938B9" w:rsidP="00284D7A">
            <w:pPr>
              <w:jc w:val="both"/>
              <w:rPr>
                <w:rFonts w:eastAsia="Arial Unicode MS"/>
                <w:sz w:val="22"/>
                <w:szCs w:val="22"/>
              </w:rPr>
            </w:pPr>
            <w:r w:rsidRPr="002F524A">
              <w:rPr>
                <w:rFonts w:eastAsia="Arial Unicode MS"/>
                <w:sz w:val="22"/>
                <w:szCs w:val="22"/>
              </w:rPr>
              <w:t>O uso do BS 1800 indiscriminado poderá causar problemas nos veiculos que exigem o BS10 conforme P7 e também não é recomendado para máquinas do MAR-I (potência igual ou inferior a 560 kW).</w:t>
            </w:r>
          </w:p>
          <w:p w:rsidR="00E938B9" w:rsidRPr="002F524A" w:rsidRDefault="00E938B9" w:rsidP="00284D7A">
            <w:pPr>
              <w:jc w:val="both"/>
              <w:rPr>
                <w:rFonts w:eastAsia="Arial Unicode MS"/>
                <w:sz w:val="22"/>
                <w:szCs w:val="22"/>
              </w:rPr>
            </w:pPr>
          </w:p>
        </w:tc>
        <w:tc>
          <w:tcPr>
            <w:tcW w:w="1160" w:type="pct"/>
            <w:gridSpan w:val="3"/>
            <w:shd w:val="clear" w:color="auto" w:fill="FFFFFF"/>
            <w:vAlign w:val="center"/>
          </w:tcPr>
          <w:p w:rsidR="00284D7A" w:rsidRDefault="00284D7A" w:rsidP="00284D7A">
            <w:pPr>
              <w:jc w:val="both"/>
              <w:rPr>
                <w:rFonts w:eastAsia="Arial Unicode MS"/>
                <w:b/>
                <w:sz w:val="22"/>
                <w:szCs w:val="22"/>
              </w:rPr>
            </w:pPr>
          </w:p>
          <w:p w:rsidR="00DA2001" w:rsidRPr="00DA2001" w:rsidRDefault="00284D7A" w:rsidP="00284D7A">
            <w:pPr>
              <w:jc w:val="both"/>
              <w:rPr>
                <w:rFonts w:eastAsia="Arial Unicode MS"/>
                <w:b/>
                <w:sz w:val="22"/>
                <w:szCs w:val="22"/>
              </w:rPr>
            </w:pPr>
            <w:r>
              <w:rPr>
                <w:rFonts w:eastAsia="Arial Unicode MS"/>
                <w:b/>
                <w:sz w:val="22"/>
                <w:szCs w:val="22"/>
              </w:rPr>
              <w:t>INCORPORADA PARCIALMENTE</w:t>
            </w:r>
          </w:p>
          <w:p w:rsidR="00DA2001" w:rsidRDefault="00DA2001" w:rsidP="00284D7A">
            <w:pPr>
              <w:jc w:val="both"/>
              <w:rPr>
                <w:rFonts w:eastAsia="Arial Unicode MS"/>
                <w:sz w:val="22"/>
                <w:szCs w:val="22"/>
              </w:rPr>
            </w:pPr>
          </w:p>
          <w:p w:rsidR="00293F43" w:rsidRDefault="00DA2001" w:rsidP="00284D7A">
            <w:pPr>
              <w:jc w:val="both"/>
              <w:rPr>
                <w:rFonts w:eastAsia="Arial Unicode MS"/>
                <w:sz w:val="22"/>
                <w:szCs w:val="22"/>
              </w:rPr>
            </w:pPr>
            <w:r>
              <w:rPr>
                <w:rFonts w:eastAsia="Arial Unicode MS"/>
                <w:sz w:val="22"/>
                <w:szCs w:val="22"/>
              </w:rPr>
              <w:t>Para a</w:t>
            </w:r>
            <w:r w:rsidR="00475762" w:rsidRPr="00475762">
              <w:rPr>
                <w:rFonts w:eastAsia="Arial Unicode MS"/>
                <w:sz w:val="22"/>
                <w:szCs w:val="22"/>
              </w:rPr>
              <w:t>linhamento com a minuta de Resolução referente a especificação do diesel não rodoviário</w:t>
            </w:r>
            <w:r>
              <w:rPr>
                <w:rFonts w:eastAsia="Arial Unicode MS"/>
                <w:sz w:val="22"/>
                <w:szCs w:val="22"/>
              </w:rPr>
              <w:t xml:space="preserve"> (Audiência Pública nº 17/2012)</w:t>
            </w:r>
            <w:r w:rsidR="00293F43">
              <w:rPr>
                <w:rFonts w:eastAsia="Arial Unicode MS"/>
                <w:sz w:val="22"/>
                <w:szCs w:val="22"/>
              </w:rPr>
              <w:t xml:space="preserve">, </w:t>
            </w:r>
            <w:r w:rsidR="003A7011">
              <w:rPr>
                <w:rFonts w:eastAsia="Arial Unicode MS"/>
                <w:sz w:val="22"/>
                <w:szCs w:val="22"/>
              </w:rPr>
              <w:t>será incluída</w:t>
            </w:r>
            <w:r w:rsidR="00293F43">
              <w:rPr>
                <w:rFonts w:eastAsia="Arial Unicode MS"/>
                <w:sz w:val="22"/>
                <w:szCs w:val="22"/>
              </w:rPr>
              <w:t xml:space="preserve"> a</w:t>
            </w:r>
            <w:r w:rsidR="00F62DE9">
              <w:rPr>
                <w:rFonts w:eastAsia="Arial Unicode MS"/>
                <w:sz w:val="22"/>
                <w:szCs w:val="22"/>
              </w:rPr>
              <w:t xml:space="preserve"> seguinte</w:t>
            </w:r>
            <w:r w:rsidR="00293F43">
              <w:rPr>
                <w:rFonts w:eastAsia="Arial Unicode MS"/>
                <w:sz w:val="22"/>
                <w:szCs w:val="22"/>
              </w:rPr>
              <w:t xml:space="preserve"> redação</w:t>
            </w:r>
            <w:r w:rsidR="00475762" w:rsidRPr="00475762">
              <w:rPr>
                <w:rFonts w:eastAsia="Arial Unicode MS"/>
                <w:sz w:val="22"/>
                <w:szCs w:val="22"/>
              </w:rPr>
              <w:t>:</w:t>
            </w:r>
          </w:p>
          <w:p w:rsidR="00293F43" w:rsidRDefault="00293F43" w:rsidP="00284D7A">
            <w:pPr>
              <w:jc w:val="both"/>
              <w:rPr>
                <w:rFonts w:eastAsia="Arial Unicode MS"/>
                <w:sz w:val="22"/>
                <w:szCs w:val="22"/>
              </w:rPr>
            </w:pPr>
          </w:p>
          <w:p w:rsidR="00475762" w:rsidRPr="00D46659" w:rsidRDefault="00475762" w:rsidP="00284D7A">
            <w:pPr>
              <w:jc w:val="both"/>
              <w:rPr>
                <w:rFonts w:eastAsia="Arial Unicode MS"/>
                <w:sz w:val="22"/>
                <w:szCs w:val="22"/>
              </w:rPr>
            </w:pPr>
            <w:r w:rsidRPr="00475762">
              <w:rPr>
                <w:rFonts w:eastAsia="Arial Unicode MS"/>
                <w:sz w:val="22"/>
                <w:szCs w:val="22"/>
              </w:rPr>
              <w:t xml:space="preserve"> “</w:t>
            </w:r>
            <w:r w:rsidRPr="00D46659">
              <w:rPr>
                <w:rFonts w:eastAsia="Arial Unicode MS"/>
                <w:i/>
                <w:sz w:val="22"/>
                <w:szCs w:val="22"/>
              </w:rPr>
              <w:t>c)</w:t>
            </w:r>
            <w:r w:rsidR="00293F43" w:rsidRPr="00D46659">
              <w:rPr>
                <w:rFonts w:eastAsia="Arial Unicode MS"/>
                <w:i/>
                <w:sz w:val="22"/>
                <w:szCs w:val="22"/>
              </w:rPr>
              <w:t xml:space="preserve"> </w:t>
            </w:r>
            <w:r w:rsidRPr="00D46659">
              <w:rPr>
                <w:rFonts w:eastAsia="Arial Unicode MS"/>
                <w:i/>
                <w:sz w:val="22"/>
                <w:szCs w:val="22"/>
              </w:rPr>
              <w:t xml:space="preserve">...considerada a céu aberto pelo Departamento </w:t>
            </w:r>
            <w:r w:rsidR="00095EE5" w:rsidRPr="00D46659">
              <w:rPr>
                <w:rFonts w:eastAsia="Arial Unicode MS"/>
                <w:i/>
                <w:sz w:val="22"/>
                <w:szCs w:val="22"/>
              </w:rPr>
              <w:t xml:space="preserve">Nacional </w:t>
            </w:r>
            <w:r w:rsidRPr="00D46659">
              <w:rPr>
                <w:rFonts w:eastAsia="Arial Unicode MS"/>
                <w:i/>
                <w:sz w:val="22"/>
                <w:szCs w:val="22"/>
              </w:rPr>
              <w:t>de Produção Mineral – DNPM</w:t>
            </w:r>
            <w:r w:rsidRPr="00D46659">
              <w:rPr>
                <w:rFonts w:eastAsia="Arial Unicode MS"/>
                <w:sz w:val="22"/>
                <w:szCs w:val="22"/>
              </w:rPr>
              <w:t>,...”</w:t>
            </w:r>
          </w:p>
          <w:p w:rsidR="00475762" w:rsidRPr="00D46659" w:rsidRDefault="00475762" w:rsidP="00284D7A">
            <w:pPr>
              <w:jc w:val="both"/>
              <w:rPr>
                <w:rFonts w:eastAsia="Arial Unicode MS"/>
                <w:sz w:val="22"/>
                <w:szCs w:val="22"/>
              </w:rPr>
            </w:pPr>
          </w:p>
          <w:p w:rsidR="00E938B9" w:rsidRDefault="003A7011" w:rsidP="00284D7A">
            <w:pPr>
              <w:jc w:val="both"/>
              <w:rPr>
                <w:rFonts w:eastAsia="Arial Unicode MS"/>
                <w:sz w:val="22"/>
                <w:szCs w:val="22"/>
              </w:rPr>
            </w:pPr>
            <w:r>
              <w:rPr>
                <w:rFonts w:eastAsia="Arial Unicode MS"/>
                <w:sz w:val="22"/>
                <w:szCs w:val="22"/>
              </w:rPr>
              <w:t>Contudo, a segunda alteração sugerida não será incorporada.</w:t>
            </w:r>
          </w:p>
          <w:p w:rsidR="00AF039B" w:rsidRDefault="00AF039B" w:rsidP="00284D7A">
            <w:pPr>
              <w:jc w:val="both"/>
              <w:rPr>
                <w:rFonts w:eastAsia="Arial Unicode MS"/>
                <w:sz w:val="22"/>
                <w:szCs w:val="22"/>
              </w:rPr>
            </w:pPr>
          </w:p>
          <w:p w:rsidR="00AF039B" w:rsidRDefault="00AF039B" w:rsidP="00284D7A">
            <w:pPr>
              <w:jc w:val="both"/>
              <w:rPr>
                <w:rFonts w:eastAsia="Arial Unicode MS"/>
                <w:b/>
                <w:sz w:val="22"/>
                <w:szCs w:val="22"/>
              </w:rPr>
            </w:pPr>
            <w:r>
              <w:rPr>
                <w:rFonts w:eastAsia="Arial Unicode MS"/>
                <w:b/>
                <w:sz w:val="22"/>
                <w:szCs w:val="22"/>
              </w:rPr>
              <w:t>Justificativa:</w:t>
            </w:r>
          </w:p>
          <w:p w:rsidR="00450774" w:rsidRPr="002F524A" w:rsidRDefault="00AF039B" w:rsidP="00F62DE9">
            <w:pPr>
              <w:jc w:val="both"/>
              <w:rPr>
                <w:rFonts w:eastAsia="Arial Unicode MS"/>
                <w:sz w:val="22"/>
                <w:szCs w:val="22"/>
              </w:rPr>
            </w:pPr>
            <w:r w:rsidRPr="008532EF">
              <w:rPr>
                <w:rFonts w:eastAsia="Arial Unicode MS"/>
                <w:sz w:val="22"/>
                <w:szCs w:val="22"/>
              </w:rPr>
              <w:t>O uso do combustível adequado para cada tecnologia de motor é orientad</w:t>
            </w:r>
            <w:r w:rsidR="00F62DE9">
              <w:rPr>
                <w:rFonts w:eastAsia="Arial Unicode MS"/>
                <w:sz w:val="22"/>
                <w:szCs w:val="22"/>
              </w:rPr>
              <w:t>o</w:t>
            </w:r>
            <w:r w:rsidRPr="008532EF">
              <w:rPr>
                <w:rFonts w:eastAsia="Arial Unicode MS"/>
                <w:sz w:val="22"/>
                <w:szCs w:val="22"/>
              </w:rPr>
              <w:t xml:space="preserve"> pelo próprio fabricante ao consumidor, de modo que fica a cargo </w:t>
            </w:r>
            <w:r w:rsidR="00450774">
              <w:rPr>
                <w:rFonts w:eastAsia="Arial Unicode MS"/>
                <w:sz w:val="22"/>
                <w:szCs w:val="22"/>
              </w:rPr>
              <w:t>do</w:t>
            </w:r>
            <w:r w:rsidRPr="008532EF">
              <w:rPr>
                <w:rFonts w:eastAsia="Arial Unicode MS"/>
                <w:sz w:val="22"/>
                <w:szCs w:val="22"/>
              </w:rPr>
              <w:t xml:space="preserve"> consumidor que possui veículos e equipamentos com tecnologias </w:t>
            </w:r>
            <w:r w:rsidRPr="008532EF">
              <w:rPr>
                <w:rFonts w:eastAsia="Arial Unicode MS"/>
                <w:sz w:val="22"/>
                <w:szCs w:val="22"/>
              </w:rPr>
              <w:lastRenderedPageBreak/>
              <w:t>diversas compra</w:t>
            </w:r>
            <w:r w:rsidR="00450774">
              <w:rPr>
                <w:rFonts w:eastAsia="Arial Unicode MS"/>
                <w:sz w:val="22"/>
                <w:szCs w:val="22"/>
              </w:rPr>
              <w:t>r</w:t>
            </w:r>
            <w:r w:rsidRPr="008532EF">
              <w:rPr>
                <w:rFonts w:eastAsia="Arial Unicode MS"/>
                <w:sz w:val="22"/>
                <w:szCs w:val="22"/>
              </w:rPr>
              <w:t xml:space="preserve"> mais de u</w:t>
            </w:r>
            <w:r w:rsidR="00450774">
              <w:rPr>
                <w:rFonts w:eastAsia="Arial Unicode MS"/>
                <w:sz w:val="22"/>
                <w:szCs w:val="22"/>
              </w:rPr>
              <w:t>m tipo de óleo diesel ou adquirir</w:t>
            </w:r>
            <w:r w:rsidRPr="008532EF">
              <w:rPr>
                <w:rFonts w:eastAsia="Arial Unicode MS"/>
                <w:sz w:val="22"/>
                <w:szCs w:val="22"/>
              </w:rPr>
              <w:t xml:space="preserve"> apenas o mais restritivo. Ressaltando que se optar pela primeira opção, o volume referente comercialização do diesel S1800 só poderá ser feita nos termos da</w:t>
            </w:r>
            <w:r w:rsidR="00450774">
              <w:rPr>
                <w:rFonts w:eastAsia="Arial Unicode MS"/>
                <w:sz w:val="22"/>
                <w:szCs w:val="22"/>
              </w:rPr>
              <w:t>s</w:t>
            </w:r>
            <w:r w:rsidRPr="008532EF">
              <w:rPr>
                <w:rFonts w:eastAsia="Arial Unicode MS"/>
                <w:sz w:val="22"/>
                <w:szCs w:val="22"/>
              </w:rPr>
              <w:t xml:space="preserve"> R</w:t>
            </w:r>
            <w:r w:rsidR="00450774">
              <w:rPr>
                <w:rFonts w:eastAsia="Arial Unicode MS"/>
                <w:sz w:val="22"/>
                <w:szCs w:val="22"/>
              </w:rPr>
              <w:t xml:space="preserve">esoluções </w:t>
            </w:r>
            <w:r w:rsidRPr="008532EF">
              <w:rPr>
                <w:rFonts w:eastAsia="Arial Unicode MS"/>
                <w:sz w:val="22"/>
                <w:szCs w:val="22"/>
              </w:rPr>
              <w:t>ANP nº 34/2007</w:t>
            </w:r>
            <w:r w:rsidR="00450774">
              <w:rPr>
                <w:rFonts w:eastAsia="Arial Unicode MS"/>
                <w:sz w:val="22"/>
                <w:szCs w:val="22"/>
              </w:rPr>
              <w:t xml:space="preserve"> e 12/2007</w:t>
            </w:r>
            <w:r w:rsidRPr="008532EF">
              <w:rPr>
                <w:rFonts w:eastAsia="Arial Unicode MS"/>
                <w:sz w:val="22"/>
                <w:szCs w:val="22"/>
              </w:rPr>
              <w:t xml:space="preserve">. </w:t>
            </w:r>
          </w:p>
        </w:tc>
      </w:tr>
      <w:tr w:rsidR="006169FE" w:rsidRPr="00654122" w:rsidTr="00AC6460">
        <w:trPr>
          <w:gridAfter w:val="1"/>
          <w:wAfter w:w="6" w:type="pct"/>
          <w:trHeight w:val="3530"/>
        </w:trPr>
        <w:tc>
          <w:tcPr>
            <w:tcW w:w="689" w:type="pct"/>
            <w:shd w:val="clear" w:color="auto" w:fill="auto"/>
            <w:vAlign w:val="center"/>
          </w:tcPr>
          <w:p w:rsidR="00DC2DD1" w:rsidRPr="00654122" w:rsidRDefault="00DC2DD1" w:rsidP="00284D7A">
            <w:pPr>
              <w:jc w:val="center"/>
              <w:rPr>
                <w:b/>
                <w:sz w:val="22"/>
                <w:szCs w:val="22"/>
              </w:rPr>
            </w:pPr>
            <w:r w:rsidRPr="00654122">
              <w:rPr>
                <w:b/>
                <w:sz w:val="22"/>
                <w:szCs w:val="22"/>
              </w:rPr>
              <w:lastRenderedPageBreak/>
              <w:t>ANP</w:t>
            </w:r>
            <w:r>
              <w:rPr>
                <w:b/>
                <w:sz w:val="22"/>
                <w:szCs w:val="22"/>
              </w:rPr>
              <w:t xml:space="preserve"> / SFI</w:t>
            </w:r>
          </w:p>
        </w:tc>
        <w:tc>
          <w:tcPr>
            <w:tcW w:w="395" w:type="pct"/>
            <w:gridSpan w:val="2"/>
            <w:shd w:val="clear" w:color="auto" w:fill="auto"/>
            <w:vAlign w:val="center"/>
          </w:tcPr>
          <w:p w:rsidR="00DC2DD1" w:rsidRPr="00654122" w:rsidRDefault="00DC2DD1" w:rsidP="00284D7A">
            <w:pPr>
              <w:jc w:val="center"/>
              <w:rPr>
                <w:rFonts w:eastAsia="Arial Unicode MS"/>
                <w:bCs/>
                <w:sz w:val="22"/>
                <w:szCs w:val="22"/>
              </w:rPr>
            </w:pPr>
            <w:r w:rsidRPr="00654122">
              <w:rPr>
                <w:bCs/>
                <w:color w:val="000000"/>
                <w:sz w:val="22"/>
                <w:szCs w:val="22"/>
              </w:rPr>
              <w:t>Art. 4º.</w:t>
            </w:r>
          </w:p>
        </w:tc>
        <w:tc>
          <w:tcPr>
            <w:tcW w:w="1093" w:type="pct"/>
            <w:gridSpan w:val="2"/>
            <w:shd w:val="clear" w:color="auto" w:fill="auto"/>
            <w:vAlign w:val="center"/>
          </w:tcPr>
          <w:p w:rsidR="00DC2DD1" w:rsidRPr="00654122" w:rsidRDefault="00DC2DD1" w:rsidP="00284D7A">
            <w:pPr>
              <w:jc w:val="both"/>
              <w:rPr>
                <w:b/>
                <w:sz w:val="22"/>
                <w:szCs w:val="22"/>
              </w:rPr>
            </w:pPr>
            <w:r w:rsidRPr="00654122">
              <w:rPr>
                <w:b/>
                <w:sz w:val="22"/>
                <w:szCs w:val="22"/>
              </w:rPr>
              <w:t>Comentário:</w:t>
            </w:r>
          </w:p>
          <w:p w:rsidR="00DC2DD1" w:rsidRPr="00654122" w:rsidRDefault="00DC2DD1" w:rsidP="00284D7A">
            <w:pPr>
              <w:jc w:val="both"/>
              <w:rPr>
                <w:rFonts w:eastAsia="Arial Unicode MS"/>
                <w:i/>
                <w:sz w:val="22"/>
                <w:szCs w:val="22"/>
              </w:rPr>
            </w:pPr>
            <w:r w:rsidRPr="00654122">
              <w:rPr>
                <w:sz w:val="22"/>
                <w:szCs w:val="22"/>
              </w:rPr>
              <w:t>Excluir.</w:t>
            </w:r>
          </w:p>
          <w:p w:rsidR="00DC2DD1" w:rsidRPr="00654122" w:rsidRDefault="00DC2DD1" w:rsidP="00284D7A">
            <w:pPr>
              <w:jc w:val="both"/>
              <w:rPr>
                <w:rFonts w:eastAsia="Arial Unicode MS"/>
                <w:i/>
                <w:sz w:val="22"/>
                <w:szCs w:val="22"/>
              </w:rPr>
            </w:pPr>
          </w:p>
        </w:tc>
        <w:tc>
          <w:tcPr>
            <w:tcW w:w="1659" w:type="pct"/>
            <w:gridSpan w:val="5"/>
            <w:shd w:val="clear" w:color="auto" w:fill="auto"/>
            <w:vAlign w:val="center"/>
          </w:tcPr>
          <w:p w:rsidR="00DC2DD1" w:rsidRDefault="00DC2DD1" w:rsidP="00284D7A">
            <w:pPr>
              <w:jc w:val="both"/>
              <w:rPr>
                <w:sz w:val="22"/>
                <w:szCs w:val="22"/>
              </w:rPr>
            </w:pPr>
            <w:r w:rsidRPr="00654122">
              <w:rPr>
                <w:sz w:val="22"/>
                <w:szCs w:val="22"/>
              </w:rPr>
              <w:t xml:space="preserve">Propomos a manutenção do Art. 14. da RANP nº 65/2011, no qual estabelece as mesmas regras para comercialização quanto ao tipo de óleo diesel B S50 e  B S500. </w:t>
            </w:r>
          </w:p>
          <w:p w:rsidR="00DC2DD1" w:rsidRPr="00654122" w:rsidRDefault="00DC2DD1" w:rsidP="00284D7A">
            <w:pPr>
              <w:jc w:val="both"/>
              <w:rPr>
                <w:sz w:val="22"/>
                <w:szCs w:val="22"/>
              </w:rPr>
            </w:pPr>
          </w:p>
          <w:p w:rsidR="00DC2DD1" w:rsidRPr="00654122" w:rsidRDefault="00DC2DD1" w:rsidP="00284D7A">
            <w:pPr>
              <w:jc w:val="both"/>
              <w:rPr>
                <w:sz w:val="22"/>
                <w:szCs w:val="22"/>
              </w:rPr>
            </w:pPr>
            <w:r w:rsidRPr="00654122">
              <w:rPr>
                <w:sz w:val="22"/>
                <w:szCs w:val="22"/>
              </w:rPr>
              <w:t>A alteração desse dispositivo poderá propiciar desvios do óleo diesel B S1800 para regiões que só podem comercializar óleo diesel S 50 e B S500. Como o referido mercado (revenda de combustível/grande consumidor) é pulverizado será problemático ações da fiscalização no intuito de coibir tais fraudes.</w:t>
            </w:r>
          </w:p>
        </w:tc>
        <w:tc>
          <w:tcPr>
            <w:tcW w:w="1158" w:type="pct"/>
            <w:gridSpan w:val="2"/>
            <w:shd w:val="clear" w:color="auto" w:fill="auto"/>
            <w:vAlign w:val="center"/>
          </w:tcPr>
          <w:p w:rsidR="00A973B0" w:rsidRDefault="00A973B0" w:rsidP="00284D7A">
            <w:pPr>
              <w:jc w:val="both"/>
              <w:rPr>
                <w:rFonts w:eastAsia="Arial Unicode MS"/>
                <w:b/>
                <w:sz w:val="22"/>
                <w:szCs w:val="22"/>
              </w:rPr>
            </w:pPr>
          </w:p>
          <w:p w:rsidR="00DC2DD1" w:rsidRDefault="00F069D9" w:rsidP="00284D7A">
            <w:pPr>
              <w:jc w:val="both"/>
              <w:rPr>
                <w:rFonts w:eastAsia="Arial Unicode MS"/>
                <w:b/>
                <w:sz w:val="22"/>
                <w:szCs w:val="22"/>
              </w:rPr>
            </w:pPr>
            <w:r>
              <w:rPr>
                <w:rFonts w:eastAsia="Arial Unicode MS"/>
                <w:b/>
                <w:sz w:val="22"/>
                <w:szCs w:val="22"/>
              </w:rPr>
              <w:t>INCORPORADA</w:t>
            </w:r>
            <w:r w:rsidR="00A973B0">
              <w:rPr>
                <w:rFonts w:eastAsia="Arial Unicode MS"/>
                <w:b/>
                <w:sz w:val="22"/>
                <w:szCs w:val="22"/>
              </w:rPr>
              <w:t xml:space="preserve"> PARCIALMENTE</w:t>
            </w:r>
          </w:p>
          <w:p w:rsidR="00F069D9" w:rsidRDefault="00F069D9" w:rsidP="00284D7A">
            <w:pPr>
              <w:jc w:val="both"/>
              <w:rPr>
                <w:rFonts w:eastAsia="Arial Unicode MS"/>
                <w:sz w:val="22"/>
                <w:szCs w:val="22"/>
              </w:rPr>
            </w:pPr>
          </w:p>
          <w:p w:rsidR="00F069D9" w:rsidRPr="00F069D9" w:rsidRDefault="00F069D9" w:rsidP="00284D7A">
            <w:pPr>
              <w:jc w:val="both"/>
              <w:rPr>
                <w:rFonts w:eastAsia="Arial Unicode MS"/>
                <w:b/>
                <w:sz w:val="22"/>
                <w:szCs w:val="22"/>
              </w:rPr>
            </w:pPr>
            <w:r>
              <w:rPr>
                <w:rFonts w:eastAsia="Arial Unicode MS"/>
                <w:b/>
                <w:sz w:val="22"/>
                <w:szCs w:val="22"/>
              </w:rPr>
              <w:t>Justificativa:</w:t>
            </w:r>
          </w:p>
          <w:p w:rsidR="00A973B0" w:rsidRDefault="00A973B0" w:rsidP="00284D7A">
            <w:pPr>
              <w:jc w:val="both"/>
              <w:rPr>
                <w:rFonts w:eastAsia="Arial Unicode MS"/>
                <w:sz w:val="22"/>
                <w:szCs w:val="22"/>
              </w:rPr>
            </w:pPr>
          </w:p>
          <w:p w:rsidR="00A973B0" w:rsidRDefault="00A973B0" w:rsidP="00284D7A">
            <w:pPr>
              <w:jc w:val="both"/>
              <w:rPr>
                <w:rFonts w:eastAsia="Arial Unicode MS"/>
                <w:sz w:val="22"/>
                <w:szCs w:val="22"/>
              </w:rPr>
            </w:pPr>
            <w:r>
              <w:rPr>
                <w:rFonts w:eastAsia="Arial Unicode MS"/>
                <w:sz w:val="22"/>
                <w:szCs w:val="22"/>
              </w:rPr>
              <w:t xml:space="preserve">O art. 4º </w:t>
            </w:r>
            <w:r w:rsidR="002024EE">
              <w:rPr>
                <w:rFonts w:eastAsia="Arial Unicode MS"/>
                <w:sz w:val="22"/>
                <w:szCs w:val="22"/>
              </w:rPr>
              <w:t xml:space="preserve">foi </w:t>
            </w:r>
            <w:r w:rsidR="00154D8E">
              <w:rPr>
                <w:rFonts w:eastAsia="Arial Unicode MS"/>
                <w:sz w:val="22"/>
                <w:szCs w:val="22"/>
              </w:rPr>
              <w:t xml:space="preserve">aprimorado </w:t>
            </w:r>
            <w:r w:rsidR="00F62DE9">
              <w:rPr>
                <w:rFonts w:eastAsia="Arial Unicode MS"/>
                <w:sz w:val="22"/>
                <w:szCs w:val="22"/>
              </w:rPr>
              <w:t xml:space="preserve">para incluir </w:t>
            </w:r>
            <w:r w:rsidR="00154D8E">
              <w:rPr>
                <w:rFonts w:eastAsia="Arial Unicode MS"/>
                <w:sz w:val="22"/>
                <w:szCs w:val="22"/>
              </w:rPr>
              <w:t>a menção</w:t>
            </w:r>
            <w:r w:rsidR="00154D8E">
              <w:rPr>
                <w:rFonts w:ascii="Helv" w:hAnsi="Helv" w:cs="Helv"/>
                <w:color w:val="000000"/>
                <w:sz w:val="24"/>
                <w:szCs w:val="24"/>
              </w:rPr>
              <w:t xml:space="preserve"> </w:t>
            </w:r>
            <w:r w:rsidR="00154D8E" w:rsidRPr="00154D8E">
              <w:rPr>
                <w:rFonts w:eastAsia="Arial Unicode MS"/>
                <w:sz w:val="22"/>
                <w:szCs w:val="22"/>
              </w:rPr>
              <w:t xml:space="preserve">ao art.2º inciso II da RANP 34/2007 e </w:t>
            </w:r>
            <w:r w:rsidR="00F62DE9">
              <w:rPr>
                <w:rFonts w:eastAsia="Arial Unicode MS"/>
                <w:sz w:val="22"/>
                <w:szCs w:val="22"/>
              </w:rPr>
              <w:t xml:space="preserve">às </w:t>
            </w:r>
            <w:r w:rsidR="00154D8E" w:rsidRPr="00154D8E">
              <w:rPr>
                <w:rFonts w:eastAsia="Arial Unicode MS"/>
                <w:sz w:val="22"/>
                <w:szCs w:val="22"/>
              </w:rPr>
              <w:t>disposições da RANP 12/2007</w:t>
            </w:r>
            <w:r w:rsidR="00F62DE9">
              <w:rPr>
                <w:rFonts w:eastAsia="Arial Unicode MS"/>
                <w:sz w:val="22"/>
                <w:szCs w:val="22"/>
              </w:rPr>
              <w:t xml:space="preserve">. Além disso, </w:t>
            </w:r>
            <w:r w:rsidR="00154D8E">
              <w:rPr>
                <w:rFonts w:eastAsia="Arial Unicode MS"/>
                <w:sz w:val="22"/>
                <w:szCs w:val="22"/>
              </w:rPr>
              <w:t xml:space="preserve">a alínea </w:t>
            </w:r>
            <w:r w:rsidR="00F62DE9">
              <w:rPr>
                <w:rFonts w:eastAsia="Arial Unicode MS"/>
                <w:sz w:val="22"/>
                <w:szCs w:val="22"/>
              </w:rPr>
              <w:t>“</w:t>
            </w:r>
            <w:r w:rsidR="00154D8E">
              <w:rPr>
                <w:rFonts w:eastAsia="Arial Unicode MS"/>
                <w:sz w:val="22"/>
                <w:szCs w:val="22"/>
              </w:rPr>
              <w:t>c</w:t>
            </w:r>
            <w:r w:rsidR="00F62DE9">
              <w:rPr>
                <w:rFonts w:eastAsia="Arial Unicode MS"/>
                <w:sz w:val="22"/>
                <w:szCs w:val="22"/>
              </w:rPr>
              <w:t>”</w:t>
            </w:r>
            <w:r w:rsidR="00154D8E">
              <w:rPr>
                <w:rFonts w:eastAsia="Arial Unicode MS"/>
                <w:sz w:val="22"/>
                <w:szCs w:val="22"/>
              </w:rPr>
              <w:t xml:space="preserve"> referente à atividade de extração mineral foi alinhada com a minuta de Resolução objeto da Audiência Pública nº 17/2012 e o parágrafo único foi alterado de forma a considerar prazo para permissão da comercialização do diesel B S1800 pelos diferentes segmentos</w:t>
            </w:r>
            <w:r w:rsidR="00922AB3">
              <w:rPr>
                <w:rFonts w:eastAsia="Arial Unicode MS"/>
                <w:sz w:val="22"/>
                <w:szCs w:val="22"/>
              </w:rPr>
              <w:t xml:space="preserve"> no ano de 2013</w:t>
            </w:r>
            <w:r w:rsidR="00154D8E">
              <w:rPr>
                <w:rFonts w:eastAsia="Arial Unicode MS"/>
                <w:sz w:val="22"/>
                <w:szCs w:val="22"/>
              </w:rPr>
              <w:t xml:space="preserve">. </w:t>
            </w:r>
            <w:r w:rsidR="00922AB3">
              <w:rPr>
                <w:rFonts w:eastAsia="Arial Unicode MS"/>
                <w:sz w:val="22"/>
                <w:szCs w:val="22"/>
              </w:rPr>
              <w:t xml:space="preserve">Dessa forma, o referido artigo </w:t>
            </w:r>
            <w:r w:rsidR="002024EE">
              <w:rPr>
                <w:rFonts w:eastAsia="Arial Unicode MS"/>
                <w:sz w:val="22"/>
                <w:szCs w:val="22"/>
              </w:rPr>
              <w:t>passa a vigorar com a seguinte</w:t>
            </w:r>
            <w:r>
              <w:rPr>
                <w:rFonts w:eastAsia="Arial Unicode MS"/>
                <w:sz w:val="22"/>
                <w:szCs w:val="22"/>
              </w:rPr>
              <w:t xml:space="preserve"> redação:</w:t>
            </w:r>
          </w:p>
          <w:p w:rsidR="00A973B0" w:rsidRDefault="00A973B0" w:rsidP="00284D7A">
            <w:pPr>
              <w:jc w:val="both"/>
              <w:rPr>
                <w:rFonts w:eastAsia="Arial Unicode MS"/>
                <w:sz w:val="22"/>
                <w:szCs w:val="22"/>
              </w:rPr>
            </w:pPr>
          </w:p>
          <w:p w:rsidR="00A973B0" w:rsidRPr="002024EE" w:rsidRDefault="00A973B0" w:rsidP="00A973B0">
            <w:pPr>
              <w:jc w:val="both"/>
              <w:rPr>
                <w:rFonts w:eastAsia="Arial Unicode MS"/>
                <w:i/>
                <w:sz w:val="22"/>
                <w:szCs w:val="22"/>
              </w:rPr>
            </w:pPr>
            <w:r>
              <w:rPr>
                <w:rFonts w:eastAsia="Arial Unicode MS"/>
                <w:sz w:val="22"/>
                <w:szCs w:val="22"/>
              </w:rPr>
              <w:t>“</w:t>
            </w:r>
            <w:r w:rsidRPr="002024EE">
              <w:rPr>
                <w:rFonts w:eastAsia="Arial Unicode MS"/>
                <w:i/>
                <w:sz w:val="22"/>
                <w:szCs w:val="22"/>
              </w:rPr>
              <w:t>Art. 4º. O artigo 14 da Resolução ANP nº 65, de 09 de dezembro de 2011, a partir de 1° de janeiro de 2013, passa a vigorar com as seguintes alterações:</w:t>
            </w:r>
          </w:p>
          <w:p w:rsidR="00A973B0" w:rsidRPr="00A973B0" w:rsidRDefault="00733BB0" w:rsidP="00A973B0">
            <w:pPr>
              <w:jc w:val="both"/>
              <w:rPr>
                <w:rFonts w:eastAsia="Arial Unicode MS"/>
                <w:i/>
                <w:sz w:val="22"/>
                <w:szCs w:val="22"/>
              </w:rPr>
            </w:pPr>
            <w:r>
              <w:rPr>
                <w:rFonts w:eastAsia="Arial Unicode MS"/>
                <w:sz w:val="22"/>
                <w:szCs w:val="22"/>
              </w:rPr>
              <w:t>‘</w:t>
            </w:r>
            <w:r w:rsidR="00A973B0" w:rsidRPr="00A973B0">
              <w:rPr>
                <w:rFonts w:eastAsia="Arial Unicode MS"/>
                <w:i/>
                <w:sz w:val="22"/>
                <w:szCs w:val="22"/>
              </w:rPr>
              <w:t xml:space="preserve">Art.14. Fica autorizada a comercialização de óleo diesel B S1800, em todo o território nacional, ao usuário final Grande Consumidor, nos termos do inciso II do art. 2º da Resolução ANP nº 34, de 1º de novembro de 2007 e das disposições da Resolução ANP nº 12, de 21 de março de 2007, </w:t>
            </w:r>
            <w:r w:rsidR="008F6EF3">
              <w:rPr>
                <w:rFonts w:eastAsia="Arial Unicode MS"/>
                <w:i/>
                <w:sz w:val="22"/>
                <w:szCs w:val="22"/>
              </w:rPr>
              <w:t>vinculado a</w:t>
            </w:r>
            <w:r w:rsidR="008F6EF3" w:rsidRPr="008F6EF3">
              <w:rPr>
                <w:rFonts w:eastAsia="Arial Unicode MS"/>
                <w:i/>
                <w:sz w:val="22"/>
                <w:szCs w:val="22"/>
              </w:rPr>
              <w:t xml:space="preserve"> utilização </w:t>
            </w:r>
            <w:r w:rsidR="008F6EF3" w:rsidRPr="008F6EF3">
              <w:rPr>
                <w:rFonts w:eastAsia="Arial Unicode MS"/>
                <w:i/>
                <w:sz w:val="22"/>
                <w:szCs w:val="22"/>
              </w:rPr>
              <w:lastRenderedPageBreak/>
              <w:t xml:space="preserve">em veículos e equipamentos relacionados </w:t>
            </w:r>
            <w:r w:rsidR="008F6EF3" w:rsidRPr="00A973B0">
              <w:rPr>
                <w:rFonts w:eastAsia="Arial Unicode MS"/>
                <w:i/>
                <w:sz w:val="22"/>
                <w:szCs w:val="22"/>
              </w:rPr>
              <w:t>às</w:t>
            </w:r>
            <w:r w:rsidR="00A973B0" w:rsidRPr="00A973B0">
              <w:rPr>
                <w:rFonts w:eastAsia="Arial Unicode MS"/>
                <w:i/>
                <w:sz w:val="22"/>
                <w:szCs w:val="22"/>
              </w:rPr>
              <w:t xml:space="preserve"> seguintes atividades econômicas:</w:t>
            </w:r>
          </w:p>
          <w:p w:rsidR="00A973B0" w:rsidRPr="00A973B0" w:rsidRDefault="00A973B0" w:rsidP="00A973B0">
            <w:pPr>
              <w:jc w:val="both"/>
              <w:rPr>
                <w:rFonts w:eastAsia="Arial Unicode MS"/>
                <w:i/>
                <w:sz w:val="22"/>
                <w:szCs w:val="22"/>
              </w:rPr>
            </w:pPr>
            <w:r w:rsidRPr="00A973B0">
              <w:rPr>
                <w:rFonts w:eastAsia="Arial Unicode MS"/>
                <w:i/>
                <w:sz w:val="22"/>
                <w:szCs w:val="22"/>
              </w:rPr>
              <w:t>a)</w:t>
            </w:r>
            <w:r w:rsidRPr="00A973B0">
              <w:rPr>
                <w:rFonts w:eastAsia="Arial Unicode MS"/>
                <w:i/>
                <w:sz w:val="22"/>
                <w:szCs w:val="22"/>
              </w:rPr>
              <w:tab/>
              <w:t xml:space="preserve">Geração de energia elétrica, quando o adquirente for outorgado pela ANEEL como Produtor Independente de Energia ou Serviço Público, </w:t>
            </w:r>
            <w:r w:rsidR="007A363A" w:rsidRPr="00A973B0">
              <w:rPr>
                <w:rFonts w:eastAsia="Arial Unicode MS"/>
                <w:i/>
                <w:sz w:val="22"/>
                <w:szCs w:val="22"/>
              </w:rPr>
              <w:t xml:space="preserve">conforme legislação vigente </w:t>
            </w:r>
            <w:r w:rsidR="007A363A">
              <w:rPr>
                <w:rFonts w:eastAsia="Arial Unicode MS"/>
                <w:i/>
                <w:sz w:val="22"/>
                <w:szCs w:val="22"/>
              </w:rPr>
              <w:t xml:space="preserve">, </w:t>
            </w:r>
            <w:r w:rsidRPr="00A973B0">
              <w:rPr>
                <w:rFonts w:eastAsia="Arial Unicode MS"/>
                <w:i/>
                <w:sz w:val="22"/>
                <w:szCs w:val="22"/>
              </w:rPr>
              <w:t xml:space="preserve">e desde que o combustível </w:t>
            </w:r>
            <w:r w:rsidR="007A363A">
              <w:rPr>
                <w:rFonts w:eastAsia="Arial Unicode MS"/>
                <w:i/>
                <w:sz w:val="22"/>
                <w:szCs w:val="22"/>
              </w:rPr>
              <w:t>s</w:t>
            </w:r>
            <w:r w:rsidR="00AC6460">
              <w:rPr>
                <w:rFonts w:eastAsia="Arial Unicode MS"/>
                <w:i/>
                <w:sz w:val="22"/>
                <w:szCs w:val="22"/>
              </w:rPr>
              <w:t>eja o óleo diesel</w:t>
            </w:r>
            <w:r w:rsidRPr="00A973B0">
              <w:rPr>
                <w:rFonts w:eastAsia="Arial Unicode MS"/>
                <w:i/>
                <w:sz w:val="22"/>
                <w:szCs w:val="22"/>
              </w:rPr>
              <w:t xml:space="preserve">; </w:t>
            </w:r>
          </w:p>
          <w:p w:rsidR="00A973B0" w:rsidRPr="00A973B0" w:rsidRDefault="00A973B0" w:rsidP="00A973B0">
            <w:pPr>
              <w:jc w:val="both"/>
              <w:rPr>
                <w:rFonts w:eastAsia="Arial Unicode MS"/>
                <w:i/>
                <w:sz w:val="22"/>
                <w:szCs w:val="22"/>
              </w:rPr>
            </w:pPr>
            <w:r w:rsidRPr="00A973B0">
              <w:rPr>
                <w:rFonts w:eastAsia="Arial Unicode MS"/>
                <w:i/>
                <w:sz w:val="22"/>
                <w:szCs w:val="22"/>
              </w:rPr>
              <w:t>b)</w:t>
            </w:r>
            <w:r w:rsidRPr="00A973B0">
              <w:rPr>
                <w:rFonts w:eastAsia="Arial Unicode MS"/>
                <w:i/>
                <w:sz w:val="22"/>
                <w:szCs w:val="22"/>
              </w:rPr>
              <w:tab/>
              <w:t>Transporte ferroviário;</w:t>
            </w:r>
          </w:p>
          <w:p w:rsidR="00A973B0" w:rsidRPr="00A973B0" w:rsidRDefault="00A973B0" w:rsidP="00A973B0">
            <w:pPr>
              <w:jc w:val="both"/>
              <w:rPr>
                <w:rFonts w:eastAsia="Arial Unicode MS"/>
                <w:i/>
                <w:sz w:val="22"/>
                <w:szCs w:val="22"/>
              </w:rPr>
            </w:pPr>
            <w:r w:rsidRPr="00A973B0">
              <w:rPr>
                <w:rFonts w:eastAsia="Arial Unicode MS"/>
                <w:i/>
                <w:sz w:val="22"/>
                <w:szCs w:val="22"/>
              </w:rPr>
              <w:t>c)</w:t>
            </w:r>
            <w:r w:rsidRPr="00A973B0">
              <w:rPr>
                <w:rFonts w:eastAsia="Arial Unicode MS"/>
                <w:i/>
                <w:sz w:val="22"/>
                <w:szCs w:val="22"/>
              </w:rPr>
              <w:tab/>
              <w:t>Extração mineral considerada céu aberto pelo Departamento Naci</w:t>
            </w:r>
            <w:r>
              <w:rPr>
                <w:rFonts w:eastAsia="Arial Unicode MS"/>
                <w:i/>
                <w:sz w:val="22"/>
                <w:szCs w:val="22"/>
              </w:rPr>
              <w:t>onal de Produção Mineral - DNPM</w:t>
            </w:r>
            <w:r w:rsidRPr="00A973B0">
              <w:rPr>
                <w:rFonts w:eastAsia="Arial Unicode MS"/>
                <w:i/>
                <w:sz w:val="22"/>
                <w:szCs w:val="22"/>
              </w:rPr>
              <w:t>.</w:t>
            </w:r>
          </w:p>
          <w:p w:rsidR="00A973B0" w:rsidRDefault="00A973B0" w:rsidP="00A973B0">
            <w:pPr>
              <w:jc w:val="both"/>
              <w:rPr>
                <w:rFonts w:eastAsia="Arial Unicode MS"/>
                <w:sz w:val="22"/>
                <w:szCs w:val="22"/>
              </w:rPr>
            </w:pPr>
            <w:r w:rsidRPr="00A973B0">
              <w:rPr>
                <w:rFonts w:eastAsia="Arial Unicode MS"/>
                <w:i/>
                <w:sz w:val="22"/>
                <w:szCs w:val="22"/>
              </w:rPr>
              <w:t>Parágrafo único. Para as atividades indicadas nas alíneas a e b, a comercialização de que se trata o caput passará a vigorar a partir de 1º de janeiro de 2013 e para atividade da alínea c a partir de 1º de junho de 2013.</w:t>
            </w:r>
            <w:r w:rsidR="00733BB0">
              <w:rPr>
                <w:rFonts w:eastAsia="Arial Unicode MS"/>
                <w:i/>
                <w:sz w:val="22"/>
                <w:szCs w:val="22"/>
              </w:rPr>
              <w:t xml:space="preserve">’ </w:t>
            </w:r>
            <w:r w:rsidRPr="00A973B0">
              <w:rPr>
                <w:rFonts w:eastAsia="Arial Unicode MS"/>
                <w:sz w:val="22"/>
                <w:szCs w:val="22"/>
              </w:rPr>
              <w:t>”</w:t>
            </w:r>
          </w:p>
          <w:p w:rsidR="00F069D9" w:rsidRPr="00F069D9" w:rsidRDefault="00F069D9" w:rsidP="00284D7A">
            <w:pPr>
              <w:jc w:val="both"/>
              <w:rPr>
                <w:rFonts w:eastAsia="Arial Unicode MS"/>
                <w:sz w:val="22"/>
                <w:szCs w:val="22"/>
              </w:rPr>
            </w:pPr>
          </w:p>
        </w:tc>
      </w:tr>
      <w:tr w:rsidR="00DC2DD1" w:rsidRPr="00264C70" w:rsidTr="00AC6460">
        <w:trPr>
          <w:trHeight w:val="1546"/>
        </w:trPr>
        <w:tc>
          <w:tcPr>
            <w:tcW w:w="689" w:type="pct"/>
            <w:shd w:val="clear" w:color="auto" w:fill="FFFFFF"/>
            <w:vAlign w:val="center"/>
          </w:tcPr>
          <w:p w:rsidR="00E938B9" w:rsidRPr="00264C70" w:rsidRDefault="00E938B9" w:rsidP="00284D7A">
            <w:pPr>
              <w:jc w:val="center"/>
              <w:rPr>
                <w:b/>
                <w:sz w:val="22"/>
                <w:szCs w:val="22"/>
              </w:rPr>
            </w:pPr>
            <w:r w:rsidRPr="00264C70">
              <w:rPr>
                <w:b/>
                <w:sz w:val="22"/>
                <w:szCs w:val="22"/>
              </w:rPr>
              <w:lastRenderedPageBreak/>
              <w:t>SINDTRR</w:t>
            </w:r>
          </w:p>
        </w:tc>
        <w:tc>
          <w:tcPr>
            <w:tcW w:w="399" w:type="pct"/>
            <w:gridSpan w:val="3"/>
            <w:shd w:val="clear" w:color="auto" w:fill="FFFFFF"/>
            <w:vAlign w:val="center"/>
          </w:tcPr>
          <w:p w:rsidR="00E938B9" w:rsidRPr="00264C70" w:rsidRDefault="00E938B9" w:rsidP="00284D7A">
            <w:pPr>
              <w:jc w:val="center"/>
              <w:rPr>
                <w:rFonts w:eastAsia="Arial Unicode MS"/>
                <w:bCs/>
                <w:sz w:val="22"/>
                <w:szCs w:val="22"/>
              </w:rPr>
            </w:pPr>
            <w:r w:rsidRPr="00264C70">
              <w:rPr>
                <w:bCs/>
                <w:color w:val="000000"/>
                <w:sz w:val="22"/>
                <w:szCs w:val="22"/>
              </w:rPr>
              <w:t>Art. 4º.</w:t>
            </w:r>
          </w:p>
        </w:tc>
        <w:tc>
          <w:tcPr>
            <w:tcW w:w="1093" w:type="pct"/>
            <w:gridSpan w:val="2"/>
            <w:shd w:val="clear" w:color="auto" w:fill="FFFFFF"/>
            <w:vAlign w:val="center"/>
          </w:tcPr>
          <w:p w:rsidR="00E938B9" w:rsidRPr="00264C70" w:rsidRDefault="00E938B9" w:rsidP="00284D7A">
            <w:pPr>
              <w:jc w:val="both"/>
              <w:rPr>
                <w:b/>
                <w:sz w:val="22"/>
                <w:szCs w:val="22"/>
              </w:rPr>
            </w:pPr>
            <w:r w:rsidRPr="00264C70">
              <w:rPr>
                <w:b/>
                <w:sz w:val="22"/>
                <w:szCs w:val="22"/>
              </w:rPr>
              <w:t>Comentário:</w:t>
            </w:r>
          </w:p>
          <w:p w:rsidR="00E938B9" w:rsidRPr="00264C70" w:rsidRDefault="00E938B9" w:rsidP="00284D7A">
            <w:pPr>
              <w:jc w:val="both"/>
              <w:rPr>
                <w:sz w:val="22"/>
                <w:szCs w:val="22"/>
              </w:rPr>
            </w:pPr>
            <w:r w:rsidRPr="00264C70">
              <w:rPr>
                <w:i/>
                <w:sz w:val="22"/>
                <w:szCs w:val="22"/>
              </w:rPr>
              <w:t xml:space="preserve"> “Art. 14. Fica autorizada a comercialização de óleo diesel B S1800, em todo o território nacional, ao usuário </w:t>
            </w:r>
            <w:r w:rsidRPr="00264C70">
              <w:rPr>
                <w:i/>
                <w:color w:val="0033CC"/>
                <w:sz w:val="22"/>
                <w:szCs w:val="22"/>
                <w:u w:val="single"/>
              </w:rPr>
              <w:t>consumidor</w:t>
            </w:r>
            <w:r w:rsidRPr="00264C70">
              <w:rPr>
                <w:i/>
                <w:sz w:val="22"/>
                <w:szCs w:val="22"/>
              </w:rPr>
              <w:t xml:space="preserve"> final </w:t>
            </w:r>
            <w:r w:rsidRPr="00264C70">
              <w:rPr>
                <w:i/>
                <w:strike/>
                <w:color w:val="FF0000"/>
                <w:sz w:val="22"/>
                <w:szCs w:val="22"/>
              </w:rPr>
              <w:t>Grande Consumidor, nos termos da Resolução ANP nº 34, de 1º de novembro de 2007</w:t>
            </w:r>
            <w:r w:rsidRPr="00264C70">
              <w:rPr>
                <w:i/>
                <w:sz w:val="22"/>
                <w:szCs w:val="22"/>
              </w:rPr>
              <w:t xml:space="preserve">, vinculado às seguintes atividades econômicas:” </w:t>
            </w:r>
          </w:p>
          <w:p w:rsidR="00E938B9" w:rsidRPr="00264C70" w:rsidRDefault="00E938B9" w:rsidP="00284D7A">
            <w:pPr>
              <w:jc w:val="both"/>
              <w:rPr>
                <w:rFonts w:eastAsia="Arial Unicode MS"/>
                <w:sz w:val="22"/>
                <w:szCs w:val="22"/>
              </w:rPr>
            </w:pPr>
          </w:p>
        </w:tc>
        <w:tc>
          <w:tcPr>
            <w:tcW w:w="1659" w:type="pct"/>
            <w:gridSpan w:val="5"/>
            <w:shd w:val="clear" w:color="auto" w:fill="FFFFFF"/>
            <w:vAlign w:val="center"/>
          </w:tcPr>
          <w:p w:rsidR="00E938B9" w:rsidRPr="00264C70" w:rsidRDefault="00E938B9" w:rsidP="00284D7A">
            <w:pPr>
              <w:jc w:val="both"/>
              <w:rPr>
                <w:sz w:val="22"/>
                <w:szCs w:val="22"/>
              </w:rPr>
            </w:pPr>
            <w:r w:rsidRPr="00264C70">
              <w:rPr>
                <w:sz w:val="22"/>
                <w:szCs w:val="22"/>
              </w:rPr>
              <w:t>Estender a possibilidade de comercialização do Óleo Diesel BS1800 a todos os consumidores vinculados às atividades econômicas relacionadas nas alíneas "a" a "c.</w:t>
            </w:r>
          </w:p>
          <w:p w:rsidR="00E938B9" w:rsidRPr="00264C70" w:rsidRDefault="00E938B9" w:rsidP="00284D7A">
            <w:pPr>
              <w:jc w:val="both"/>
              <w:rPr>
                <w:sz w:val="22"/>
                <w:szCs w:val="22"/>
              </w:rPr>
            </w:pPr>
          </w:p>
          <w:p w:rsidR="00E938B9" w:rsidRPr="00264C70" w:rsidRDefault="00E938B9" w:rsidP="00284D7A">
            <w:pPr>
              <w:jc w:val="both"/>
              <w:rPr>
                <w:rFonts w:eastAsia="Arial Unicode MS"/>
                <w:sz w:val="22"/>
                <w:szCs w:val="22"/>
              </w:rPr>
            </w:pPr>
            <w:r w:rsidRPr="00264C70">
              <w:rPr>
                <w:sz w:val="22"/>
                <w:szCs w:val="22"/>
              </w:rPr>
              <w:t>OBSERVAÇÃO: A nova redação do Art. 14 da Resolução ANP nº 65, de 2011, de acordo com a proposta em audiência pública, prevê a comercialização em todo território nacional, o que, entretanto, s.m.j., conflita com o disposto no artigo 4º, inciso III da Resolução, que proibi sua comercialização nos Municípios relacionados nos Anexos I e II.</w:t>
            </w:r>
          </w:p>
        </w:tc>
        <w:tc>
          <w:tcPr>
            <w:tcW w:w="1159" w:type="pct"/>
            <w:gridSpan w:val="2"/>
            <w:shd w:val="clear" w:color="auto" w:fill="FFFFFF"/>
            <w:vAlign w:val="center"/>
          </w:tcPr>
          <w:p w:rsidR="00676973" w:rsidRDefault="00676973" w:rsidP="00284D7A">
            <w:pPr>
              <w:jc w:val="both"/>
              <w:rPr>
                <w:sz w:val="22"/>
                <w:szCs w:val="22"/>
              </w:rPr>
            </w:pPr>
          </w:p>
          <w:p w:rsidR="00676973" w:rsidRPr="00676973" w:rsidRDefault="00676973" w:rsidP="00284D7A">
            <w:pPr>
              <w:jc w:val="both"/>
              <w:rPr>
                <w:b/>
                <w:sz w:val="22"/>
                <w:szCs w:val="22"/>
              </w:rPr>
            </w:pPr>
            <w:r>
              <w:rPr>
                <w:b/>
                <w:sz w:val="22"/>
                <w:szCs w:val="22"/>
              </w:rPr>
              <w:t>NÃO INCORPORADA</w:t>
            </w:r>
          </w:p>
          <w:p w:rsidR="00D53BE2" w:rsidRDefault="00D53BE2" w:rsidP="00284D7A">
            <w:pPr>
              <w:jc w:val="both"/>
              <w:rPr>
                <w:sz w:val="22"/>
                <w:szCs w:val="22"/>
              </w:rPr>
            </w:pPr>
          </w:p>
          <w:p w:rsidR="00D53BE2" w:rsidRPr="00D53BE2" w:rsidRDefault="00D53BE2" w:rsidP="00284D7A">
            <w:pPr>
              <w:jc w:val="both"/>
              <w:rPr>
                <w:b/>
                <w:sz w:val="22"/>
                <w:szCs w:val="22"/>
              </w:rPr>
            </w:pPr>
            <w:r>
              <w:rPr>
                <w:b/>
                <w:sz w:val="22"/>
                <w:szCs w:val="22"/>
              </w:rPr>
              <w:t>Justificativa:</w:t>
            </w:r>
          </w:p>
          <w:p w:rsidR="00E938B9" w:rsidRDefault="00347805" w:rsidP="00284D7A">
            <w:pPr>
              <w:jc w:val="both"/>
              <w:rPr>
                <w:sz w:val="22"/>
                <w:szCs w:val="22"/>
              </w:rPr>
            </w:pPr>
            <w:r w:rsidRPr="00394E43">
              <w:rPr>
                <w:rFonts w:eastAsia="Arial Unicode MS"/>
                <w:sz w:val="22"/>
                <w:szCs w:val="22"/>
              </w:rPr>
              <w:t xml:space="preserve">A proposta do SindTRR opõe-se ao propósito de que o produto seja direcionado aos grandes consumidores que operem nos segmentos indicados, ampliando a possibilidade da comercialização aos agentes </w:t>
            </w:r>
            <w:r w:rsidR="00AC6460">
              <w:rPr>
                <w:rFonts w:eastAsia="Arial Unicode MS"/>
                <w:sz w:val="22"/>
                <w:szCs w:val="22"/>
              </w:rPr>
              <w:t>não</w:t>
            </w:r>
            <w:r w:rsidRPr="00394E43">
              <w:rPr>
                <w:rFonts w:eastAsia="Arial Unicode MS"/>
                <w:sz w:val="22"/>
                <w:szCs w:val="22"/>
              </w:rPr>
              <w:t xml:space="preserve"> enquadr</w:t>
            </w:r>
            <w:r w:rsidR="00AC6460">
              <w:rPr>
                <w:rFonts w:eastAsia="Arial Unicode MS"/>
                <w:sz w:val="22"/>
                <w:szCs w:val="22"/>
              </w:rPr>
              <w:t>ados</w:t>
            </w:r>
            <w:r w:rsidRPr="00394E43">
              <w:rPr>
                <w:rFonts w:eastAsia="Arial Unicode MS"/>
                <w:sz w:val="22"/>
                <w:szCs w:val="22"/>
              </w:rPr>
              <w:t xml:space="preserve"> nos termos da RANP n° 34/2007. A ANP</w:t>
            </w:r>
            <w:r>
              <w:rPr>
                <w:rFonts w:eastAsia="Arial Unicode MS"/>
                <w:sz w:val="22"/>
                <w:szCs w:val="22"/>
              </w:rPr>
              <w:t xml:space="preserve"> entende</w:t>
            </w:r>
            <w:r>
              <w:rPr>
                <w:sz w:val="22"/>
                <w:szCs w:val="22"/>
              </w:rPr>
              <w:t xml:space="preserve">, após diversas reuniões com os agentes de mercado, </w:t>
            </w:r>
            <w:r w:rsidRPr="00394E43">
              <w:rPr>
                <w:rFonts w:eastAsia="Arial Unicode MS"/>
                <w:sz w:val="22"/>
                <w:szCs w:val="22"/>
              </w:rPr>
              <w:t>que tal abertura poderia destinar indevidamente o ODNR para o uso rodoviário, a partir de um número elevado de instalações dos usuários finais de menor porte</w:t>
            </w:r>
            <w:r w:rsidR="0036593F">
              <w:rPr>
                <w:rFonts w:eastAsia="Arial Unicode MS"/>
                <w:sz w:val="22"/>
                <w:szCs w:val="22"/>
              </w:rPr>
              <w:t xml:space="preserve"> pulverizados no mercado</w:t>
            </w:r>
            <w:r w:rsidR="0099799E" w:rsidRPr="0099799E">
              <w:rPr>
                <w:sz w:val="22"/>
                <w:szCs w:val="22"/>
              </w:rPr>
              <w:t xml:space="preserve">, </w:t>
            </w:r>
            <w:r w:rsidR="00D47660">
              <w:rPr>
                <w:sz w:val="22"/>
                <w:szCs w:val="22"/>
              </w:rPr>
              <w:t xml:space="preserve">o que prejudicaria o controle desta Agência </w:t>
            </w:r>
            <w:r w:rsidR="00D47660">
              <w:rPr>
                <w:sz w:val="22"/>
                <w:szCs w:val="22"/>
              </w:rPr>
              <w:lastRenderedPageBreak/>
              <w:t>Reguladora</w:t>
            </w:r>
            <w:r w:rsidR="00676973" w:rsidRPr="00676973">
              <w:rPr>
                <w:sz w:val="22"/>
                <w:szCs w:val="22"/>
              </w:rPr>
              <w:t>.</w:t>
            </w:r>
          </w:p>
          <w:p w:rsidR="00676973" w:rsidRPr="00264C70" w:rsidRDefault="00676973" w:rsidP="00284D7A">
            <w:pPr>
              <w:jc w:val="both"/>
              <w:rPr>
                <w:sz w:val="22"/>
                <w:szCs w:val="22"/>
              </w:rPr>
            </w:pPr>
          </w:p>
        </w:tc>
      </w:tr>
      <w:tr w:rsidR="00DC2DD1" w:rsidRPr="00013B01" w:rsidTr="00AC6460">
        <w:trPr>
          <w:trHeight w:val="3641"/>
        </w:trPr>
        <w:tc>
          <w:tcPr>
            <w:tcW w:w="689" w:type="pct"/>
            <w:shd w:val="clear" w:color="auto" w:fill="auto"/>
            <w:vAlign w:val="center"/>
          </w:tcPr>
          <w:p w:rsidR="00E938B9" w:rsidRPr="00013B01" w:rsidRDefault="00E938B9" w:rsidP="00284D7A">
            <w:pPr>
              <w:jc w:val="center"/>
              <w:rPr>
                <w:b/>
                <w:sz w:val="22"/>
                <w:szCs w:val="22"/>
              </w:rPr>
            </w:pPr>
            <w:r w:rsidRPr="00013B01">
              <w:rPr>
                <w:b/>
                <w:sz w:val="22"/>
                <w:szCs w:val="22"/>
              </w:rPr>
              <w:lastRenderedPageBreak/>
              <w:t>PETROBRAS</w:t>
            </w:r>
          </w:p>
        </w:tc>
        <w:tc>
          <w:tcPr>
            <w:tcW w:w="399" w:type="pct"/>
            <w:gridSpan w:val="3"/>
            <w:shd w:val="clear" w:color="auto" w:fill="auto"/>
            <w:vAlign w:val="center"/>
          </w:tcPr>
          <w:p w:rsidR="00E938B9" w:rsidRPr="00013B01" w:rsidRDefault="00E938B9" w:rsidP="00284D7A">
            <w:pPr>
              <w:jc w:val="center"/>
              <w:rPr>
                <w:rFonts w:eastAsia="Arial Unicode MS"/>
                <w:bCs/>
                <w:sz w:val="22"/>
                <w:szCs w:val="22"/>
              </w:rPr>
            </w:pPr>
            <w:r w:rsidRPr="00013B01">
              <w:rPr>
                <w:bCs/>
                <w:color w:val="000000"/>
                <w:sz w:val="22"/>
                <w:szCs w:val="22"/>
              </w:rPr>
              <w:t>Art. 4º.</w:t>
            </w:r>
          </w:p>
        </w:tc>
        <w:tc>
          <w:tcPr>
            <w:tcW w:w="1093" w:type="pct"/>
            <w:gridSpan w:val="2"/>
            <w:shd w:val="clear" w:color="auto" w:fill="auto"/>
            <w:vAlign w:val="center"/>
          </w:tcPr>
          <w:p w:rsidR="00E938B9" w:rsidRPr="00013B01" w:rsidRDefault="00E938B9" w:rsidP="00284D7A">
            <w:pPr>
              <w:jc w:val="both"/>
              <w:rPr>
                <w:b/>
                <w:sz w:val="22"/>
                <w:szCs w:val="22"/>
              </w:rPr>
            </w:pPr>
            <w:r w:rsidRPr="00013B01">
              <w:rPr>
                <w:b/>
                <w:sz w:val="22"/>
                <w:szCs w:val="22"/>
              </w:rPr>
              <w:t>Comentário:</w:t>
            </w:r>
          </w:p>
          <w:p w:rsidR="00E938B9" w:rsidRPr="00013B01" w:rsidRDefault="00E938B9" w:rsidP="00284D7A">
            <w:pPr>
              <w:jc w:val="both"/>
              <w:rPr>
                <w:sz w:val="22"/>
                <w:szCs w:val="22"/>
              </w:rPr>
            </w:pPr>
            <w:r w:rsidRPr="00013B01">
              <w:rPr>
                <w:sz w:val="22"/>
                <w:szCs w:val="22"/>
              </w:rPr>
              <w:t>Passa a vigorar com as seguintes alterações:</w:t>
            </w:r>
          </w:p>
          <w:p w:rsidR="00E938B9" w:rsidRPr="00013B01" w:rsidRDefault="00E938B9" w:rsidP="00284D7A">
            <w:pPr>
              <w:jc w:val="both"/>
              <w:rPr>
                <w:sz w:val="22"/>
                <w:szCs w:val="22"/>
              </w:rPr>
            </w:pPr>
          </w:p>
          <w:p w:rsidR="00E938B9" w:rsidRPr="00013B01" w:rsidRDefault="00E938B9" w:rsidP="00284D7A">
            <w:pPr>
              <w:jc w:val="both"/>
              <w:rPr>
                <w:i/>
                <w:sz w:val="22"/>
                <w:szCs w:val="22"/>
              </w:rPr>
            </w:pPr>
            <w:r w:rsidRPr="00013B01">
              <w:rPr>
                <w:i/>
                <w:sz w:val="22"/>
                <w:szCs w:val="22"/>
              </w:rPr>
              <w:t xml:space="preserve">“Art. 14. Fica autorizada a comercialização de óleo diesel B S1800, em todo o território nacional, ao usuário final Grande Consumidor, nos termos da Resolução ANP nº 34, de 1º de novembro de 2007, vinculado à </w:t>
            </w:r>
            <w:r w:rsidRPr="00013B01">
              <w:rPr>
                <w:i/>
                <w:color w:val="0033CC"/>
                <w:sz w:val="22"/>
                <w:szCs w:val="22"/>
                <w:u w:val="single"/>
              </w:rPr>
              <w:t>utilização em veículos e equipamentos dotados de motores Ciclo Diesel nas</w:t>
            </w:r>
            <w:r w:rsidRPr="00013B01">
              <w:rPr>
                <w:i/>
                <w:sz w:val="22"/>
                <w:szCs w:val="22"/>
              </w:rPr>
              <w:t xml:space="preserve"> seguintes atividades econômicas.”</w:t>
            </w:r>
          </w:p>
          <w:p w:rsidR="00E938B9" w:rsidRPr="00013B01" w:rsidRDefault="00E938B9" w:rsidP="00284D7A">
            <w:pPr>
              <w:jc w:val="both"/>
              <w:rPr>
                <w:i/>
                <w:sz w:val="22"/>
                <w:szCs w:val="22"/>
              </w:rPr>
            </w:pPr>
          </w:p>
          <w:p w:rsidR="00E938B9" w:rsidRPr="00013B01" w:rsidRDefault="00E938B9" w:rsidP="00284D7A">
            <w:pPr>
              <w:jc w:val="both"/>
              <w:rPr>
                <w:sz w:val="22"/>
                <w:szCs w:val="22"/>
              </w:rPr>
            </w:pPr>
            <w:r w:rsidRPr="00013B01">
              <w:rPr>
                <w:sz w:val="22"/>
                <w:szCs w:val="22"/>
              </w:rPr>
              <w:t>Inserir  parágrafo  explicitando que, com o fim do Diesel S1800, a partir de 01/01/2014 estes consumidores poderão utilizar o Óleo Diesel Não Rodoviário (Diesel TFM), em alinhamento com a especificação do Diesel TFM.</w:t>
            </w:r>
          </w:p>
        </w:tc>
        <w:tc>
          <w:tcPr>
            <w:tcW w:w="1659" w:type="pct"/>
            <w:gridSpan w:val="5"/>
            <w:shd w:val="clear" w:color="auto" w:fill="auto"/>
            <w:vAlign w:val="center"/>
          </w:tcPr>
          <w:p w:rsidR="00E938B9" w:rsidRPr="00013B01" w:rsidRDefault="00E938B9" w:rsidP="00284D7A">
            <w:pPr>
              <w:jc w:val="both"/>
              <w:rPr>
                <w:rFonts w:eastAsia="Arial Unicode MS"/>
                <w:sz w:val="22"/>
                <w:szCs w:val="22"/>
              </w:rPr>
            </w:pPr>
            <w:r w:rsidRPr="00013B01">
              <w:rPr>
                <w:sz w:val="22"/>
                <w:szCs w:val="22"/>
              </w:rPr>
              <w:t>Adequar o texto ao presente nas Disposições Iniciais da minuta de Resolução ANP para especificação do óleo diesel não rodoviário comercial</w:t>
            </w:r>
            <w:r w:rsidRPr="00013B01">
              <w:rPr>
                <w:rFonts w:eastAsia="Arial Unicode MS"/>
                <w:sz w:val="22"/>
                <w:szCs w:val="22"/>
              </w:rPr>
              <w:t>.</w:t>
            </w:r>
          </w:p>
          <w:p w:rsidR="00E938B9" w:rsidRPr="00013B01" w:rsidRDefault="00E938B9" w:rsidP="00284D7A">
            <w:pPr>
              <w:jc w:val="both"/>
              <w:rPr>
                <w:rFonts w:eastAsia="Arial Unicode MS"/>
                <w:sz w:val="22"/>
                <w:szCs w:val="22"/>
              </w:rPr>
            </w:pPr>
          </w:p>
          <w:p w:rsidR="00E938B9" w:rsidRPr="00013B01" w:rsidRDefault="00E938B9" w:rsidP="00284D7A">
            <w:pPr>
              <w:jc w:val="both"/>
              <w:rPr>
                <w:rFonts w:eastAsia="Arial Unicode MS"/>
                <w:sz w:val="22"/>
                <w:szCs w:val="22"/>
              </w:rPr>
            </w:pPr>
            <w:r w:rsidRPr="00013B01">
              <w:rPr>
                <w:rFonts w:eastAsia="Arial Unicode MS"/>
                <w:sz w:val="22"/>
                <w:szCs w:val="22"/>
              </w:rPr>
              <w:t>Em caso extremo, a falta desta informação, conjugada com a redação do art 4 parag 2 (a partir de 1º de janeiro de 2014, o óleo diesel B S1800 de uso rodoviário deverá ser totalmente substituído pelo óleo diesel B S500) pode dar margem à exigência  do diesel S 500 por estes consumidores.</w:t>
            </w:r>
          </w:p>
        </w:tc>
        <w:tc>
          <w:tcPr>
            <w:tcW w:w="1159" w:type="pct"/>
            <w:gridSpan w:val="2"/>
            <w:shd w:val="clear" w:color="auto" w:fill="auto"/>
            <w:vAlign w:val="center"/>
          </w:tcPr>
          <w:p w:rsidR="00F378DA" w:rsidRDefault="00F378DA" w:rsidP="00284D7A">
            <w:pPr>
              <w:jc w:val="both"/>
              <w:rPr>
                <w:b/>
                <w:sz w:val="22"/>
                <w:szCs w:val="22"/>
              </w:rPr>
            </w:pPr>
          </w:p>
          <w:p w:rsidR="00E938B9" w:rsidRDefault="008105C5" w:rsidP="00284D7A">
            <w:pPr>
              <w:jc w:val="both"/>
              <w:rPr>
                <w:sz w:val="22"/>
                <w:szCs w:val="22"/>
              </w:rPr>
            </w:pPr>
            <w:r>
              <w:rPr>
                <w:b/>
                <w:sz w:val="22"/>
                <w:szCs w:val="22"/>
              </w:rPr>
              <w:t>INCORPORADA PARCIALMENTE</w:t>
            </w:r>
          </w:p>
          <w:p w:rsidR="008105C5" w:rsidRDefault="008105C5" w:rsidP="00284D7A">
            <w:pPr>
              <w:jc w:val="both"/>
              <w:rPr>
                <w:sz w:val="22"/>
                <w:szCs w:val="22"/>
              </w:rPr>
            </w:pPr>
          </w:p>
          <w:p w:rsidR="008105C5" w:rsidRDefault="008105C5" w:rsidP="00284D7A">
            <w:pPr>
              <w:jc w:val="both"/>
              <w:rPr>
                <w:b/>
                <w:sz w:val="22"/>
                <w:szCs w:val="22"/>
              </w:rPr>
            </w:pPr>
            <w:r>
              <w:rPr>
                <w:b/>
                <w:sz w:val="22"/>
                <w:szCs w:val="22"/>
              </w:rPr>
              <w:t>Justificativa:</w:t>
            </w:r>
            <w:r w:rsidR="002B649E">
              <w:rPr>
                <w:b/>
                <w:sz w:val="22"/>
                <w:szCs w:val="22"/>
              </w:rPr>
              <w:t xml:space="preserve"> </w:t>
            </w:r>
          </w:p>
          <w:p w:rsidR="002B649E" w:rsidRDefault="002B649E" w:rsidP="00284D7A">
            <w:pPr>
              <w:jc w:val="both"/>
              <w:rPr>
                <w:b/>
                <w:sz w:val="22"/>
                <w:szCs w:val="22"/>
              </w:rPr>
            </w:pPr>
          </w:p>
          <w:p w:rsidR="002B649E" w:rsidRPr="002B649E" w:rsidRDefault="002B649E" w:rsidP="00284D7A">
            <w:pPr>
              <w:jc w:val="both"/>
              <w:rPr>
                <w:sz w:val="22"/>
                <w:szCs w:val="22"/>
              </w:rPr>
            </w:pPr>
            <w:r w:rsidRPr="002B649E">
              <w:rPr>
                <w:sz w:val="22"/>
                <w:szCs w:val="22"/>
              </w:rPr>
              <w:t xml:space="preserve">Será utilizada </w:t>
            </w:r>
            <w:r w:rsidR="008F6EF3">
              <w:rPr>
                <w:sz w:val="22"/>
                <w:szCs w:val="22"/>
              </w:rPr>
              <w:t>a seguinte redação de modo a alinh</w:t>
            </w:r>
            <w:r w:rsidR="00F62DE9">
              <w:rPr>
                <w:sz w:val="22"/>
                <w:szCs w:val="22"/>
              </w:rPr>
              <w:t>á-la</w:t>
            </w:r>
            <w:r w:rsidR="008F6EF3">
              <w:rPr>
                <w:sz w:val="22"/>
                <w:szCs w:val="22"/>
              </w:rPr>
              <w:t xml:space="preserve"> com a minuta de Resolução objeto da Audiência Pública nº 17/2012:</w:t>
            </w:r>
          </w:p>
          <w:p w:rsidR="002B649E" w:rsidRDefault="002B649E" w:rsidP="00284D7A">
            <w:pPr>
              <w:jc w:val="both"/>
              <w:rPr>
                <w:b/>
                <w:sz w:val="22"/>
                <w:szCs w:val="22"/>
              </w:rPr>
            </w:pPr>
          </w:p>
          <w:p w:rsidR="002B649E" w:rsidRPr="00013B01" w:rsidRDefault="002B649E" w:rsidP="00284D7A">
            <w:pPr>
              <w:jc w:val="both"/>
              <w:rPr>
                <w:i/>
                <w:sz w:val="22"/>
                <w:szCs w:val="22"/>
              </w:rPr>
            </w:pPr>
            <w:r w:rsidRPr="00013B01">
              <w:rPr>
                <w:i/>
                <w:sz w:val="22"/>
                <w:szCs w:val="22"/>
              </w:rPr>
              <w:t xml:space="preserve">“Art. 14. </w:t>
            </w:r>
            <w:r w:rsidR="008F6EF3" w:rsidRPr="00A973B0">
              <w:rPr>
                <w:rFonts w:eastAsia="Arial Unicode MS"/>
                <w:i/>
                <w:sz w:val="22"/>
                <w:szCs w:val="22"/>
              </w:rPr>
              <w:t xml:space="preserve">Fica autorizada a comercialização de óleo diesel B S1800, em todo o território nacional, ao usuário final Grande Consumidor, nos termos do inciso II do art. 2º da Resolução ANP nº 34, de 1º de novembro de 2007 e das disposições da Resolução ANP nº 12, de 21 de março de 2007, </w:t>
            </w:r>
            <w:r w:rsidR="008F6EF3">
              <w:rPr>
                <w:rFonts w:eastAsia="Arial Unicode MS"/>
                <w:i/>
                <w:sz w:val="22"/>
                <w:szCs w:val="22"/>
              </w:rPr>
              <w:t xml:space="preserve">vinculado </w:t>
            </w:r>
            <w:r w:rsidR="00914482">
              <w:rPr>
                <w:rFonts w:eastAsia="Arial Unicode MS"/>
                <w:i/>
                <w:sz w:val="22"/>
                <w:szCs w:val="22"/>
              </w:rPr>
              <w:t>à</w:t>
            </w:r>
            <w:r w:rsidR="008F6EF3" w:rsidRPr="008F6EF3">
              <w:rPr>
                <w:rFonts w:eastAsia="Arial Unicode MS"/>
                <w:i/>
                <w:sz w:val="22"/>
                <w:szCs w:val="22"/>
              </w:rPr>
              <w:t xml:space="preserve"> utilização em veículos e equipamentos relacionados </w:t>
            </w:r>
            <w:r w:rsidR="008F6EF3" w:rsidRPr="00A973B0">
              <w:rPr>
                <w:rFonts w:eastAsia="Arial Unicode MS"/>
                <w:i/>
                <w:sz w:val="22"/>
                <w:szCs w:val="22"/>
              </w:rPr>
              <w:t xml:space="preserve">às </w:t>
            </w:r>
            <w:r w:rsidR="008F6EF3">
              <w:rPr>
                <w:rFonts w:eastAsia="Arial Unicode MS"/>
                <w:i/>
                <w:sz w:val="22"/>
                <w:szCs w:val="22"/>
              </w:rPr>
              <w:t>seguintes atividades econômicas:</w:t>
            </w:r>
            <w:r w:rsidRPr="00013B01">
              <w:rPr>
                <w:i/>
                <w:sz w:val="22"/>
                <w:szCs w:val="22"/>
              </w:rPr>
              <w:t>”</w:t>
            </w:r>
          </w:p>
          <w:p w:rsidR="002B649E" w:rsidRPr="008105C5" w:rsidRDefault="002B649E" w:rsidP="00284D7A">
            <w:pPr>
              <w:jc w:val="both"/>
              <w:rPr>
                <w:sz w:val="22"/>
                <w:szCs w:val="22"/>
              </w:rPr>
            </w:pPr>
          </w:p>
        </w:tc>
      </w:tr>
      <w:tr w:rsidR="00DC2DD1" w:rsidRPr="00E54A8B" w:rsidTr="00AC6460">
        <w:trPr>
          <w:trHeight w:val="7641"/>
        </w:trPr>
        <w:tc>
          <w:tcPr>
            <w:tcW w:w="689" w:type="pct"/>
            <w:shd w:val="clear" w:color="auto" w:fill="FFFFFF"/>
            <w:vAlign w:val="center"/>
          </w:tcPr>
          <w:p w:rsidR="00E938B9" w:rsidRPr="00E54A8B" w:rsidRDefault="00E938B9" w:rsidP="00284D7A">
            <w:pPr>
              <w:jc w:val="center"/>
              <w:rPr>
                <w:b/>
                <w:sz w:val="22"/>
                <w:szCs w:val="22"/>
              </w:rPr>
            </w:pPr>
            <w:r w:rsidRPr="00E54A8B">
              <w:rPr>
                <w:b/>
                <w:sz w:val="22"/>
                <w:szCs w:val="22"/>
              </w:rPr>
              <w:lastRenderedPageBreak/>
              <w:t>SINDICOM</w:t>
            </w:r>
          </w:p>
        </w:tc>
        <w:tc>
          <w:tcPr>
            <w:tcW w:w="399" w:type="pct"/>
            <w:gridSpan w:val="3"/>
            <w:shd w:val="clear" w:color="auto" w:fill="FFFFFF"/>
            <w:vAlign w:val="center"/>
          </w:tcPr>
          <w:p w:rsidR="00E938B9" w:rsidRPr="00E54A8B" w:rsidRDefault="00E938B9" w:rsidP="00284D7A">
            <w:pPr>
              <w:jc w:val="center"/>
              <w:rPr>
                <w:rFonts w:eastAsia="Arial Unicode MS"/>
                <w:bCs/>
                <w:sz w:val="22"/>
                <w:szCs w:val="22"/>
              </w:rPr>
            </w:pPr>
            <w:r w:rsidRPr="00E54A8B">
              <w:rPr>
                <w:bCs/>
                <w:color w:val="000000"/>
                <w:sz w:val="22"/>
                <w:szCs w:val="22"/>
              </w:rPr>
              <w:t>Art. 4º.</w:t>
            </w:r>
          </w:p>
        </w:tc>
        <w:tc>
          <w:tcPr>
            <w:tcW w:w="1093" w:type="pct"/>
            <w:gridSpan w:val="2"/>
            <w:shd w:val="clear" w:color="auto" w:fill="FFFFFF"/>
            <w:vAlign w:val="center"/>
          </w:tcPr>
          <w:p w:rsidR="00F378DA" w:rsidRDefault="00F378DA" w:rsidP="00284D7A">
            <w:pPr>
              <w:jc w:val="both"/>
              <w:rPr>
                <w:b/>
                <w:sz w:val="22"/>
                <w:szCs w:val="22"/>
              </w:rPr>
            </w:pPr>
          </w:p>
          <w:p w:rsidR="00E938B9" w:rsidRPr="00E54A8B" w:rsidRDefault="00E938B9" w:rsidP="00284D7A">
            <w:pPr>
              <w:jc w:val="both"/>
              <w:rPr>
                <w:b/>
                <w:sz w:val="22"/>
                <w:szCs w:val="22"/>
              </w:rPr>
            </w:pPr>
            <w:r w:rsidRPr="00E54A8B">
              <w:rPr>
                <w:b/>
                <w:sz w:val="22"/>
                <w:szCs w:val="22"/>
              </w:rPr>
              <w:t>Comentário:</w:t>
            </w:r>
          </w:p>
          <w:p w:rsidR="00E938B9" w:rsidRPr="00E54A8B" w:rsidRDefault="00E938B9" w:rsidP="00284D7A">
            <w:pPr>
              <w:jc w:val="both"/>
              <w:rPr>
                <w:sz w:val="22"/>
                <w:szCs w:val="22"/>
              </w:rPr>
            </w:pPr>
            <w:r w:rsidRPr="00E54A8B">
              <w:rPr>
                <w:sz w:val="22"/>
                <w:szCs w:val="22"/>
              </w:rPr>
              <w:t>Retirar a limitação do óleo diesel como combustível principal:</w:t>
            </w:r>
          </w:p>
          <w:p w:rsidR="00E938B9" w:rsidRPr="00E54A8B" w:rsidRDefault="00E938B9" w:rsidP="00284D7A">
            <w:pPr>
              <w:jc w:val="both"/>
              <w:rPr>
                <w:sz w:val="22"/>
                <w:szCs w:val="22"/>
              </w:rPr>
            </w:pPr>
          </w:p>
          <w:p w:rsidR="00E938B9" w:rsidRPr="00E54A8B" w:rsidRDefault="00E938B9" w:rsidP="00284D7A">
            <w:pPr>
              <w:jc w:val="both"/>
              <w:rPr>
                <w:i/>
                <w:sz w:val="22"/>
                <w:szCs w:val="22"/>
              </w:rPr>
            </w:pPr>
            <w:r w:rsidRPr="00E54A8B">
              <w:rPr>
                <w:i/>
                <w:sz w:val="22"/>
                <w:szCs w:val="22"/>
              </w:rPr>
              <w:t>“Art. 14 ...................</w:t>
            </w:r>
          </w:p>
          <w:p w:rsidR="00E938B9" w:rsidRPr="00E54A8B" w:rsidRDefault="00E938B9" w:rsidP="00284D7A">
            <w:pPr>
              <w:jc w:val="both"/>
              <w:rPr>
                <w:i/>
                <w:sz w:val="22"/>
                <w:szCs w:val="22"/>
              </w:rPr>
            </w:pPr>
            <w:r w:rsidRPr="00E54A8B">
              <w:rPr>
                <w:i/>
                <w:sz w:val="22"/>
                <w:szCs w:val="22"/>
              </w:rPr>
              <w:t>..........................</w:t>
            </w:r>
          </w:p>
          <w:p w:rsidR="00E938B9" w:rsidRPr="00E54A8B" w:rsidRDefault="00E938B9" w:rsidP="00284D7A">
            <w:pPr>
              <w:jc w:val="both"/>
              <w:rPr>
                <w:sz w:val="22"/>
                <w:szCs w:val="22"/>
              </w:rPr>
            </w:pPr>
            <w:r w:rsidRPr="00E54A8B">
              <w:rPr>
                <w:i/>
                <w:sz w:val="22"/>
                <w:szCs w:val="22"/>
              </w:rPr>
              <w:t>a) Geração de energia elétrica, somente quando o adquirente for outorgado pela ANEEL como Produtor Independente de Energia ou Serviço Público</w:t>
            </w:r>
            <w:r w:rsidRPr="00E54A8B">
              <w:rPr>
                <w:i/>
                <w:strike/>
                <w:color w:val="FF0000"/>
                <w:sz w:val="22"/>
                <w:szCs w:val="22"/>
              </w:rPr>
              <w:t>, e desde que o combustível principal seja o óleo diesel, conforme legislação vigente</w:t>
            </w:r>
            <w:r w:rsidRPr="00E54A8B">
              <w:rPr>
                <w:i/>
                <w:sz w:val="22"/>
                <w:szCs w:val="22"/>
              </w:rPr>
              <w:t>;”</w:t>
            </w:r>
          </w:p>
          <w:p w:rsidR="00E938B9" w:rsidRPr="00E54A8B" w:rsidRDefault="00E938B9" w:rsidP="00284D7A">
            <w:pPr>
              <w:jc w:val="both"/>
              <w:rPr>
                <w:rFonts w:eastAsia="Arial Unicode MS"/>
                <w:sz w:val="22"/>
                <w:szCs w:val="22"/>
              </w:rPr>
            </w:pPr>
          </w:p>
          <w:p w:rsidR="00E938B9" w:rsidRPr="00E54A8B" w:rsidRDefault="00E938B9" w:rsidP="00284D7A">
            <w:pPr>
              <w:jc w:val="both"/>
              <w:rPr>
                <w:rFonts w:eastAsia="Arial Unicode MS"/>
                <w:sz w:val="22"/>
                <w:szCs w:val="22"/>
              </w:rPr>
            </w:pPr>
          </w:p>
          <w:p w:rsidR="00E938B9" w:rsidRPr="00E54A8B" w:rsidRDefault="00E938B9" w:rsidP="00284D7A">
            <w:pPr>
              <w:jc w:val="both"/>
              <w:rPr>
                <w:rFonts w:eastAsia="Arial Unicode MS"/>
                <w:sz w:val="22"/>
                <w:szCs w:val="22"/>
              </w:rPr>
            </w:pPr>
            <w:r w:rsidRPr="00E54A8B">
              <w:rPr>
                <w:rFonts w:eastAsia="Arial Unicode MS"/>
                <w:sz w:val="22"/>
                <w:szCs w:val="22"/>
              </w:rPr>
              <w:t>Inclusão do § 1º - Previsão de fornecimento do diesel S1800 para Autoprodutor.</w:t>
            </w:r>
          </w:p>
          <w:p w:rsidR="00E938B9" w:rsidRPr="00E54A8B" w:rsidRDefault="00E938B9" w:rsidP="00284D7A">
            <w:pPr>
              <w:jc w:val="both"/>
              <w:rPr>
                <w:rFonts w:eastAsia="Arial Unicode MS"/>
                <w:sz w:val="22"/>
                <w:szCs w:val="22"/>
              </w:rPr>
            </w:pPr>
          </w:p>
          <w:p w:rsidR="00E938B9" w:rsidRPr="00E54A8B" w:rsidRDefault="00E938B9" w:rsidP="00284D7A">
            <w:pPr>
              <w:jc w:val="both"/>
              <w:rPr>
                <w:rFonts w:eastAsia="Arial Unicode MS"/>
                <w:color w:val="0000FF"/>
                <w:sz w:val="22"/>
                <w:szCs w:val="22"/>
                <w:u w:val="single"/>
              </w:rPr>
            </w:pPr>
            <w:r w:rsidRPr="00E54A8B">
              <w:rPr>
                <w:rFonts w:eastAsia="Arial Unicode MS"/>
                <w:i/>
                <w:color w:val="0000FF"/>
                <w:sz w:val="22"/>
                <w:szCs w:val="22"/>
                <w:u w:val="single"/>
              </w:rPr>
              <w:t>“§ 1º O Produtor de Energia para Uso Próprio, que comprovem a produção de energia excedente e suficiente para atendimento complementar a outros usuários, poderá utilizar o Óleo Diesel B S 1800, cessando o direito à utilização deste produto, se extintas as causas para o uso do excedente de energia produzido, quando deverá observar o disposto no parágrafo anterior.”</w:t>
            </w:r>
          </w:p>
          <w:p w:rsidR="00E938B9" w:rsidRPr="00E54A8B" w:rsidRDefault="00E938B9" w:rsidP="00284D7A">
            <w:pPr>
              <w:jc w:val="both"/>
              <w:rPr>
                <w:rFonts w:eastAsia="Arial Unicode MS"/>
                <w:color w:val="000000"/>
                <w:sz w:val="22"/>
                <w:szCs w:val="22"/>
              </w:rPr>
            </w:pPr>
          </w:p>
          <w:p w:rsidR="00E938B9" w:rsidRPr="00E54A8B" w:rsidRDefault="00E938B9" w:rsidP="00284D7A">
            <w:pPr>
              <w:jc w:val="both"/>
              <w:rPr>
                <w:rFonts w:eastAsia="Arial Unicode MS"/>
                <w:color w:val="000000"/>
                <w:sz w:val="22"/>
                <w:szCs w:val="22"/>
              </w:rPr>
            </w:pPr>
            <w:r w:rsidRPr="00E54A8B">
              <w:rPr>
                <w:rFonts w:eastAsia="Arial Unicode MS"/>
                <w:color w:val="000000"/>
                <w:sz w:val="22"/>
                <w:szCs w:val="22"/>
              </w:rPr>
              <w:t>Incluir parágrafo.</w:t>
            </w:r>
          </w:p>
          <w:p w:rsidR="00E938B9" w:rsidRPr="00E54A8B" w:rsidRDefault="00E938B9" w:rsidP="00284D7A">
            <w:pPr>
              <w:jc w:val="both"/>
              <w:rPr>
                <w:rFonts w:eastAsia="Arial Unicode MS"/>
                <w:color w:val="000000"/>
                <w:sz w:val="22"/>
                <w:szCs w:val="22"/>
              </w:rPr>
            </w:pPr>
          </w:p>
          <w:p w:rsidR="00E938B9" w:rsidRPr="00E54A8B" w:rsidRDefault="00E938B9" w:rsidP="00284D7A">
            <w:pPr>
              <w:jc w:val="both"/>
              <w:rPr>
                <w:rFonts w:eastAsia="Arial Unicode MS"/>
                <w:color w:val="0000FF"/>
                <w:sz w:val="22"/>
                <w:szCs w:val="22"/>
                <w:u w:val="single"/>
              </w:rPr>
            </w:pPr>
            <w:r w:rsidRPr="00E54A8B">
              <w:rPr>
                <w:rFonts w:eastAsia="Arial Unicode MS"/>
                <w:i/>
                <w:color w:val="0000FF"/>
                <w:sz w:val="22"/>
                <w:szCs w:val="22"/>
                <w:u w:val="single"/>
              </w:rPr>
              <w:t>É permitida a comercialização de S1800, entre distribuidoras, em todo o território nacional, respeitado  o limite estabelecido em regulamentação da ANP.</w:t>
            </w:r>
          </w:p>
        </w:tc>
        <w:tc>
          <w:tcPr>
            <w:tcW w:w="1659" w:type="pct"/>
            <w:gridSpan w:val="5"/>
            <w:shd w:val="clear" w:color="auto" w:fill="FFFFFF"/>
            <w:vAlign w:val="center"/>
          </w:tcPr>
          <w:p w:rsidR="00E938B9" w:rsidRPr="00E54A8B" w:rsidRDefault="00E938B9" w:rsidP="00284D7A">
            <w:pPr>
              <w:jc w:val="both"/>
              <w:rPr>
                <w:rFonts w:eastAsia="Arial Unicode MS"/>
                <w:sz w:val="22"/>
                <w:szCs w:val="22"/>
              </w:rPr>
            </w:pPr>
            <w:r w:rsidRPr="00E54A8B">
              <w:rPr>
                <w:rFonts w:eastAsia="Arial Unicode MS"/>
                <w:sz w:val="22"/>
                <w:szCs w:val="22"/>
              </w:rPr>
              <w:t>O texto original excluiria várias usinas a óleo combustível do SIN cujo ato autorizativo da ANEEL lhes faculta o uso de diesel.</w:t>
            </w:r>
          </w:p>
          <w:p w:rsidR="00E938B9" w:rsidRPr="00E54A8B" w:rsidRDefault="00E938B9" w:rsidP="00284D7A">
            <w:pPr>
              <w:jc w:val="both"/>
              <w:rPr>
                <w:rFonts w:eastAsia="Arial Unicode MS"/>
                <w:sz w:val="22"/>
                <w:szCs w:val="22"/>
              </w:rPr>
            </w:pPr>
          </w:p>
          <w:p w:rsidR="00E938B9" w:rsidRPr="00E54A8B" w:rsidRDefault="00E938B9" w:rsidP="00284D7A">
            <w:pPr>
              <w:jc w:val="both"/>
              <w:rPr>
                <w:rFonts w:eastAsia="Arial Unicode MS"/>
                <w:sz w:val="22"/>
                <w:szCs w:val="22"/>
              </w:rPr>
            </w:pPr>
            <w:r w:rsidRPr="00E54A8B">
              <w:rPr>
                <w:rFonts w:eastAsia="Arial Unicode MS"/>
                <w:sz w:val="22"/>
                <w:szCs w:val="22"/>
              </w:rPr>
              <w:t>Autoprodutor - este agente produz para si próprio, suprindo suas necessidades de energia. Embora não seja um prestador de serviço público , pode, com autorização da ANEEL, comercializar o excedente de energia produzida para outros produtores ou consumidores.</w:t>
            </w:r>
          </w:p>
          <w:p w:rsidR="00E938B9" w:rsidRPr="00E54A8B" w:rsidRDefault="00E938B9" w:rsidP="00284D7A">
            <w:pPr>
              <w:jc w:val="both"/>
              <w:rPr>
                <w:rFonts w:eastAsia="Arial Unicode MS"/>
                <w:sz w:val="22"/>
                <w:szCs w:val="22"/>
              </w:rPr>
            </w:pPr>
          </w:p>
          <w:p w:rsidR="00E938B9" w:rsidRPr="00E54A8B" w:rsidRDefault="00E938B9" w:rsidP="00284D7A">
            <w:pPr>
              <w:jc w:val="both"/>
              <w:rPr>
                <w:rFonts w:eastAsia="Arial Unicode MS"/>
                <w:sz w:val="22"/>
                <w:szCs w:val="22"/>
              </w:rPr>
            </w:pPr>
            <w:r w:rsidRPr="00E54A8B">
              <w:rPr>
                <w:rFonts w:eastAsia="Arial Unicode MS"/>
                <w:sz w:val="22"/>
                <w:szCs w:val="22"/>
              </w:rPr>
              <w:t>Sugerimos a inclusão deste item, em função da possibilidade de comercialização do S1800, da mesma forma que os demais combustíveis, com a finalidade de repor estoques, ou mesmo para suprimento em áreas não metropolitanas ou para térmicas, ferrovias e mineração.</w:t>
            </w:r>
          </w:p>
        </w:tc>
        <w:tc>
          <w:tcPr>
            <w:tcW w:w="1159" w:type="pct"/>
            <w:gridSpan w:val="2"/>
            <w:shd w:val="clear" w:color="auto" w:fill="FFFFFF"/>
            <w:vAlign w:val="center"/>
          </w:tcPr>
          <w:p w:rsidR="00E938B9" w:rsidRDefault="00F27B1B" w:rsidP="00284D7A">
            <w:pPr>
              <w:jc w:val="both"/>
              <w:rPr>
                <w:rFonts w:eastAsia="Arial Unicode MS"/>
                <w:b/>
                <w:sz w:val="22"/>
                <w:szCs w:val="22"/>
              </w:rPr>
            </w:pPr>
            <w:r>
              <w:rPr>
                <w:rFonts w:eastAsia="Arial Unicode MS"/>
                <w:b/>
                <w:sz w:val="22"/>
                <w:szCs w:val="22"/>
              </w:rPr>
              <w:t>INCORPORADA PARCIAL</w:t>
            </w:r>
            <w:r w:rsidR="001357AA">
              <w:rPr>
                <w:rFonts w:eastAsia="Arial Unicode MS"/>
                <w:b/>
                <w:sz w:val="22"/>
                <w:szCs w:val="22"/>
              </w:rPr>
              <w:t>MENTE</w:t>
            </w:r>
          </w:p>
          <w:p w:rsidR="00F27B1B" w:rsidRDefault="00F27B1B" w:rsidP="00284D7A">
            <w:pPr>
              <w:jc w:val="both"/>
              <w:rPr>
                <w:rFonts w:eastAsia="Arial Unicode MS"/>
                <w:b/>
                <w:sz w:val="22"/>
                <w:szCs w:val="22"/>
              </w:rPr>
            </w:pPr>
          </w:p>
          <w:p w:rsidR="00F27B1B" w:rsidRDefault="00F27B1B" w:rsidP="00284D7A">
            <w:pPr>
              <w:jc w:val="both"/>
              <w:rPr>
                <w:rFonts w:eastAsia="Arial Unicode MS"/>
                <w:sz w:val="22"/>
                <w:szCs w:val="22"/>
              </w:rPr>
            </w:pPr>
            <w:r>
              <w:rPr>
                <w:rFonts w:eastAsia="Arial Unicode MS"/>
                <w:b/>
                <w:sz w:val="22"/>
                <w:szCs w:val="22"/>
              </w:rPr>
              <w:t>Justificativa:</w:t>
            </w:r>
          </w:p>
          <w:p w:rsidR="00CD71F4" w:rsidRPr="00A32276" w:rsidRDefault="00CD71F4" w:rsidP="00284D7A">
            <w:pPr>
              <w:jc w:val="both"/>
              <w:rPr>
                <w:rFonts w:eastAsia="Arial Unicode MS"/>
                <w:sz w:val="22"/>
                <w:szCs w:val="22"/>
              </w:rPr>
            </w:pPr>
            <w:r w:rsidRPr="00A32276">
              <w:rPr>
                <w:rFonts w:eastAsia="Arial Unicode MS"/>
                <w:sz w:val="22"/>
                <w:szCs w:val="22"/>
              </w:rPr>
              <w:t>Para maior clareza do texto, a alínea “a” passa a ter seguinte redação:</w:t>
            </w:r>
          </w:p>
          <w:p w:rsidR="00CD71F4" w:rsidRPr="00A32276" w:rsidRDefault="00CD71F4" w:rsidP="00284D7A">
            <w:pPr>
              <w:jc w:val="both"/>
              <w:rPr>
                <w:rFonts w:eastAsia="Arial Unicode MS"/>
                <w:sz w:val="22"/>
                <w:szCs w:val="22"/>
              </w:rPr>
            </w:pPr>
          </w:p>
          <w:p w:rsidR="00F27B1B" w:rsidRDefault="00CD71F4" w:rsidP="00284D7A">
            <w:pPr>
              <w:jc w:val="both"/>
              <w:rPr>
                <w:rFonts w:eastAsia="Arial Unicode MS"/>
                <w:sz w:val="22"/>
                <w:szCs w:val="22"/>
              </w:rPr>
            </w:pPr>
            <w:r w:rsidRPr="00A32276">
              <w:rPr>
                <w:rFonts w:eastAsia="Arial Unicode MS"/>
                <w:sz w:val="22"/>
                <w:szCs w:val="22"/>
              </w:rPr>
              <w:t xml:space="preserve"> “a) Geração de energia elétrica, somente quando o adquirente for outorgado pela ANEEL como Produtor Independente de Energia ou Serviço Público</w:t>
            </w:r>
            <w:r w:rsidRPr="00D46659">
              <w:rPr>
                <w:rFonts w:eastAsia="Arial Unicode MS"/>
                <w:sz w:val="22"/>
                <w:szCs w:val="22"/>
              </w:rPr>
              <w:t>, conforme legislação vigente</w:t>
            </w:r>
            <w:r w:rsidRPr="00A32276">
              <w:rPr>
                <w:rFonts w:eastAsia="Arial Unicode MS"/>
                <w:sz w:val="22"/>
                <w:szCs w:val="22"/>
              </w:rPr>
              <w:t>, e desde que o combustível seja o óleo diesel.”</w:t>
            </w:r>
          </w:p>
          <w:p w:rsidR="00D46659" w:rsidRDefault="00D46659" w:rsidP="00284D7A">
            <w:pPr>
              <w:jc w:val="both"/>
              <w:rPr>
                <w:rFonts w:eastAsia="Arial Unicode MS"/>
                <w:sz w:val="22"/>
                <w:szCs w:val="22"/>
              </w:rPr>
            </w:pPr>
          </w:p>
          <w:p w:rsidR="001357AA" w:rsidRPr="00F27B1B" w:rsidRDefault="001357AA" w:rsidP="001357AA">
            <w:pPr>
              <w:jc w:val="both"/>
              <w:rPr>
                <w:rFonts w:eastAsia="Arial Unicode MS"/>
                <w:sz w:val="22"/>
                <w:szCs w:val="22"/>
              </w:rPr>
            </w:pPr>
            <w:r>
              <w:rPr>
                <w:sz w:val="22"/>
                <w:szCs w:val="22"/>
              </w:rPr>
              <w:t xml:space="preserve">A sugestão de inclusão do </w:t>
            </w:r>
            <w:r>
              <w:rPr>
                <w:rFonts w:eastAsia="Arial Unicode MS"/>
                <w:sz w:val="22"/>
                <w:szCs w:val="22"/>
              </w:rPr>
              <w:t xml:space="preserve">§ 1º não foi incorporada, pois </w:t>
            </w:r>
            <w:r>
              <w:rPr>
                <w:sz w:val="22"/>
                <w:szCs w:val="22"/>
              </w:rPr>
              <w:t>n</w:t>
            </w:r>
            <w:r w:rsidRPr="00394E43">
              <w:rPr>
                <w:sz w:val="22"/>
                <w:szCs w:val="22"/>
              </w:rPr>
              <w:t xml:space="preserve">ão </w:t>
            </w:r>
            <w:r>
              <w:rPr>
                <w:sz w:val="22"/>
                <w:szCs w:val="22"/>
              </w:rPr>
              <w:t xml:space="preserve">há </w:t>
            </w:r>
            <w:r w:rsidRPr="00394E43">
              <w:rPr>
                <w:sz w:val="22"/>
                <w:szCs w:val="22"/>
              </w:rPr>
              <w:t>mecanismos de controle para saber quando há produção de energia excedente</w:t>
            </w:r>
            <w:r w:rsidR="00F62DE9">
              <w:rPr>
                <w:sz w:val="22"/>
                <w:szCs w:val="22"/>
              </w:rPr>
              <w:t>,</w:t>
            </w:r>
            <w:r>
              <w:rPr>
                <w:sz w:val="22"/>
                <w:szCs w:val="22"/>
              </w:rPr>
              <w:t xml:space="preserve"> uma vez que</w:t>
            </w:r>
            <w:r w:rsidRPr="00394E43">
              <w:rPr>
                <w:sz w:val="22"/>
                <w:szCs w:val="22"/>
              </w:rPr>
              <w:t xml:space="preserve"> </w:t>
            </w:r>
            <w:r>
              <w:rPr>
                <w:rFonts w:eastAsia="Arial Unicode MS"/>
                <w:sz w:val="22"/>
                <w:szCs w:val="22"/>
              </w:rPr>
              <w:t>o</w:t>
            </w:r>
            <w:r w:rsidRPr="00394E43">
              <w:rPr>
                <w:sz w:val="22"/>
                <w:szCs w:val="22"/>
              </w:rPr>
              <w:t xml:space="preserve"> produtor de Energia para Uso Próprio tem como finalidade principal o consumo da energia gerada. Além disso, como já elucidado na Nota Técnica nº 84/2012/SBQ, para evitar que o óleo diesel S1800 seja destinado indevidamente para o uso rodoviário, a regulamentação proíbe a sua comercialização em setores pulverizados do mercado e de difícil controle fiscalizatório.</w:t>
            </w:r>
          </w:p>
        </w:tc>
      </w:tr>
      <w:tr w:rsidR="00DC2DD1" w:rsidTr="00AC6460">
        <w:trPr>
          <w:trHeight w:val="2688"/>
        </w:trPr>
        <w:tc>
          <w:tcPr>
            <w:tcW w:w="689" w:type="pct"/>
            <w:shd w:val="clear" w:color="auto" w:fill="FFFFFF"/>
            <w:vAlign w:val="center"/>
          </w:tcPr>
          <w:p w:rsidR="00E938B9" w:rsidRPr="00D02D8C" w:rsidRDefault="00E938B9" w:rsidP="00284D7A">
            <w:pPr>
              <w:jc w:val="center"/>
              <w:rPr>
                <w:b/>
                <w:sz w:val="22"/>
                <w:szCs w:val="22"/>
              </w:rPr>
            </w:pPr>
            <w:r w:rsidRPr="00D02D8C">
              <w:rPr>
                <w:b/>
                <w:sz w:val="22"/>
                <w:szCs w:val="22"/>
              </w:rPr>
              <w:lastRenderedPageBreak/>
              <w:t>AEA</w:t>
            </w:r>
          </w:p>
        </w:tc>
        <w:tc>
          <w:tcPr>
            <w:tcW w:w="399" w:type="pct"/>
            <w:gridSpan w:val="3"/>
            <w:shd w:val="clear" w:color="auto" w:fill="FFFFFF"/>
            <w:vAlign w:val="center"/>
          </w:tcPr>
          <w:p w:rsidR="00E938B9" w:rsidRPr="00D02D8C" w:rsidRDefault="00E938B9" w:rsidP="00284D7A">
            <w:pPr>
              <w:jc w:val="center"/>
              <w:rPr>
                <w:rFonts w:eastAsia="Arial Unicode MS"/>
                <w:bCs/>
                <w:sz w:val="22"/>
                <w:szCs w:val="22"/>
              </w:rPr>
            </w:pPr>
            <w:r w:rsidRPr="00D02D8C">
              <w:rPr>
                <w:bCs/>
                <w:color w:val="000000"/>
                <w:sz w:val="22"/>
                <w:szCs w:val="22"/>
              </w:rPr>
              <w:t>Art. 5º.</w:t>
            </w:r>
          </w:p>
        </w:tc>
        <w:tc>
          <w:tcPr>
            <w:tcW w:w="1093" w:type="pct"/>
            <w:gridSpan w:val="2"/>
            <w:shd w:val="clear" w:color="auto" w:fill="FFFFFF"/>
            <w:vAlign w:val="center"/>
          </w:tcPr>
          <w:p w:rsidR="00E938B9" w:rsidRPr="00D02D8C" w:rsidRDefault="00E938B9" w:rsidP="00284D7A">
            <w:pPr>
              <w:jc w:val="both"/>
              <w:rPr>
                <w:b/>
                <w:sz w:val="22"/>
                <w:szCs w:val="22"/>
              </w:rPr>
            </w:pPr>
            <w:r w:rsidRPr="00D02D8C">
              <w:rPr>
                <w:b/>
                <w:sz w:val="22"/>
                <w:szCs w:val="22"/>
              </w:rPr>
              <w:t>Comentário:</w:t>
            </w:r>
          </w:p>
          <w:p w:rsidR="00E938B9" w:rsidRPr="00D02D8C" w:rsidRDefault="00E938B9" w:rsidP="00284D7A">
            <w:pPr>
              <w:jc w:val="both"/>
              <w:rPr>
                <w:sz w:val="22"/>
                <w:szCs w:val="22"/>
              </w:rPr>
            </w:pPr>
            <w:r w:rsidRPr="00D02D8C">
              <w:rPr>
                <w:sz w:val="22"/>
                <w:szCs w:val="22"/>
              </w:rPr>
              <w:t>Incluir no texto o termo “Construção”:</w:t>
            </w:r>
          </w:p>
          <w:p w:rsidR="00E938B9" w:rsidRPr="00D02D8C" w:rsidRDefault="00E938B9" w:rsidP="00284D7A">
            <w:pPr>
              <w:jc w:val="both"/>
              <w:rPr>
                <w:sz w:val="22"/>
                <w:szCs w:val="22"/>
              </w:rPr>
            </w:pPr>
          </w:p>
          <w:p w:rsidR="00E938B9" w:rsidRPr="00D02D8C" w:rsidRDefault="00E938B9" w:rsidP="00284D7A">
            <w:pPr>
              <w:jc w:val="both"/>
              <w:rPr>
                <w:sz w:val="22"/>
                <w:szCs w:val="22"/>
              </w:rPr>
            </w:pPr>
            <w:r w:rsidRPr="00D02D8C">
              <w:rPr>
                <w:i/>
                <w:sz w:val="22"/>
                <w:szCs w:val="22"/>
              </w:rPr>
              <w:t>“Art. 14A. A comercialização aos segmentos agrícola</w:t>
            </w:r>
            <w:r w:rsidRPr="00D02D8C">
              <w:rPr>
                <w:i/>
                <w:color w:val="0033CC"/>
                <w:sz w:val="22"/>
                <w:szCs w:val="22"/>
                <w:u w:val="single"/>
              </w:rPr>
              <w:t>; de construção</w:t>
            </w:r>
            <w:r w:rsidRPr="00D02D8C">
              <w:rPr>
                <w:i/>
                <w:sz w:val="22"/>
                <w:szCs w:val="22"/>
              </w:rPr>
              <w:t xml:space="preserve"> e insdustrial, respeitará as regras estabelecidas quanto ao tipo de óleo diesel B S10 e B S500, descritos nos ANEXOS I e II desta Resolução;” </w:t>
            </w:r>
          </w:p>
          <w:p w:rsidR="00E938B9" w:rsidRPr="00D02D8C" w:rsidRDefault="00E938B9" w:rsidP="00284D7A">
            <w:pPr>
              <w:jc w:val="both"/>
              <w:rPr>
                <w:rFonts w:eastAsia="Arial Unicode MS"/>
                <w:sz w:val="22"/>
                <w:szCs w:val="22"/>
              </w:rPr>
            </w:pPr>
          </w:p>
        </w:tc>
        <w:tc>
          <w:tcPr>
            <w:tcW w:w="1659" w:type="pct"/>
            <w:gridSpan w:val="5"/>
            <w:shd w:val="clear" w:color="auto" w:fill="FFFFFF"/>
            <w:vAlign w:val="center"/>
          </w:tcPr>
          <w:p w:rsidR="00E938B9" w:rsidRPr="00F74C0E" w:rsidRDefault="00E938B9" w:rsidP="00284D7A">
            <w:pPr>
              <w:jc w:val="both"/>
              <w:rPr>
                <w:rFonts w:eastAsia="Arial Unicode MS"/>
                <w:sz w:val="22"/>
                <w:szCs w:val="22"/>
              </w:rPr>
            </w:pPr>
            <w:r w:rsidRPr="00D02D8C">
              <w:rPr>
                <w:sz w:val="22"/>
                <w:szCs w:val="22"/>
              </w:rPr>
              <w:t>Melhor definição do segmento no que se refere a máquinas como equipamentos de construção.</w:t>
            </w:r>
          </w:p>
        </w:tc>
        <w:tc>
          <w:tcPr>
            <w:tcW w:w="1159" w:type="pct"/>
            <w:gridSpan w:val="2"/>
            <w:shd w:val="clear" w:color="auto" w:fill="FFFFFF"/>
            <w:vAlign w:val="center"/>
          </w:tcPr>
          <w:p w:rsidR="00E938B9" w:rsidRPr="00794D22" w:rsidRDefault="00794D22" w:rsidP="00284D7A">
            <w:pPr>
              <w:jc w:val="both"/>
              <w:rPr>
                <w:b/>
                <w:sz w:val="22"/>
                <w:szCs w:val="22"/>
              </w:rPr>
            </w:pPr>
            <w:r>
              <w:rPr>
                <w:b/>
                <w:sz w:val="22"/>
                <w:szCs w:val="22"/>
              </w:rPr>
              <w:t>INCORPORADA</w:t>
            </w:r>
          </w:p>
        </w:tc>
      </w:tr>
      <w:tr w:rsidR="000A1506" w:rsidRPr="00C55FC3" w:rsidTr="00AC6460">
        <w:trPr>
          <w:trHeight w:val="547"/>
        </w:trPr>
        <w:tc>
          <w:tcPr>
            <w:tcW w:w="5000" w:type="pct"/>
            <w:gridSpan w:val="13"/>
            <w:shd w:val="clear" w:color="auto" w:fill="FFFFCC"/>
            <w:vAlign w:val="center"/>
          </w:tcPr>
          <w:p w:rsidR="00E938B9" w:rsidRDefault="00E938B9" w:rsidP="008E5DB4">
            <w:pPr>
              <w:jc w:val="center"/>
              <w:rPr>
                <w:b/>
                <w:sz w:val="24"/>
                <w:szCs w:val="24"/>
                <w:u w:val="single"/>
              </w:rPr>
            </w:pPr>
            <w:r>
              <w:rPr>
                <w:b/>
                <w:sz w:val="24"/>
                <w:szCs w:val="24"/>
                <w:u w:val="single"/>
              </w:rPr>
              <w:t>PERÍODO DE TRANSIÇÃO</w:t>
            </w:r>
          </w:p>
        </w:tc>
      </w:tr>
      <w:tr w:rsidR="000A1506" w:rsidTr="00AC6460">
        <w:trPr>
          <w:trHeight w:val="4725"/>
        </w:trPr>
        <w:tc>
          <w:tcPr>
            <w:tcW w:w="689" w:type="pct"/>
            <w:shd w:val="clear" w:color="auto" w:fill="FFFFFF"/>
            <w:vAlign w:val="center"/>
          </w:tcPr>
          <w:p w:rsidR="00E938B9" w:rsidRPr="00C21068" w:rsidRDefault="00E938B9" w:rsidP="00284D7A">
            <w:pPr>
              <w:jc w:val="center"/>
              <w:rPr>
                <w:b/>
                <w:sz w:val="22"/>
                <w:szCs w:val="22"/>
              </w:rPr>
            </w:pPr>
            <w:r w:rsidRPr="00C21068">
              <w:rPr>
                <w:b/>
                <w:sz w:val="22"/>
                <w:szCs w:val="22"/>
              </w:rPr>
              <w:t>AEA</w:t>
            </w:r>
          </w:p>
        </w:tc>
        <w:tc>
          <w:tcPr>
            <w:tcW w:w="391" w:type="pct"/>
            <w:shd w:val="clear" w:color="auto" w:fill="FFFFFF"/>
            <w:vAlign w:val="center"/>
          </w:tcPr>
          <w:p w:rsidR="00E938B9" w:rsidRPr="00C21068" w:rsidRDefault="00E938B9" w:rsidP="00284D7A">
            <w:pPr>
              <w:jc w:val="center"/>
              <w:rPr>
                <w:rFonts w:eastAsia="Arial Unicode MS"/>
                <w:bCs/>
                <w:sz w:val="22"/>
                <w:szCs w:val="22"/>
              </w:rPr>
            </w:pPr>
            <w:r w:rsidRPr="00C21068">
              <w:rPr>
                <w:bCs/>
                <w:color w:val="000000"/>
                <w:sz w:val="22"/>
                <w:szCs w:val="22"/>
              </w:rPr>
              <w:t>Art. 5º.</w:t>
            </w:r>
          </w:p>
        </w:tc>
        <w:tc>
          <w:tcPr>
            <w:tcW w:w="1130" w:type="pct"/>
            <w:gridSpan w:val="5"/>
            <w:shd w:val="clear" w:color="auto" w:fill="FFFFFF"/>
            <w:vAlign w:val="center"/>
          </w:tcPr>
          <w:p w:rsidR="00E938B9" w:rsidRPr="00C21068" w:rsidRDefault="00E938B9" w:rsidP="00284D7A">
            <w:pPr>
              <w:jc w:val="both"/>
              <w:rPr>
                <w:b/>
                <w:sz w:val="22"/>
                <w:szCs w:val="22"/>
              </w:rPr>
            </w:pPr>
            <w:r w:rsidRPr="00C21068">
              <w:rPr>
                <w:b/>
                <w:sz w:val="22"/>
                <w:szCs w:val="22"/>
              </w:rPr>
              <w:t>Comentário:</w:t>
            </w:r>
          </w:p>
          <w:p w:rsidR="00E938B9" w:rsidRPr="00C21068" w:rsidRDefault="00E938B9" w:rsidP="00284D7A">
            <w:pPr>
              <w:jc w:val="both"/>
              <w:rPr>
                <w:sz w:val="22"/>
                <w:szCs w:val="22"/>
              </w:rPr>
            </w:pPr>
            <w:r w:rsidRPr="00C21068">
              <w:rPr>
                <w:sz w:val="22"/>
                <w:szCs w:val="22"/>
              </w:rPr>
              <w:t>Incluir no texto a palavra “até”conforme segue:</w:t>
            </w:r>
          </w:p>
          <w:p w:rsidR="00E938B9" w:rsidRPr="00C21068" w:rsidRDefault="00E938B9" w:rsidP="00284D7A">
            <w:pPr>
              <w:jc w:val="both"/>
              <w:rPr>
                <w:sz w:val="22"/>
                <w:szCs w:val="22"/>
              </w:rPr>
            </w:pPr>
          </w:p>
          <w:p w:rsidR="00E938B9" w:rsidRPr="00C21068" w:rsidRDefault="00E938B9" w:rsidP="00284D7A">
            <w:pPr>
              <w:jc w:val="both"/>
              <w:rPr>
                <w:i/>
                <w:sz w:val="22"/>
                <w:szCs w:val="22"/>
              </w:rPr>
            </w:pPr>
            <w:r w:rsidRPr="00C21068">
              <w:rPr>
                <w:i/>
                <w:sz w:val="22"/>
                <w:szCs w:val="22"/>
              </w:rPr>
              <w:t>“Art. 15A. .................</w:t>
            </w:r>
          </w:p>
          <w:p w:rsidR="00E938B9" w:rsidRPr="00C21068" w:rsidRDefault="00E938B9" w:rsidP="00284D7A">
            <w:pPr>
              <w:jc w:val="both"/>
              <w:rPr>
                <w:i/>
                <w:sz w:val="22"/>
                <w:szCs w:val="22"/>
              </w:rPr>
            </w:pPr>
            <w:r w:rsidRPr="00C21068">
              <w:rPr>
                <w:i/>
                <w:sz w:val="22"/>
                <w:szCs w:val="22"/>
              </w:rPr>
              <w:t>........................</w:t>
            </w:r>
          </w:p>
          <w:p w:rsidR="00E938B9" w:rsidRPr="00C21068" w:rsidRDefault="00E938B9" w:rsidP="00284D7A">
            <w:pPr>
              <w:jc w:val="both"/>
              <w:rPr>
                <w:i/>
                <w:sz w:val="22"/>
                <w:szCs w:val="22"/>
              </w:rPr>
            </w:pPr>
            <w:r w:rsidRPr="00C21068">
              <w:rPr>
                <w:i/>
                <w:sz w:val="22"/>
                <w:szCs w:val="22"/>
              </w:rPr>
              <w:t xml:space="preserve">I - Na distribuição: </w:t>
            </w:r>
            <w:r w:rsidRPr="00C21068">
              <w:rPr>
                <w:i/>
                <w:color w:val="0033CC"/>
                <w:sz w:val="22"/>
                <w:szCs w:val="22"/>
                <w:u w:val="single"/>
              </w:rPr>
              <w:t xml:space="preserve">até </w:t>
            </w:r>
            <w:r w:rsidRPr="00C21068">
              <w:rPr>
                <w:i/>
                <w:sz w:val="22"/>
                <w:szCs w:val="22"/>
              </w:rPr>
              <w:t>60 dias após a data da entrada em vigor do óleo diesel B S10;</w:t>
            </w:r>
          </w:p>
          <w:p w:rsidR="00E938B9" w:rsidRPr="00C21068" w:rsidRDefault="00E938B9" w:rsidP="00284D7A">
            <w:pPr>
              <w:jc w:val="both"/>
              <w:rPr>
                <w:sz w:val="22"/>
                <w:szCs w:val="22"/>
              </w:rPr>
            </w:pPr>
            <w:r w:rsidRPr="00C21068">
              <w:rPr>
                <w:i/>
                <w:sz w:val="22"/>
                <w:szCs w:val="22"/>
              </w:rPr>
              <w:t xml:space="preserve">II - Na revenda: </w:t>
            </w:r>
            <w:r w:rsidRPr="00C21068">
              <w:rPr>
                <w:i/>
                <w:color w:val="0033CC"/>
                <w:sz w:val="22"/>
                <w:szCs w:val="22"/>
                <w:u w:val="single"/>
              </w:rPr>
              <w:t xml:space="preserve">até </w:t>
            </w:r>
            <w:r w:rsidRPr="00C21068">
              <w:rPr>
                <w:i/>
                <w:sz w:val="22"/>
                <w:szCs w:val="22"/>
              </w:rPr>
              <w:t>90 dias após a data da entrada em vigor do óleo diesel B S10.”</w:t>
            </w:r>
          </w:p>
        </w:tc>
        <w:tc>
          <w:tcPr>
            <w:tcW w:w="1618" w:type="pct"/>
            <w:shd w:val="clear" w:color="auto" w:fill="FFFFFF"/>
            <w:vAlign w:val="center"/>
          </w:tcPr>
          <w:p w:rsidR="00E938B9" w:rsidRPr="00F74C0E" w:rsidRDefault="00E938B9" w:rsidP="00284D7A">
            <w:pPr>
              <w:jc w:val="both"/>
              <w:rPr>
                <w:rFonts w:eastAsia="Arial Unicode MS"/>
                <w:sz w:val="22"/>
                <w:szCs w:val="22"/>
              </w:rPr>
            </w:pPr>
            <w:r w:rsidRPr="00C21068">
              <w:rPr>
                <w:sz w:val="22"/>
                <w:szCs w:val="22"/>
              </w:rPr>
              <w:t>Para maior clareza do período de exceção.</w:t>
            </w:r>
          </w:p>
        </w:tc>
        <w:tc>
          <w:tcPr>
            <w:tcW w:w="1172" w:type="pct"/>
            <w:gridSpan w:val="5"/>
            <w:shd w:val="clear" w:color="auto" w:fill="FFFFFF"/>
            <w:vAlign w:val="center"/>
          </w:tcPr>
          <w:p w:rsidR="00E938B9" w:rsidRDefault="00396DF5" w:rsidP="00284D7A">
            <w:pPr>
              <w:jc w:val="both"/>
              <w:rPr>
                <w:b/>
                <w:sz w:val="22"/>
                <w:szCs w:val="22"/>
              </w:rPr>
            </w:pPr>
            <w:r>
              <w:rPr>
                <w:b/>
                <w:sz w:val="22"/>
                <w:szCs w:val="22"/>
              </w:rPr>
              <w:t>NÃO INCORPORADA</w:t>
            </w:r>
          </w:p>
          <w:p w:rsidR="00396DF5" w:rsidRDefault="00396DF5" w:rsidP="00284D7A">
            <w:pPr>
              <w:jc w:val="both"/>
              <w:rPr>
                <w:b/>
                <w:sz w:val="22"/>
                <w:szCs w:val="22"/>
              </w:rPr>
            </w:pPr>
          </w:p>
          <w:p w:rsidR="00396DF5" w:rsidRDefault="00396DF5" w:rsidP="00284D7A">
            <w:pPr>
              <w:jc w:val="both"/>
              <w:rPr>
                <w:sz w:val="22"/>
                <w:szCs w:val="22"/>
              </w:rPr>
            </w:pPr>
            <w:r>
              <w:rPr>
                <w:b/>
                <w:sz w:val="22"/>
                <w:szCs w:val="22"/>
              </w:rPr>
              <w:t>Justificativa:</w:t>
            </w:r>
          </w:p>
          <w:p w:rsidR="0062263D" w:rsidRDefault="0062263D" w:rsidP="00284D7A">
            <w:pPr>
              <w:jc w:val="both"/>
              <w:rPr>
                <w:sz w:val="22"/>
                <w:szCs w:val="22"/>
              </w:rPr>
            </w:pPr>
            <w:r w:rsidRPr="0062263D">
              <w:rPr>
                <w:sz w:val="22"/>
                <w:szCs w:val="22"/>
              </w:rPr>
              <w:t xml:space="preserve">O texto conforme descrito nos incisos I e II </w:t>
            </w:r>
            <w:r>
              <w:rPr>
                <w:sz w:val="22"/>
                <w:szCs w:val="22"/>
              </w:rPr>
              <w:t xml:space="preserve">está claro quanto </w:t>
            </w:r>
            <w:r w:rsidR="00612A0A">
              <w:rPr>
                <w:sz w:val="22"/>
                <w:szCs w:val="22"/>
              </w:rPr>
              <w:t>à</w:t>
            </w:r>
            <w:r>
              <w:rPr>
                <w:sz w:val="22"/>
                <w:szCs w:val="22"/>
              </w:rPr>
              <w:t xml:space="preserve"> indicação de que as autuações por não conformidade, nas características indicadas, </w:t>
            </w:r>
            <w:r w:rsidR="00990709">
              <w:rPr>
                <w:sz w:val="22"/>
                <w:szCs w:val="22"/>
              </w:rPr>
              <w:t>soment</w:t>
            </w:r>
            <w:r w:rsidR="0022068F">
              <w:rPr>
                <w:sz w:val="22"/>
                <w:szCs w:val="22"/>
              </w:rPr>
              <w:t xml:space="preserve">e poderão ocorrer </w:t>
            </w:r>
            <w:r w:rsidR="00571D8B">
              <w:rPr>
                <w:sz w:val="22"/>
                <w:szCs w:val="22"/>
              </w:rPr>
              <w:t xml:space="preserve">após </w:t>
            </w:r>
            <w:r w:rsidR="0022068F">
              <w:rPr>
                <w:sz w:val="22"/>
                <w:szCs w:val="22"/>
              </w:rPr>
              <w:t>os períodos considerados</w:t>
            </w:r>
            <w:r w:rsidR="00990709">
              <w:rPr>
                <w:sz w:val="22"/>
                <w:szCs w:val="22"/>
              </w:rPr>
              <w:t xml:space="preserve">. </w:t>
            </w:r>
          </w:p>
          <w:p w:rsidR="0062263D" w:rsidRDefault="0062263D" w:rsidP="00284D7A">
            <w:pPr>
              <w:jc w:val="both"/>
              <w:rPr>
                <w:sz w:val="22"/>
                <w:szCs w:val="22"/>
              </w:rPr>
            </w:pPr>
          </w:p>
          <w:p w:rsidR="00396DF5" w:rsidRPr="00396DF5" w:rsidRDefault="0022068F" w:rsidP="00F62DE9">
            <w:pPr>
              <w:jc w:val="both"/>
              <w:rPr>
                <w:sz w:val="22"/>
                <w:szCs w:val="22"/>
              </w:rPr>
            </w:pPr>
            <w:r>
              <w:rPr>
                <w:sz w:val="22"/>
                <w:szCs w:val="22"/>
              </w:rPr>
              <w:t>Vale ressaltar que tal redação foi utilizada pela ANP quando da substituição do óleo diesel S1800 pelo S500 que ocorre</w:t>
            </w:r>
            <w:r w:rsidR="00F62DE9">
              <w:rPr>
                <w:sz w:val="22"/>
                <w:szCs w:val="22"/>
              </w:rPr>
              <w:t>u</w:t>
            </w:r>
            <w:r>
              <w:rPr>
                <w:sz w:val="22"/>
                <w:szCs w:val="22"/>
              </w:rPr>
              <w:t xml:space="preserve"> no primeiro semestre de 2012 e da migração do corante vermelho para o óleo diesel S500.</w:t>
            </w:r>
          </w:p>
        </w:tc>
      </w:tr>
      <w:tr w:rsidR="00F90453" w:rsidRPr="003A0AA1" w:rsidTr="00AC6460">
        <w:trPr>
          <w:trHeight w:val="8215"/>
        </w:trPr>
        <w:tc>
          <w:tcPr>
            <w:tcW w:w="689" w:type="pct"/>
            <w:shd w:val="clear" w:color="auto" w:fill="FFFFFF"/>
            <w:vAlign w:val="center"/>
          </w:tcPr>
          <w:p w:rsidR="00F90453" w:rsidRPr="003A0AA1" w:rsidRDefault="00F90453" w:rsidP="00284D7A">
            <w:pPr>
              <w:jc w:val="center"/>
              <w:rPr>
                <w:b/>
                <w:sz w:val="22"/>
                <w:szCs w:val="22"/>
              </w:rPr>
            </w:pPr>
            <w:r w:rsidRPr="003A0AA1">
              <w:rPr>
                <w:b/>
                <w:sz w:val="22"/>
                <w:szCs w:val="22"/>
              </w:rPr>
              <w:lastRenderedPageBreak/>
              <w:t>FECOMBUSTÍVEIS</w:t>
            </w:r>
          </w:p>
        </w:tc>
        <w:tc>
          <w:tcPr>
            <w:tcW w:w="391" w:type="pct"/>
            <w:shd w:val="clear" w:color="auto" w:fill="FFFFFF"/>
            <w:vAlign w:val="center"/>
          </w:tcPr>
          <w:p w:rsidR="00F90453" w:rsidRPr="003A0AA1" w:rsidRDefault="00F90453" w:rsidP="00284D7A">
            <w:pPr>
              <w:jc w:val="center"/>
              <w:rPr>
                <w:rFonts w:eastAsia="Arial Unicode MS"/>
                <w:bCs/>
                <w:sz w:val="22"/>
                <w:szCs w:val="22"/>
              </w:rPr>
            </w:pPr>
            <w:r w:rsidRPr="003A0AA1">
              <w:rPr>
                <w:bCs/>
                <w:color w:val="000000"/>
                <w:sz w:val="22"/>
                <w:szCs w:val="22"/>
              </w:rPr>
              <w:t>Art. 5º.</w:t>
            </w:r>
          </w:p>
        </w:tc>
        <w:tc>
          <w:tcPr>
            <w:tcW w:w="1130" w:type="pct"/>
            <w:gridSpan w:val="5"/>
            <w:shd w:val="clear" w:color="auto" w:fill="FFFFFF"/>
            <w:vAlign w:val="center"/>
          </w:tcPr>
          <w:p w:rsidR="00F90453" w:rsidRPr="003A0AA1" w:rsidRDefault="00F90453" w:rsidP="00284D7A">
            <w:pPr>
              <w:jc w:val="both"/>
              <w:rPr>
                <w:b/>
                <w:sz w:val="22"/>
                <w:szCs w:val="22"/>
              </w:rPr>
            </w:pPr>
            <w:r w:rsidRPr="003A0AA1">
              <w:rPr>
                <w:b/>
                <w:sz w:val="22"/>
                <w:szCs w:val="22"/>
              </w:rPr>
              <w:t>Comentário:</w:t>
            </w:r>
          </w:p>
          <w:p w:rsidR="00F90453" w:rsidRPr="003A0AA1" w:rsidRDefault="00F90453" w:rsidP="00284D7A">
            <w:pPr>
              <w:jc w:val="both"/>
              <w:rPr>
                <w:i/>
                <w:sz w:val="22"/>
                <w:szCs w:val="22"/>
              </w:rPr>
            </w:pPr>
            <w:r w:rsidRPr="003A0AA1">
              <w:rPr>
                <w:i/>
                <w:sz w:val="22"/>
                <w:szCs w:val="22"/>
              </w:rPr>
              <w:t>“Art. 15A. .................</w:t>
            </w:r>
          </w:p>
          <w:p w:rsidR="00F90453" w:rsidRPr="003A0AA1" w:rsidRDefault="00F90453" w:rsidP="00284D7A">
            <w:pPr>
              <w:jc w:val="both"/>
              <w:rPr>
                <w:i/>
                <w:sz w:val="22"/>
                <w:szCs w:val="22"/>
              </w:rPr>
            </w:pPr>
            <w:r w:rsidRPr="003A0AA1">
              <w:rPr>
                <w:i/>
                <w:sz w:val="22"/>
                <w:szCs w:val="22"/>
              </w:rPr>
              <w:t>........................</w:t>
            </w:r>
          </w:p>
          <w:p w:rsidR="00F90453" w:rsidRPr="003A0AA1" w:rsidRDefault="00F90453" w:rsidP="00284D7A">
            <w:pPr>
              <w:jc w:val="both"/>
              <w:rPr>
                <w:i/>
                <w:sz w:val="22"/>
                <w:szCs w:val="22"/>
              </w:rPr>
            </w:pPr>
            <w:r w:rsidRPr="003A0AA1">
              <w:rPr>
                <w:i/>
                <w:sz w:val="22"/>
                <w:szCs w:val="22"/>
              </w:rPr>
              <w:t xml:space="preserve">I - Na distribuição: </w:t>
            </w:r>
            <w:r w:rsidRPr="003A0AA1">
              <w:rPr>
                <w:i/>
                <w:strike/>
                <w:color w:val="FF0000"/>
                <w:sz w:val="22"/>
                <w:szCs w:val="22"/>
              </w:rPr>
              <w:t>60</w:t>
            </w:r>
            <w:r w:rsidRPr="003A0AA1">
              <w:rPr>
                <w:i/>
                <w:sz w:val="22"/>
                <w:szCs w:val="22"/>
              </w:rPr>
              <w:t xml:space="preserve"> </w:t>
            </w:r>
            <w:r w:rsidRPr="003A0AA1">
              <w:rPr>
                <w:i/>
                <w:color w:val="0033CC"/>
                <w:sz w:val="22"/>
                <w:szCs w:val="22"/>
                <w:u w:val="single"/>
              </w:rPr>
              <w:t>180</w:t>
            </w:r>
            <w:r w:rsidRPr="003A0AA1">
              <w:rPr>
                <w:i/>
                <w:sz w:val="22"/>
                <w:szCs w:val="22"/>
              </w:rPr>
              <w:t xml:space="preserve"> dias após a data da entrada em vigor do óleo diesel B S10;</w:t>
            </w:r>
          </w:p>
          <w:p w:rsidR="00F90453" w:rsidRPr="003A0AA1" w:rsidRDefault="00F90453" w:rsidP="00284D7A">
            <w:pPr>
              <w:jc w:val="both"/>
              <w:rPr>
                <w:i/>
                <w:sz w:val="22"/>
                <w:szCs w:val="22"/>
              </w:rPr>
            </w:pPr>
            <w:r w:rsidRPr="003A0AA1">
              <w:rPr>
                <w:i/>
                <w:sz w:val="22"/>
                <w:szCs w:val="22"/>
              </w:rPr>
              <w:t xml:space="preserve">II - Na revenda: </w:t>
            </w:r>
            <w:r w:rsidRPr="003A0AA1">
              <w:rPr>
                <w:i/>
                <w:strike/>
                <w:color w:val="FF0000"/>
                <w:sz w:val="22"/>
                <w:szCs w:val="22"/>
              </w:rPr>
              <w:t>90</w:t>
            </w:r>
            <w:r w:rsidRPr="003A0AA1">
              <w:rPr>
                <w:i/>
                <w:sz w:val="22"/>
                <w:szCs w:val="22"/>
              </w:rPr>
              <w:t xml:space="preserve"> </w:t>
            </w:r>
            <w:r>
              <w:rPr>
                <w:i/>
                <w:color w:val="0033CC"/>
                <w:sz w:val="22"/>
                <w:szCs w:val="22"/>
                <w:u w:val="single"/>
              </w:rPr>
              <w:t>210</w:t>
            </w:r>
            <w:r w:rsidRPr="003A0AA1">
              <w:rPr>
                <w:i/>
                <w:sz w:val="22"/>
                <w:szCs w:val="22"/>
              </w:rPr>
              <w:t xml:space="preserve"> dias após a data da entrada em vigor do óleo diesel B S10.”</w:t>
            </w:r>
          </w:p>
          <w:p w:rsidR="00F90453" w:rsidRPr="003A0AA1" w:rsidRDefault="00F90453" w:rsidP="00284D7A">
            <w:pPr>
              <w:jc w:val="both"/>
              <w:rPr>
                <w:sz w:val="22"/>
                <w:szCs w:val="22"/>
              </w:rPr>
            </w:pPr>
          </w:p>
        </w:tc>
        <w:tc>
          <w:tcPr>
            <w:tcW w:w="1618" w:type="pct"/>
            <w:shd w:val="clear" w:color="auto" w:fill="FFFFFF"/>
            <w:vAlign w:val="center"/>
          </w:tcPr>
          <w:p w:rsidR="00F90453" w:rsidRPr="003A0AA1" w:rsidRDefault="00F90453" w:rsidP="00284D7A">
            <w:pPr>
              <w:jc w:val="both"/>
              <w:rPr>
                <w:sz w:val="22"/>
                <w:szCs w:val="22"/>
              </w:rPr>
            </w:pPr>
            <w:r w:rsidRPr="003A0AA1">
              <w:rPr>
                <w:sz w:val="22"/>
                <w:szCs w:val="22"/>
              </w:rPr>
              <w:t>Normalmente esse prazo é considerado como o tempo necessário para haver a completa substituição de um produto com uma especificação por outro de especificação diferente.</w:t>
            </w:r>
          </w:p>
          <w:p w:rsidR="00F90453" w:rsidRPr="003A0AA1" w:rsidRDefault="00F90453" w:rsidP="00284D7A">
            <w:pPr>
              <w:jc w:val="both"/>
              <w:rPr>
                <w:sz w:val="22"/>
                <w:szCs w:val="22"/>
              </w:rPr>
            </w:pPr>
          </w:p>
          <w:p w:rsidR="00F90453" w:rsidRPr="003A0AA1" w:rsidRDefault="00F90453" w:rsidP="00284D7A">
            <w:pPr>
              <w:jc w:val="both"/>
              <w:rPr>
                <w:sz w:val="22"/>
                <w:szCs w:val="22"/>
              </w:rPr>
            </w:pPr>
            <w:r w:rsidRPr="003A0AA1">
              <w:rPr>
                <w:sz w:val="22"/>
                <w:szCs w:val="22"/>
              </w:rPr>
              <w:t>A migração do óleo diesel S50 para o óleo diesel S10 é uma situação muito diferente, que vai impor uma curva de aprendizado longa, com a adoção de várias medidas: como a segregação seletiva no transporte FOB, o melhor escoamento do produto no CT, o escoamento final pré-carregamento.</w:t>
            </w:r>
          </w:p>
          <w:p w:rsidR="00F90453" w:rsidRPr="003A0AA1" w:rsidRDefault="00F90453" w:rsidP="00284D7A">
            <w:pPr>
              <w:jc w:val="both"/>
              <w:rPr>
                <w:sz w:val="22"/>
                <w:szCs w:val="22"/>
              </w:rPr>
            </w:pPr>
          </w:p>
          <w:p w:rsidR="00F90453" w:rsidRPr="003A0AA1" w:rsidRDefault="00F90453" w:rsidP="00284D7A">
            <w:pPr>
              <w:jc w:val="both"/>
              <w:rPr>
                <w:sz w:val="22"/>
                <w:szCs w:val="22"/>
              </w:rPr>
            </w:pPr>
            <w:r w:rsidRPr="003A0AA1">
              <w:rPr>
                <w:sz w:val="22"/>
                <w:szCs w:val="22"/>
              </w:rPr>
              <w:t>Recomenda-se a observação dos teores de enxofre apurados pelo PMQC da própria ANP no período, para avaliação do desempenho por setor e por região geográfica.</w:t>
            </w:r>
          </w:p>
          <w:p w:rsidR="00F90453" w:rsidRPr="003A0AA1" w:rsidRDefault="00F90453" w:rsidP="00284D7A">
            <w:pPr>
              <w:jc w:val="both"/>
              <w:rPr>
                <w:sz w:val="22"/>
                <w:szCs w:val="22"/>
              </w:rPr>
            </w:pPr>
          </w:p>
          <w:p w:rsidR="00F90453" w:rsidRPr="003A0AA1" w:rsidRDefault="00F90453" w:rsidP="00284D7A">
            <w:pPr>
              <w:jc w:val="both"/>
              <w:rPr>
                <w:rFonts w:eastAsia="Arial Unicode MS"/>
                <w:sz w:val="22"/>
                <w:szCs w:val="22"/>
              </w:rPr>
            </w:pPr>
            <w:r w:rsidRPr="003A0AA1">
              <w:rPr>
                <w:sz w:val="22"/>
                <w:szCs w:val="22"/>
              </w:rPr>
              <w:t>Um dado preocupante foi apresentado na última reunião realizada pela SAB no dia 29/nov/12 quando foi relatada a possibilidade de, em alguns locais (principalmente Barueri-SP e Fortaleza-CE), até que as linhas segregadas tenham licenciamento ambiental aprovado bem como autorização da SAB pra operação, que o S-10 tenha que ser bombeado da Petrobras para as Distribuidoras na mesma linha de bombeio do S-500 ou S-1800, sendo necessário nesses casos a “degradação” entre os bombeios o que pode acarretar a disponibilização de produto S-10 com teor de enxofre acima de 10.</w:t>
            </w:r>
          </w:p>
        </w:tc>
        <w:tc>
          <w:tcPr>
            <w:tcW w:w="1172" w:type="pct"/>
            <w:gridSpan w:val="5"/>
            <w:vMerge w:val="restart"/>
            <w:shd w:val="clear" w:color="auto" w:fill="FFFFFF"/>
            <w:vAlign w:val="center"/>
          </w:tcPr>
          <w:p w:rsidR="00F90453" w:rsidRDefault="00F90453" w:rsidP="00284D7A">
            <w:pPr>
              <w:jc w:val="both"/>
              <w:rPr>
                <w:b/>
                <w:sz w:val="22"/>
                <w:szCs w:val="22"/>
              </w:rPr>
            </w:pPr>
            <w:r>
              <w:rPr>
                <w:b/>
                <w:sz w:val="22"/>
                <w:szCs w:val="22"/>
              </w:rPr>
              <w:t>NÃO INCORPORADA</w:t>
            </w:r>
          </w:p>
          <w:p w:rsidR="00F90453" w:rsidRDefault="00F90453" w:rsidP="00284D7A">
            <w:pPr>
              <w:jc w:val="both"/>
              <w:rPr>
                <w:b/>
                <w:sz w:val="22"/>
                <w:szCs w:val="22"/>
              </w:rPr>
            </w:pPr>
          </w:p>
          <w:p w:rsidR="00F90453" w:rsidRDefault="00F90453" w:rsidP="00284D7A">
            <w:pPr>
              <w:jc w:val="both"/>
              <w:rPr>
                <w:b/>
                <w:sz w:val="22"/>
                <w:szCs w:val="22"/>
              </w:rPr>
            </w:pPr>
            <w:r>
              <w:rPr>
                <w:b/>
                <w:sz w:val="22"/>
                <w:szCs w:val="22"/>
              </w:rPr>
              <w:t>Justificativa:</w:t>
            </w:r>
          </w:p>
          <w:p w:rsidR="00F90453" w:rsidRDefault="0050770E" w:rsidP="00284D7A">
            <w:pPr>
              <w:jc w:val="both"/>
              <w:rPr>
                <w:sz w:val="22"/>
                <w:szCs w:val="22"/>
              </w:rPr>
            </w:pPr>
            <w:r w:rsidRPr="0050770E">
              <w:rPr>
                <w:sz w:val="22"/>
                <w:szCs w:val="22"/>
              </w:rPr>
              <w:t xml:space="preserve">O prazo considerado na minuta é suficiente para que haja a substituição </w:t>
            </w:r>
            <w:r w:rsidR="00C1457E">
              <w:rPr>
                <w:sz w:val="22"/>
                <w:szCs w:val="22"/>
              </w:rPr>
              <w:t xml:space="preserve">total do óleo diesel B S50 </w:t>
            </w:r>
            <w:r w:rsidRPr="0050770E">
              <w:rPr>
                <w:sz w:val="22"/>
                <w:szCs w:val="22"/>
              </w:rPr>
              <w:t>pelo óleo diesel S10, na distribuição e na revenda</w:t>
            </w:r>
            <w:r>
              <w:rPr>
                <w:sz w:val="22"/>
                <w:szCs w:val="22"/>
              </w:rPr>
              <w:t>.</w:t>
            </w:r>
          </w:p>
          <w:p w:rsidR="00711C13" w:rsidRDefault="00711C13" w:rsidP="00284D7A">
            <w:pPr>
              <w:jc w:val="both"/>
              <w:rPr>
                <w:sz w:val="22"/>
                <w:szCs w:val="22"/>
              </w:rPr>
            </w:pPr>
          </w:p>
          <w:p w:rsidR="00711C13" w:rsidRPr="005B2A43" w:rsidRDefault="00711C13" w:rsidP="00F62DE9">
            <w:pPr>
              <w:jc w:val="both"/>
              <w:rPr>
                <w:sz w:val="22"/>
                <w:szCs w:val="22"/>
              </w:rPr>
            </w:pPr>
            <w:r>
              <w:rPr>
                <w:sz w:val="22"/>
                <w:szCs w:val="22"/>
              </w:rPr>
              <w:t xml:space="preserve">Vale ressaltar que tal prazo </w:t>
            </w:r>
            <w:r w:rsidR="00F62DE9">
              <w:rPr>
                <w:sz w:val="22"/>
                <w:szCs w:val="22"/>
              </w:rPr>
              <w:t xml:space="preserve">foi adotado </w:t>
            </w:r>
            <w:r>
              <w:rPr>
                <w:sz w:val="22"/>
                <w:szCs w:val="22"/>
              </w:rPr>
              <w:t>pela ANP quando da substituição do óleo diesel e da migração do corante vermelho.</w:t>
            </w:r>
          </w:p>
        </w:tc>
      </w:tr>
      <w:tr w:rsidR="00F90453" w:rsidTr="00AC6460">
        <w:trPr>
          <w:trHeight w:val="2116"/>
        </w:trPr>
        <w:tc>
          <w:tcPr>
            <w:tcW w:w="689" w:type="pct"/>
            <w:shd w:val="clear" w:color="auto" w:fill="FFFFFF"/>
            <w:vAlign w:val="center"/>
          </w:tcPr>
          <w:p w:rsidR="00F90453" w:rsidRPr="009B6897" w:rsidRDefault="00F90453" w:rsidP="00284D7A">
            <w:pPr>
              <w:jc w:val="center"/>
              <w:rPr>
                <w:b/>
                <w:sz w:val="22"/>
                <w:szCs w:val="22"/>
              </w:rPr>
            </w:pPr>
            <w:r w:rsidRPr="009B6897">
              <w:rPr>
                <w:b/>
                <w:sz w:val="22"/>
                <w:szCs w:val="22"/>
              </w:rPr>
              <w:t>SINDTRR</w:t>
            </w:r>
          </w:p>
        </w:tc>
        <w:tc>
          <w:tcPr>
            <w:tcW w:w="391" w:type="pct"/>
            <w:shd w:val="clear" w:color="auto" w:fill="FFFFFF"/>
            <w:vAlign w:val="center"/>
          </w:tcPr>
          <w:p w:rsidR="00F90453" w:rsidRPr="009B6897" w:rsidRDefault="00F90453" w:rsidP="00284D7A">
            <w:pPr>
              <w:jc w:val="center"/>
              <w:rPr>
                <w:rFonts w:eastAsia="Arial Unicode MS"/>
                <w:bCs/>
                <w:sz w:val="22"/>
                <w:szCs w:val="22"/>
              </w:rPr>
            </w:pPr>
            <w:r w:rsidRPr="009B6897">
              <w:rPr>
                <w:bCs/>
                <w:color w:val="000000"/>
                <w:sz w:val="22"/>
                <w:szCs w:val="22"/>
              </w:rPr>
              <w:t>Art. 5º.</w:t>
            </w:r>
          </w:p>
        </w:tc>
        <w:tc>
          <w:tcPr>
            <w:tcW w:w="1130" w:type="pct"/>
            <w:gridSpan w:val="5"/>
            <w:shd w:val="clear" w:color="auto" w:fill="FFFFFF"/>
            <w:vAlign w:val="center"/>
          </w:tcPr>
          <w:p w:rsidR="00F90453" w:rsidRPr="009B6897" w:rsidRDefault="00F90453" w:rsidP="00284D7A">
            <w:pPr>
              <w:jc w:val="both"/>
              <w:rPr>
                <w:b/>
                <w:sz w:val="22"/>
                <w:szCs w:val="22"/>
              </w:rPr>
            </w:pPr>
            <w:r w:rsidRPr="009B6897">
              <w:rPr>
                <w:b/>
                <w:sz w:val="22"/>
                <w:szCs w:val="22"/>
              </w:rPr>
              <w:t>Comentário:</w:t>
            </w:r>
          </w:p>
          <w:p w:rsidR="00F90453" w:rsidRPr="009B6897" w:rsidRDefault="00F90453" w:rsidP="00284D7A">
            <w:pPr>
              <w:jc w:val="both"/>
              <w:rPr>
                <w:sz w:val="22"/>
                <w:szCs w:val="22"/>
              </w:rPr>
            </w:pPr>
            <w:r w:rsidRPr="009B6897">
              <w:rPr>
                <w:sz w:val="22"/>
                <w:szCs w:val="22"/>
              </w:rPr>
              <w:t>Incluir no texto a palavra “até”conforme segue:</w:t>
            </w:r>
          </w:p>
          <w:p w:rsidR="00F90453" w:rsidRPr="009B6897" w:rsidRDefault="00F90453" w:rsidP="00284D7A">
            <w:pPr>
              <w:jc w:val="both"/>
              <w:rPr>
                <w:sz w:val="22"/>
                <w:szCs w:val="22"/>
              </w:rPr>
            </w:pPr>
          </w:p>
          <w:p w:rsidR="00F90453" w:rsidRPr="009B6897" w:rsidRDefault="00F90453" w:rsidP="00284D7A">
            <w:pPr>
              <w:jc w:val="both"/>
              <w:rPr>
                <w:i/>
                <w:sz w:val="22"/>
                <w:szCs w:val="22"/>
              </w:rPr>
            </w:pPr>
            <w:r w:rsidRPr="009B6897">
              <w:rPr>
                <w:i/>
                <w:sz w:val="22"/>
                <w:szCs w:val="22"/>
              </w:rPr>
              <w:t>“Art. 15A. .................</w:t>
            </w:r>
          </w:p>
          <w:p w:rsidR="00F90453" w:rsidRPr="009B6897" w:rsidRDefault="00F90453" w:rsidP="00284D7A">
            <w:pPr>
              <w:jc w:val="both"/>
              <w:rPr>
                <w:i/>
                <w:sz w:val="22"/>
                <w:szCs w:val="22"/>
              </w:rPr>
            </w:pPr>
            <w:r w:rsidRPr="009B6897">
              <w:rPr>
                <w:i/>
                <w:sz w:val="22"/>
                <w:szCs w:val="22"/>
              </w:rPr>
              <w:t>........................</w:t>
            </w:r>
          </w:p>
          <w:p w:rsidR="00F90453" w:rsidRPr="009B6897" w:rsidRDefault="00F90453" w:rsidP="00284D7A">
            <w:pPr>
              <w:jc w:val="both"/>
              <w:rPr>
                <w:sz w:val="22"/>
                <w:szCs w:val="22"/>
              </w:rPr>
            </w:pPr>
            <w:r w:rsidRPr="009B6897">
              <w:rPr>
                <w:i/>
                <w:sz w:val="22"/>
                <w:szCs w:val="22"/>
              </w:rPr>
              <w:t xml:space="preserve">II - Na revenda: </w:t>
            </w:r>
            <w:r w:rsidRPr="009B6897">
              <w:rPr>
                <w:i/>
                <w:strike/>
                <w:color w:val="FF0000"/>
                <w:sz w:val="22"/>
                <w:szCs w:val="22"/>
              </w:rPr>
              <w:t>90</w:t>
            </w:r>
            <w:r w:rsidRPr="009B6897">
              <w:rPr>
                <w:i/>
                <w:sz w:val="22"/>
                <w:szCs w:val="22"/>
              </w:rPr>
              <w:t xml:space="preserve"> </w:t>
            </w:r>
            <w:r w:rsidRPr="009B6897">
              <w:rPr>
                <w:i/>
                <w:color w:val="0033CC"/>
                <w:sz w:val="22"/>
                <w:szCs w:val="22"/>
                <w:u w:val="single"/>
              </w:rPr>
              <w:t>180</w:t>
            </w:r>
            <w:r w:rsidRPr="009B6897">
              <w:rPr>
                <w:i/>
                <w:sz w:val="22"/>
                <w:szCs w:val="22"/>
              </w:rPr>
              <w:t xml:space="preserve"> dias após a data da entrada em vigor do óleo diesel B S10.”</w:t>
            </w:r>
          </w:p>
        </w:tc>
        <w:tc>
          <w:tcPr>
            <w:tcW w:w="1618" w:type="pct"/>
            <w:shd w:val="clear" w:color="auto" w:fill="FFFFFF"/>
            <w:vAlign w:val="center"/>
          </w:tcPr>
          <w:p w:rsidR="00F90453" w:rsidRPr="00F74C0E" w:rsidRDefault="00F90453" w:rsidP="00284D7A">
            <w:pPr>
              <w:jc w:val="both"/>
              <w:rPr>
                <w:rFonts w:eastAsia="Arial Unicode MS"/>
                <w:sz w:val="22"/>
                <w:szCs w:val="22"/>
              </w:rPr>
            </w:pPr>
            <w:r w:rsidRPr="009B6897">
              <w:rPr>
                <w:sz w:val="22"/>
                <w:szCs w:val="22"/>
              </w:rPr>
              <w:t>Garantir maior segurança para a revenda no período de transição.</w:t>
            </w:r>
          </w:p>
        </w:tc>
        <w:tc>
          <w:tcPr>
            <w:tcW w:w="1172" w:type="pct"/>
            <w:gridSpan w:val="5"/>
            <w:vMerge/>
            <w:shd w:val="clear" w:color="auto" w:fill="FFFFFF"/>
            <w:vAlign w:val="center"/>
          </w:tcPr>
          <w:p w:rsidR="00F90453" w:rsidRPr="009B6897" w:rsidRDefault="00F90453" w:rsidP="00284D7A">
            <w:pPr>
              <w:jc w:val="both"/>
              <w:rPr>
                <w:sz w:val="22"/>
                <w:szCs w:val="22"/>
              </w:rPr>
            </w:pPr>
          </w:p>
        </w:tc>
      </w:tr>
      <w:tr w:rsidR="000A1506" w:rsidTr="00AC6460">
        <w:trPr>
          <w:trHeight w:val="2542"/>
        </w:trPr>
        <w:tc>
          <w:tcPr>
            <w:tcW w:w="689" w:type="pct"/>
            <w:shd w:val="clear" w:color="auto" w:fill="FFFFFF"/>
            <w:vAlign w:val="center"/>
          </w:tcPr>
          <w:p w:rsidR="00E938B9" w:rsidRPr="00C5328D" w:rsidRDefault="00E938B9" w:rsidP="00284D7A">
            <w:pPr>
              <w:jc w:val="center"/>
              <w:rPr>
                <w:b/>
                <w:sz w:val="22"/>
                <w:szCs w:val="22"/>
              </w:rPr>
            </w:pPr>
            <w:r>
              <w:rPr>
                <w:b/>
                <w:sz w:val="22"/>
                <w:szCs w:val="22"/>
              </w:rPr>
              <w:lastRenderedPageBreak/>
              <w:t>SINDICOM</w:t>
            </w:r>
          </w:p>
        </w:tc>
        <w:tc>
          <w:tcPr>
            <w:tcW w:w="391" w:type="pct"/>
            <w:shd w:val="clear" w:color="auto" w:fill="FFFFFF"/>
            <w:vAlign w:val="center"/>
          </w:tcPr>
          <w:p w:rsidR="00E938B9" w:rsidRPr="00C5328D" w:rsidRDefault="00E938B9" w:rsidP="00284D7A">
            <w:pPr>
              <w:jc w:val="center"/>
              <w:rPr>
                <w:rFonts w:eastAsia="Arial Unicode MS"/>
                <w:bCs/>
                <w:sz w:val="22"/>
                <w:szCs w:val="22"/>
              </w:rPr>
            </w:pPr>
            <w:r w:rsidRPr="00C5328D">
              <w:rPr>
                <w:bCs/>
                <w:color w:val="000000"/>
                <w:sz w:val="22"/>
                <w:szCs w:val="22"/>
              </w:rPr>
              <w:t>Art. 5º.</w:t>
            </w:r>
          </w:p>
        </w:tc>
        <w:tc>
          <w:tcPr>
            <w:tcW w:w="1130" w:type="pct"/>
            <w:gridSpan w:val="5"/>
            <w:shd w:val="clear" w:color="auto" w:fill="FFFFFF"/>
            <w:vAlign w:val="center"/>
          </w:tcPr>
          <w:p w:rsidR="00E938B9" w:rsidRPr="00C5328D" w:rsidRDefault="00E938B9" w:rsidP="00284D7A">
            <w:pPr>
              <w:jc w:val="both"/>
              <w:rPr>
                <w:b/>
                <w:sz w:val="22"/>
                <w:szCs w:val="22"/>
              </w:rPr>
            </w:pPr>
            <w:r w:rsidRPr="00C5328D">
              <w:rPr>
                <w:b/>
                <w:sz w:val="22"/>
                <w:szCs w:val="22"/>
              </w:rPr>
              <w:t>Comentário:</w:t>
            </w:r>
          </w:p>
          <w:p w:rsidR="00E938B9" w:rsidRPr="00C5328D" w:rsidRDefault="00E938B9" w:rsidP="00284D7A">
            <w:pPr>
              <w:jc w:val="both"/>
              <w:rPr>
                <w:i/>
                <w:sz w:val="22"/>
                <w:szCs w:val="22"/>
              </w:rPr>
            </w:pPr>
            <w:r w:rsidRPr="00C5328D">
              <w:rPr>
                <w:i/>
                <w:sz w:val="22"/>
                <w:szCs w:val="22"/>
              </w:rPr>
              <w:t>“Art. 15A. .................</w:t>
            </w:r>
          </w:p>
          <w:p w:rsidR="00E938B9" w:rsidRPr="00C5328D" w:rsidRDefault="00E938B9" w:rsidP="00284D7A">
            <w:pPr>
              <w:jc w:val="both"/>
              <w:rPr>
                <w:i/>
                <w:sz w:val="22"/>
                <w:szCs w:val="22"/>
              </w:rPr>
            </w:pPr>
            <w:r w:rsidRPr="00C5328D">
              <w:rPr>
                <w:i/>
                <w:sz w:val="22"/>
                <w:szCs w:val="22"/>
              </w:rPr>
              <w:t>........................</w:t>
            </w:r>
          </w:p>
          <w:p w:rsidR="00E938B9" w:rsidRPr="00C5328D" w:rsidRDefault="00E938B9" w:rsidP="00284D7A">
            <w:pPr>
              <w:jc w:val="both"/>
              <w:rPr>
                <w:i/>
                <w:sz w:val="22"/>
                <w:szCs w:val="22"/>
              </w:rPr>
            </w:pPr>
            <w:r w:rsidRPr="00C5328D">
              <w:rPr>
                <w:i/>
                <w:sz w:val="22"/>
                <w:szCs w:val="22"/>
              </w:rPr>
              <w:t xml:space="preserve">I - Na distribuição: </w:t>
            </w:r>
            <w:r>
              <w:rPr>
                <w:i/>
                <w:strike/>
                <w:color w:val="FF0000"/>
                <w:sz w:val="22"/>
                <w:szCs w:val="22"/>
              </w:rPr>
              <w:t>6</w:t>
            </w:r>
            <w:r w:rsidRPr="009B6897">
              <w:rPr>
                <w:i/>
                <w:strike/>
                <w:color w:val="FF0000"/>
                <w:sz w:val="22"/>
                <w:szCs w:val="22"/>
              </w:rPr>
              <w:t>0</w:t>
            </w:r>
            <w:r w:rsidRPr="009B6897">
              <w:rPr>
                <w:i/>
                <w:sz w:val="22"/>
                <w:szCs w:val="22"/>
              </w:rPr>
              <w:t xml:space="preserve"> </w:t>
            </w:r>
            <w:r w:rsidRPr="009B6897">
              <w:rPr>
                <w:i/>
                <w:color w:val="0033CC"/>
                <w:sz w:val="22"/>
                <w:szCs w:val="22"/>
                <w:u w:val="single"/>
              </w:rPr>
              <w:t>180</w:t>
            </w:r>
            <w:r w:rsidRPr="00C5328D">
              <w:rPr>
                <w:i/>
                <w:sz w:val="22"/>
                <w:szCs w:val="22"/>
              </w:rPr>
              <w:t xml:space="preserve"> dias após a data da entrada em vigor do óleo diesel B S10;</w:t>
            </w:r>
          </w:p>
          <w:p w:rsidR="00E938B9" w:rsidRPr="00C5328D" w:rsidRDefault="00E938B9" w:rsidP="00284D7A">
            <w:pPr>
              <w:jc w:val="both"/>
              <w:rPr>
                <w:sz w:val="22"/>
                <w:szCs w:val="22"/>
              </w:rPr>
            </w:pPr>
            <w:r w:rsidRPr="00C5328D">
              <w:rPr>
                <w:i/>
                <w:sz w:val="22"/>
                <w:szCs w:val="22"/>
              </w:rPr>
              <w:t xml:space="preserve">II - Na revenda: </w:t>
            </w:r>
            <w:r>
              <w:rPr>
                <w:i/>
                <w:strike/>
                <w:color w:val="FF0000"/>
                <w:sz w:val="22"/>
                <w:szCs w:val="22"/>
              </w:rPr>
              <w:t>9</w:t>
            </w:r>
            <w:r w:rsidRPr="009B6897">
              <w:rPr>
                <w:i/>
                <w:strike/>
                <w:color w:val="FF0000"/>
                <w:sz w:val="22"/>
                <w:szCs w:val="22"/>
              </w:rPr>
              <w:t>0</w:t>
            </w:r>
            <w:r w:rsidRPr="009B6897">
              <w:rPr>
                <w:i/>
                <w:sz w:val="22"/>
                <w:szCs w:val="22"/>
              </w:rPr>
              <w:t xml:space="preserve"> </w:t>
            </w:r>
            <w:r w:rsidRPr="009B6897">
              <w:rPr>
                <w:i/>
                <w:color w:val="0033CC"/>
                <w:sz w:val="22"/>
                <w:szCs w:val="22"/>
                <w:u w:val="single"/>
              </w:rPr>
              <w:t>180</w:t>
            </w:r>
            <w:r w:rsidRPr="00C5328D">
              <w:rPr>
                <w:i/>
                <w:sz w:val="22"/>
                <w:szCs w:val="22"/>
              </w:rPr>
              <w:t xml:space="preserve"> dias após a data da entrada em vigor do óleo diesel B S10.”</w:t>
            </w:r>
          </w:p>
        </w:tc>
        <w:tc>
          <w:tcPr>
            <w:tcW w:w="1618" w:type="pct"/>
            <w:shd w:val="clear" w:color="auto" w:fill="FFFFFF"/>
            <w:vAlign w:val="center"/>
          </w:tcPr>
          <w:p w:rsidR="00E938B9" w:rsidRPr="00F74C0E" w:rsidRDefault="00E938B9" w:rsidP="00284D7A">
            <w:pPr>
              <w:jc w:val="both"/>
              <w:rPr>
                <w:rFonts w:eastAsia="Arial Unicode MS"/>
                <w:sz w:val="22"/>
                <w:szCs w:val="22"/>
              </w:rPr>
            </w:pPr>
            <w:r w:rsidRPr="003A5983">
              <w:rPr>
                <w:sz w:val="22"/>
                <w:szCs w:val="22"/>
              </w:rPr>
              <w:t>Sugerimos que os prazos sejam alterados para 180 dias, em função da necessidade de aperfeiçoamentos operacionais e aprendizado com o manuseio do novo produto nos procedimentos, uma vez que o mesmo é muito mais sensível e suscetível a contaminações. Em 2013 ainda teremos 3 tipos de diesel rodoviário o que aumenta consideravelmente</w:t>
            </w:r>
            <w:r>
              <w:rPr>
                <w:sz w:val="22"/>
                <w:szCs w:val="22"/>
              </w:rPr>
              <w:t xml:space="preserve"> o risco de contaminação do S10</w:t>
            </w:r>
            <w:r w:rsidRPr="00C21068">
              <w:rPr>
                <w:sz w:val="22"/>
                <w:szCs w:val="22"/>
              </w:rPr>
              <w:t>.</w:t>
            </w:r>
          </w:p>
        </w:tc>
        <w:tc>
          <w:tcPr>
            <w:tcW w:w="1172" w:type="pct"/>
            <w:gridSpan w:val="5"/>
            <w:shd w:val="clear" w:color="auto" w:fill="FFFFFF"/>
            <w:vAlign w:val="center"/>
          </w:tcPr>
          <w:p w:rsidR="00F378DA" w:rsidRDefault="00F378DA" w:rsidP="00284D7A">
            <w:pPr>
              <w:jc w:val="both"/>
              <w:rPr>
                <w:b/>
                <w:sz w:val="22"/>
                <w:szCs w:val="22"/>
              </w:rPr>
            </w:pPr>
          </w:p>
          <w:p w:rsidR="000600B7" w:rsidRPr="001E2381" w:rsidRDefault="000600B7" w:rsidP="00284D7A">
            <w:pPr>
              <w:jc w:val="both"/>
              <w:rPr>
                <w:b/>
                <w:sz w:val="22"/>
                <w:szCs w:val="22"/>
              </w:rPr>
            </w:pPr>
            <w:r>
              <w:rPr>
                <w:b/>
                <w:sz w:val="22"/>
                <w:szCs w:val="22"/>
              </w:rPr>
              <w:t>NÃO INCORPORADA</w:t>
            </w:r>
          </w:p>
          <w:p w:rsidR="000600B7" w:rsidRDefault="000600B7" w:rsidP="00284D7A">
            <w:pPr>
              <w:jc w:val="both"/>
              <w:rPr>
                <w:sz w:val="22"/>
                <w:szCs w:val="22"/>
              </w:rPr>
            </w:pPr>
          </w:p>
          <w:p w:rsidR="00E938B9" w:rsidRDefault="00C1457E" w:rsidP="00284D7A">
            <w:pPr>
              <w:jc w:val="both"/>
              <w:rPr>
                <w:sz w:val="22"/>
                <w:szCs w:val="22"/>
              </w:rPr>
            </w:pPr>
            <w:r w:rsidRPr="0050770E">
              <w:rPr>
                <w:sz w:val="22"/>
                <w:szCs w:val="22"/>
              </w:rPr>
              <w:t xml:space="preserve">O prazo considerado na minuta é suficiente para que haja a substituição </w:t>
            </w:r>
            <w:r>
              <w:rPr>
                <w:sz w:val="22"/>
                <w:szCs w:val="22"/>
              </w:rPr>
              <w:t xml:space="preserve">total do óleo diesel B S50 </w:t>
            </w:r>
            <w:r w:rsidRPr="0050770E">
              <w:rPr>
                <w:sz w:val="22"/>
                <w:szCs w:val="22"/>
              </w:rPr>
              <w:t>pelo óleo diesel S10, na distribuição e na revenda</w:t>
            </w:r>
            <w:r w:rsidR="00711C13">
              <w:rPr>
                <w:sz w:val="22"/>
                <w:szCs w:val="22"/>
              </w:rPr>
              <w:t>.</w:t>
            </w:r>
          </w:p>
          <w:p w:rsidR="00711C13" w:rsidRDefault="00711C13" w:rsidP="00284D7A">
            <w:pPr>
              <w:jc w:val="both"/>
              <w:rPr>
                <w:sz w:val="22"/>
                <w:szCs w:val="22"/>
              </w:rPr>
            </w:pPr>
          </w:p>
          <w:p w:rsidR="00711C13" w:rsidRPr="003A5983" w:rsidRDefault="00711C13" w:rsidP="00F62DE9">
            <w:pPr>
              <w:jc w:val="both"/>
              <w:rPr>
                <w:sz w:val="22"/>
                <w:szCs w:val="22"/>
              </w:rPr>
            </w:pPr>
            <w:r>
              <w:rPr>
                <w:sz w:val="22"/>
                <w:szCs w:val="22"/>
              </w:rPr>
              <w:t xml:space="preserve">Vale ressaltar que tal prazo </w:t>
            </w:r>
            <w:r w:rsidR="00F62DE9">
              <w:rPr>
                <w:sz w:val="22"/>
                <w:szCs w:val="22"/>
              </w:rPr>
              <w:t>foi adotado</w:t>
            </w:r>
            <w:r>
              <w:rPr>
                <w:sz w:val="22"/>
                <w:szCs w:val="22"/>
              </w:rPr>
              <w:t xml:space="preserve"> pela ANP quando da substituição do óleo diesel e da migração do corante vermelho.</w:t>
            </w:r>
          </w:p>
        </w:tc>
      </w:tr>
      <w:tr w:rsidR="000A1506" w:rsidRPr="00C55FC3" w:rsidTr="00AC6460">
        <w:trPr>
          <w:trHeight w:val="547"/>
        </w:trPr>
        <w:tc>
          <w:tcPr>
            <w:tcW w:w="5000" w:type="pct"/>
            <w:gridSpan w:val="13"/>
            <w:shd w:val="clear" w:color="auto" w:fill="FFFFCC"/>
            <w:vAlign w:val="center"/>
          </w:tcPr>
          <w:p w:rsidR="00E938B9" w:rsidRDefault="00E938B9" w:rsidP="00284D7A">
            <w:pPr>
              <w:jc w:val="both"/>
              <w:rPr>
                <w:b/>
                <w:sz w:val="24"/>
                <w:szCs w:val="24"/>
                <w:u w:val="single"/>
              </w:rPr>
            </w:pPr>
            <w:r>
              <w:rPr>
                <w:b/>
                <w:sz w:val="24"/>
                <w:szCs w:val="24"/>
                <w:u w:val="single"/>
              </w:rPr>
              <w:t>ESPECIFICAÇÃO</w:t>
            </w:r>
          </w:p>
        </w:tc>
      </w:tr>
      <w:tr w:rsidR="000A1506" w:rsidRPr="00473D58" w:rsidTr="00AC6460">
        <w:trPr>
          <w:trHeight w:val="3105"/>
        </w:trPr>
        <w:tc>
          <w:tcPr>
            <w:tcW w:w="689" w:type="pct"/>
            <w:shd w:val="clear" w:color="auto" w:fill="auto"/>
            <w:vAlign w:val="center"/>
          </w:tcPr>
          <w:p w:rsidR="00E938B9" w:rsidRPr="006F11E7" w:rsidRDefault="00E938B9" w:rsidP="00284D7A">
            <w:pPr>
              <w:jc w:val="center"/>
              <w:rPr>
                <w:b/>
                <w:sz w:val="22"/>
                <w:szCs w:val="22"/>
              </w:rPr>
            </w:pPr>
            <w:r w:rsidRPr="006F11E7">
              <w:rPr>
                <w:b/>
                <w:sz w:val="22"/>
                <w:szCs w:val="22"/>
              </w:rPr>
              <w:t>PETROBRAS</w:t>
            </w:r>
          </w:p>
        </w:tc>
        <w:tc>
          <w:tcPr>
            <w:tcW w:w="391" w:type="pct"/>
            <w:shd w:val="clear" w:color="auto" w:fill="auto"/>
            <w:vAlign w:val="center"/>
          </w:tcPr>
          <w:p w:rsidR="00E938B9" w:rsidRPr="006F11E7" w:rsidRDefault="00E938B9" w:rsidP="00284D7A">
            <w:pPr>
              <w:jc w:val="center"/>
              <w:rPr>
                <w:rFonts w:eastAsia="Arial Unicode MS"/>
                <w:bCs/>
                <w:sz w:val="22"/>
                <w:szCs w:val="22"/>
              </w:rPr>
            </w:pPr>
            <w:r w:rsidRPr="006F11E7">
              <w:rPr>
                <w:bCs/>
                <w:color w:val="000000"/>
                <w:sz w:val="22"/>
                <w:szCs w:val="22"/>
              </w:rPr>
              <w:t>Art. 6º.</w:t>
            </w:r>
          </w:p>
        </w:tc>
        <w:tc>
          <w:tcPr>
            <w:tcW w:w="1130" w:type="pct"/>
            <w:gridSpan w:val="5"/>
            <w:shd w:val="clear" w:color="auto" w:fill="auto"/>
            <w:vAlign w:val="center"/>
          </w:tcPr>
          <w:p w:rsidR="00E938B9" w:rsidRPr="006F11E7" w:rsidRDefault="00E938B9" w:rsidP="00284D7A">
            <w:pPr>
              <w:jc w:val="both"/>
              <w:rPr>
                <w:b/>
                <w:sz w:val="22"/>
                <w:szCs w:val="22"/>
              </w:rPr>
            </w:pPr>
            <w:r w:rsidRPr="006F11E7">
              <w:rPr>
                <w:b/>
                <w:sz w:val="22"/>
                <w:szCs w:val="22"/>
              </w:rPr>
              <w:t>Comentário:</w:t>
            </w:r>
          </w:p>
          <w:p w:rsidR="00E938B9" w:rsidRPr="006F11E7" w:rsidRDefault="00E938B9" w:rsidP="00284D7A">
            <w:pPr>
              <w:jc w:val="both"/>
              <w:rPr>
                <w:sz w:val="22"/>
                <w:szCs w:val="22"/>
              </w:rPr>
            </w:pPr>
            <w:r w:rsidRPr="006F11E7">
              <w:rPr>
                <w:sz w:val="22"/>
                <w:szCs w:val="22"/>
              </w:rPr>
              <w:t>Eliminar a característica ASPECTO.</w:t>
            </w:r>
          </w:p>
          <w:p w:rsidR="00E938B9" w:rsidRPr="006F11E7" w:rsidRDefault="00E938B9" w:rsidP="00284D7A">
            <w:pPr>
              <w:jc w:val="both"/>
              <w:rPr>
                <w:sz w:val="22"/>
                <w:szCs w:val="22"/>
              </w:rPr>
            </w:pPr>
          </w:p>
          <w:p w:rsidR="00E938B9" w:rsidRPr="006F11E7" w:rsidRDefault="00E938B9" w:rsidP="00284D7A">
            <w:pPr>
              <w:jc w:val="both"/>
              <w:rPr>
                <w:sz w:val="22"/>
                <w:szCs w:val="22"/>
              </w:rPr>
            </w:pPr>
            <w:r w:rsidRPr="006F11E7">
              <w:rPr>
                <w:sz w:val="22"/>
                <w:szCs w:val="22"/>
              </w:rPr>
              <w:t>Caso não seja possível eliminar a característica ASPECTO, incluir NOTA na característica ASPECTO indicando que deve ser utilizado somente o Procedimento 2 do método ASTM D4176, cujo limite máximo deve ser 3.</w:t>
            </w:r>
          </w:p>
        </w:tc>
        <w:tc>
          <w:tcPr>
            <w:tcW w:w="1618" w:type="pct"/>
            <w:shd w:val="clear" w:color="auto" w:fill="auto"/>
            <w:vAlign w:val="center"/>
          </w:tcPr>
          <w:p w:rsidR="00E938B9" w:rsidRPr="006F11E7" w:rsidRDefault="00E938B9" w:rsidP="00284D7A">
            <w:pPr>
              <w:jc w:val="both"/>
              <w:rPr>
                <w:sz w:val="22"/>
                <w:szCs w:val="22"/>
              </w:rPr>
            </w:pPr>
            <w:r w:rsidRPr="006F11E7">
              <w:rPr>
                <w:sz w:val="22"/>
                <w:szCs w:val="22"/>
              </w:rPr>
              <w:t>Os métodos estabelecem uma avaliação SUBJETIVA, sujeito à controvérsias entre inspetores. Alem disso essa característica já é plenamente atendida pelas características TEOR DE AGUA e CONTAMINAÇÃO TOTAL, cujas metodologias estabelecem avaliações QUANTITATIVAS.</w:t>
            </w:r>
          </w:p>
          <w:p w:rsidR="00E938B9" w:rsidRPr="006F11E7" w:rsidRDefault="00E938B9" w:rsidP="00284D7A">
            <w:pPr>
              <w:jc w:val="both"/>
              <w:rPr>
                <w:sz w:val="22"/>
                <w:szCs w:val="22"/>
              </w:rPr>
            </w:pPr>
          </w:p>
          <w:p w:rsidR="00E938B9" w:rsidRPr="006F11E7" w:rsidRDefault="00E938B9" w:rsidP="00284D7A">
            <w:pPr>
              <w:jc w:val="both"/>
              <w:rPr>
                <w:rFonts w:eastAsia="Arial Unicode MS"/>
                <w:sz w:val="22"/>
                <w:szCs w:val="22"/>
              </w:rPr>
            </w:pPr>
            <w:r w:rsidRPr="006F11E7">
              <w:rPr>
                <w:sz w:val="22"/>
                <w:szCs w:val="22"/>
              </w:rPr>
              <w:t>Eliminar a avaliação SUBJETIVA do método, que em alguns casos pode gerar resultados  controversos entre inspetores.</w:t>
            </w:r>
          </w:p>
        </w:tc>
        <w:tc>
          <w:tcPr>
            <w:tcW w:w="1172" w:type="pct"/>
            <w:gridSpan w:val="5"/>
            <w:shd w:val="clear" w:color="auto" w:fill="auto"/>
            <w:vAlign w:val="center"/>
          </w:tcPr>
          <w:p w:rsidR="00E938B9" w:rsidRPr="006F11E7" w:rsidRDefault="005E4E94" w:rsidP="00284D7A">
            <w:pPr>
              <w:jc w:val="both"/>
              <w:rPr>
                <w:b/>
                <w:sz w:val="22"/>
                <w:szCs w:val="22"/>
              </w:rPr>
            </w:pPr>
            <w:r w:rsidRPr="006F11E7">
              <w:rPr>
                <w:b/>
                <w:sz w:val="22"/>
                <w:szCs w:val="22"/>
              </w:rPr>
              <w:t>NÃO INCORPORADA</w:t>
            </w:r>
          </w:p>
          <w:p w:rsidR="004A0500" w:rsidRPr="006F11E7" w:rsidRDefault="004A0500" w:rsidP="00284D7A">
            <w:pPr>
              <w:jc w:val="both"/>
              <w:rPr>
                <w:b/>
                <w:sz w:val="22"/>
                <w:szCs w:val="22"/>
              </w:rPr>
            </w:pPr>
          </w:p>
          <w:p w:rsidR="004A0500" w:rsidRPr="006F11E7" w:rsidRDefault="004A0500" w:rsidP="00284D7A">
            <w:pPr>
              <w:jc w:val="both"/>
              <w:rPr>
                <w:sz w:val="22"/>
                <w:szCs w:val="22"/>
              </w:rPr>
            </w:pPr>
            <w:r w:rsidRPr="006F11E7">
              <w:rPr>
                <w:sz w:val="22"/>
                <w:szCs w:val="22"/>
              </w:rPr>
              <w:t>O mercado utiliza a característica aspecto como forma rápida e fácil de verificação da qualidade do produ</w:t>
            </w:r>
            <w:r w:rsidR="00A34E67">
              <w:rPr>
                <w:sz w:val="22"/>
                <w:szCs w:val="22"/>
              </w:rPr>
              <w:t>to. Excluir essa característica</w:t>
            </w:r>
            <w:r w:rsidRPr="006F11E7">
              <w:rPr>
                <w:sz w:val="22"/>
                <w:szCs w:val="22"/>
              </w:rPr>
              <w:t xml:space="preserve"> traria prejuízo ao mercado e ao consumidor. Além disso, há possibilidade do produto apresentar problemas no Aspecto e possuir todas as outras características conformes.</w:t>
            </w:r>
          </w:p>
        </w:tc>
      </w:tr>
      <w:tr w:rsidR="000A1506" w:rsidRPr="000A58C4" w:rsidTr="00AC6460">
        <w:trPr>
          <w:trHeight w:val="412"/>
        </w:trPr>
        <w:tc>
          <w:tcPr>
            <w:tcW w:w="689" w:type="pct"/>
            <w:shd w:val="clear" w:color="auto" w:fill="FFFFFF"/>
            <w:vAlign w:val="center"/>
          </w:tcPr>
          <w:p w:rsidR="00E938B9" w:rsidRPr="000A58C4" w:rsidRDefault="00E938B9" w:rsidP="00284D7A">
            <w:pPr>
              <w:jc w:val="center"/>
              <w:rPr>
                <w:b/>
                <w:sz w:val="22"/>
                <w:szCs w:val="22"/>
              </w:rPr>
            </w:pPr>
            <w:r w:rsidRPr="000A58C4">
              <w:rPr>
                <w:b/>
                <w:sz w:val="22"/>
                <w:szCs w:val="22"/>
              </w:rPr>
              <w:t>PETROBRAS</w:t>
            </w:r>
          </w:p>
        </w:tc>
        <w:tc>
          <w:tcPr>
            <w:tcW w:w="391" w:type="pct"/>
            <w:shd w:val="clear" w:color="auto" w:fill="FFFFFF"/>
            <w:vAlign w:val="center"/>
          </w:tcPr>
          <w:p w:rsidR="00E938B9" w:rsidRPr="000A58C4" w:rsidRDefault="00E938B9" w:rsidP="00284D7A">
            <w:pPr>
              <w:jc w:val="center"/>
              <w:rPr>
                <w:rFonts w:eastAsia="Arial Unicode MS"/>
                <w:bCs/>
                <w:sz w:val="22"/>
                <w:szCs w:val="22"/>
              </w:rPr>
            </w:pPr>
            <w:r w:rsidRPr="000A58C4">
              <w:rPr>
                <w:bCs/>
                <w:color w:val="000000"/>
                <w:sz w:val="22"/>
                <w:szCs w:val="22"/>
              </w:rPr>
              <w:t>Art. 6º.</w:t>
            </w:r>
          </w:p>
        </w:tc>
        <w:tc>
          <w:tcPr>
            <w:tcW w:w="1130" w:type="pct"/>
            <w:gridSpan w:val="5"/>
            <w:shd w:val="clear" w:color="auto" w:fill="FFFFFF"/>
            <w:vAlign w:val="center"/>
          </w:tcPr>
          <w:p w:rsidR="00E938B9" w:rsidRPr="000A58C4" w:rsidRDefault="00E938B9" w:rsidP="00284D7A">
            <w:pPr>
              <w:jc w:val="both"/>
              <w:rPr>
                <w:b/>
                <w:sz w:val="22"/>
                <w:szCs w:val="22"/>
              </w:rPr>
            </w:pPr>
            <w:r w:rsidRPr="000A58C4">
              <w:rPr>
                <w:b/>
                <w:sz w:val="22"/>
                <w:szCs w:val="22"/>
              </w:rPr>
              <w:t>Comentário:</w:t>
            </w:r>
          </w:p>
          <w:p w:rsidR="00E938B9" w:rsidRPr="000A58C4" w:rsidRDefault="00E938B9" w:rsidP="00284D7A">
            <w:pPr>
              <w:jc w:val="both"/>
              <w:rPr>
                <w:sz w:val="22"/>
                <w:szCs w:val="22"/>
              </w:rPr>
            </w:pPr>
            <w:r w:rsidRPr="000A58C4">
              <w:rPr>
                <w:sz w:val="22"/>
                <w:szCs w:val="22"/>
              </w:rPr>
              <w:t>Alterar a redação da Nota 14 relativa ao Teor de Água para:</w:t>
            </w:r>
          </w:p>
          <w:p w:rsidR="00E938B9" w:rsidRPr="000A58C4" w:rsidRDefault="00E938B9" w:rsidP="00284D7A">
            <w:pPr>
              <w:jc w:val="both"/>
              <w:rPr>
                <w:sz w:val="22"/>
                <w:szCs w:val="22"/>
              </w:rPr>
            </w:pPr>
          </w:p>
          <w:p w:rsidR="00E938B9" w:rsidRPr="000A58C4" w:rsidRDefault="00E938B9" w:rsidP="00284D7A">
            <w:pPr>
              <w:jc w:val="both"/>
              <w:rPr>
                <w:sz w:val="22"/>
                <w:szCs w:val="22"/>
              </w:rPr>
            </w:pPr>
            <w:r w:rsidRPr="000A58C4">
              <w:rPr>
                <w:sz w:val="22"/>
                <w:szCs w:val="22"/>
              </w:rPr>
              <w:t xml:space="preserve">“Aplicável </w:t>
            </w:r>
            <w:r w:rsidRPr="000A58C4">
              <w:rPr>
                <w:color w:val="0000FF"/>
                <w:sz w:val="22"/>
                <w:szCs w:val="22"/>
                <w:u w:val="single"/>
              </w:rPr>
              <w:t>apenas para</w:t>
            </w:r>
            <w:r w:rsidRPr="000A58C4">
              <w:rPr>
                <w:sz w:val="22"/>
                <w:szCs w:val="22"/>
              </w:rPr>
              <w:t xml:space="preserve"> o óleo diesel A S10 </w:t>
            </w:r>
            <w:r w:rsidRPr="000A58C4">
              <w:rPr>
                <w:strike/>
                <w:color w:val="FF0000"/>
                <w:sz w:val="22"/>
                <w:szCs w:val="22"/>
              </w:rPr>
              <w:t>na produção e importação e, após 1° de janeiro de 2014, aos óleos diesel B S10 e B S500 na distribuição</w:t>
            </w:r>
            <w:r w:rsidRPr="000A58C4">
              <w:rPr>
                <w:sz w:val="22"/>
                <w:szCs w:val="22"/>
              </w:rPr>
              <w:t>”.</w:t>
            </w:r>
          </w:p>
          <w:p w:rsidR="00E938B9" w:rsidRPr="000A58C4" w:rsidRDefault="00E938B9" w:rsidP="00284D7A">
            <w:pPr>
              <w:jc w:val="both"/>
              <w:rPr>
                <w:sz w:val="22"/>
                <w:szCs w:val="22"/>
              </w:rPr>
            </w:pPr>
          </w:p>
          <w:p w:rsidR="00E938B9" w:rsidRPr="000A58C4" w:rsidRDefault="00C05893" w:rsidP="00284D7A">
            <w:pPr>
              <w:jc w:val="both"/>
              <w:rPr>
                <w:sz w:val="22"/>
                <w:szCs w:val="22"/>
              </w:rPr>
            </w:pPr>
            <w:r>
              <w:rPr>
                <w:sz w:val="22"/>
                <w:szCs w:val="22"/>
              </w:rPr>
              <w:t>Altera</w:t>
            </w:r>
            <w:r w:rsidR="00E938B9" w:rsidRPr="000A58C4">
              <w:rPr>
                <w:sz w:val="22"/>
                <w:szCs w:val="22"/>
              </w:rPr>
              <w:t xml:space="preserve">r o texto da Nota 14 relativa à Contaminação Total: </w:t>
            </w:r>
          </w:p>
          <w:p w:rsidR="00E938B9" w:rsidRPr="000A58C4" w:rsidRDefault="00E938B9" w:rsidP="00284D7A">
            <w:pPr>
              <w:jc w:val="both"/>
              <w:rPr>
                <w:sz w:val="22"/>
                <w:szCs w:val="22"/>
              </w:rPr>
            </w:pPr>
          </w:p>
          <w:p w:rsidR="00E938B9" w:rsidRPr="000A58C4" w:rsidRDefault="00E938B9" w:rsidP="00284D7A">
            <w:pPr>
              <w:jc w:val="both"/>
              <w:rPr>
                <w:sz w:val="22"/>
                <w:szCs w:val="22"/>
              </w:rPr>
            </w:pPr>
            <w:r w:rsidRPr="000A58C4">
              <w:rPr>
                <w:sz w:val="22"/>
                <w:szCs w:val="22"/>
              </w:rPr>
              <w:t>“</w:t>
            </w:r>
            <w:r w:rsidRPr="000A58C4">
              <w:rPr>
                <w:i/>
                <w:sz w:val="22"/>
                <w:szCs w:val="22"/>
              </w:rPr>
              <w:t xml:space="preserve">Aplicável ao óleo diesel A S10 na produção e importação e, após 1° de </w:t>
            </w:r>
            <w:r w:rsidRPr="000A58C4">
              <w:rPr>
                <w:i/>
                <w:sz w:val="22"/>
                <w:szCs w:val="22"/>
              </w:rPr>
              <w:lastRenderedPageBreak/>
              <w:t xml:space="preserve">janeiro de 2014, </w:t>
            </w:r>
            <w:r w:rsidRPr="000A58C4">
              <w:rPr>
                <w:i/>
                <w:color w:val="0000FF"/>
                <w:sz w:val="22"/>
                <w:szCs w:val="22"/>
                <w:u w:val="single"/>
              </w:rPr>
              <w:t>também</w:t>
            </w:r>
            <w:r w:rsidRPr="000A58C4">
              <w:rPr>
                <w:i/>
                <w:sz w:val="22"/>
                <w:szCs w:val="22"/>
              </w:rPr>
              <w:t xml:space="preserve"> aos óleos diesel B S10 e B S500 na distribuição.”</w:t>
            </w:r>
          </w:p>
        </w:tc>
        <w:tc>
          <w:tcPr>
            <w:tcW w:w="1618" w:type="pct"/>
            <w:shd w:val="clear" w:color="auto" w:fill="FFFFFF"/>
            <w:vAlign w:val="center"/>
          </w:tcPr>
          <w:p w:rsidR="00E938B9" w:rsidRPr="000A58C4" w:rsidRDefault="00E938B9" w:rsidP="00284D7A">
            <w:pPr>
              <w:jc w:val="both"/>
              <w:rPr>
                <w:rFonts w:eastAsia="Arial Unicode MS"/>
                <w:sz w:val="22"/>
                <w:szCs w:val="22"/>
              </w:rPr>
            </w:pPr>
            <w:r w:rsidRPr="000A58C4">
              <w:rPr>
                <w:sz w:val="22"/>
                <w:szCs w:val="22"/>
              </w:rPr>
              <w:lastRenderedPageBreak/>
              <w:t>Considerando que o óleo diesel B existe somente no caminhão-tanque e a homogeneização do produto ainda não está completa nessa fase, a amostra retirada para a determinação do Teor de Água poderá não representar o produto.</w:t>
            </w:r>
          </w:p>
        </w:tc>
        <w:tc>
          <w:tcPr>
            <w:tcW w:w="1172" w:type="pct"/>
            <w:gridSpan w:val="5"/>
            <w:shd w:val="clear" w:color="auto" w:fill="FFFFFF"/>
            <w:vAlign w:val="center"/>
          </w:tcPr>
          <w:p w:rsidR="00F378DA" w:rsidRDefault="00F378DA" w:rsidP="00284D7A">
            <w:pPr>
              <w:jc w:val="both"/>
              <w:rPr>
                <w:b/>
                <w:sz w:val="22"/>
                <w:szCs w:val="22"/>
              </w:rPr>
            </w:pPr>
          </w:p>
          <w:p w:rsidR="00E938B9" w:rsidRDefault="00874180" w:rsidP="00284D7A">
            <w:pPr>
              <w:jc w:val="both"/>
              <w:rPr>
                <w:b/>
                <w:sz w:val="22"/>
                <w:szCs w:val="22"/>
              </w:rPr>
            </w:pPr>
            <w:r>
              <w:rPr>
                <w:b/>
                <w:sz w:val="22"/>
                <w:szCs w:val="22"/>
              </w:rPr>
              <w:t>INCORPORAD</w:t>
            </w:r>
            <w:r w:rsidR="00626994">
              <w:rPr>
                <w:b/>
                <w:sz w:val="22"/>
                <w:szCs w:val="22"/>
              </w:rPr>
              <w:t>A PARCIALMENTE</w:t>
            </w:r>
          </w:p>
          <w:p w:rsidR="00874180" w:rsidRDefault="00874180" w:rsidP="00284D7A">
            <w:pPr>
              <w:jc w:val="both"/>
              <w:rPr>
                <w:b/>
                <w:sz w:val="22"/>
                <w:szCs w:val="22"/>
              </w:rPr>
            </w:pPr>
          </w:p>
          <w:p w:rsidR="00874180" w:rsidRDefault="00874180" w:rsidP="00284D7A">
            <w:pPr>
              <w:jc w:val="both"/>
              <w:rPr>
                <w:b/>
                <w:sz w:val="22"/>
                <w:szCs w:val="22"/>
              </w:rPr>
            </w:pPr>
            <w:r>
              <w:rPr>
                <w:b/>
                <w:sz w:val="22"/>
                <w:szCs w:val="22"/>
              </w:rPr>
              <w:t>Justificativa:</w:t>
            </w:r>
          </w:p>
          <w:p w:rsidR="00874180" w:rsidRDefault="00A34E67" w:rsidP="00284D7A">
            <w:pPr>
              <w:jc w:val="both"/>
              <w:rPr>
                <w:sz w:val="22"/>
                <w:szCs w:val="22"/>
              </w:rPr>
            </w:pPr>
            <w:r w:rsidRPr="00394E43">
              <w:rPr>
                <w:rFonts w:eastAsia="Arial Unicode MS"/>
                <w:sz w:val="22"/>
                <w:szCs w:val="22"/>
              </w:rPr>
              <w:t xml:space="preserve">A alegação de falta de homogeneidade do óleo diesel B não influência significativamente no teor de água final, uma vez que apesar de ambos </w:t>
            </w:r>
            <w:r w:rsidR="00F62DE9">
              <w:rPr>
                <w:rFonts w:eastAsia="Arial Unicode MS"/>
                <w:sz w:val="22"/>
                <w:szCs w:val="22"/>
              </w:rPr>
              <w:t xml:space="preserve">os </w:t>
            </w:r>
            <w:r w:rsidRPr="00394E43">
              <w:rPr>
                <w:rFonts w:eastAsia="Arial Unicode MS"/>
                <w:sz w:val="22"/>
                <w:szCs w:val="22"/>
              </w:rPr>
              <w:t xml:space="preserve">produtos </w:t>
            </w:r>
            <w:r w:rsidR="00F62DE9">
              <w:rPr>
                <w:rFonts w:eastAsia="Arial Unicode MS"/>
                <w:sz w:val="22"/>
                <w:szCs w:val="22"/>
              </w:rPr>
              <w:t xml:space="preserve">(óleo diesel e biodiesel) </w:t>
            </w:r>
            <w:r w:rsidRPr="00394E43">
              <w:rPr>
                <w:rFonts w:eastAsia="Arial Unicode MS"/>
                <w:sz w:val="22"/>
                <w:szCs w:val="22"/>
              </w:rPr>
              <w:t xml:space="preserve">apresentarem teores significativos de água, o percentual de biodiesel adicionado ao diesel é muito pequeno (5%). Ademais, o segmento da distribuição não mostrou durante a </w:t>
            </w:r>
            <w:r w:rsidRPr="00394E43">
              <w:rPr>
                <w:rFonts w:eastAsia="Arial Unicode MS"/>
                <w:sz w:val="22"/>
                <w:szCs w:val="22"/>
              </w:rPr>
              <w:lastRenderedPageBreak/>
              <w:t xml:space="preserve">consulta e audiência públicas objeção ao dispositivo que lhe afeta diretamente. Portanto, a ANP </w:t>
            </w:r>
            <w:r w:rsidR="00F62DE9">
              <w:rPr>
                <w:rFonts w:eastAsia="Arial Unicode MS"/>
                <w:sz w:val="22"/>
                <w:szCs w:val="22"/>
              </w:rPr>
              <w:t xml:space="preserve">entende </w:t>
            </w:r>
            <w:r w:rsidRPr="00394E43">
              <w:rPr>
                <w:rFonts w:eastAsia="Arial Unicode MS"/>
                <w:sz w:val="22"/>
                <w:szCs w:val="22"/>
              </w:rPr>
              <w:t xml:space="preserve">que </w:t>
            </w:r>
            <w:r w:rsidR="00F62DE9">
              <w:rPr>
                <w:rFonts w:eastAsia="Arial Unicode MS"/>
                <w:sz w:val="22"/>
                <w:szCs w:val="22"/>
              </w:rPr>
              <w:t xml:space="preserve">deve ser </w:t>
            </w:r>
            <w:r w:rsidRPr="00394E43">
              <w:rPr>
                <w:rFonts w:eastAsia="Arial Unicode MS"/>
                <w:sz w:val="22"/>
                <w:szCs w:val="22"/>
              </w:rPr>
              <w:t>mantido o dispositivo com vistas a um melhor controle da qualidade do produto comercializado.</w:t>
            </w:r>
          </w:p>
          <w:p w:rsidR="00626994" w:rsidRDefault="00626994" w:rsidP="00284D7A">
            <w:pPr>
              <w:jc w:val="both"/>
              <w:rPr>
                <w:sz w:val="22"/>
                <w:szCs w:val="22"/>
              </w:rPr>
            </w:pPr>
          </w:p>
          <w:p w:rsidR="00626994" w:rsidRPr="00874180" w:rsidRDefault="00A34E67" w:rsidP="00284D7A">
            <w:pPr>
              <w:jc w:val="both"/>
              <w:rPr>
                <w:sz w:val="22"/>
                <w:szCs w:val="22"/>
              </w:rPr>
            </w:pPr>
            <w:r>
              <w:rPr>
                <w:sz w:val="22"/>
                <w:szCs w:val="22"/>
              </w:rPr>
              <w:t>O</w:t>
            </w:r>
            <w:r w:rsidR="00626994">
              <w:rPr>
                <w:sz w:val="22"/>
                <w:szCs w:val="22"/>
              </w:rPr>
              <w:t xml:space="preserve"> termo “também” sugerido pela PETROBRAS foi incorporado ao texto da minuta.</w:t>
            </w:r>
          </w:p>
        </w:tc>
      </w:tr>
      <w:tr w:rsidR="000A1506" w:rsidRPr="009C46C3" w:rsidTr="00F378DA">
        <w:trPr>
          <w:trHeight w:val="3063"/>
        </w:trPr>
        <w:tc>
          <w:tcPr>
            <w:tcW w:w="689" w:type="pct"/>
            <w:shd w:val="clear" w:color="auto" w:fill="auto"/>
            <w:vAlign w:val="center"/>
          </w:tcPr>
          <w:p w:rsidR="00E938B9" w:rsidRPr="0053775C" w:rsidRDefault="00E938B9" w:rsidP="00284D7A">
            <w:pPr>
              <w:jc w:val="center"/>
              <w:rPr>
                <w:b/>
                <w:sz w:val="22"/>
                <w:szCs w:val="22"/>
              </w:rPr>
            </w:pPr>
            <w:r w:rsidRPr="0053775C">
              <w:rPr>
                <w:b/>
                <w:sz w:val="22"/>
                <w:szCs w:val="22"/>
              </w:rPr>
              <w:lastRenderedPageBreak/>
              <w:t>PETROBRAS</w:t>
            </w:r>
          </w:p>
        </w:tc>
        <w:tc>
          <w:tcPr>
            <w:tcW w:w="391" w:type="pct"/>
            <w:shd w:val="clear" w:color="auto" w:fill="auto"/>
            <w:vAlign w:val="center"/>
          </w:tcPr>
          <w:p w:rsidR="00E938B9" w:rsidRPr="0053775C" w:rsidRDefault="00E938B9" w:rsidP="00284D7A">
            <w:pPr>
              <w:jc w:val="center"/>
              <w:rPr>
                <w:rFonts w:eastAsia="Arial Unicode MS"/>
                <w:bCs/>
                <w:sz w:val="22"/>
                <w:szCs w:val="22"/>
              </w:rPr>
            </w:pPr>
            <w:r w:rsidRPr="0053775C">
              <w:rPr>
                <w:bCs/>
                <w:color w:val="000000"/>
                <w:sz w:val="22"/>
                <w:szCs w:val="22"/>
              </w:rPr>
              <w:t>Art. 6º.</w:t>
            </w:r>
          </w:p>
        </w:tc>
        <w:tc>
          <w:tcPr>
            <w:tcW w:w="1130" w:type="pct"/>
            <w:gridSpan w:val="5"/>
            <w:shd w:val="clear" w:color="auto" w:fill="auto"/>
            <w:vAlign w:val="center"/>
          </w:tcPr>
          <w:p w:rsidR="00E938B9" w:rsidRPr="0053775C" w:rsidRDefault="00E938B9" w:rsidP="00284D7A">
            <w:pPr>
              <w:jc w:val="both"/>
              <w:rPr>
                <w:b/>
                <w:sz w:val="22"/>
                <w:szCs w:val="22"/>
              </w:rPr>
            </w:pPr>
            <w:r w:rsidRPr="0053775C">
              <w:rPr>
                <w:b/>
                <w:sz w:val="22"/>
                <w:szCs w:val="22"/>
              </w:rPr>
              <w:t>Comentário:</w:t>
            </w:r>
          </w:p>
          <w:p w:rsidR="00E938B9" w:rsidRPr="0053775C" w:rsidRDefault="00E938B9" w:rsidP="00284D7A">
            <w:pPr>
              <w:jc w:val="both"/>
              <w:rPr>
                <w:sz w:val="22"/>
                <w:szCs w:val="22"/>
              </w:rPr>
            </w:pPr>
            <w:r w:rsidRPr="0053775C">
              <w:rPr>
                <w:sz w:val="22"/>
                <w:szCs w:val="22"/>
              </w:rPr>
              <w:t>Incluir NOTA relativa ao número de cetano do diesel S10, indicando que deverá ser levada em conta a reprodutibilidade do método de aferição adotado nas recertificações realizadas a exemplo do teor de enxofre.</w:t>
            </w:r>
          </w:p>
        </w:tc>
        <w:tc>
          <w:tcPr>
            <w:tcW w:w="1618" w:type="pct"/>
            <w:shd w:val="clear" w:color="auto" w:fill="auto"/>
            <w:vAlign w:val="center"/>
          </w:tcPr>
          <w:p w:rsidR="00E938B9" w:rsidRPr="0053775C" w:rsidRDefault="00E938B9" w:rsidP="00284D7A">
            <w:pPr>
              <w:jc w:val="both"/>
              <w:rPr>
                <w:rFonts w:eastAsia="Arial Unicode MS"/>
                <w:sz w:val="22"/>
                <w:szCs w:val="22"/>
              </w:rPr>
            </w:pPr>
            <w:r w:rsidRPr="0053775C">
              <w:rPr>
                <w:sz w:val="22"/>
                <w:szCs w:val="22"/>
              </w:rPr>
              <w:t>A reprodutibilidade deste método é alta, restringindo as fontes no mercado internacional que possam garantir uma recertificação de 48 mín no Brasil. Apesar desse item de qualidade ser passível de ajustamento através de aditivação (a um custo associado), limitações de ordem logística podem comprometer a eficácia desse processo de enquadramento, e levar, por conseguinte, a atrasos consideráveis no recebimento do produto conforme no Brasil e, em casos mais extremos, a situações de desabastecimento do mercado nacional.</w:t>
            </w:r>
          </w:p>
        </w:tc>
        <w:tc>
          <w:tcPr>
            <w:tcW w:w="1172" w:type="pct"/>
            <w:gridSpan w:val="5"/>
            <w:shd w:val="clear" w:color="auto" w:fill="auto"/>
            <w:vAlign w:val="center"/>
          </w:tcPr>
          <w:p w:rsidR="00E938B9" w:rsidRPr="0053775C" w:rsidRDefault="003A7454" w:rsidP="00284D7A">
            <w:pPr>
              <w:jc w:val="both"/>
              <w:rPr>
                <w:b/>
                <w:sz w:val="22"/>
                <w:szCs w:val="22"/>
              </w:rPr>
            </w:pPr>
            <w:r w:rsidRPr="0053775C">
              <w:rPr>
                <w:b/>
                <w:sz w:val="22"/>
                <w:szCs w:val="22"/>
              </w:rPr>
              <w:t>NÃO INCORPORADA</w:t>
            </w:r>
          </w:p>
          <w:p w:rsidR="0053775C" w:rsidRPr="0053775C" w:rsidRDefault="0053775C" w:rsidP="00284D7A">
            <w:pPr>
              <w:jc w:val="both"/>
              <w:rPr>
                <w:b/>
                <w:sz w:val="22"/>
                <w:szCs w:val="22"/>
              </w:rPr>
            </w:pPr>
          </w:p>
          <w:p w:rsidR="0053775C" w:rsidRPr="0053775C" w:rsidRDefault="0053775C" w:rsidP="00CD33A0">
            <w:pPr>
              <w:jc w:val="both"/>
              <w:rPr>
                <w:b/>
                <w:sz w:val="22"/>
                <w:szCs w:val="22"/>
              </w:rPr>
            </w:pPr>
            <w:r w:rsidRPr="00772E31">
              <w:rPr>
                <w:sz w:val="22"/>
                <w:szCs w:val="22"/>
              </w:rPr>
              <w:t xml:space="preserve">Essa sugestão será </w:t>
            </w:r>
            <w:r w:rsidR="00CD33A0">
              <w:rPr>
                <w:sz w:val="22"/>
                <w:szCs w:val="22"/>
              </w:rPr>
              <w:t>avaliada</w:t>
            </w:r>
            <w:r w:rsidRPr="00772E31">
              <w:rPr>
                <w:sz w:val="22"/>
                <w:szCs w:val="22"/>
              </w:rPr>
              <w:t xml:space="preserve"> n</w:t>
            </w:r>
            <w:r w:rsidR="00AA1BC4">
              <w:rPr>
                <w:sz w:val="22"/>
                <w:szCs w:val="22"/>
              </w:rPr>
              <w:t>o âmbito d</w:t>
            </w:r>
            <w:r w:rsidRPr="00772E31">
              <w:rPr>
                <w:sz w:val="22"/>
                <w:szCs w:val="22"/>
              </w:rPr>
              <w:t>a Revisão da Resolução ANP nº311/2001</w:t>
            </w:r>
            <w:r w:rsidR="00CD33A0">
              <w:rPr>
                <w:sz w:val="22"/>
                <w:szCs w:val="22"/>
              </w:rPr>
              <w:t xml:space="preserve"> </w:t>
            </w:r>
            <w:r w:rsidRPr="00772E31">
              <w:rPr>
                <w:sz w:val="22"/>
                <w:szCs w:val="22"/>
              </w:rPr>
              <w:t xml:space="preserve">relativa </w:t>
            </w:r>
            <w:r w:rsidR="00CD33A0" w:rsidRPr="00772E31">
              <w:rPr>
                <w:sz w:val="22"/>
                <w:szCs w:val="22"/>
              </w:rPr>
              <w:t>à</w:t>
            </w:r>
            <w:r w:rsidRPr="00772E31">
              <w:rPr>
                <w:sz w:val="22"/>
                <w:szCs w:val="22"/>
              </w:rPr>
              <w:t xml:space="preserve"> importação</w:t>
            </w:r>
            <w:r w:rsidRPr="00772E31">
              <w:rPr>
                <w:b/>
                <w:sz w:val="22"/>
                <w:szCs w:val="22"/>
              </w:rPr>
              <w:t>.</w:t>
            </w:r>
          </w:p>
        </w:tc>
      </w:tr>
      <w:tr w:rsidR="000A1506" w:rsidRPr="00F06128" w:rsidTr="00AC6460">
        <w:trPr>
          <w:trHeight w:val="2124"/>
        </w:trPr>
        <w:tc>
          <w:tcPr>
            <w:tcW w:w="689" w:type="pct"/>
            <w:shd w:val="clear" w:color="auto" w:fill="FFFFFF"/>
            <w:vAlign w:val="center"/>
          </w:tcPr>
          <w:p w:rsidR="00E938B9" w:rsidRPr="00F06128" w:rsidRDefault="00E938B9" w:rsidP="00284D7A">
            <w:pPr>
              <w:jc w:val="center"/>
              <w:rPr>
                <w:b/>
                <w:sz w:val="22"/>
                <w:szCs w:val="22"/>
              </w:rPr>
            </w:pPr>
            <w:r w:rsidRPr="00F06128">
              <w:rPr>
                <w:b/>
                <w:sz w:val="22"/>
                <w:szCs w:val="22"/>
              </w:rPr>
              <w:t>PETROBRAS</w:t>
            </w:r>
          </w:p>
        </w:tc>
        <w:tc>
          <w:tcPr>
            <w:tcW w:w="391" w:type="pct"/>
            <w:shd w:val="clear" w:color="auto" w:fill="FFFFFF"/>
            <w:vAlign w:val="center"/>
          </w:tcPr>
          <w:p w:rsidR="00E938B9" w:rsidRPr="00F06128" w:rsidRDefault="00E938B9" w:rsidP="00284D7A">
            <w:pPr>
              <w:jc w:val="center"/>
              <w:rPr>
                <w:rFonts w:eastAsia="Arial Unicode MS"/>
                <w:bCs/>
                <w:sz w:val="22"/>
                <w:szCs w:val="22"/>
              </w:rPr>
            </w:pPr>
            <w:r w:rsidRPr="00F06128">
              <w:rPr>
                <w:bCs/>
                <w:color w:val="000000"/>
                <w:sz w:val="22"/>
                <w:szCs w:val="22"/>
              </w:rPr>
              <w:t>Art. 6º.</w:t>
            </w:r>
          </w:p>
        </w:tc>
        <w:tc>
          <w:tcPr>
            <w:tcW w:w="1130" w:type="pct"/>
            <w:gridSpan w:val="5"/>
            <w:shd w:val="clear" w:color="auto" w:fill="FFFFFF"/>
            <w:vAlign w:val="center"/>
          </w:tcPr>
          <w:p w:rsidR="00E938B9" w:rsidRPr="00F06128" w:rsidRDefault="00E938B9" w:rsidP="00284D7A">
            <w:pPr>
              <w:jc w:val="both"/>
              <w:rPr>
                <w:b/>
                <w:sz w:val="22"/>
                <w:szCs w:val="22"/>
              </w:rPr>
            </w:pPr>
            <w:r w:rsidRPr="00F06128">
              <w:rPr>
                <w:b/>
                <w:sz w:val="22"/>
                <w:szCs w:val="22"/>
              </w:rPr>
              <w:t>Comentário:</w:t>
            </w:r>
          </w:p>
          <w:p w:rsidR="00E938B9" w:rsidRPr="00F06128" w:rsidRDefault="00E938B9" w:rsidP="00284D7A">
            <w:pPr>
              <w:jc w:val="both"/>
              <w:rPr>
                <w:rFonts w:eastAsia="Arial Unicode MS"/>
                <w:sz w:val="22"/>
                <w:szCs w:val="22"/>
              </w:rPr>
            </w:pPr>
            <w:r w:rsidRPr="00F06128">
              <w:rPr>
                <w:sz w:val="22"/>
                <w:szCs w:val="22"/>
              </w:rPr>
              <w:t>Incluir os método ASTM D7039 e D7220 , para a característica Enxofre Total,  também para o Diesel S500.</w:t>
            </w:r>
          </w:p>
        </w:tc>
        <w:tc>
          <w:tcPr>
            <w:tcW w:w="1618" w:type="pct"/>
            <w:shd w:val="clear" w:color="auto" w:fill="FFFFFF"/>
            <w:vAlign w:val="center"/>
          </w:tcPr>
          <w:p w:rsidR="00E938B9" w:rsidRPr="00F06128" w:rsidRDefault="00E938B9" w:rsidP="00284D7A">
            <w:pPr>
              <w:jc w:val="both"/>
              <w:rPr>
                <w:rFonts w:eastAsia="Arial Unicode MS"/>
                <w:sz w:val="22"/>
                <w:szCs w:val="22"/>
              </w:rPr>
            </w:pPr>
            <w:r w:rsidRPr="00F06128">
              <w:rPr>
                <w:sz w:val="22"/>
                <w:szCs w:val="22"/>
              </w:rPr>
              <w:t>A faixa de validade do método D7039 vai de 4 a 500 mg/kg e do D7220 vai de 3 a 942 mg/kg.</w:t>
            </w:r>
          </w:p>
        </w:tc>
        <w:tc>
          <w:tcPr>
            <w:tcW w:w="1172" w:type="pct"/>
            <w:gridSpan w:val="5"/>
            <w:shd w:val="clear" w:color="auto" w:fill="FFFFFF"/>
            <w:vAlign w:val="center"/>
          </w:tcPr>
          <w:p w:rsidR="00F378DA" w:rsidRDefault="00F378DA" w:rsidP="00284D7A">
            <w:pPr>
              <w:jc w:val="both"/>
              <w:rPr>
                <w:b/>
                <w:sz w:val="22"/>
                <w:szCs w:val="22"/>
              </w:rPr>
            </w:pPr>
          </w:p>
          <w:p w:rsidR="00E938B9" w:rsidRDefault="003A7454" w:rsidP="00284D7A">
            <w:pPr>
              <w:jc w:val="both"/>
              <w:rPr>
                <w:b/>
                <w:sz w:val="22"/>
                <w:szCs w:val="22"/>
              </w:rPr>
            </w:pPr>
            <w:r>
              <w:rPr>
                <w:b/>
                <w:sz w:val="22"/>
                <w:szCs w:val="22"/>
              </w:rPr>
              <w:t>INCORPORADA PARCIALMENTE</w:t>
            </w:r>
          </w:p>
          <w:p w:rsidR="003A7454" w:rsidRDefault="003A7454" w:rsidP="00284D7A">
            <w:pPr>
              <w:jc w:val="both"/>
              <w:rPr>
                <w:b/>
                <w:sz w:val="22"/>
                <w:szCs w:val="22"/>
              </w:rPr>
            </w:pPr>
          </w:p>
          <w:p w:rsidR="003A7454" w:rsidRDefault="003A7454" w:rsidP="00284D7A">
            <w:pPr>
              <w:jc w:val="both"/>
              <w:rPr>
                <w:b/>
                <w:sz w:val="22"/>
                <w:szCs w:val="22"/>
              </w:rPr>
            </w:pPr>
            <w:r>
              <w:rPr>
                <w:b/>
                <w:sz w:val="22"/>
                <w:szCs w:val="22"/>
              </w:rPr>
              <w:t>Justificativa:</w:t>
            </w:r>
          </w:p>
          <w:p w:rsidR="003A7454" w:rsidRPr="003A7454" w:rsidRDefault="003A7454" w:rsidP="00284D7A">
            <w:pPr>
              <w:jc w:val="both"/>
              <w:rPr>
                <w:sz w:val="22"/>
                <w:szCs w:val="22"/>
              </w:rPr>
            </w:pPr>
            <w:r w:rsidRPr="003A7454">
              <w:rPr>
                <w:sz w:val="22"/>
                <w:szCs w:val="22"/>
              </w:rPr>
              <w:t xml:space="preserve">Aceito o método ASTM D7220. </w:t>
            </w:r>
          </w:p>
          <w:p w:rsidR="00C05893" w:rsidRPr="003A7454" w:rsidRDefault="001177F8" w:rsidP="00284D7A">
            <w:pPr>
              <w:jc w:val="both"/>
              <w:rPr>
                <w:sz w:val="22"/>
                <w:szCs w:val="22"/>
              </w:rPr>
            </w:pPr>
            <w:r>
              <w:rPr>
                <w:sz w:val="22"/>
                <w:szCs w:val="22"/>
              </w:rPr>
              <w:t xml:space="preserve">Em relação </w:t>
            </w:r>
            <w:r w:rsidR="00AA1BC4">
              <w:rPr>
                <w:sz w:val="22"/>
                <w:szCs w:val="22"/>
              </w:rPr>
              <w:t xml:space="preserve">ao método </w:t>
            </w:r>
            <w:r>
              <w:rPr>
                <w:sz w:val="22"/>
                <w:szCs w:val="22"/>
              </w:rPr>
              <w:t>ASTM D7039</w:t>
            </w:r>
            <w:r w:rsidR="00AA1BC4">
              <w:rPr>
                <w:sz w:val="22"/>
                <w:szCs w:val="22"/>
              </w:rPr>
              <w:t>,</w:t>
            </w:r>
            <w:r>
              <w:rPr>
                <w:sz w:val="22"/>
                <w:szCs w:val="22"/>
              </w:rPr>
              <w:t xml:space="preserve"> a versão da norma ASTM D975-12 (especificação do diesel americano) indica que a faixa de uso desse método é de 4-17 mg/kg, sendo assim, não aplicável para o diesel S500.</w:t>
            </w:r>
          </w:p>
        </w:tc>
      </w:tr>
      <w:tr w:rsidR="000A1506" w:rsidRPr="00F06128" w:rsidTr="00AC6460">
        <w:trPr>
          <w:trHeight w:val="1120"/>
        </w:trPr>
        <w:tc>
          <w:tcPr>
            <w:tcW w:w="689" w:type="pct"/>
            <w:shd w:val="clear" w:color="auto" w:fill="FFFFFF"/>
            <w:vAlign w:val="center"/>
          </w:tcPr>
          <w:p w:rsidR="00E938B9" w:rsidRPr="00F06128" w:rsidRDefault="00E938B9" w:rsidP="00284D7A">
            <w:pPr>
              <w:jc w:val="center"/>
              <w:rPr>
                <w:b/>
                <w:sz w:val="22"/>
                <w:szCs w:val="22"/>
              </w:rPr>
            </w:pPr>
            <w:r w:rsidRPr="00F06128">
              <w:rPr>
                <w:b/>
                <w:sz w:val="22"/>
                <w:szCs w:val="22"/>
              </w:rPr>
              <w:t>PETROBRAS</w:t>
            </w:r>
          </w:p>
        </w:tc>
        <w:tc>
          <w:tcPr>
            <w:tcW w:w="391" w:type="pct"/>
            <w:shd w:val="clear" w:color="auto" w:fill="FFFFFF"/>
            <w:vAlign w:val="center"/>
          </w:tcPr>
          <w:p w:rsidR="00E938B9" w:rsidRPr="00F06128" w:rsidRDefault="00E938B9" w:rsidP="00284D7A">
            <w:pPr>
              <w:jc w:val="center"/>
              <w:rPr>
                <w:rFonts w:eastAsia="Arial Unicode MS"/>
                <w:bCs/>
                <w:sz w:val="22"/>
                <w:szCs w:val="22"/>
              </w:rPr>
            </w:pPr>
            <w:r w:rsidRPr="00F06128">
              <w:rPr>
                <w:bCs/>
                <w:color w:val="000000"/>
                <w:sz w:val="22"/>
                <w:szCs w:val="22"/>
              </w:rPr>
              <w:t>Art. 6º.</w:t>
            </w:r>
          </w:p>
        </w:tc>
        <w:tc>
          <w:tcPr>
            <w:tcW w:w="1130" w:type="pct"/>
            <w:gridSpan w:val="5"/>
            <w:shd w:val="clear" w:color="auto" w:fill="FFFFFF"/>
            <w:vAlign w:val="center"/>
          </w:tcPr>
          <w:p w:rsidR="00E938B9" w:rsidRPr="00F06128" w:rsidRDefault="00E938B9" w:rsidP="00284D7A">
            <w:pPr>
              <w:jc w:val="both"/>
              <w:rPr>
                <w:b/>
                <w:sz w:val="22"/>
                <w:szCs w:val="22"/>
              </w:rPr>
            </w:pPr>
            <w:r w:rsidRPr="00F06128">
              <w:rPr>
                <w:b/>
                <w:sz w:val="22"/>
                <w:szCs w:val="22"/>
              </w:rPr>
              <w:t>Comentário:</w:t>
            </w:r>
          </w:p>
          <w:p w:rsidR="00E938B9" w:rsidRPr="00F06128" w:rsidRDefault="00E938B9" w:rsidP="00284D7A">
            <w:pPr>
              <w:jc w:val="both"/>
              <w:rPr>
                <w:rFonts w:eastAsia="Arial Unicode MS"/>
                <w:sz w:val="22"/>
                <w:szCs w:val="22"/>
              </w:rPr>
            </w:pPr>
            <w:r w:rsidRPr="00F06128">
              <w:rPr>
                <w:sz w:val="22"/>
                <w:szCs w:val="22"/>
              </w:rPr>
              <w:t>Excluir a Nota 10 para o método D7220.</w:t>
            </w:r>
          </w:p>
        </w:tc>
        <w:tc>
          <w:tcPr>
            <w:tcW w:w="1618" w:type="pct"/>
            <w:shd w:val="clear" w:color="auto" w:fill="FFFFFF"/>
            <w:vAlign w:val="center"/>
          </w:tcPr>
          <w:p w:rsidR="00E938B9" w:rsidRPr="00F06128" w:rsidRDefault="00E938B9" w:rsidP="00284D7A">
            <w:pPr>
              <w:jc w:val="both"/>
              <w:rPr>
                <w:rFonts w:eastAsia="Arial Unicode MS"/>
                <w:sz w:val="22"/>
                <w:szCs w:val="22"/>
              </w:rPr>
            </w:pPr>
            <w:r w:rsidRPr="00F06128">
              <w:rPr>
                <w:sz w:val="22"/>
                <w:szCs w:val="22"/>
              </w:rPr>
              <w:t>Pois este método vale para misturas diesel-biodiesel (até B20).</w:t>
            </w:r>
          </w:p>
        </w:tc>
        <w:tc>
          <w:tcPr>
            <w:tcW w:w="1172" w:type="pct"/>
            <w:gridSpan w:val="5"/>
            <w:shd w:val="clear" w:color="auto" w:fill="FFFFFF"/>
            <w:vAlign w:val="center"/>
          </w:tcPr>
          <w:p w:rsidR="00523FB3" w:rsidRDefault="00523FB3" w:rsidP="00284D7A">
            <w:pPr>
              <w:jc w:val="both"/>
              <w:rPr>
                <w:b/>
              </w:rPr>
            </w:pPr>
            <w:r w:rsidRPr="00DF0EB4">
              <w:rPr>
                <w:b/>
              </w:rPr>
              <w:t>INCORPORADA</w:t>
            </w:r>
          </w:p>
          <w:p w:rsidR="00E938B9" w:rsidRPr="00F06128" w:rsidRDefault="00E938B9" w:rsidP="00284D7A">
            <w:pPr>
              <w:jc w:val="both"/>
              <w:rPr>
                <w:sz w:val="22"/>
                <w:szCs w:val="22"/>
              </w:rPr>
            </w:pPr>
          </w:p>
        </w:tc>
      </w:tr>
      <w:tr w:rsidR="000A1506" w:rsidRPr="00B6048B" w:rsidTr="00F378DA">
        <w:trPr>
          <w:trHeight w:val="416"/>
        </w:trPr>
        <w:tc>
          <w:tcPr>
            <w:tcW w:w="689" w:type="pct"/>
            <w:shd w:val="clear" w:color="auto" w:fill="FFFFFF"/>
            <w:vAlign w:val="center"/>
          </w:tcPr>
          <w:p w:rsidR="00E938B9" w:rsidRPr="00B6048B" w:rsidRDefault="00E938B9" w:rsidP="00284D7A">
            <w:pPr>
              <w:jc w:val="center"/>
              <w:rPr>
                <w:b/>
                <w:sz w:val="22"/>
                <w:szCs w:val="22"/>
              </w:rPr>
            </w:pPr>
            <w:r w:rsidRPr="00B6048B">
              <w:rPr>
                <w:b/>
                <w:sz w:val="22"/>
                <w:szCs w:val="22"/>
              </w:rPr>
              <w:t>PETROBRAS</w:t>
            </w:r>
          </w:p>
        </w:tc>
        <w:tc>
          <w:tcPr>
            <w:tcW w:w="391" w:type="pct"/>
            <w:shd w:val="clear" w:color="auto" w:fill="FFFFFF"/>
            <w:vAlign w:val="center"/>
          </w:tcPr>
          <w:p w:rsidR="00E938B9" w:rsidRPr="00B6048B" w:rsidRDefault="00E938B9" w:rsidP="00284D7A">
            <w:pPr>
              <w:jc w:val="center"/>
              <w:rPr>
                <w:rFonts w:eastAsia="Arial Unicode MS"/>
                <w:bCs/>
                <w:sz w:val="22"/>
                <w:szCs w:val="22"/>
              </w:rPr>
            </w:pPr>
            <w:r w:rsidRPr="00B6048B">
              <w:rPr>
                <w:bCs/>
                <w:color w:val="000000"/>
                <w:sz w:val="22"/>
                <w:szCs w:val="22"/>
              </w:rPr>
              <w:t>Art. 6º.</w:t>
            </w:r>
          </w:p>
        </w:tc>
        <w:tc>
          <w:tcPr>
            <w:tcW w:w="1130" w:type="pct"/>
            <w:gridSpan w:val="5"/>
            <w:shd w:val="clear" w:color="auto" w:fill="FFFFFF"/>
            <w:vAlign w:val="center"/>
          </w:tcPr>
          <w:p w:rsidR="00E938B9" w:rsidRPr="00B6048B" w:rsidRDefault="00E938B9" w:rsidP="00284D7A">
            <w:pPr>
              <w:jc w:val="both"/>
              <w:rPr>
                <w:b/>
                <w:sz w:val="22"/>
                <w:szCs w:val="22"/>
              </w:rPr>
            </w:pPr>
            <w:r w:rsidRPr="00B6048B">
              <w:rPr>
                <w:b/>
                <w:sz w:val="22"/>
                <w:szCs w:val="22"/>
              </w:rPr>
              <w:t>Comentário:</w:t>
            </w:r>
          </w:p>
          <w:p w:rsidR="00E938B9" w:rsidRPr="00B6048B" w:rsidRDefault="00E938B9" w:rsidP="00284D7A">
            <w:pPr>
              <w:jc w:val="both"/>
              <w:rPr>
                <w:rFonts w:eastAsia="Arial Unicode MS"/>
                <w:sz w:val="22"/>
                <w:szCs w:val="22"/>
              </w:rPr>
            </w:pPr>
            <w:r w:rsidRPr="00B6048B">
              <w:rPr>
                <w:sz w:val="22"/>
                <w:szCs w:val="22"/>
              </w:rPr>
              <w:t xml:space="preserve">Corrigir a faixa de viscosidade do Diesel S50, de 2,0 a 5,0 mm2/s na Tabela I, mantendo os limites em </w:t>
            </w:r>
            <w:r w:rsidRPr="00B6048B">
              <w:rPr>
                <w:sz w:val="22"/>
                <w:szCs w:val="22"/>
              </w:rPr>
              <w:lastRenderedPageBreak/>
              <w:t>vigor na RANP 65/2011 iguais aos do Diesel S500 e S1800.</w:t>
            </w:r>
          </w:p>
        </w:tc>
        <w:tc>
          <w:tcPr>
            <w:tcW w:w="1618" w:type="pct"/>
            <w:shd w:val="clear" w:color="auto" w:fill="FFFFFF"/>
            <w:vAlign w:val="center"/>
          </w:tcPr>
          <w:p w:rsidR="00E938B9" w:rsidRPr="00B6048B" w:rsidRDefault="00E938B9" w:rsidP="00284D7A">
            <w:pPr>
              <w:jc w:val="both"/>
              <w:rPr>
                <w:rFonts w:eastAsia="Arial Unicode MS"/>
                <w:sz w:val="22"/>
                <w:szCs w:val="22"/>
              </w:rPr>
            </w:pPr>
            <w:r w:rsidRPr="00B6048B">
              <w:rPr>
                <w:sz w:val="22"/>
                <w:szCs w:val="22"/>
              </w:rPr>
              <w:lastRenderedPageBreak/>
              <w:t>A faixa de viscosidade de 2,0 a 4,5 mm2/s ficaria válida apenas para o Diesel S10, conforme Resolução 65/2011.</w:t>
            </w:r>
          </w:p>
        </w:tc>
        <w:tc>
          <w:tcPr>
            <w:tcW w:w="1172" w:type="pct"/>
            <w:gridSpan w:val="5"/>
            <w:shd w:val="clear" w:color="auto" w:fill="FFFFFF"/>
            <w:vAlign w:val="center"/>
          </w:tcPr>
          <w:p w:rsidR="00E938B9" w:rsidRPr="00B6048B" w:rsidRDefault="00523FB3" w:rsidP="00284D7A">
            <w:pPr>
              <w:jc w:val="both"/>
              <w:rPr>
                <w:sz w:val="22"/>
                <w:szCs w:val="22"/>
              </w:rPr>
            </w:pPr>
            <w:r w:rsidRPr="00DF0EB4">
              <w:rPr>
                <w:b/>
              </w:rPr>
              <w:t>INCORPORADA</w:t>
            </w:r>
          </w:p>
        </w:tc>
      </w:tr>
      <w:tr w:rsidR="000A1506" w:rsidRPr="00B6048B" w:rsidTr="00AC6460">
        <w:trPr>
          <w:trHeight w:val="1120"/>
        </w:trPr>
        <w:tc>
          <w:tcPr>
            <w:tcW w:w="689" w:type="pct"/>
            <w:shd w:val="clear" w:color="auto" w:fill="FFFFFF"/>
            <w:vAlign w:val="center"/>
          </w:tcPr>
          <w:p w:rsidR="00E938B9" w:rsidRPr="00B6048B" w:rsidRDefault="00E938B9" w:rsidP="00284D7A">
            <w:pPr>
              <w:jc w:val="center"/>
              <w:rPr>
                <w:b/>
                <w:sz w:val="22"/>
                <w:szCs w:val="22"/>
              </w:rPr>
            </w:pPr>
            <w:r w:rsidRPr="00B6048B">
              <w:rPr>
                <w:b/>
                <w:sz w:val="22"/>
                <w:szCs w:val="22"/>
              </w:rPr>
              <w:t>PETROBRAS</w:t>
            </w:r>
          </w:p>
        </w:tc>
        <w:tc>
          <w:tcPr>
            <w:tcW w:w="391" w:type="pct"/>
            <w:shd w:val="clear" w:color="auto" w:fill="FFFFFF"/>
            <w:vAlign w:val="center"/>
          </w:tcPr>
          <w:p w:rsidR="00E938B9" w:rsidRPr="00B6048B" w:rsidRDefault="00E938B9" w:rsidP="00284D7A">
            <w:pPr>
              <w:jc w:val="center"/>
              <w:rPr>
                <w:rFonts w:eastAsia="Arial Unicode MS"/>
                <w:bCs/>
                <w:sz w:val="22"/>
                <w:szCs w:val="22"/>
              </w:rPr>
            </w:pPr>
            <w:r w:rsidRPr="00B6048B">
              <w:rPr>
                <w:bCs/>
                <w:color w:val="000000"/>
                <w:sz w:val="22"/>
                <w:szCs w:val="22"/>
              </w:rPr>
              <w:t>Art. 6º.</w:t>
            </w:r>
          </w:p>
        </w:tc>
        <w:tc>
          <w:tcPr>
            <w:tcW w:w="1130" w:type="pct"/>
            <w:gridSpan w:val="5"/>
            <w:shd w:val="clear" w:color="auto" w:fill="FFFFFF"/>
            <w:vAlign w:val="center"/>
          </w:tcPr>
          <w:p w:rsidR="00E938B9" w:rsidRPr="00B6048B" w:rsidRDefault="00E938B9" w:rsidP="00284D7A">
            <w:pPr>
              <w:jc w:val="both"/>
              <w:rPr>
                <w:b/>
                <w:sz w:val="22"/>
                <w:szCs w:val="22"/>
              </w:rPr>
            </w:pPr>
            <w:r w:rsidRPr="00B6048B">
              <w:rPr>
                <w:b/>
                <w:sz w:val="22"/>
                <w:szCs w:val="22"/>
              </w:rPr>
              <w:t>Comentário:</w:t>
            </w:r>
          </w:p>
          <w:p w:rsidR="00E938B9" w:rsidRPr="00B6048B" w:rsidRDefault="00E938B9" w:rsidP="00284D7A">
            <w:pPr>
              <w:jc w:val="both"/>
              <w:rPr>
                <w:rFonts w:eastAsia="Arial Unicode MS"/>
                <w:sz w:val="22"/>
                <w:szCs w:val="22"/>
              </w:rPr>
            </w:pPr>
            <w:r w:rsidRPr="00B6048B">
              <w:rPr>
                <w:sz w:val="22"/>
                <w:szCs w:val="22"/>
              </w:rPr>
              <w:t>Para a característica Teor de Água, manter o valor "anotar" na especificação do Diesel S50 na Tabela I, conforme Resolução 65/2011.</w:t>
            </w:r>
          </w:p>
        </w:tc>
        <w:tc>
          <w:tcPr>
            <w:tcW w:w="1618" w:type="pct"/>
            <w:shd w:val="clear" w:color="auto" w:fill="FFFFFF"/>
            <w:vAlign w:val="center"/>
          </w:tcPr>
          <w:p w:rsidR="00E938B9" w:rsidRPr="00B6048B" w:rsidRDefault="00E938B9" w:rsidP="00284D7A">
            <w:pPr>
              <w:jc w:val="both"/>
              <w:rPr>
                <w:rFonts w:eastAsia="Arial Unicode MS"/>
                <w:sz w:val="22"/>
                <w:szCs w:val="22"/>
              </w:rPr>
            </w:pPr>
            <w:r w:rsidRPr="00B6048B">
              <w:rPr>
                <w:sz w:val="22"/>
                <w:szCs w:val="22"/>
              </w:rPr>
              <w:t>Correção da descrição.</w:t>
            </w:r>
          </w:p>
        </w:tc>
        <w:tc>
          <w:tcPr>
            <w:tcW w:w="1172" w:type="pct"/>
            <w:gridSpan w:val="5"/>
            <w:shd w:val="clear" w:color="auto" w:fill="FFFFFF"/>
            <w:vAlign w:val="center"/>
          </w:tcPr>
          <w:p w:rsidR="00E938B9" w:rsidRPr="00B6048B" w:rsidRDefault="00523FB3" w:rsidP="00284D7A">
            <w:pPr>
              <w:jc w:val="both"/>
              <w:rPr>
                <w:sz w:val="22"/>
                <w:szCs w:val="22"/>
              </w:rPr>
            </w:pPr>
            <w:r w:rsidRPr="00DF0EB4">
              <w:rPr>
                <w:b/>
              </w:rPr>
              <w:t>INCORPORADA</w:t>
            </w:r>
          </w:p>
        </w:tc>
      </w:tr>
      <w:tr w:rsidR="000A1506" w:rsidRPr="00B6048B" w:rsidTr="00AC6460">
        <w:trPr>
          <w:trHeight w:val="1120"/>
        </w:trPr>
        <w:tc>
          <w:tcPr>
            <w:tcW w:w="689" w:type="pct"/>
            <w:shd w:val="clear" w:color="auto" w:fill="FFFFFF"/>
            <w:vAlign w:val="center"/>
          </w:tcPr>
          <w:p w:rsidR="00E938B9" w:rsidRPr="00B6048B" w:rsidRDefault="00E938B9" w:rsidP="00284D7A">
            <w:pPr>
              <w:jc w:val="center"/>
              <w:rPr>
                <w:b/>
                <w:sz w:val="22"/>
                <w:szCs w:val="22"/>
              </w:rPr>
            </w:pPr>
            <w:r w:rsidRPr="00B6048B">
              <w:rPr>
                <w:b/>
                <w:sz w:val="22"/>
                <w:szCs w:val="22"/>
              </w:rPr>
              <w:t>PETROBRAS</w:t>
            </w:r>
          </w:p>
        </w:tc>
        <w:tc>
          <w:tcPr>
            <w:tcW w:w="391" w:type="pct"/>
            <w:shd w:val="clear" w:color="auto" w:fill="FFFFFF"/>
            <w:vAlign w:val="center"/>
          </w:tcPr>
          <w:p w:rsidR="00E938B9" w:rsidRPr="00B6048B" w:rsidRDefault="00E938B9" w:rsidP="00284D7A">
            <w:pPr>
              <w:jc w:val="center"/>
              <w:rPr>
                <w:rFonts w:eastAsia="Arial Unicode MS"/>
                <w:bCs/>
                <w:sz w:val="22"/>
                <w:szCs w:val="22"/>
              </w:rPr>
            </w:pPr>
            <w:r w:rsidRPr="00B6048B">
              <w:rPr>
                <w:bCs/>
                <w:color w:val="000000"/>
                <w:sz w:val="22"/>
                <w:szCs w:val="22"/>
              </w:rPr>
              <w:t>Art. 6º.</w:t>
            </w:r>
          </w:p>
        </w:tc>
        <w:tc>
          <w:tcPr>
            <w:tcW w:w="1130" w:type="pct"/>
            <w:gridSpan w:val="5"/>
            <w:shd w:val="clear" w:color="auto" w:fill="FFFFFF"/>
            <w:vAlign w:val="center"/>
          </w:tcPr>
          <w:p w:rsidR="00E938B9" w:rsidRPr="00B6048B" w:rsidRDefault="00E938B9" w:rsidP="00284D7A">
            <w:pPr>
              <w:jc w:val="both"/>
              <w:rPr>
                <w:b/>
                <w:sz w:val="22"/>
                <w:szCs w:val="22"/>
              </w:rPr>
            </w:pPr>
            <w:r w:rsidRPr="00B6048B">
              <w:rPr>
                <w:b/>
                <w:sz w:val="22"/>
                <w:szCs w:val="22"/>
              </w:rPr>
              <w:t>Comentário:</w:t>
            </w:r>
          </w:p>
          <w:p w:rsidR="00E938B9" w:rsidRPr="00B6048B" w:rsidRDefault="00E938B9" w:rsidP="00284D7A">
            <w:pPr>
              <w:jc w:val="both"/>
              <w:rPr>
                <w:rFonts w:eastAsia="Arial Unicode MS"/>
                <w:sz w:val="22"/>
                <w:szCs w:val="22"/>
              </w:rPr>
            </w:pPr>
            <w:r w:rsidRPr="00B6048B">
              <w:rPr>
                <w:sz w:val="22"/>
                <w:szCs w:val="22"/>
              </w:rPr>
              <w:t>Para a característica Contaminação Total, manter o valor "anotar" na especificação do Diesel S50 na Tabela I, conforme Resolução 65/2011.</w:t>
            </w:r>
          </w:p>
        </w:tc>
        <w:tc>
          <w:tcPr>
            <w:tcW w:w="1618" w:type="pct"/>
            <w:shd w:val="clear" w:color="auto" w:fill="FFFFFF"/>
            <w:vAlign w:val="center"/>
          </w:tcPr>
          <w:p w:rsidR="00E938B9" w:rsidRPr="00B6048B" w:rsidRDefault="00E938B9" w:rsidP="00284D7A">
            <w:pPr>
              <w:jc w:val="both"/>
              <w:rPr>
                <w:rFonts w:eastAsia="Arial Unicode MS"/>
                <w:sz w:val="22"/>
                <w:szCs w:val="22"/>
              </w:rPr>
            </w:pPr>
            <w:r w:rsidRPr="00B6048B">
              <w:rPr>
                <w:sz w:val="22"/>
                <w:szCs w:val="22"/>
              </w:rPr>
              <w:t>Correção da descrição.</w:t>
            </w:r>
          </w:p>
        </w:tc>
        <w:tc>
          <w:tcPr>
            <w:tcW w:w="1172" w:type="pct"/>
            <w:gridSpan w:val="5"/>
            <w:shd w:val="clear" w:color="auto" w:fill="FFFFFF"/>
            <w:vAlign w:val="center"/>
          </w:tcPr>
          <w:p w:rsidR="00523FB3" w:rsidRDefault="00523FB3" w:rsidP="00284D7A">
            <w:pPr>
              <w:jc w:val="both"/>
              <w:rPr>
                <w:b/>
              </w:rPr>
            </w:pPr>
            <w:r w:rsidRPr="00DF0EB4">
              <w:rPr>
                <w:b/>
              </w:rPr>
              <w:t>INCORPORADA</w:t>
            </w:r>
          </w:p>
          <w:p w:rsidR="00E938B9" w:rsidRPr="00B6048B" w:rsidRDefault="00523FB3" w:rsidP="00284D7A">
            <w:pPr>
              <w:jc w:val="both"/>
              <w:rPr>
                <w:sz w:val="22"/>
                <w:szCs w:val="22"/>
              </w:rPr>
            </w:pPr>
            <w:r>
              <w:t>.</w:t>
            </w:r>
          </w:p>
        </w:tc>
      </w:tr>
      <w:tr w:rsidR="000A1506" w:rsidRPr="00B6048B" w:rsidTr="00AC6460">
        <w:trPr>
          <w:trHeight w:val="1120"/>
        </w:trPr>
        <w:tc>
          <w:tcPr>
            <w:tcW w:w="689" w:type="pct"/>
            <w:shd w:val="clear" w:color="auto" w:fill="FFFFFF"/>
            <w:vAlign w:val="center"/>
          </w:tcPr>
          <w:p w:rsidR="00E938B9" w:rsidRPr="00B6048B" w:rsidRDefault="00E938B9" w:rsidP="00284D7A">
            <w:pPr>
              <w:jc w:val="center"/>
              <w:rPr>
                <w:b/>
                <w:sz w:val="22"/>
                <w:szCs w:val="22"/>
              </w:rPr>
            </w:pPr>
            <w:r w:rsidRPr="00B6048B">
              <w:rPr>
                <w:b/>
                <w:sz w:val="22"/>
                <w:szCs w:val="22"/>
              </w:rPr>
              <w:t>PETROBRAS</w:t>
            </w:r>
          </w:p>
        </w:tc>
        <w:tc>
          <w:tcPr>
            <w:tcW w:w="391" w:type="pct"/>
            <w:shd w:val="clear" w:color="auto" w:fill="FFFFFF"/>
            <w:vAlign w:val="center"/>
          </w:tcPr>
          <w:p w:rsidR="00E938B9" w:rsidRPr="00B6048B" w:rsidRDefault="00E938B9" w:rsidP="00284D7A">
            <w:pPr>
              <w:jc w:val="center"/>
              <w:rPr>
                <w:rFonts w:eastAsia="Arial Unicode MS"/>
                <w:bCs/>
                <w:sz w:val="22"/>
                <w:szCs w:val="22"/>
              </w:rPr>
            </w:pPr>
            <w:r w:rsidRPr="00B6048B">
              <w:rPr>
                <w:bCs/>
                <w:color w:val="000000"/>
                <w:sz w:val="22"/>
                <w:szCs w:val="22"/>
              </w:rPr>
              <w:t>Art. 6º.</w:t>
            </w:r>
          </w:p>
        </w:tc>
        <w:tc>
          <w:tcPr>
            <w:tcW w:w="1130" w:type="pct"/>
            <w:gridSpan w:val="5"/>
            <w:shd w:val="clear" w:color="auto" w:fill="FFFFFF"/>
            <w:vAlign w:val="center"/>
          </w:tcPr>
          <w:p w:rsidR="00E938B9" w:rsidRPr="00B6048B" w:rsidRDefault="00E938B9" w:rsidP="00284D7A">
            <w:pPr>
              <w:jc w:val="both"/>
              <w:rPr>
                <w:b/>
                <w:sz w:val="22"/>
                <w:szCs w:val="22"/>
              </w:rPr>
            </w:pPr>
            <w:r w:rsidRPr="00B6048B">
              <w:rPr>
                <w:b/>
                <w:sz w:val="22"/>
                <w:szCs w:val="22"/>
              </w:rPr>
              <w:t>Comentário:</w:t>
            </w:r>
          </w:p>
          <w:p w:rsidR="00E938B9" w:rsidRPr="00B6048B" w:rsidRDefault="00E938B9" w:rsidP="00284D7A">
            <w:pPr>
              <w:jc w:val="both"/>
              <w:rPr>
                <w:rFonts w:eastAsia="Arial Unicode MS"/>
                <w:sz w:val="22"/>
                <w:szCs w:val="22"/>
              </w:rPr>
            </w:pPr>
            <w:r w:rsidRPr="00B6048B">
              <w:rPr>
                <w:sz w:val="22"/>
                <w:szCs w:val="22"/>
              </w:rPr>
              <w:t>Para a característica Hidrocarbonetos Policíclicos Aromáticos, para o método ASTM D6591, corrigir para Nota 17 (e não nota 16).</w:t>
            </w:r>
          </w:p>
        </w:tc>
        <w:tc>
          <w:tcPr>
            <w:tcW w:w="1618" w:type="pct"/>
            <w:shd w:val="clear" w:color="auto" w:fill="FFFFFF"/>
            <w:vAlign w:val="center"/>
          </w:tcPr>
          <w:p w:rsidR="00E938B9" w:rsidRPr="00B6048B" w:rsidRDefault="00E938B9" w:rsidP="00284D7A">
            <w:pPr>
              <w:jc w:val="both"/>
              <w:rPr>
                <w:rFonts w:eastAsia="Arial Unicode MS"/>
                <w:sz w:val="22"/>
                <w:szCs w:val="22"/>
              </w:rPr>
            </w:pPr>
            <w:r w:rsidRPr="00B6048B">
              <w:rPr>
                <w:sz w:val="22"/>
                <w:szCs w:val="22"/>
              </w:rPr>
              <w:t>Correção da descrição.</w:t>
            </w:r>
          </w:p>
        </w:tc>
        <w:tc>
          <w:tcPr>
            <w:tcW w:w="1172" w:type="pct"/>
            <w:gridSpan w:val="5"/>
            <w:shd w:val="clear" w:color="auto" w:fill="FFFFFF"/>
            <w:vAlign w:val="center"/>
          </w:tcPr>
          <w:p w:rsidR="00523FB3" w:rsidRDefault="00523FB3" w:rsidP="00284D7A">
            <w:pPr>
              <w:jc w:val="both"/>
              <w:rPr>
                <w:b/>
              </w:rPr>
            </w:pPr>
            <w:r w:rsidRPr="00DF0EB4">
              <w:rPr>
                <w:b/>
              </w:rPr>
              <w:t>INCORPORADA</w:t>
            </w:r>
          </w:p>
          <w:p w:rsidR="00E938B9" w:rsidRPr="00B6048B" w:rsidRDefault="00E938B9" w:rsidP="00284D7A">
            <w:pPr>
              <w:jc w:val="both"/>
              <w:rPr>
                <w:sz w:val="22"/>
                <w:szCs w:val="22"/>
              </w:rPr>
            </w:pPr>
          </w:p>
        </w:tc>
      </w:tr>
      <w:tr w:rsidR="000A1506" w:rsidRPr="00B6048B" w:rsidTr="00AC6460">
        <w:trPr>
          <w:trHeight w:val="1120"/>
        </w:trPr>
        <w:tc>
          <w:tcPr>
            <w:tcW w:w="689" w:type="pct"/>
            <w:shd w:val="clear" w:color="auto" w:fill="FFFFFF"/>
            <w:vAlign w:val="center"/>
          </w:tcPr>
          <w:p w:rsidR="00E938B9" w:rsidRPr="00B6048B" w:rsidRDefault="00E938B9" w:rsidP="00284D7A">
            <w:pPr>
              <w:jc w:val="center"/>
              <w:rPr>
                <w:b/>
                <w:sz w:val="22"/>
                <w:szCs w:val="22"/>
              </w:rPr>
            </w:pPr>
            <w:r w:rsidRPr="00B6048B">
              <w:rPr>
                <w:b/>
                <w:sz w:val="22"/>
                <w:szCs w:val="22"/>
              </w:rPr>
              <w:t>PETROBRAS</w:t>
            </w:r>
          </w:p>
        </w:tc>
        <w:tc>
          <w:tcPr>
            <w:tcW w:w="391" w:type="pct"/>
            <w:shd w:val="clear" w:color="auto" w:fill="FFFFFF"/>
            <w:vAlign w:val="center"/>
          </w:tcPr>
          <w:p w:rsidR="00E938B9" w:rsidRPr="00B6048B" w:rsidRDefault="00E938B9" w:rsidP="00284D7A">
            <w:pPr>
              <w:jc w:val="center"/>
              <w:rPr>
                <w:rFonts w:eastAsia="Arial Unicode MS"/>
                <w:bCs/>
                <w:sz w:val="22"/>
                <w:szCs w:val="22"/>
              </w:rPr>
            </w:pPr>
            <w:r w:rsidRPr="00B6048B">
              <w:rPr>
                <w:bCs/>
                <w:color w:val="000000"/>
                <w:sz w:val="22"/>
                <w:szCs w:val="22"/>
              </w:rPr>
              <w:t>Art. 6º.</w:t>
            </w:r>
          </w:p>
        </w:tc>
        <w:tc>
          <w:tcPr>
            <w:tcW w:w="1130" w:type="pct"/>
            <w:gridSpan w:val="5"/>
            <w:shd w:val="clear" w:color="auto" w:fill="FFFFFF"/>
            <w:vAlign w:val="center"/>
          </w:tcPr>
          <w:p w:rsidR="00E938B9" w:rsidRPr="00B6048B" w:rsidRDefault="00E938B9" w:rsidP="00284D7A">
            <w:pPr>
              <w:jc w:val="both"/>
              <w:rPr>
                <w:b/>
                <w:sz w:val="22"/>
                <w:szCs w:val="22"/>
              </w:rPr>
            </w:pPr>
            <w:r w:rsidRPr="00B6048B">
              <w:rPr>
                <w:b/>
                <w:sz w:val="22"/>
                <w:szCs w:val="22"/>
              </w:rPr>
              <w:t>Comentário:</w:t>
            </w:r>
          </w:p>
          <w:p w:rsidR="00E938B9" w:rsidRPr="00B6048B" w:rsidRDefault="00E938B9" w:rsidP="00284D7A">
            <w:pPr>
              <w:jc w:val="both"/>
              <w:rPr>
                <w:rFonts w:eastAsia="Arial Unicode MS"/>
                <w:sz w:val="22"/>
                <w:szCs w:val="22"/>
              </w:rPr>
            </w:pPr>
            <w:r w:rsidRPr="00B6048B">
              <w:rPr>
                <w:sz w:val="22"/>
                <w:szCs w:val="22"/>
              </w:rPr>
              <w:t>Para a característica Hidrocarbonetos Policíclicos Aromáticos, manter o valor "anotar" na especificação do Diesel S50 na Tabela I, conforme Resolução 65/2011.</w:t>
            </w:r>
          </w:p>
        </w:tc>
        <w:tc>
          <w:tcPr>
            <w:tcW w:w="1618" w:type="pct"/>
            <w:shd w:val="clear" w:color="auto" w:fill="FFFFFF"/>
            <w:vAlign w:val="center"/>
          </w:tcPr>
          <w:p w:rsidR="00E938B9" w:rsidRPr="00B6048B" w:rsidRDefault="00E938B9" w:rsidP="00284D7A">
            <w:pPr>
              <w:jc w:val="both"/>
              <w:rPr>
                <w:rFonts w:eastAsia="Arial Unicode MS"/>
                <w:sz w:val="22"/>
                <w:szCs w:val="22"/>
              </w:rPr>
            </w:pPr>
            <w:r w:rsidRPr="00B6048B">
              <w:rPr>
                <w:sz w:val="22"/>
                <w:szCs w:val="22"/>
              </w:rPr>
              <w:t>Correção da descrição.</w:t>
            </w:r>
          </w:p>
        </w:tc>
        <w:tc>
          <w:tcPr>
            <w:tcW w:w="1172" w:type="pct"/>
            <w:gridSpan w:val="5"/>
            <w:shd w:val="clear" w:color="auto" w:fill="FFFFFF"/>
            <w:vAlign w:val="center"/>
          </w:tcPr>
          <w:p w:rsidR="00523FB3" w:rsidRDefault="00523FB3" w:rsidP="00284D7A">
            <w:pPr>
              <w:jc w:val="both"/>
              <w:rPr>
                <w:b/>
              </w:rPr>
            </w:pPr>
            <w:r w:rsidRPr="00DF0EB4">
              <w:rPr>
                <w:b/>
              </w:rPr>
              <w:t>INCORPORADA</w:t>
            </w:r>
          </w:p>
          <w:p w:rsidR="00E938B9" w:rsidRPr="00B6048B" w:rsidRDefault="00E938B9" w:rsidP="00284D7A">
            <w:pPr>
              <w:jc w:val="both"/>
              <w:rPr>
                <w:sz w:val="22"/>
                <w:szCs w:val="22"/>
              </w:rPr>
            </w:pPr>
          </w:p>
        </w:tc>
      </w:tr>
      <w:tr w:rsidR="000A1506" w:rsidRPr="00B6048B" w:rsidTr="00AC6460">
        <w:trPr>
          <w:trHeight w:val="1120"/>
        </w:trPr>
        <w:tc>
          <w:tcPr>
            <w:tcW w:w="689" w:type="pct"/>
            <w:shd w:val="clear" w:color="auto" w:fill="FFFFFF"/>
            <w:vAlign w:val="center"/>
          </w:tcPr>
          <w:p w:rsidR="00E938B9" w:rsidRPr="00B6048B" w:rsidRDefault="00E938B9" w:rsidP="00284D7A">
            <w:pPr>
              <w:jc w:val="center"/>
              <w:rPr>
                <w:b/>
                <w:sz w:val="22"/>
                <w:szCs w:val="22"/>
              </w:rPr>
            </w:pPr>
            <w:r w:rsidRPr="00B6048B">
              <w:rPr>
                <w:b/>
                <w:sz w:val="22"/>
                <w:szCs w:val="22"/>
              </w:rPr>
              <w:t>PETROBRAS</w:t>
            </w:r>
          </w:p>
        </w:tc>
        <w:tc>
          <w:tcPr>
            <w:tcW w:w="391" w:type="pct"/>
            <w:shd w:val="clear" w:color="auto" w:fill="FFFFFF"/>
            <w:vAlign w:val="center"/>
          </w:tcPr>
          <w:p w:rsidR="00E938B9" w:rsidRPr="00B6048B" w:rsidRDefault="00E938B9" w:rsidP="00284D7A">
            <w:pPr>
              <w:jc w:val="center"/>
              <w:rPr>
                <w:rFonts w:eastAsia="Arial Unicode MS"/>
                <w:bCs/>
                <w:sz w:val="22"/>
                <w:szCs w:val="22"/>
              </w:rPr>
            </w:pPr>
            <w:r w:rsidRPr="00B6048B">
              <w:rPr>
                <w:bCs/>
                <w:color w:val="000000"/>
                <w:sz w:val="22"/>
                <w:szCs w:val="22"/>
              </w:rPr>
              <w:t>Art. 6º.</w:t>
            </w:r>
          </w:p>
        </w:tc>
        <w:tc>
          <w:tcPr>
            <w:tcW w:w="1130" w:type="pct"/>
            <w:gridSpan w:val="5"/>
            <w:shd w:val="clear" w:color="auto" w:fill="FFFFFF"/>
            <w:vAlign w:val="center"/>
          </w:tcPr>
          <w:p w:rsidR="00E938B9" w:rsidRPr="00B6048B" w:rsidRDefault="00E938B9" w:rsidP="00284D7A">
            <w:pPr>
              <w:jc w:val="both"/>
              <w:rPr>
                <w:b/>
                <w:sz w:val="22"/>
                <w:szCs w:val="22"/>
              </w:rPr>
            </w:pPr>
            <w:r w:rsidRPr="00B6048B">
              <w:rPr>
                <w:b/>
                <w:sz w:val="22"/>
                <w:szCs w:val="22"/>
              </w:rPr>
              <w:t>Comentário:</w:t>
            </w:r>
          </w:p>
          <w:p w:rsidR="00E938B9" w:rsidRPr="00B6048B" w:rsidRDefault="00E938B9" w:rsidP="00284D7A">
            <w:pPr>
              <w:jc w:val="both"/>
              <w:rPr>
                <w:rFonts w:eastAsia="Arial Unicode MS"/>
                <w:sz w:val="22"/>
                <w:szCs w:val="22"/>
              </w:rPr>
            </w:pPr>
            <w:r w:rsidRPr="00B6048B">
              <w:rPr>
                <w:sz w:val="22"/>
                <w:szCs w:val="22"/>
              </w:rPr>
              <w:t>Para a característica Estabilidade à Oxidação, manter o valor "anotar" na especificação do Diesel S50 na Tabela I, conforme Resolução 65/2011.</w:t>
            </w:r>
          </w:p>
        </w:tc>
        <w:tc>
          <w:tcPr>
            <w:tcW w:w="1618" w:type="pct"/>
            <w:shd w:val="clear" w:color="auto" w:fill="FFFFFF"/>
            <w:vAlign w:val="center"/>
          </w:tcPr>
          <w:p w:rsidR="00E938B9" w:rsidRPr="00B6048B" w:rsidRDefault="00E938B9" w:rsidP="00284D7A">
            <w:pPr>
              <w:jc w:val="both"/>
              <w:rPr>
                <w:rFonts w:eastAsia="Arial Unicode MS"/>
                <w:sz w:val="22"/>
                <w:szCs w:val="22"/>
              </w:rPr>
            </w:pPr>
            <w:r w:rsidRPr="00B6048B">
              <w:rPr>
                <w:sz w:val="22"/>
                <w:szCs w:val="22"/>
              </w:rPr>
              <w:t>Correção da descrição.</w:t>
            </w:r>
          </w:p>
        </w:tc>
        <w:tc>
          <w:tcPr>
            <w:tcW w:w="1172" w:type="pct"/>
            <w:gridSpan w:val="5"/>
            <w:shd w:val="clear" w:color="auto" w:fill="FFFFFF"/>
            <w:vAlign w:val="center"/>
          </w:tcPr>
          <w:p w:rsidR="00523FB3" w:rsidRDefault="00523FB3" w:rsidP="00284D7A">
            <w:pPr>
              <w:jc w:val="both"/>
              <w:rPr>
                <w:b/>
              </w:rPr>
            </w:pPr>
            <w:r w:rsidRPr="00DF0EB4">
              <w:rPr>
                <w:b/>
              </w:rPr>
              <w:t>INCORPORADA</w:t>
            </w:r>
          </w:p>
          <w:p w:rsidR="00E938B9" w:rsidRPr="00B6048B" w:rsidRDefault="00E938B9" w:rsidP="00284D7A">
            <w:pPr>
              <w:jc w:val="both"/>
              <w:rPr>
                <w:sz w:val="22"/>
                <w:szCs w:val="22"/>
              </w:rPr>
            </w:pPr>
          </w:p>
        </w:tc>
      </w:tr>
      <w:tr w:rsidR="000A1506" w:rsidRPr="00800310" w:rsidTr="00AC6460">
        <w:trPr>
          <w:trHeight w:val="1120"/>
        </w:trPr>
        <w:tc>
          <w:tcPr>
            <w:tcW w:w="689" w:type="pct"/>
            <w:shd w:val="clear" w:color="auto" w:fill="FFFFFF"/>
            <w:vAlign w:val="center"/>
          </w:tcPr>
          <w:p w:rsidR="00E938B9" w:rsidRPr="00800310" w:rsidRDefault="00E938B9" w:rsidP="00284D7A">
            <w:pPr>
              <w:jc w:val="center"/>
              <w:rPr>
                <w:b/>
                <w:sz w:val="22"/>
                <w:szCs w:val="22"/>
              </w:rPr>
            </w:pPr>
            <w:r w:rsidRPr="00800310">
              <w:rPr>
                <w:b/>
                <w:sz w:val="22"/>
                <w:szCs w:val="22"/>
              </w:rPr>
              <w:t>PETROBRAS</w:t>
            </w:r>
          </w:p>
        </w:tc>
        <w:tc>
          <w:tcPr>
            <w:tcW w:w="391" w:type="pct"/>
            <w:shd w:val="clear" w:color="auto" w:fill="FFFFFF"/>
            <w:vAlign w:val="center"/>
          </w:tcPr>
          <w:p w:rsidR="00E938B9" w:rsidRPr="00800310" w:rsidRDefault="00E938B9" w:rsidP="00284D7A">
            <w:pPr>
              <w:jc w:val="center"/>
              <w:rPr>
                <w:rFonts w:eastAsia="Arial Unicode MS"/>
                <w:bCs/>
                <w:sz w:val="22"/>
                <w:szCs w:val="22"/>
              </w:rPr>
            </w:pPr>
            <w:r w:rsidRPr="00800310">
              <w:rPr>
                <w:bCs/>
                <w:color w:val="000000"/>
                <w:sz w:val="22"/>
                <w:szCs w:val="22"/>
              </w:rPr>
              <w:t>Art. 6º.</w:t>
            </w:r>
          </w:p>
        </w:tc>
        <w:tc>
          <w:tcPr>
            <w:tcW w:w="1130" w:type="pct"/>
            <w:gridSpan w:val="5"/>
            <w:shd w:val="clear" w:color="auto" w:fill="FFFFFF"/>
            <w:vAlign w:val="center"/>
          </w:tcPr>
          <w:p w:rsidR="00E938B9" w:rsidRPr="00800310" w:rsidRDefault="00E938B9" w:rsidP="00284D7A">
            <w:pPr>
              <w:jc w:val="both"/>
              <w:rPr>
                <w:b/>
                <w:sz w:val="22"/>
                <w:szCs w:val="22"/>
              </w:rPr>
            </w:pPr>
            <w:r w:rsidRPr="00800310">
              <w:rPr>
                <w:b/>
                <w:sz w:val="22"/>
                <w:szCs w:val="22"/>
              </w:rPr>
              <w:t>Comentário:</w:t>
            </w:r>
          </w:p>
          <w:p w:rsidR="00E938B9" w:rsidRPr="00800310" w:rsidRDefault="00E938B9" w:rsidP="00284D7A">
            <w:pPr>
              <w:jc w:val="both"/>
              <w:rPr>
                <w:rFonts w:eastAsia="Arial Unicode MS"/>
                <w:sz w:val="22"/>
                <w:szCs w:val="22"/>
              </w:rPr>
            </w:pPr>
            <w:r w:rsidRPr="00800310">
              <w:rPr>
                <w:sz w:val="22"/>
                <w:szCs w:val="22"/>
              </w:rPr>
              <w:t xml:space="preserve">Alterar na Tabela III da RANP 65/2011 o texto da característica "Absorvância. a 520 </w:t>
            </w:r>
            <w:r w:rsidRPr="00800310">
              <w:rPr>
                <w:strike/>
                <w:color w:val="FF0000"/>
                <w:sz w:val="22"/>
                <w:szCs w:val="22"/>
              </w:rPr>
              <w:t>e</w:t>
            </w:r>
            <w:r w:rsidRPr="00800310">
              <w:rPr>
                <w:sz w:val="22"/>
                <w:szCs w:val="22"/>
              </w:rPr>
              <w:t xml:space="preserve"> </w:t>
            </w:r>
            <w:r w:rsidRPr="00800310">
              <w:rPr>
                <w:color w:val="0000FF"/>
                <w:sz w:val="22"/>
                <w:szCs w:val="22"/>
                <w:u w:val="single"/>
              </w:rPr>
              <w:t>a</w:t>
            </w:r>
            <w:r w:rsidRPr="00800310">
              <w:rPr>
                <w:sz w:val="22"/>
                <w:szCs w:val="22"/>
              </w:rPr>
              <w:t xml:space="preserve"> 540 nm"..</w:t>
            </w:r>
          </w:p>
        </w:tc>
        <w:tc>
          <w:tcPr>
            <w:tcW w:w="1618" w:type="pct"/>
            <w:shd w:val="clear" w:color="auto" w:fill="FFFFFF"/>
            <w:vAlign w:val="center"/>
          </w:tcPr>
          <w:p w:rsidR="00E938B9" w:rsidRPr="00800310" w:rsidRDefault="00E938B9" w:rsidP="00284D7A">
            <w:pPr>
              <w:jc w:val="both"/>
              <w:rPr>
                <w:rFonts w:eastAsia="Arial Unicode MS"/>
                <w:sz w:val="22"/>
                <w:szCs w:val="22"/>
              </w:rPr>
            </w:pPr>
            <w:r w:rsidRPr="00800310">
              <w:rPr>
                <w:sz w:val="22"/>
                <w:szCs w:val="22"/>
              </w:rPr>
              <w:t>Visa permitir a participação de um maior número de fornecedores no processo licitatório de aquisição de corante, com redução de custos sem prejuízo à qualidade do corante e ao papel de facilitar a distinção visual do Diesel S500 dos outros tipos de óleo diesel.</w:t>
            </w:r>
          </w:p>
        </w:tc>
        <w:tc>
          <w:tcPr>
            <w:tcW w:w="1172" w:type="pct"/>
            <w:gridSpan w:val="5"/>
            <w:shd w:val="clear" w:color="auto" w:fill="FFFFFF"/>
            <w:vAlign w:val="center"/>
          </w:tcPr>
          <w:p w:rsidR="00BF4A5E" w:rsidRDefault="00BF4A5E" w:rsidP="00284D7A">
            <w:pPr>
              <w:jc w:val="both"/>
              <w:rPr>
                <w:b/>
                <w:sz w:val="22"/>
                <w:szCs w:val="22"/>
              </w:rPr>
            </w:pPr>
          </w:p>
          <w:p w:rsidR="00523FB3" w:rsidRPr="00893D68" w:rsidRDefault="00523FB3" w:rsidP="00284D7A">
            <w:pPr>
              <w:jc w:val="both"/>
              <w:rPr>
                <w:b/>
                <w:sz w:val="22"/>
                <w:szCs w:val="22"/>
              </w:rPr>
            </w:pPr>
            <w:r w:rsidRPr="00893D68">
              <w:rPr>
                <w:b/>
                <w:sz w:val="22"/>
                <w:szCs w:val="22"/>
              </w:rPr>
              <w:t>NÃO INCORPORADA</w:t>
            </w:r>
          </w:p>
          <w:p w:rsidR="00523FB3" w:rsidRPr="00893D68" w:rsidRDefault="00523FB3" w:rsidP="00284D7A">
            <w:pPr>
              <w:jc w:val="both"/>
              <w:rPr>
                <w:sz w:val="22"/>
                <w:szCs w:val="22"/>
              </w:rPr>
            </w:pPr>
          </w:p>
          <w:p w:rsidR="00523FB3" w:rsidRDefault="00523FB3" w:rsidP="00284D7A">
            <w:pPr>
              <w:jc w:val="both"/>
              <w:rPr>
                <w:b/>
                <w:sz w:val="22"/>
                <w:szCs w:val="22"/>
              </w:rPr>
            </w:pPr>
            <w:r w:rsidRPr="00893D68">
              <w:rPr>
                <w:b/>
                <w:sz w:val="22"/>
                <w:szCs w:val="22"/>
              </w:rPr>
              <w:t>Justificativa:</w:t>
            </w:r>
          </w:p>
          <w:p w:rsidR="00893D68" w:rsidRPr="00893D68" w:rsidRDefault="00893D68" w:rsidP="00284D7A">
            <w:pPr>
              <w:jc w:val="both"/>
              <w:rPr>
                <w:b/>
                <w:sz w:val="22"/>
                <w:szCs w:val="22"/>
              </w:rPr>
            </w:pPr>
          </w:p>
          <w:p w:rsidR="00E938B9" w:rsidRPr="00800310" w:rsidRDefault="00D239E9" w:rsidP="00D239E9">
            <w:pPr>
              <w:jc w:val="both"/>
              <w:rPr>
                <w:sz w:val="22"/>
                <w:szCs w:val="22"/>
              </w:rPr>
            </w:pPr>
            <w:r w:rsidRPr="00D46659">
              <w:rPr>
                <w:sz w:val="22"/>
                <w:szCs w:val="22"/>
              </w:rPr>
              <w:t>A faixa de absorvância de 520 a 540 nm não restringe a participação de fornecedores de corante, na medida em que a</w:t>
            </w:r>
            <w:r w:rsidR="00893D68" w:rsidRPr="00D46659">
              <w:rPr>
                <w:sz w:val="22"/>
                <w:szCs w:val="22"/>
              </w:rPr>
              <w:t xml:space="preserve"> </w:t>
            </w:r>
            <w:r w:rsidRPr="00D46659">
              <w:rPr>
                <w:sz w:val="22"/>
                <w:szCs w:val="22"/>
              </w:rPr>
              <w:t>a</w:t>
            </w:r>
            <w:r w:rsidR="00893D68" w:rsidRPr="00D46659">
              <w:rPr>
                <w:sz w:val="22"/>
                <w:szCs w:val="22"/>
              </w:rPr>
              <w:t xml:space="preserve">bsorvância </w:t>
            </w:r>
            <w:r w:rsidRPr="00D46659">
              <w:rPr>
                <w:sz w:val="22"/>
                <w:szCs w:val="22"/>
              </w:rPr>
              <w:t xml:space="preserve">máxima do corante </w:t>
            </w:r>
            <w:r w:rsidR="00893D68" w:rsidRPr="00D46659">
              <w:rPr>
                <w:sz w:val="22"/>
                <w:szCs w:val="22"/>
              </w:rPr>
              <w:t xml:space="preserve">deve </w:t>
            </w:r>
            <w:r w:rsidRPr="00D46659">
              <w:rPr>
                <w:sz w:val="22"/>
                <w:szCs w:val="22"/>
              </w:rPr>
              <w:t xml:space="preserve">estar compreendida </w:t>
            </w:r>
            <w:r w:rsidR="00AA1BC4" w:rsidRPr="00D46659">
              <w:rPr>
                <w:sz w:val="22"/>
                <w:szCs w:val="22"/>
              </w:rPr>
              <w:t>n</w:t>
            </w:r>
            <w:r w:rsidRPr="00D46659">
              <w:rPr>
                <w:sz w:val="22"/>
                <w:szCs w:val="22"/>
              </w:rPr>
              <w:t>essa faixa</w:t>
            </w:r>
            <w:r w:rsidR="00893D68" w:rsidRPr="00D46659">
              <w:rPr>
                <w:sz w:val="22"/>
                <w:szCs w:val="22"/>
              </w:rPr>
              <w:t xml:space="preserve">. </w:t>
            </w:r>
          </w:p>
        </w:tc>
      </w:tr>
      <w:tr w:rsidR="000A1506" w:rsidRPr="00177D72" w:rsidTr="00AC6460">
        <w:trPr>
          <w:trHeight w:val="1727"/>
        </w:trPr>
        <w:tc>
          <w:tcPr>
            <w:tcW w:w="689" w:type="pct"/>
            <w:shd w:val="clear" w:color="auto" w:fill="FFFFFF"/>
            <w:vAlign w:val="center"/>
          </w:tcPr>
          <w:p w:rsidR="00E938B9" w:rsidRPr="00177D72" w:rsidRDefault="00E938B9" w:rsidP="00284D7A">
            <w:pPr>
              <w:jc w:val="center"/>
              <w:rPr>
                <w:b/>
                <w:sz w:val="22"/>
                <w:szCs w:val="22"/>
              </w:rPr>
            </w:pPr>
            <w:r w:rsidRPr="00177D72">
              <w:rPr>
                <w:b/>
                <w:sz w:val="22"/>
                <w:szCs w:val="22"/>
              </w:rPr>
              <w:lastRenderedPageBreak/>
              <w:t>SINDICOM</w:t>
            </w:r>
          </w:p>
        </w:tc>
        <w:tc>
          <w:tcPr>
            <w:tcW w:w="391" w:type="pct"/>
            <w:shd w:val="clear" w:color="auto" w:fill="FFFFFF"/>
            <w:vAlign w:val="center"/>
          </w:tcPr>
          <w:p w:rsidR="00E938B9" w:rsidRPr="00177D72" w:rsidRDefault="00E938B9" w:rsidP="00284D7A">
            <w:pPr>
              <w:jc w:val="center"/>
              <w:rPr>
                <w:rFonts w:eastAsia="Arial Unicode MS"/>
                <w:bCs/>
                <w:sz w:val="22"/>
                <w:szCs w:val="22"/>
              </w:rPr>
            </w:pPr>
            <w:r w:rsidRPr="00177D72">
              <w:rPr>
                <w:bCs/>
                <w:color w:val="000000"/>
                <w:sz w:val="22"/>
                <w:szCs w:val="22"/>
              </w:rPr>
              <w:t>-</w:t>
            </w:r>
          </w:p>
        </w:tc>
        <w:tc>
          <w:tcPr>
            <w:tcW w:w="1130" w:type="pct"/>
            <w:gridSpan w:val="5"/>
            <w:shd w:val="clear" w:color="auto" w:fill="FFFFFF"/>
            <w:vAlign w:val="center"/>
          </w:tcPr>
          <w:p w:rsidR="00E938B9" w:rsidRPr="00177D72" w:rsidRDefault="00E938B9" w:rsidP="00284D7A">
            <w:pPr>
              <w:jc w:val="both"/>
              <w:rPr>
                <w:b/>
                <w:sz w:val="22"/>
                <w:szCs w:val="22"/>
              </w:rPr>
            </w:pPr>
            <w:r w:rsidRPr="00177D72">
              <w:rPr>
                <w:b/>
                <w:sz w:val="22"/>
                <w:szCs w:val="22"/>
              </w:rPr>
              <w:t>Comentário:</w:t>
            </w:r>
          </w:p>
          <w:p w:rsidR="00E938B9" w:rsidRPr="00177D72" w:rsidRDefault="00E938B9" w:rsidP="00284D7A">
            <w:pPr>
              <w:jc w:val="both"/>
              <w:rPr>
                <w:i/>
                <w:sz w:val="22"/>
                <w:szCs w:val="22"/>
              </w:rPr>
            </w:pPr>
            <w:r w:rsidRPr="00177D72">
              <w:rPr>
                <w:sz w:val="22"/>
                <w:szCs w:val="22"/>
              </w:rPr>
              <w:t>A não adoção de uma tolerância quando da análise do teor de enxofre poderá colocar toda a cadeia de produção, distribuição e revenda em um patamar de inoperabilidade, visto que os agentes não terão flexibilidade no recebimento e expedição do produto.</w:t>
            </w:r>
          </w:p>
        </w:tc>
        <w:tc>
          <w:tcPr>
            <w:tcW w:w="1618" w:type="pct"/>
            <w:shd w:val="clear" w:color="auto" w:fill="FFFFFF"/>
            <w:vAlign w:val="center"/>
          </w:tcPr>
          <w:p w:rsidR="00E938B9" w:rsidRPr="00177D72" w:rsidRDefault="00E938B9" w:rsidP="00284D7A">
            <w:pPr>
              <w:jc w:val="both"/>
              <w:rPr>
                <w:rFonts w:eastAsia="Arial Unicode MS"/>
                <w:sz w:val="22"/>
                <w:szCs w:val="22"/>
              </w:rPr>
            </w:pPr>
          </w:p>
        </w:tc>
        <w:tc>
          <w:tcPr>
            <w:tcW w:w="1172" w:type="pct"/>
            <w:gridSpan w:val="5"/>
            <w:shd w:val="clear" w:color="auto" w:fill="FFFFFF"/>
            <w:vAlign w:val="center"/>
          </w:tcPr>
          <w:p w:rsidR="00E938B9" w:rsidRDefault="00F92897" w:rsidP="00284D7A">
            <w:pPr>
              <w:jc w:val="both"/>
              <w:rPr>
                <w:b/>
                <w:sz w:val="22"/>
                <w:szCs w:val="22"/>
              </w:rPr>
            </w:pPr>
            <w:r w:rsidRPr="00F92897">
              <w:rPr>
                <w:b/>
                <w:sz w:val="22"/>
                <w:szCs w:val="22"/>
              </w:rPr>
              <w:t xml:space="preserve">INCORPORADA </w:t>
            </w:r>
            <w:r w:rsidR="00B81EE4">
              <w:rPr>
                <w:b/>
                <w:sz w:val="22"/>
                <w:szCs w:val="22"/>
              </w:rPr>
              <w:t>PARCIALMENTE</w:t>
            </w:r>
          </w:p>
          <w:p w:rsidR="007520FB" w:rsidRPr="006C58A8" w:rsidRDefault="007520FB" w:rsidP="00284D7A">
            <w:pPr>
              <w:jc w:val="both"/>
              <w:rPr>
                <w:b/>
                <w:sz w:val="22"/>
                <w:szCs w:val="22"/>
              </w:rPr>
            </w:pPr>
          </w:p>
          <w:p w:rsidR="007520FB" w:rsidRPr="00F92897" w:rsidRDefault="007520FB" w:rsidP="00F378DA">
            <w:pPr>
              <w:jc w:val="both"/>
              <w:rPr>
                <w:sz w:val="22"/>
                <w:szCs w:val="22"/>
              </w:rPr>
            </w:pPr>
            <w:r w:rsidRPr="006C58A8">
              <w:rPr>
                <w:sz w:val="22"/>
                <w:szCs w:val="22"/>
              </w:rPr>
              <w:t xml:space="preserve">Tal variação no teor de enxofre do S10 está sendo prevista para </w:t>
            </w:r>
            <w:r w:rsidR="00AA1BC4" w:rsidRPr="006C58A8">
              <w:rPr>
                <w:sz w:val="22"/>
                <w:szCs w:val="22"/>
              </w:rPr>
              <w:t>distribuição</w:t>
            </w:r>
            <w:r w:rsidRPr="006C58A8">
              <w:rPr>
                <w:sz w:val="22"/>
                <w:szCs w:val="22"/>
              </w:rPr>
              <w:t xml:space="preserve"> e revenda de combustíveis pela inclusão da nota 2</w:t>
            </w:r>
            <w:r w:rsidR="00F378DA">
              <w:rPr>
                <w:sz w:val="22"/>
                <w:szCs w:val="22"/>
              </w:rPr>
              <w:t>4</w:t>
            </w:r>
            <w:r w:rsidRPr="006C58A8">
              <w:rPr>
                <w:sz w:val="22"/>
                <w:szCs w:val="22"/>
              </w:rPr>
              <w:t xml:space="preserve"> na Tabela I.</w:t>
            </w:r>
          </w:p>
        </w:tc>
      </w:tr>
      <w:tr w:rsidR="000A1506" w:rsidRPr="00E65C7C" w:rsidTr="00AC6460">
        <w:trPr>
          <w:trHeight w:val="699"/>
        </w:trPr>
        <w:tc>
          <w:tcPr>
            <w:tcW w:w="689" w:type="pct"/>
            <w:shd w:val="clear" w:color="auto" w:fill="auto"/>
            <w:vAlign w:val="center"/>
          </w:tcPr>
          <w:p w:rsidR="00E938B9" w:rsidRPr="00E65C7C" w:rsidRDefault="00E938B9" w:rsidP="00284D7A">
            <w:pPr>
              <w:jc w:val="center"/>
              <w:rPr>
                <w:b/>
                <w:sz w:val="22"/>
                <w:szCs w:val="22"/>
              </w:rPr>
            </w:pPr>
            <w:r w:rsidRPr="00E65C7C">
              <w:rPr>
                <w:b/>
                <w:sz w:val="22"/>
                <w:szCs w:val="22"/>
              </w:rPr>
              <w:t>SINDICOM</w:t>
            </w:r>
          </w:p>
        </w:tc>
        <w:tc>
          <w:tcPr>
            <w:tcW w:w="391" w:type="pct"/>
            <w:shd w:val="clear" w:color="auto" w:fill="auto"/>
            <w:vAlign w:val="center"/>
          </w:tcPr>
          <w:p w:rsidR="00E938B9" w:rsidRPr="00E65C7C" w:rsidRDefault="00E938B9" w:rsidP="00284D7A">
            <w:pPr>
              <w:jc w:val="center"/>
              <w:rPr>
                <w:rFonts w:eastAsia="Arial Unicode MS"/>
                <w:bCs/>
                <w:sz w:val="22"/>
                <w:szCs w:val="22"/>
              </w:rPr>
            </w:pPr>
            <w:r w:rsidRPr="00E65C7C">
              <w:rPr>
                <w:bCs/>
                <w:color w:val="000000"/>
                <w:sz w:val="22"/>
                <w:szCs w:val="22"/>
              </w:rPr>
              <w:t>Art. 6º.</w:t>
            </w:r>
          </w:p>
        </w:tc>
        <w:tc>
          <w:tcPr>
            <w:tcW w:w="1130" w:type="pct"/>
            <w:gridSpan w:val="5"/>
            <w:shd w:val="clear" w:color="auto" w:fill="auto"/>
            <w:vAlign w:val="center"/>
          </w:tcPr>
          <w:p w:rsidR="00E938B9" w:rsidRPr="00E65C7C" w:rsidRDefault="00E938B9" w:rsidP="00284D7A">
            <w:pPr>
              <w:jc w:val="both"/>
              <w:rPr>
                <w:b/>
                <w:sz w:val="22"/>
                <w:szCs w:val="22"/>
              </w:rPr>
            </w:pPr>
            <w:r w:rsidRPr="00E65C7C">
              <w:rPr>
                <w:b/>
                <w:sz w:val="22"/>
                <w:szCs w:val="22"/>
              </w:rPr>
              <w:t>Comentário:</w:t>
            </w:r>
          </w:p>
          <w:p w:rsidR="00E938B9" w:rsidRPr="00E65C7C" w:rsidRDefault="00E938B9" w:rsidP="00284D7A">
            <w:pPr>
              <w:jc w:val="both"/>
              <w:rPr>
                <w:sz w:val="22"/>
                <w:szCs w:val="22"/>
              </w:rPr>
            </w:pPr>
            <w:r w:rsidRPr="00E65C7C">
              <w:rPr>
                <w:sz w:val="22"/>
                <w:szCs w:val="22"/>
              </w:rPr>
              <w:t>Condutividade elétrica, mín (pS/m)</w:t>
            </w:r>
          </w:p>
          <w:p w:rsidR="00E938B9" w:rsidRPr="00E65C7C" w:rsidRDefault="00E938B9" w:rsidP="00284D7A">
            <w:pPr>
              <w:jc w:val="both"/>
              <w:rPr>
                <w:sz w:val="22"/>
                <w:szCs w:val="22"/>
              </w:rPr>
            </w:pPr>
            <w:r>
              <w:rPr>
                <w:sz w:val="22"/>
                <w:szCs w:val="22"/>
              </w:rPr>
              <w:t>S1800 =</w:t>
            </w:r>
            <w:r w:rsidRPr="00E65C7C">
              <w:rPr>
                <w:sz w:val="22"/>
                <w:szCs w:val="22"/>
              </w:rPr>
              <w:t xml:space="preserve"> </w:t>
            </w:r>
            <w:r w:rsidRPr="00E65C7C">
              <w:rPr>
                <w:strike/>
                <w:color w:val="FF0000"/>
                <w:sz w:val="22"/>
                <w:szCs w:val="22"/>
              </w:rPr>
              <w:t>Anotar</w:t>
            </w:r>
            <w:r w:rsidRPr="00E65C7C">
              <w:rPr>
                <w:sz w:val="22"/>
                <w:szCs w:val="22"/>
              </w:rPr>
              <w:t xml:space="preserve">    </w:t>
            </w:r>
            <w:r w:rsidRPr="00E65C7C">
              <w:rPr>
                <w:color w:val="0033CC"/>
                <w:sz w:val="22"/>
                <w:szCs w:val="22"/>
                <w:u w:val="single"/>
              </w:rPr>
              <w:t>25</w:t>
            </w:r>
          </w:p>
        </w:tc>
        <w:tc>
          <w:tcPr>
            <w:tcW w:w="1618" w:type="pct"/>
            <w:shd w:val="clear" w:color="auto" w:fill="auto"/>
            <w:vAlign w:val="center"/>
          </w:tcPr>
          <w:p w:rsidR="00E938B9" w:rsidRPr="00E65C7C" w:rsidRDefault="00E938B9" w:rsidP="00284D7A">
            <w:pPr>
              <w:jc w:val="both"/>
              <w:rPr>
                <w:rFonts w:eastAsia="Arial Unicode MS"/>
                <w:sz w:val="22"/>
                <w:szCs w:val="22"/>
              </w:rPr>
            </w:pPr>
            <w:r w:rsidRPr="00E65C7C">
              <w:rPr>
                <w:sz w:val="22"/>
                <w:szCs w:val="22"/>
              </w:rPr>
              <w:t>Sugerimos incluir para o S 1800, a exemplo do S500, pois a partir de 2014, pela Minuta de Resolução do Diesel Não Rodoviário este valor está previsto.</w:t>
            </w:r>
          </w:p>
        </w:tc>
        <w:tc>
          <w:tcPr>
            <w:tcW w:w="1172" w:type="pct"/>
            <w:gridSpan w:val="5"/>
            <w:shd w:val="clear" w:color="auto" w:fill="auto"/>
            <w:vAlign w:val="center"/>
          </w:tcPr>
          <w:p w:rsidR="002E39E4" w:rsidRDefault="002E39E4" w:rsidP="00284D7A">
            <w:pPr>
              <w:jc w:val="both"/>
              <w:rPr>
                <w:b/>
                <w:sz w:val="22"/>
                <w:szCs w:val="22"/>
              </w:rPr>
            </w:pPr>
          </w:p>
          <w:p w:rsidR="00523FB3" w:rsidRPr="006C58A8" w:rsidRDefault="00523FB3" w:rsidP="00284D7A">
            <w:pPr>
              <w:jc w:val="both"/>
              <w:rPr>
                <w:b/>
                <w:sz w:val="22"/>
                <w:szCs w:val="22"/>
              </w:rPr>
            </w:pPr>
            <w:r w:rsidRPr="006C58A8">
              <w:rPr>
                <w:b/>
                <w:sz w:val="22"/>
                <w:szCs w:val="22"/>
              </w:rPr>
              <w:t>NÃO INCORPORADA</w:t>
            </w:r>
          </w:p>
          <w:p w:rsidR="00523FB3" w:rsidRPr="006C58A8" w:rsidRDefault="00523FB3" w:rsidP="00284D7A">
            <w:pPr>
              <w:jc w:val="both"/>
              <w:rPr>
                <w:b/>
                <w:sz w:val="22"/>
                <w:szCs w:val="22"/>
              </w:rPr>
            </w:pPr>
          </w:p>
          <w:p w:rsidR="00523FB3" w:rsidRPr="006C58A8" w:rsidRDefault="00523FB3" w:rsidP="00284D7A">
            <w:pPr>
              <w:jc w:val="both"/>
              <w:rPr>
                <w:b/>
                <w:sz w:val="22"/>
                <w:szCs w:val="22"/>
              </w:rPr>
            </w:pPr>
            <w:r w:rsidRPr="006C58A8">
              <w:rPr>
                <w:b/>
                <w:sz w:val="22"/>
                <w:szCs w:val="22"/>
              </w:rPr>
              <w:t>Justificativa:</w:t>
            </w:r>
          </w:p>
          <w:p w:rsidR="00F92897" w:rsidRPr="006C58A8" w:rsidRDefault="00F92897" w:rsidP="00284D7A">
            <w:pPr>
              <w:jc w:val="both"/>
              <w:rPr>
                <w:b/>
                <w:sz w:val="22"/>
                <w:szCs w:val="22"/>
              </w:rPr>
            </w:pPr>
          </w:p>
          <w:p w:rsidR="00F51CE4" w:rsidRPr="00394E43" w:rsidRDefault="00AA1BC4" w:rsidP="00F51CE4">
            <w:pPr>
              <w:jc w:val="both"/>
              <w:rPr>
                <w:sz w:val="22"/>
                <w:szCs w:val="22"/>
              </w:rPr>
            </w:pPr>
            <w:r>
              <w:rPr>
                <w:sz w:val="22"/>
                <w:szCs w:val="22"/>
              </w:rPr>
              <w:t>Na</w:t>
            </w:r>
            <w:r w:rsidR="00F92897" w:rsidRPr="006C58A8">
              <w:rPr>
                <w:sz w:val="22"/>
                <w:szCs w:val="22"/>
              </w:rPr>
              <w:t xml:space="preserve"> Minuta de Resolução do Diesel Não Rodoviário</w:t>
            </w:r>
            <w:r>
              <w:rPr>
                <w:sz w:val="22"/>
                <w:szCs w:val="22"/>
              </w:rPr>
              <w:t>, essa característica</w:t>
            </w:r>
            <w:r w:rsidR="00F92897" w:rsidRPr="006C58A8">
              <w:rPr>
                <w:sz w:val="22"/>
                <w:szCs w:val="22"/>
              </w:rPr>
              <w:t xml:space="preserve"> foi alterada para “anotar”</w:t>
            </w:r>
            <w:r w:rsidR="00F51CE4">
              <w:rPr>
                <w:sz w:val="22"/>
                <w:szCs w:val="22"/>
              </w:rPr>
              <w:t xml:space="preserve"> e</w:t>
            </w:r>
            <w:r>
              <w:rPr>
                <w:sz w:val="22"/>
                <w:szCs w:val="22"/>
              </w:rPr>
              <w:t>,</w:t>
            </w:r>
            <w:r w:rsidR="00F51CE4">
              <w:rPr>
                <w:sz w:val="22"/>
                <w:szCs w:val="22"/>
              </w:rPr>
              <w:t xml:space="preserve"> a</w:t>
            </w:r>
            <w:r w:rsidR="00F51CE4" w:rsidRPr="00394E43">
              <w:rPr>
                <w:sz w:val="22"/>
                <w:szCs w:val="22"/>
              </w:rPr>
              <w:t>dicionalmente, foi decidida a inclusão da seguinte nota na Tabela I:</w:t>
            </w:r>
          </w:p>
          <w:p w:rsidR="00E938B9" w:rsidRPr="006C58A8" w:rsidRDefault="00F51CE4" w:rsidP="00F51CE4">
            <w:pPr>
              <w:jc w:val="both"/>
              <w:rPr>
                <w:sz w:val="22"/>
                <w:szCs w:val="22"/>
              </w:rPr>
            </w:pPr>
            <w:r w:rsidRPr="00394E43">
              <w:rPr>
                <w:szCs w:val="24"/>
              </w:rPr>
              <w:t>“</w:t>
            </w:r>
            <w:r w:rsidRPr="00394E43">
              <w:rPr>
                <w:i/>
                <w:szCs w:val="24"/>
              </w:rPr>
              <w:t xml:space="preserve"> Caso a condutividade elétrica medida seja inferior a 25 (pS/m) deverá ser dado destaque do resultado no Certificado de Qualidade para que o distribuidor seja alertado quanto à adoção de medidas de segurança</w:t>
            </w:r>
            <w:r w:rsidRPr="00394E43">
              <w:rPr>
                <w:szCs w:val="24"/>
              </w:rPr>
              <w:t>.”</w:t>
            </w:r>
          </w:p>
        </w:tc>
      </w:tr>
      <w:tr w:rsidR="002E39E4" w:rsidRPr="00E65C7C" w:rsidTr="00AC6460">
        <w:trPr>
          <w:trHeight w:val="699"/>
        </w:trPr>
        <w:tc>
          <w:tcPr>
            <w:tcW w:w="689" w:type="pct"/>
            <w:shd w:val="clear" w:color="auto" w:fill="auto"/>
            <w:vAlign w:val="center"/>
          </w:tcPr>
          <w:p w:rsidR="002E39E4" w:rsidRPr="00E65C7C" w:rsidRDefault="002E39E4" w:rsidP="00284D7A">
            <w:pPr>
              <w:jc w:val="center"/>
              <w:rPr>
                <w:b/>
                <w:sz w:val="22"/>
                <w:szCs w:val="22"/>
              </w:rPr>
            </w:pPr>
            <w:r>
              <w:rPr>
                <w:b/>
                <w:sz w:val="22"/>
                <w:szCs w:val="22"/>
              </w:rPr>
              <w:t>ANP</w:t>
            </w:r>
          </w:p>
        </w:tc>
        <w:tc>
          <w:tcPr>
            <w:tcW w:w="391" w:type="pct"/>
            <w:shd w:val="clear" w:color="auto" w:fill="auto"/>
            <w:vAlign w:val="center"/>
          </w:tcPr>
          <w:p w:rsidR="002E39E4" w:rsidRPr="00E65C7C" w:rsidRDefault="002E39E4" w:rsidP="00284D7A">
            <w:pPr>
              <w:jc w:val="center"/>
              <w:rPr>
                <w:bCs/>
                <w:color w:val="000000"/>
                <w:sz w:val="22"/>
                <w:szCs w:val="22"/>
              </w:rPr>
            </w:pPr>
            <w:r w:rsidRPr="00E65C7C">
              <w:rPr>
                <w:bCs/>
                <w:color w:val="000000"/>
                <w:sz w:val="22"/>
                <w:szCs w:val="22"/>
              </w:rPr>
              <w:t>Art. 6º.</w:t>
            </w:r>
          </w:p>
        </w:tc>
        <w:tc>
          <w:tcPr>
            <w:tcW w:w="1130" w:type="pct"/>
            <w:gridSpan w:val="5"/>
            <w:shd w:val="clear" w:color="auto" w:fill="auto"/>
            <w:vAlign w:val="center"/>
          </w:tcPr>
          <w:p w:rsidR="002E39E4" w:rsidRPr="00E65C7C" w:rsidRDefault="002E39E4" w:rsidP="00284D7A">
            <w:pPr>
              <w:jc w:val="both"/>
              <w:rPr>
                <w:b/>
                <w:sz w:val="22"/>
                <w:szCs w:val="22"/>
              </w:rPr>
            </w:pPr>
            <w:r w:rsidRPr="00E65C7C">
              <w:rPr>
                <w:b/>
                <w:sz w:val="22"/>
                <w:szCs w:val="22"/>
              </w:rPr>
              <w:t>Comentário:</w:t>
            </w:r>
          </w:p>
          <w:p w:rsidR="002E39E4" w:rsidRPr="00C05893" w:rsidRDefault="002E39E4" w:rsidP="00284D7A">
            <w:pPr>
              <w:jc w:val="both"/>
              <w:rPr>
                <w:sz w:val="22"/>
                <w:szCs w:val="22"/>
              </w:rPr>
            </w:pPr>
          </w:p>
          <w:p w:rsidR="002E39E4" w:rsidRPr="00C05893" w:rsidRDefault="002E39E4" w:rsidP="00284D7A">
            <w:pPr>
              <w:jc w:val="both"/>
              <w:rPr>
                <w:sz w:val="22"/>
                <w:szCs w:val="22"/>
              </w:rPr>
            </w:pPr>
            <w:r w:rsidRPr="00C05893">
              <w:rPr>
                <w:sz w:val="22"/>
                <w:szCs w:val="22"/>
              </w:rPr>
              <w:t>Acrescentar nota na Tabela I:</w:t>
            </w:r>
          </w:p>
          <w:p w:rsidR="002E39E4" w:rsidRPr="00C05893" w:rsidRDefault="002E39E4" w:rsidP="00284D7A">
            <w:pPr>
              <w:jc w:val="both"/>
              <w:rPr>
                <w:sz w:val="22"/>
                <w:szCs w:val="22"/>
              </w:rPr>
            </w:pPr>
          </w:p>
          <w:p w:rsidR="002E39E4" w:rsidRPr="002E39E4" w:rsidRDefault="002E39E4" w:rsidP="00284D7A">
            <w:pPr>
              <w:jc w:val="both"/>
              <w:rPr>
                <w:sz w:val="22"/>
                <w:szCs w:val="22"/>
              </w:rPr>
            </w:pPr>
            <w:r w:rsidRPr="00C05893">
              <w:rPr>
                <w:sz w:val="22"/>
                <w:szCs w:val="22"/>
              </w:rPr>
              <w:t>“</w:t>
            </w:r>
            <w:r w:rsidRPr="00C05893">
              <w:rPr>
                <w:i/>
                <w:sz w:val="22"/>
                <w:szCs w:val="22"/>
              </w:rPr>
              <w:t>Caso a condutividade elétrica medida seja inferior a 25 (pS/m) deverá ser dado destaque do resultado no Certificado de Qualidade para que o distribuidor seja alertado quanto à adoção de medidas de segurança.</w:t>
            </w:r>
            <w:r w:rsidRPr="00C05893">
              <w:rPr>
                <w:sz w:val="22"/>
                <w:szCs w:val="22"/>
              </w:rPr>
              <w:t>”</w:t>
            </w:r>
          </w:p>
        </w:tc>
        <w:tc>
          <w:tcPr>
            <w:tcW w:w="1618" w:type="pct"/>
            <w:shd w:val="clear" w:color="auto" w:fill="auto"/>
            <w:vAlign w:val="center"/>
          </w:tcPr>
          <w:p w:rsidR="002E39E4" w:rsidRDefault="002E39E4" w:rsidP="00284D7A">
            <w:pPr>
              <w:jc w:val="both"/>
              <w:rPr>
                <w:sz w:val="22"/>
                <w:szCs w:val="22"/>
              </w:rPr>
            </w:pPr>
            <w:r w:rsidRPr="002E39E4">
              <w:rPr>
                <w:sz w:val="22"/>
                <w:szCs w:val="22"/>
              </w:rPr>
              <w:t>Inclusão de uma Nota relativa à característica de Condutividade elétrica, relacionada à segurança operacional</w:t>
            </w:r>
            <w:r>
              <w:rPr>
                <w:sz w:val="22"/>
                <w:szCs w:val="22"/>
              </w:rPr>
              <w:t>, já que na tabela a especificação é “anotar”.</w:t>
            </w:r>
          </w:p>
          <w:p w:rsidR="002E39E4" w:rsidRPr="00E65C7C" w:rsidRDefault="002E39E4" w:rsidP="00284D7A">
            <w:pPr>
              <w:jc w:val="both"/>
              <w:rPr>
                <w:sz w:val="22"/>
                <w:szCs w:val="22"/>
              </w:rPr>
            </w:pPr>
          </w:p>
        </w:tc>
        <w:tc>
          <w:tcPr>
            <w:tcW w:w="1172" w:type="pct"/>
            <w:gridSpan w:val="5"/>
            <w:shd w:val="clear" w:color="auto" w:fill="auto"/>
            <w:vAlign w:val="center"/>
          </w:tcPr>
          <w:p w:rsidR="002E39E4" w:rsidRPr="006C58A8" w:rsidRDefault="002E39E4" w:rsidP="00284D7A">
            <w:pPr>
              <w:jc w:val="both"/>
              <w:rPr>
                <w:b/>
                <w:sz w:val="22"/>
                <w:szCs w:val="22"/>
              </w:rPr>
            </w:pPr>
            <w:r w:rsidRPr="006C58A8">
              <w:rPr>
                <w:b/>
                <w:sz w:val="22"/>
                <w:szCs w:val="22"/>
              </w:rPr>
              <w:t>INCORPORADA</w:t>
            </w:r>
          </w:p>
          <w:p w:rsidR="002E39E4" w:rsidRPr="006C58A8" w:rsidRDefault="002E39E4" w:rsidP="00284D7A">
            <w:pPr>
              <w:jc w:val="both"/>
              <w:rPr>
                <w:b/>
                <w:sz w:val="22"/>
                <w:szCs w:val="22"/>
              </w:rPr>
            </w:pPr>
          </w:p>
        </w:tc>
      </w:tr>
      <w:tr w:rsidR="000A1506" w:rsidRPr="00611C70" w:rsidTr="00AC6460">
        <w:trPr>
          <w:trHeight w:val="1262"/>
        </w:trPr>
        <w:tc>
          <w:tcPr>
            <w:tcW w:w="689" w:type="pct"/>
            <w:shd w:val="clear" w:color="auto" w:fill="FFFFFF"/>
            <w:vAlign w:val="center"/>
          </w:tcPr>
          <w:p w:rsidR="00E938B9" w:rsidRPr="00611C70" w:rsidRDefault="00E938B9" w:rsidP="00284D7A">
            <w:pPr>
              <w:jc w:val="center"/>
              <w:rPr>
                <w:b/>
                <w:sz w:val="22"/>
                <w:szCs w:val="22"/>
              </w:rPr>
            </w:pPr>
            <w:r w:rsidRPr="00611C70">
              <w:rPr>
                <w:b/>
                <w:sz w:val="22"/>
                <w:szCs w:val="22"/>
              </w:rPr>
              <w:t>FECOMBUSTÍVEIS</w:t>
            </w:r>
          </w:p>
        </w:tc>
        <w:tc>
          <w:tcPr>
            <w:tcW w:w="391" w:type="pct"/>
            <w:shd w:val="clear" w:color="auto" w:fill="FFFFFF"/>
            <w:vAlign w:val="center"/>
          </w:tcPr>
          <w:p w:rsidR="00E938B9" w:rsidRPr="00611C70" w:rsidRDefault="00E938B9" w:rsidP="00284D7A">
            <w:pPr>
              <w:jc w:val="center"/>
              <w:rPr>
                <w:rFonts w:eastAsia="Arial Unicode MS"/>
                <w:bCs/>
                <w:sz w:val="22"/>
                <w:szCs w:val="22"/>
              </w:rPr>
            </w:pPr>
            <w:r w:rsidRPr="00611C70">
              <w:rPr>
                <w:bCs/>
                <w:color w:val="000000"/>
                <w:sz w:val="22"/>
                <w:szCs w:val="22"/>
              </w:rPr>
              <w:t>Art. 6º.</w:t>
            </w:r>
          </w:p>
        </w:tc>
        <w:tc>
          <w:tcPr>
            <w:tcW w:w="1130" w:type="pct"/>
            <w:gridSpan w:val="5"/>
            <w:shd w:val="clear" w:color="auto" w:fill="FFFFFF"/>
            <w:vAlign w:val="center"/>
          </w:tcPr>
          <w:p w:rsidR="00E938B9" w:rsidRPr="00611C70" w:rsidRDefault="00E938B9" w:rsidP="00284D7A">
            <w:pPr>
              <w:jc w:val="both"/>
              <w:rPr>
                <w:b/>
                <w:sz w:val="22"/>
                <w:szCs w:val="22"/>
              </w:rPr>
            </w:pPr>
            <w:r w:rsidRPr="00611C70">
              <w:rPr>
                <w:b/>
                <w:sz w:val="22"/>
                <w:szCs w:val="22"/>
              </w:rPr>
              <w:t>Comentário:</w:t>
            </w:r>
          </w:p>
          <w:p w:rsidR="00E938B9" w:rsidRPr="00611C70" w:rsidRDefault="00E938B9" w:rsidP="00284D7A">
            <w:pPr>
              <w:jc w:val="both"/>
              <w:rPr>
                <w:sz w:val="22"/>
                <w:szCs w:val="22"/>
              </w:rPr>
            </w:pPr>
            <w:r w:rsidRPr="00611C70">
              <w:rPr>
                <w:sz w:val="22"/>
                <w:szCs w:val="22"/>
              </w:rPr>
              <w:t>Fazer constar a observação (N) ao lado da sigla do S10 no cabeçalho da Tabela I.</w:t>
            </w:r>
          </w:p>
          <w:p w:rsidR="00E938B9" w:rsidRPr="00611C70" w:rsidRDefault="00E938B9" w:rsidP="00284D7A">
            <w:pPr>
              <w:jc w:val="both"/>
              <w:rPr>
                <w:sz w:val="22"/>
                <w:szCs w:val="22"/>
              </w:rPr>
            </w:pPr>
          </w:p>
          <w:p w:rsidR="00E938B9" w:rsidRPr="00611C70" w:rsidRDefault="00E938B9" w:rsidP="00284D7A">
            <w:pPr>
              <w:jc w:val="both"/>
              <w:rPr>
                <w:sz w:val="22"/>
                <w:szCs w:val="22"/>
              </w:rPr>
            </w:pPr>
            <w:r w:rsidRPr="00611C70">
              <w:rPr>
                <w:sz w:val="22"/>
                <w:szCs w:val="22"/>
              </w:rPr>
              <w:t>Acrescentar o observação (N):</w:t>
            </w:r>
          </w:p>
          <w:p w:rsidR="00E938B9" w:rsidRPr="00611C70" w:rsidRDefault="00E938B9" w:rsidP="00284D7A">
            <w:pPr>
              <w:jc w:val="both"/>
              <w:rPr>
                <w:i/>
                <w:sz w:val="22"/>
                <w:szCs w:val="22"/>
              </w:rPr>
            </w:pPr>
            <w:r w:rsidRPr="00611C70">
              <w:rPr>
                <w:i/>
                <w:color w:val="0000FF"/>
                <w:sz w:val="22"/>
                <w:szCs w:val="22"/>
                <w:u w:val="single"/>
              </w:rPr>
              <w:t xml:space="preserve">“(N): No teor de “Enxofre Total”, </w:t>
            </w:r>
            <w:r w:rsidRPr="00611C70">
              <w:rPr>
                <w:i/>
                <w:color w:val="0000FF"/>
                <w:sz w:val="22"/>
                <w:szCs w:val="22"/>
                <w:u w:val="single"/>
              </w:rPr>
              <w:lastRenderedPageBreak/>
              <w:t>será admitida variação de +/- 2 ,0 mg/kg  a partir da comercialização do produtor ou importador  e de +/- 4,0 mg/kg na distribuição, revenda e TRR´s.”</w:t>
            </w:r>
          </w:p>
        </w:tc>
        <w:tc>
          <w:tcPr>
            <w:tcW w:w="1618" w:type="pct"/>
            <w:shd w:val="clear" w:color="auto" w:fill="FFFFFF"/>
            <w:vAlign w:val="center"/>
          </w:tcPr>
          <w:p w:rsidR="00E938B9" w:rsidRPr="00611C70" w:rsidRDefault="00E938B9" w:rsidP="00284D7A">
            <w:pPr>
              <w:jc w:val="both"/>
              <w:rPr>
                <w:rFonts w:eastAsia="Arial Unicode MS"/>
                <w:sz w:val="22"/>
                <w:szCs w:val="22"/>
              </w:rPr>
            </w:pPr>
            <w:r w:rsidRPr="00611C70">
              <w:rPr>
                <w:rFonts w:eastAsia="Arial Unicode MS"/>
                <w:sz w:val="22"/>
                <w:szCs w:val="22"/>
              </w:rPr>
              <w:lastRenderedPageBreak/>
              <w:t xml:space="preserve">A impossibilidade de se manter o teor de enxofre abaixo de 10 mg/kg ao longo da cadeia de abastecimento, foi exaustivamente debatida e demonstrada em diversos testes realizados pelos agentes econômicos e pelo próprio órgão regulador. </w:t>
            </w:r>
          </w:p>
          <w:p w:rsidR="00E938B9" w:rsidRPr="00611C70" w:rsidRDefault="00E938B9" w:rsidP="00284D7A">
            <w:pPr>
              <w:jc w:val="both"/>
              <w:rPr>
                <w:rFonts w:eastAsia="Arial Unicode MS"/>
                <w:sz w:val="22"/>
                <w:szCs w:val="22"/>
              </w:rPr>
            </w:pPr>
          </w:p>
          <w:p w:rsidR="00E938B9" w:rsidRPr="00611C70" w:rsidRDefault="00E938B9" w:rsidP="00284D7A">
            <w:pPr>
              <w:jc w:val="both"/>
              <w:rPr>
                <w:rFonts w:eastAsia="Arial Unicode MS"/>
                <w:sz w:val="22"/>
                <w:szCs w:val="22"/>
              </w:rPr>
            </w:pPr>
            <w:r w:rsidRPr="00611C70">
              <w:rPr>
                <w:rFonts w:eastAsia="Arial Unicode MS"/>
                <w:sz w:val="22"/>
                <w:szCs w:val="22"/>
              </w:rPr>
              <w:t xml:space="preserve">Some-se a isso a severidade das punições previstas na </w:t>
            </w:r>
            <w:r w:rsidRPr="00611C70">
              <w:rPr>
                <w:rFonts w:eastAsia="Arial Unicode MS"/>
                <w:sz w:val="22"/>
                <w:szCs w:val="22"/>
              </w:rPr>
              <w:lastRenderedPageBreak/>
              <w:t xml:space="preserve">legislação atual, para os agentes econômicos flagrados com produtos não conformes, particularmente a do Estado de São Paulo que prevê a cassação sumária da Inscrição Estadual (bem como outros estados), entendemos ser necessário introduzir essa tolerância. </w:t>
            </w:r>
          </w:p>
          <w:p w:rsidR="00E938B9" w:rsidRPr="00611C70" w:rsidRDefault="00E938B9" w:rsidP="00284D7A">
            <w:pPr>
              <w:jc w:val="both"/>
              <w:rPr>
                <w:rFonts w:eastAsia="Arial Unicode MS"/>
                <w:sz w:val="22"/>
                <w:szCs w:val="22"/>
              </w:rPr>
            </w:pPr>
          </w:p>
          <w:p w:rsidR="00E938B9" w:rsidRPr="00611C70" w:rsidRDefault="00E938B9" w:rsidP="00284D7A">
            <w:pPr>
              <w:jc w:val="both"/>
              <w:rPr>
                <w:rFonts w:eastAsia="Arial Unicode MS"/>
                <w:sz w:val="22"/>
                <w:szCs w:val="22"/>
              </w:rPr>
            </w:pPr>
            <w:r w:rsidRPr="00611C70">
              <w:rPr>
                <w:rFonts w:eastAsia="Arial Unicode MS"/>
                <w:sz w:val="22"/>
                <w:szCs w:val="22"/>
              </w:rPr>
              <w:t>Isso pode ser feito sem prejuízo dos ganhos ambientais pretendidos, uma vez que, segundo a PETROBRAS, estudos com motores em bancada mostram que não há como discernir o nível de emissões resultante do consumo de Óleo Diesel S50 ou S10.</w:t>
            </w:r>
          </w:p>
        </w:tc>
        <w:tc>
          <w:tcPr>
            <w:tcW w:w="1172" w:type="pct"/>
            <w:gridSpan w:val="5"/>
            <w:shd w:val="clear" w:color="auto" w:fill="FFFFFF"/>
            <w:vAlign w:val="center"/>
          </w:tcPr>
          <w:p w:rsidR="00F378DA" w:rsidRDefault="00F378DA" w:rsidP="00284D7A">
            <w:pPr>
              <w:jc w:val="both"/>
              <w:rPr>
                <w:b/>
                <w:sz w:val="22"/>
                <w:szCs w:val="22"/>
              </w:rPr>
            </w:pPr>
          </w:p>
          <w:p w:rsidR="00523FB3" w:rsidRPr="006C58A8" w:rsidRDefault="00523FB3" w:rsidP="00284D7A">
            <w:pPr>
              <w:jc w:val="both"/>
              <w:rPr>
                <w:b/>
                <w:sz w:val="22"/>
                <w:szCs w:val="22"/>
              </w:rPr>
            </w:pPr>
            <w:r w:rsidRPr="006C58A8">
              <w:rPr>
                <w:b/>
                <w:sz w:val="22"/>
                <w:szCs w:val="22"/>
              </w:rPr>
              <w:t>INCORPORADA PARCIALMENTE</w:t>
            </w:r>
          </w:p>
          <w:p w:rsidR="006C58A8" w:rsidRDefault="006C58A8" w:rsidP="00284D7A">
            <w:pPr>
              <w:jc w:val="both"/>
              <w:rPr>
                <w:b/>
                <w:sz w:val="22"/>
                <w:szCs w:val="22"/>
              </w:rPr>
            </w:pPr>
          </w:p>
          <w:p w:rsidR="00523FB3" w:rsidRDefault="00523FB3" w:rsidP="00284D7A">
            <w:pPr>
              <w:jc w:val="both"/>
              <w:rPr>
                <w:b/>
                <w:sz w:val="22"/>
                <w:szCs w:val="22"/>
              </w:rPr>
            </w:pPr>
            <w:r w:rsidRPr="006C58A8">
              <w:rPr>
                <w:b/>
                <w:sz w:val="22"/>
                <w:szCs w:val="22"/>
              </w:rPr>
              <w:t>Justificativa:</w:t>
            </w:r>
          </w:p>
          <w:p w:rsidR="006C58A8" w:rsidRPr="006C58A8" w:rsidRDefault="006C58A8" w:rsidP="00284D7A">
            <w:pPr>
              <w:jc w:val="both"/>
              <w:rPr>
                <w:b/>
                <w:sz w:val="22"/>
                <w:szCs w:val="22"/>
              </w:rPr>
            </w:pPr>
          </w:p>
          <w:p w:rsidR="00E938B9" w:rsidRPr="006C58A8" w:rsidRDefault="00AA1BC4" w:rsidP="00F378DA">
            <w:pPr>
              <w:jc w:val="both"/>
              <w:rPr>
                <w:sz w:val="22"/>
                <w:szCs w:val="22"/>
              </w:rPr>
            </w:pPr>
            <w:r>
              <w:rPr>
                <w:sz w:val="22"/>
                <w:szCs w:val="22"/>
              </w:rPr>
              <w:t>A</w:t>
            </w:r>
            <w:r w:rsidRPr="006C58A8">
              <w:rPr>
                <w:sz w:val="22"/>
                <w:szCs w:val="22"/>
              </w:rPr>
              <w:t xml:space="preserve"> </w:t>
            </w:r>
            <w:r w:rsidR="00523FB3" w:rsidRPr="006C58A8">
              <w:rPr>
                <w:sz w:val="22"/>
                <w:szCs w:val="22"/>
              </w:rPr>
              <w:t xml:space="preserve">variação no teor de enxofre do S10 </w:t>
            </w:r>
            <w:r w:rsidR="00523FB3" w:rsidRPr="006C58A8">
              <w:rPr>
                <w:sz w:val="22"/>
                <w:szCs w:val="22"/>
              </w:rPr>
              <w:lastRenderedPageBreak/>
              <w:t xml:space="preserve">está sendo prevista para </w:t>
            </w:r>
            <w:r w:rsidRPr="006C58A8">
              <w:rPr>
                <w:sz w:val="22"/>
                <w:szCs w:val="22"/>
              </w:rPr>
              <w:t>distribuição</w:t>
            </w:r>
            <w:r w:rsidR="00523FB3" w:rsidRPr="006C58A8">
              <w:rPr>
                <w:sz w:val="22"/>
                <w:szCs w:val="22"/>
              </w:rPr>
              <w:t xml:space="preserve"> e revenda de combustíveis pela inclusão da nota </w:t>
            </w:r>
            <w:r w:rsidR="00E721DD">
              <w:rPr>
                <w:sz w:val="22"/>
                <w:szCs w:val="22"/>
              </w:rPr>
              <w:t>2</w:t>
            </w:r>
            <w:r w:rsidR="00F378DA">
              <w:rPr>
                <w:sz w:val="22"/>
                <w:szCs w:val="22"/>
              </w:rPr>
              <w:t>4</w:t>
            </w:r>
            <w:r w:rsidR="00E721DD" w:rsidRPr="006C58A8">
              <w:rPr>
                <w:sz w:val="22"/>
                <w:szCs w:val="22"/>
              </w:rPr>
              <w:t xml:space="preserve"> </w:t>
            </w:r>
            <w:r w:rsidR="00523FB3" w:rsidRPr="006C58A8">
              <w:rPr>
                <w:sz w:val="22"/>
                <w:szCs w:val="22"/>
              </w:rPr>
              <w:t>na Tabela I.</w:t>
            </w:r>
          </w:p>
        </w:tc>
      </w:tr>
      <w:tr w:rsidR="000A1506" w:rsidRPr="006B37F7" w:rsidTr="00AC6460">
        <w:trPr>
          <w:trHeight w:val="3675"/>
        </w:trPr>
        <w:tc>
          <w:tcPr>
            <w:tcW w:w="689" w:type="pct"/>
            <w:shd w:val="clear" w:color="auto" w:fill="FFFFFF"/>
            <w:vAlign w:val="center"/>
          </w:tcPr>
          <w:p w:rsidR="00E938B9" w:rsidRPr="006B37F7" w:rsidRDefault="00E938B9" w:rsidP="00284D7A">
            <w:pPr>
              <w:jc w:val="center"/>
              <w:rPr>
                <w:b/>
                <w:sz w:val="22"/>
                <w:szCs w:val="22"/>
              </w:rPr>
            </w:pPr>
            <w:r w:rsidRPr="006B37F7">
              <w:rPr>
                <w:b/>
                <w:sz w:val="22"/>
                <w:szCs w:val="22"/>
              </w:rPr>
              <w:lastRenderedPageBreak/>
              <w:t>PETROBRAS</w:t>
            </w:r>
          </w:p>
        </w:tc>
        <w:tc>
          <w:tcPr>
            <w:tcW w:w="391" w:type="pct"/>
            <w:shd w:val="clear" w:color="auto" w:fill="FFFFFF"/>
            <w:vAlign w:val="center"/>
          </w:tcPr>
          <w:p w:rsidR="00E938B9" w:rsidRPr="006B37F7" w:rsidRDefault="00E938B9" w:rsidP="00284D7A">
            <w:pPr>
              <w:jc w:val="center"/>
              <w:rPr>
                <w:rFonts w:eastAsia="Arial Unicode MS"/>
                <w:bCs/>
                <w:sz w:val="22"/>
                <w:szCs w:val="22"/>
              </w:rPr>
            </w:pPr>
            <w:r w:rsidRPr="006B37F7">
              <w:rPr>
                <w:bCs/>
                <w:color w:val="000000"/>
                <w:sz w:val="22"/>
                <w:szCs w:val="22"/>
              </w:rPr>
              <w:t>Art. 6º.</w:t>
            </w:r>
          </w:p>
        </w:tc>
        <w:tc>
          <w:tcPr>
            <w:tcW w:w="1130" w:type="pct"/>
            <w:gridSpan w:val="5"/>
            <w:shd w:val="clear" w:color="auto" w:fill="FFFFFF"/>
            <w:vAlign w:val="center"/>
          </w:tcPr>
          <w:p w:rsidR="00E938B9" w:rsidRPr="006B37F7" w:rsidRDefault="00E938B9" w:rsidP="00284D7A">
            <w:pPr>
              <w:jc w:val="both"/>
              <w:rPr>
                <w:b/>
                <w:sz w:val="22"/>
                <w:szCs w:val="22"/>
              </w:rPr>
            </w:pPr>
            <w:r w:rsidRPr="006B37F7">
              <w:rPr>
                <w:b/>
                <w:sz w:val="22"/>
                <w:szCs w:val="22"/>
              </w:rPr>
              <w:t>Comentário:</w:t>
            </w:r>
          </w:p>
          <w:p w:rsidR="00E938B9" w:rsidRPr="006B37F7" w:rsidRDefault="00E938B9" w:rsidP="00284D7A">
            <w:pPr>
              <w:jc w:val="both"/>
              <w:rPr>
                <w:sz w:val="22"/>
                <w:szCs w:val="22"/>
              </w:rPr>
            </w:pPr>
            <w:r>
              <w:rPr>
                <w:sz w:val="22"/>
                <w:szCs w:val="22"/>
              </w:rPr>
              <w:t>Incluir NOTA</w:t>
            </w:r>
            <w:r w:rsidRPr="006B37F7">
              <w:rPr>
                <w:sz w:val="22"/>
                <w:szCs w:val="22"/>
              </w:rPr>
              <w:t xml:space="preserve"> relativa ao teor máximo de enxofre total do diesel S10, indicando que deverá ser levada em conta a reprodutibilidade do método de aferição adotado.nas recertificações Ou seja, se a aferição na origem (porto de carregamento </w:t>
            </w:r>
            <w:r w:rsidRPr="00166975">
              <w:rPr>
                <w:sz w:val="22"/>
                <w:szCs w:val="22"/>
                <w:highlight w:val="yellow"/>
              </w:rPr>
              <w:t>da importação</w:t>
            </w:r>
            <w:r w:rsidRPr="006B37F7">
              <w:rPr>
                <w:sz w:val="22"/>
                <w:szCs w:val="22"/>
              </w:rPr>
              <w:t xml:space="preserve"> ou </w:t>
            </w:r>
            <w:r w:rsidRPr="00166975">
              <w:rPr>
                <w:sz w:val="22"/>
                <w:szCs w:val="22"/>
                <w:highlight w:val="yellow"/>
              </w:rPr>
              <w:t>unidade de produção nacional</w:t>
            </w:r>
            <w:r w:rsidRPr="006B37F7">
              <w:rPr>
                <w:sz w:val="22"/>
                <w:szCs w:val="22"/>
              </w:rPr>
              <w:t xml:space="preserve">) estiver dentro do limite máximo de 10 mg/kg, e todavia for aferido antes da descarga em porto no Brasil ou numa base de distribuição um valor superior a esse limite, porém dentro do intervalo de reprodutibilidade do método de aferição adotado, então, nessa condição, poderá ser considerado o produto como conforme em enxofre total baseado na medição </w:t>
            </w:r>
            <w:r w:rsidRPr="000947C7">
              <w:rPr>
                <w:sz w:val="22"/>
                <w:szCs w:val="22"/>
                <w:highlight w:val="yellow"/>
              </w:rPr>
              <w:t>do porto de origem da importação ou unidade de produção nacional</w:t>
            </w:r>
            <w:r w:rsidRPr="006B37F7">
              <w:rPr>
                <w:sz w:val="22"/>
                <w:szCs w:val="22"/>
              </w:rPr>
              <w:t>. No caso da revenda sugerimos a adoção de duas repros.</w:t>
            </w:r>
          </w:p>
        </w:tc>
        <w:tc>
          <w:tcPr>
            <w:tcW w:w="1618" w:type="pct"/>
            <w:shd w:val="clear" w:color="auto" w:fill="FFFFFF"/>
            <w:vAlign w:val="center"/>
          </w:tcPr>
          <w:p w:rsidR="00E938B9" w:rsidRPr="006B37F7" w:rsidRDefault="00E938B9" w:rsidP="00284D7A">
            <w:pPr>
              <w:jc w:val="both"/>
              <w:rPr>
                <w:rFonts w:eastAsia="Arial Unicode MS"/>
                <w:sz w:val="22"/>
                <w:szCs w:val="22"/>
              </w:rPr>
            </w:pPr>
            <w:r w:rsidRPr="006B37F7">
              <w:rPr>
                <w:sz w:val="22"/>
                <w:szCs w:val="22"/>
              </w:rPr>
              <w:t>Considerando o ultra baixo teor de enxofre evitaremos potenciais riscos de desabastecimento do mercado brasileiro em virtude da inexistência de mercados internacionais exportadores de óleo diesel que garantam teor de enxofre total abaixo do mínimo do intervalo de reprodutibilidade do(s) método(s) de aferição de enxofre total, de maneira a eliminar risco de medição de teor acima de 10 mg/kg antes da descarga em porto brasileiro, apesar do produto medir abaixo desse limite no porto de carregamento. A mesma justificativa serve para o produto produzido no Brasil.</w:t>
            </w:r>
          </w:p>
        </w:tc>
        <w:tc>
          <w:tcPr>
            <w:tcW w:w="1172" w:type="pct"/>
            <w:gridSpan w:val="5"/>
            <w:shd w:val="clear" w:color="auto" w:fill="FFFFFF"/>
            <w:vAlign w:val="center"/>
          </w:tcPr>
          <w:p w:rsidR="00523FB3" w:rsidRPr="009E516E" w:rsidRDefault="00523FB3" w:rsidP="00284D7A">
            <w:pPr>
              <w:jc w:val="both"/>
              <w:rPr>
                <w:b/>
                <w:sz w:val="22"/>
                <w:szCs w:val="22"/>
              </w:rPr>
            </w:pPr>
            <w:r w:rsidRPr="009E516E">
              <w:rPr>
                <w:b/>
                <w:sz w:val="22"/>
                <w:szCs w:val="22"/>
              </w:rPr>
              <w:t>INCORPORADA</w:t>
            </w:r>
            <w:r w:rsidR="009E516E" w:rsidRPr="009E516E">
              <w:rPr>
                <w:b/>
                <w:sz w:val="22"/>
                <w:szCs w:val="22"/>
              </w:rPr>
              <w:t xml:space="preserve"> PARCIALMENTE</w:t>
            </w:r>
          </w:p>
          <w:p w:rsidR="00523FB3" w:rsidRPr="009E516E" w:rsidRDefault="00523FB3" w:rsidP="00284D7A">
            <w:pPr>
              <w:jc w:val="both"/>
              <w:rPr>
                <w:b/>
                <w:sz w:val="22"/>
                <w:szCs w:val="22"/>
              </w:rPr>
            </w:pPr>
          </w:p>
          <w:p w:rsidR="00523FB3" w:rsidRDefault="00523FB3" w:rsidP="00284D7A">
            <w:pPr>
              <w:jc w:val="both"/>
              <w:rPr>
                <w:b/>
                <w:sz w:val="22"/>
                <w:szCs w:val="22"/>
              </w:rPr>
            </w:pPr>
            <w:r w:rsidRPr="009E516E">
              <w:rPr>
                <w:b/>
                <w:sz w:val="22"/>
                <w:szCs w:val="22"/>
              </w:rPr>
              <w:t>Justificativa:</w:t>
            </w:r>
          </w:p>
          <w:p w:rsidR="009E516E" w:rsidRPr="009E516E" w:rsidRDefault="009E516E" w:rsidP="00284D7A">
            <w:pPr>
              <w:jc w:val="both"/>
              <w:rPr>
                <w:b/>
                <w:sz w:val="22"/>
                <w:szCs w:val="22"/>
              </w:rPr>
            </w:pPr>
          </w:p>
          <w:p w:rsidR="00E938B9" w:rsidRPr="009E516E" w:rsidRDefault="00AA1BC4" w:rsidP="00F378DA">
            <w:pPr>
              <w:jc w:val="both"/>
              <w:rPr>
                <w:sz w:val="22"/>
                <w:szCs w:val="22"/>
              </w:rPr>
            </w:pPr>
            <w:r>
              <w:rPr>
                <w:sz w:val="22"/>
                <w:szCs w:val="22"/>
              </w:rPr>
              <w:t>A</w:t>
            </w:r>
            <w:r w:rsidRPr="009E516E">
              <w:rPr>
                <w:sz w:val="22"/>
                <w:szCs w:val="22"/>
              </w:rPr>
              <w:t xml:space="preserve"> </w:t>
            </w:r>
            <w:r w:rsidR="00523FB3" w:rsidRPr="009E516E">
              <w:rPr>
                <w:sz w:val="22"/>
                <w:szCs w:val="22"/>
              </w:rPr>
              <w:t>variação no teor de enxofre do S10 está sendo prevista para a distribuição e revenda de combustíveis pela inclusão da nota 2</w:t>
            </w:r>
            <w:r w:rsidR="00F378DA">
              <w:rPr>
                <w:sz w:val="22"/>
                <w:szCs w:val="22"/>
              </w:rPr>
              <w:t>4</w:t>
            </w:r>
            <w:r w:rsidR="00523FB3" w:rsidRPr="009E516E">
              <w:rPr>
                <w:sz w:val="22"/>
                <w:szCs w:val="22"/>
              </w:rPr>
              <w:t xml:space="preserve"> na Tabela I. No caso do Produtor e Importador, ambos deverão garantir o máximo de 10 mg/kg no teor de enxofre, não sendo admitida nenhuma variação para mais.</w:t>
            </w:r>
          </w:p>
        </w:tc>
      </w:tr>
      <w:tr w:rsidR="000A1506" w:rsidTr="00AC6460">
        <w:trPr>
          <w:trHeight w:val="5103"/>
        </w:trPr>
        <w:tc>
          <w:tcPr>
            <w:tcW w:w="689" w:type="pct"/>
            <w:shd w:val="clear" w:color="auto" w:fill="FFFFFF"/>
            <w:vAlign w:val="center"/>
          </w:tcPr>
          <w:p w:rsidR="00E938B9" w:rsidRPr="00383234" w:rsidRDefault="00E938B9" w:rsidP="00284D7A">
            <w:pPr>
              <w:jc w:val="center"/>
              <w:rPr>
                <w:b/>
                <w:sz w:val="22"/>
                <w:szCs w:val="22"/>
              </w:rPr>
            </w:pPr>
            <w:r w:rsidRPr="00383234">
              <w:rPr>
                <w:b/>
                <w:sz w:val="22"/>
                <w:szCs w:val="22"/>
              </w:rPr>
              <w:lastRenderedPageBreak/>
              <w:t>SINDICOM</w:t>
            </w:r>
          </w:p>
        </w:tc>
        <w:tc>
          <w:tcPr>
            <w:tcW w:w="391" w:type="pct"/>
            <w:shd w:val="clear" w:color="auto" w:fill="FFFFFF"/>
            <w:vAlign w:val="center"/>
          </w:tcPr>
          <w:p w:rsidR="00E938B9" w:rsidRPr="00383234" w:rsidRDefault="00E938B9" w:rsidP="00284D7A">
            <w:pPr>
              <w:jc w:val="center"/>
              <w:rPr>
                <w:rFonts w:eastAsia="Arial Unicode MS"/>
                <w:bCs/>
                <w:sz w:val="22"/>
                <w:szCs w:val="22"/>
              </w:rPr>
            </w:pPr>
            <w:r w:rsidRPr="00383234">
              <w:rPr>
                <w:bCs/>
                <w:color w:val="000000"/>
                <w:sz w:val="22"/>
                <w:szCs w:val="22"/>
              </w:rPr>
              <w:t>Art. 6º.</w:t>
            </w:r>
          </w:p>
        </w:tc>
        <w:tc>
          <w:tcPr>
            <w:tcW w:w="1130" w:type="pct"/>
            <w:gridSpan w:val="5"/>
            <w:shd w:val="clear" w:color="auto" w:fill="FFFFFF"/>
            <w:vAlign w:val="center"/>
          </w:tcPr>
          <w:p w:rsidR="00E938B9" w:rsidRPr="00383234" w:rsidRDefault="00E938B9" w:rsidP="00284D7A">
            <w:pPr>
              <w:jc w:val="both"/>
              <w:rPr>
                <w:b/>
                <w:sz w:val="22"/>
                <w:szCs w:val="22"/>
              </w:rPr>
            </w:pPr>
            <w:r w:rsidRPr="00383234">
              <w:rPr>
                <w:b/>
                <w:sz w:val="22"/>
                <w:szCs w:val="22"/>
              </w:rPr>
              <w:t>Comentário:</w:t>
            </w:r>
          </w:p>
          <w:p w:rsidR="00E938B9" w:rsidRPr="00383234" w:rsidRDefault="00E938B9" w:rsidP="00284D7A">
            <w:pPr>
              <w:jc w:val="both"/>
              <w:rPr>
                <w:sz w:val="22"/>
                <w:szCs w:val="22"/>
              </w:rPr>
            </w:pPr>
            <w:r w:rsidRPr="00383234">
              <w:rPr>
                <w:sz w:val="22"/>
                <w:szCs w:val="22"/>
              </w:rPr>
              <w:t xml:space="preserve">Enxofre total, Max: </w:t>
            </w:r>
            <w:r w:rsidRPr="00383234">
              <w:rPr>
                <w:sz w:val="22"/>
                <w:szCs w:val="22"/>
                <w:u w:val="single"/>
              </w:rPr>
              <w:t>10 mg/kg</w:t>
            </w:r>
            <w:r w:rsidRPr="00383234">
              <w:rPr>
                <w:sz w:val="22"/>
                <w:szCs w:val="22"/>
              </w:rPr>
              <w:t>.</w:t>
            </w:r>
          </w:p>
        </w:tc>
        <w:tc>
          <w:tcPr>
            <w:tcW w:w="1618" w:type="pct"/>
            <w:shd w:val="clear" w:color="auto" w:fill="FFFFFF"/>
            <w:vAlign w:val="center"/>
          </w:tcPr>
          <w:p w:rsidR="00E938B9" w:rsidRPr="00383234" w:rsidRDefault="00E938B9" w:rsidP="00284D7A">
            <w:pPr>
              <w:jc w:val="both"/>
              <w:rPr>
                <w:sz w:val="22"/>
                <w:szCs w:val="22"/>
              </w:rPr>
            </w:pPr>
            <w:r w:rsidRPr="00383234">
              <w:rPr>
                <w:sz w:val="22"/>
                <w:szCs w:val="22"/>
              </w:rPr>
              <w:t>Conforme Estudos realizados pelo Sindicom, COPPE, Petrobras e a própria ANP ficou demonstrado que se faz necessário considerar os efeitos da Reprodutibilidade dos métodos de ensaio para medição do teor de enxofre, bem como a complexa logística de um país de dimensões continentais como o Brasil.</w:t>
            </w:r>
          </w:p>
          <w:p w:rsidR="00E938B9" w:rsidRPr="00383234" w:rsidRDefault="00E938B9" w:rsidP="00284D7A">
            <w:pPr>
              <w:jc w:val="both"/>
              <w:rPr>
                <w:sz w:val="22"/>
                <w:szCs w:val="22"/>
              </w:rPr>
            </w:pPr>
          </w:p>
          <w:p w:rsidR="00E938B9" w:rsidRPr="00383234" w:rsidRDefault="00E938B9" w:rsidP="00284D7A">
            <w:pPr>
              <w:jc w:val="both"/>
              <w:rPr>
                <w:sz w:val="22"/>
                <w:szCs w:val="22"/>
              </w:rPr>
            </w:pPr>
            <w:r w:rsidRPr="00383234">
              <w:rPr>
                <w:sz w:val="22"/>
                <w:szCs w:val="22"/>
              </w:rPr>
              <w:t xml:space="preserve">Desta forma, nossa sugestão é de que no teor estabelecido pela legislação vigente seja admitida uma variação/tolerância de + ou - 2 mg/Kg, a partir da comercialização do produtor ou importador. </w:t>
            </w:r>
          </w:p>
          <w:p w:rsidR="00E938B9" w:rsidRPr="00F74C0E" w:rsidRDefault="00E938B9" w:rsidP="00284D7A">
            <w:pPr>
              <w:jc w:val="both"/>
              <w:rPr>
                <w:rFonts w:eastAsia="Arial Unicode MS"/>
                <w:sz w:val="22"/>
                <w:szCs w:val="22"/>
              </w:rPr>
            </w:pPr>
            <w:r w:rsidRPr="00383234">
              <w:rPr>
                <w:sz w:val="22"/>
                <w:szCs w:val="22"/>
              </w:rPr>
              <w:t>Nos demais segmentos da cadeia logística (Distribuidora, TRR e Posto Revendedor), o percentual estabelecido pela legislação vigente deve admitir uma variação/tolerância de + ou - 4 mg/Kg.</w:t>
            </w:r>
          </w:p>
        </w:tc>
        <w:tc>
          <w:tcPr>
            <w:tcW w:w="1172" w:type="pct"/>
            <w:gridSpan w:val="5"/>
            <w:shd w:val="clear" w:color="auto" w:fill="FFFFFF"/>
          </w:tcPr>
          <w:p w:rsidR="00BF4A5E" w:rsidRDefault="00BF4A5E" w:rsidP="00284D7A">
            <w:pPr>
              <w:jc w:val="both"/>
              <w:rPr>
                <w:b/>
                <w:sz w:val="22"/>
                <w:szCs w:val="22"/>
              </w:rPr>
            </w:pPr>
          </w:p>
          <w:p w:rsidR="00523FB3" w:rsidRPr="00B81EE4" w:rsidRDefault="00BF4A5E" w:rsidP="00284D7A">
            <w:pPr>
              <w:jc w:val="both"/>
              <w:rPr>
                <w:b/>
                <w:sz w:val="22"/>
                <w:szCs w:val="22"/>
              </w:rPr>
            </w:pPr>
            <w:r>
              <w:rPr>
                <w:b/>
                <w:sz w:val="22"/>
                <w:szCs w:val="22"/>
              </w:rPr>
              <w:t xml:space="preserve">INCORPORADA </w:t>
            </w:r>
            <w:r w:rsidR="00523FB3" w:rsidRPr="00B81EE4">
              <w:rPr>
                <w:b/>
                <w:sz w:val="22"/>
                <w:szCs w:val="22"/>
              </w:rPr>
              <w:t>PARCIALMENTE</w:t>
            </w:r>
          </w:p>
          <w:p w:rsidR="00523FB3" w:rsidRPr="00B81EE4" w:rsidRDefault="00523FB3" w:rsidP="00284D7A">
            <w:pPr>
              <w:jc w:val="both"/>
              <w:rPr>
                <w:b/>
                <w:sz w:val="22"/>
                <w:szCs w:val="22"/>
              </w:rPr>
            </w:pPr>
          </w:p>
          <w:p w:rsidR="00523FB3" w:rsidRDefault="00523FB3" w:rsidP="00284D7A">
            <w:pPr>
              <w:jc w:val="both"/>
              <w:rPr>
                <w:b/>
                <w:sz w:val="22"/>
                <w:szCs w:val="22"/>
              </w:rPr>
            </w:pPr>
            <w:r w:rsidRPr="00B81EE4">
              <w:rPr>
                <w:b/>
                <w:sz w:val="22"/>
                <w:szCs w:val="22"/>
              </w:rPr>
              <w:t>Justificativa:</w:t>
            </w:r>
          </w:p>
          <w:p w:rsidR="00B81EE4" w:rsidRPr="00B81EE4" w:rsidRDefault="00B81EE4" w:rsidP="00284D7A">
            <w:pPr>
              <w:jc w:val="both"/>
              <w:rPr>
                <w:b/>
                <w:sz w:val="22"/>
                <w:szCs w:val="22"/>
              </w:rPr>
            </w:pPr>
          </w:p>
          <w:p w:rsidR="00E938B9" w:rsidRPr="00B81EE4" w:rsidRDefault="00523FB3" w:rsidP="00F378DA">
            <w:pPr>
              <w:jc w:val="both"/>
              <w:rPr>
                <w:sz w:val="22"/>
                <w:szCs w:val="22"/>
              </w:rPr>
            </w:pPr>
            <w:r w:rsidRPr="00B81EE4">
              <w:rPr>
                <w:sz w:val="22"/>
                <w:szCs w:val="22"/>
              </w:rPr>
              <w:t xml:space="preserve">Tal variação no teor de enxofre do S10 está sendo prevista para </w:t>
            </w:r>
            <w:r w:rsidR="00AA1BC4" w:rsidRPr="00B81EE4">
              <w:rPr>
                <w:sz w:val="22"/>
                <w:szCs w:val="22"/>
              </w:rPr>
              <w:t>distribuição</w:t>
            </w:r>
            <w:r w:rsidRPr="00B81EE4">
              <w:rPr>
                <w:sz w:val="22"/>
                <w:szCs w:val="22"/>
              </w:rPr>
              <w:t xml:space="preserve"> e revenda de combustíveis pela inclusão da nota </w:t>
            </w:r>
            <w:r w:rsidR="00E721DD">
              <w:rPr>
                <w:sz w:val="22"/>
                <w:szCs w:val="22"/>
              </w:rPr>
              <w:t>2</w:t>
            </w:r>
            <w:r w:rsidR="00F378DA">
              <w:rPr>
                <w:sz w:val="22"/>
                <w:szCs w:val="22"/>
              </w:rPr>
              <w:t>4</w:t>
            </w:r>
            <w:r w:rsidR="00E721DD">
              <w:rPr>
                <w:sz w:val="22"/>
                <w:szCs w:val="22"/>
              </w:rPr>
              <w:t xml:space="preserve"> </w:t>
            </w:r>
            <w:r w:rsidRPr="00B81EE4">
              <w:rPr>
                <w:sz w:val="22"/>
                <w:szCs w:val="22"/>
              </w:rPr>
              <w:t>na Tabela I.</w:t>
            </w:r>
          </w:p>
        </w:tc>
      </w:tr>
      <w:tr w:rsidR="000A1506" w:rsidTr="00AC6460">
        <w:trPr>
          <w:trHeight w:val="3556"/>
        </w:trPr>
        <w:tc>
          <w:tcPr>
            <w:tcW w:w="689" w:type="pct"/>
            <w:shd w:val="clear" w:color="auto" w:fill="FFFFFF"/>
            <w:vAlign w:val="center"/>
          </w:tcPr>
          <w:p w:rsidR="00E938B9" w:rsidRPr="00383234" w:rsidRDefault="00E938B9" w:rsidP="00284D7A">
            <w:pPr>
              <w:jc w:val="center"/>
              <w:rPr>
                <w:b/>
                <w:sz w:val="22"/>
                <w:szCs w:val="22"/>
              </w:rPr>
            </w:pPr>
            <w:r>
              <w:rPr>
                <w:b/>
                <w:sz w:val="22"/>
                <w:szCs w:val="22"/>
              </w:rPr>
              <w:t>ANP</w:t>
            </w:r>
          </w:p>
        </w:tc>
        <w:tc>
          <w:tcPr>
            <w:tcW w:w="391" w:type="pct"/>
            <w:shd w:val="clear" w:color="auto" w:fill="FFFFFF"/>
            <w:vAlign w:val="center"/>
          </w:tcPr>
          <w:p w:rsidR="00E938B9" w:rsidRPr="00383234" w:rsidRDefault="00E938B9" w:rsidP="00284D7A">
            <w:pPr>
              <w:jc w:val="center"/>
              <w:rPr>
                <w:rFonts w:eastAsia="Arial Unicode MS"/>
                <w:bCs/>
                <w:sz w:val="22"/>
                <w:szCs w:val="22"/>
              </w:rPr>
            </w:pPr>
            <w:r w:rsidRPr="00383234">
              <w:rPr>
                <w:bCs/>
                <w:color w:val="000000"/>
                <w:sz w:val="22"/>
                <w:szCs w:val="22"/>
              </w:rPr>
              <w:t>Art. 6º.</w:t>
            </w:r>
          </w:p>
        </w:tc>
        <w:tc>
          <w:tcPr>
            <w:tcW w:w="1130" w:type="pct"/>
            <w:gridSpan w:val="5"/>
            <w:shd w:val="clear" w:color="auto" w:fill="FFFFFF"/>
            <w:vAlign w:val="center"/>
          </w:tcPr>
          <w:p w:rsidR="00E938B9" w:rsidRPr="00383234" w:rsidRDefault="00E938B9" w:rsidP="00284D7A">
            <w:pPr>
              <w:jc w:val="both"/>
              <w:rPr>
                <w:b/>
                <w:sz w:val="22"/>
                <w:szCs w:val="22"/>
              </w:rPr>
            </w:pPr>
            <w:r w:rsidRPr="00383234">
              <w:rPr>
                <w:b/>
                <w:sz w:val="22"/>
                <w:szCs w:val="22"/>
              </w:rPr>
              <w:t>Comentário:</w:t>
            </w:r>
          </w:p>
          <w:p w:rsidR="00E938B9" w:rsidRPr="00611C70" w:rsidRDefault="00E938B9" w:rsidP="00284D7A">
            <w:pPr>
              <w:jc w:val="both"/>
              <w:rPr>
                <w:sz w:val="22"/>
                <w:szCs w:val="22"/>
              </w:rPr>
            </w:pPr>
            <w:r>
              <w:rPr>
                <w:sz w:val="22"/>
                <w:szCs w:val="22"/>
              </w:rPr>
              <w:t xml:space="preserve">Inclusão da Nota </w:t>
            </w:r>
            <w:r w:rsidR="00E721DD">
              <w:rPr>
                <w:sz w:val="22"/>
                <w:szCs w:val="22"/>
              </w:rPr>
              <w:t>23</w:t>
            </w:r>
          </w:p>
          <w:p w:rsidR="00E938B9" w:rsidRPr="00383234" w:rsidRDefault="00E938B9" w:rsidP="00E721DD">
            <w:pPr>
              <w:jc w:val="both"/>
              <w:rPr>
                <w:sz w:val="22"/>
                <w:szCs w:val="22"/>
              </w:rPr>
            </w:pPr>
            <w:r w:rsidRPr="00611C70">
              <w:rPr>
                <w:i/>
                <w:color w:val="0000FF"/>
                <w:sz w:val="22"/>
                <w:szCs w:val="22"/>
                <w:u w:val="single"/>
              </w:rPr>
              <w:t>“(</w:t>
            </w:r>
            <w:r w:rsidR="00E721DD">
              <w:rPr>
                <w:i/>
                <w:color w:val="0000FF"/>
                <w:sz w:val="22"/>
                <w:szCs w:val="22"/>
                <w:u w:val="single"/>
              </w:rPr>
              <w:t>23</w:t>
            </w:r>
            <w:r>
              <w:rPr>
                <w:i/>
                <w:color w:val="0000FF"/>
                <w:sz w:val="22"/>
                <w:szCs w:val="22"/>
                <w:u w:val="single"/>
              </w:rPr>
              <w:t>)</w:t>
            </w:r>
            <w:r w:rsidRPr="00611C70">
              <w:rPr>
                <w:i/>
                <w:color w:val="0000FF"/>
                <w:sz w:val="22"/>
                <w:szCs w:val="22"/>
                <w:u w:val="single"/>
              </w:rPr>
              <w:t xml:space="preserve"> </w:t>
            </w:r>
            <w:r w:rsidRPr="000353F4">
              <w:rPr>
                <w:i/>
                <w:color w:val="0000FF"/>
                <w:sz w:val="22"/>
                <w:szCs w:val="22"/>
                <w:u w:val="single"/>
              </w:rPr>
              <w:t>Para efeito de fiscalização nas autuações por não conformidade, será admitida variação de até mais 5 mg/kg no limite da característica teor de enxofre do óleo diesel B S10, nos segmentos de distribuição e revenda de combustíveis.</w:t>
            </w:r>
            <w:r w:rsidRPr="00611C70">
              <w:rPr>
                <w:i/>
                <w:color w:val="0000FF"/>
                <w:sz w:val="22"/>
                <w:szCs w:val="22"/>
                <w:u w:val="single"/>
              </w:rPr>
              <w:t>”</w:t>
            </w:r>
          </w:p>
        </w:tc>
        <w:tc>
          <w:tcPr>
            <w:tcW w:w="1618" w:type="pct"/>
            <w:shd w:val="clear" w:color="auto" w:fill="FFFFFF"/>
            <w:vAlign w:val="center"/>
          </w:tcPr>
          <w:p w:rsidR="00E938B9" w:rsidRPr="00F74C0E" w:rsidRDefault="00E938B9" w:rsidP="00284D7A">
            <w:pPr>
              <w:jc w:val="both"/>
              <w:rPr>
                <w:rFonts w:eastAsia="Arial Unicode MS"/>
                <w:sz w:val="22"/>
                <w:szCs w:val="22"/>
              </w:rPr>
            </w:pPr>
            <w:r>
              <w:rPr>
                <w:sz w:val="22"/>
                <w:szCs w:val="22"/>
              </w:rPr>
              <w:t>A ANP</w:t>
            </w:r>
            <w:r w:rsidRPr="00AB2CD1">
              <w:rPr>
                <w:sz w:val="22"/>
                <w:szCs w:val="22"/>
              </w:rPr>
              <w:t xml:space="preserve"> entende que, com base nas informações prestadas pelos agentes econômicos</w:t>
            </w:r>
            <w:r>
              <w:rPr>
                <w:sz w:val="22"/>
                <w:szCs w:val="22"/>
              </w:rPr>
              <w:t xml:space="preserve"> no âmbito do Grupo de Trabalho da Qualidade do Óleo Diesel S10, cujas discussões ocorreram em 2013,</w:t>
            </w:r>
            <w:r w:rsidRPr="00AB2CD1">
              <w:rPr>
                <w:sz w:val="22"/>
                <w:szCs w:val="22"/>
              </w:rPr>
              <w:t xml:space="preserve"> e pelo resultado do Estudo de Campo elaborado e efetuado pelo CPT, a modificação em tela permitirá a comercialização do óleo diesel S10 sem prejuízo ao mercado, ao consumidor e ao meio ambiente. Verifica-se, ainda, que tal mudança não impacta o consumidor final, uma vez que se encontra dentro do erro de análise da </w:t>
            </w:r>
            <w:r>
              <w:rPr>
                <w:sz w:val="22"/>
                <w:szCs w:val="22"/>
              </w:rPr>
              <w:t>determinação de teor de enxofre</w:t>
            </w:r>
            <w:r w:rsidRPr="00383234">
              <w:rPr>
                <w:sz w:val="22"/>
                <w:szCs w:val="22"/>
              </w:rPr>
              <w:t>.</w:t>
            </w:r>
          </w:p>
        </w:tc>
        <w:tc>
          <w:tcPr>
            <w:tcW w:w="1172" w:type="pct"/>
            <w:gridSpan w:val="5"/>
            <w:shd w:val="clear" w:color="auto" w:fill="FFFFFF"/>
          </w:tcPr>
          <w:p w:rsidR="00BF4A5E" w:rsidRDefault="00BF4A5E" w:rsidP="00284D7A">
            <w:pPr>
              <w:jc w:val="both"/>
              <w:rPr>
                <w:b/>
                <w:sz w:val="22"/>
                <w:szCs w:val="22"/>
              </w:rPr>
            </w:pPr>
          </w:p>
          <w:p w:rsidR="00BF4A5E" w:rsidRDefault="00BF4A5E" w:rsidP="00284D7A">
            <w:pPr>
              <w:jc w:val="both"/>
              <w:rPr>
                <w:b/>
                <w:sz w:val="22"/>
                <w:szCs w:val="22"/>
              </w:rPr>
            </w:pPr>
          </w:p>
          <w:p w:rsidR="00523FB3" w:rsidRPr="00B81EE4" w:rsidRDefault="00523FB3" w:rsidP="00284D7A">
            <w:pPr>
              <w:jc w:val="both"/>
              <w:rPr>
                <w:b/>
                <w:sz w:val="22"/>
                <w:szCs w:val="22"/>
              </w:rPr>
            </w:pPr>
            <w:r w:rsidRPr="00B81EE4">
              <w:rPr>
                <w:b/>
                <w:sz w:val="22"/>
                <w:szCs w:val="22"/>
              </w:rPr>
              <w:t>IN</w:t>
            </w:r>
            <w:r w:rsidR="00BF4A5E">
              <w:rPr>
                <w:b/>
                <w:sz w:val="22"/>
                <w:szCs w:val="22"/>
              </w:rPr>
              <w:t>CORPORADA</w:t>
            </w:r>
          </w:p>
          <w:p w:rsidR="00E938B9" w:rsidRPr="00B81EE4" w:rsidRDefault="00E938B9" w:rsidP="00284D7A">
            <w:pPr>
              <w:jc w:val="both"/>
              <w:rPr>
                <w:b/>
                <w:sz w:val="22"/>
                <w:szCs w:val="22"/>
              </w:rPr>
            </w:pPr>
          </w:p>
        </w:tc>
      </w:tr>
    </w:tbl>
    <w:p w:rsidR="008F7F92" w:rsidRDefault="008F7F92" w:rsidP="00284D7A">
      <w:pPr>
        <w:ind w:right="1124"/>
        <w:jc w:val="both"/>
      </w:pPr>
    </w:p>
    <w:sectPr w:rsidR="008F7F92" w:rsidSect="00A74E90">
      <w:pgSz w:w="16838" w:h="11906" w:orient="landscape"/>
      <w:pgMar w:top="284" w:right="567"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F23" w:rsidRDefault="008A6F23" w:rsidP="002E4793">
      <w:r>
        <w:separator/>
      </w:r>
    </w:p>
  </w:endnote>
  <w:endnote w:type="continuationSeparator" w:id="0">
    <w:p w:rsidR="008A6F23" w:rsidRDefault="008A6F23" w:rsidP="002E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F23" w:rsidRDefault="008A6F23" w:rsidP="002E4793">
      <w:r>
        <w:separator/>
      </w:r>
    </w:p>
  </w:footnote>
  <w:footnote w:type="continuationSeparator" w:id="0">
    <w:p w:rsidR="008A6F23" w:rsidRDefault="008A6F23" w:rsidP="002E4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67"/>
    <w:rsid w:val="0000686F"/>
    <w:rsid w:val="00013B01"/>
    <w:rsid w:val="00022D26"/>
    <w:rsid w:val="00024603"/>
    <w:rsid w:val="000267E1"/>
    <w:rsid w:val="00027598"/>
    <w:rsid w:val="00030871"/>
    <w:rsid w:val="00033957"/>
    <w:rsid w:val="000353F4"/>
    <w:rsid w:val="00043E3D"/>
    <w:rsid w:val="000478A0"/>
    <w:rsid w:val="00053680"/>
    <w:rsid w:val="00053DDB"/>
    <w:rsid w:val="0005444F"/>
    <w:rsid w:val="000600B7"/>
    <w:rsid w:val="00060686"/>
    <w:rsid w:val="000613D7"/>
    <w:rsid w:val="00061B32"/>
    <w:rsid w:val="000703D2"/>
    <w:rsid w:val="00075C1A"/>
    <w:rsid w:val="00080764"/>
    <w:rsid w:val="00084732"/>
    <w:rsid w:val="000931DD"/>
    <w:rsid w:val="000947C7"/>
    <w:rsid w:val="00095EE5"/>
    <w:rsid w:val="00096437"/>
    <w:rsid w:val="00097268"/>
    <w:rsid w:val="000A1506"/>
    <w:rsid w:val="000A4BE3"/>
    <w:rsid w:val="000A58C4"/>
    <w:rsid w:val="000B0E1C"/>
    <w:rsid w:val="000B219C"/>
    <w:rsid w:val="000B4099"/>
    <w:rsid w:val="000B460C"/>
    <w:rsid w:val="000B4B3A"/>
    <w:rsid w:val="000B5A08"/>
    <w:rsid w:val="000C7B06"/>
    <w:rsid w:val="000D0EF4"/>
    <w:rsid w:val="000D1A2E"/>
    <w:rsid w:val="000D350B"/>
    <w:rsid w:val="000D3E93"/>
    <w:rsid w:val="000D4765"/>
    <w:rsid w:val="000D5130"/>
    <w:rsid w:val="000D56BD"/>
    <w:rsid w:val="000E03D2"/>
    <w:rsid w:val="000F11D3"/>
    <w:rsid w:val="000F1AA4"/>
    <w:rsid w:val="000F7B2E"/>
    <w:rsid w:val="00105D27"/>
    <w:rsid w:val="00105E75"/>
    <w:rsid w:val="0010664C"/>
    <w:rsid w:val="00110E68"/>
    <w:rsid w:val="0011279A"/>
    <w:rsid w:val="0011455F"/>
    <w:rsid w:val="001175C3"/>
    <w:rsid w:val="001177F8"/>
    <w:rsid w:val="00120F73"/>
    <w:rsid w:val="00123277"/>
    <w:rsid w:val="00125EDA"/>
    <w:rsid w:val="001357AA"/>
    <w:rsid w:val="00143755"/>
    <w:rsid w:val="0014454F"/>
    <w:rsid w:val="00145E78"/>
    <w:rsid w:val="001462C5"/>
    <w:rsid w:val="001476AE"/>
    <w:rsid w:val="00154D8E"/>
    <w:rsid w:val="00156148"/>
    <w:rsid w:val="00156DF4"/>
    <w:rsid w:val="00166975"/>
    <w:rsid w:val="00167F2A"/>
    <w:rsid w:val="001702F6"/>
    <w:rsid w:val="00170729"/>
    <w:rsid w:val="00175577"/>
    <w:rsid w:val="00176B34"/>
    <w:rsid w:val="00177D72"/>
    <w:rsid w:val="00180BE0"/>
    <w:rsid w:val="00181F43"/>
    <w:rsid w:val="001840DD"/>
    <w:rsid w:val="001941D0"/>
    <w:rsid w:val="00194D2B"/>
    <w:rsid w:val="001A7EA5"/>
    <w:rsid w:val="001B5CA2"/>
    <w:rsid w:val="001C4C20"/>
    <w:rsid w:val="001C6DA3"/>
    <w:rsid w:val="001D3353"/>
    <w:rsid w:val="001D6C2E"/>
    <w:rsid w:val="001E2381"/>
    <w:rsid w:val="001E3E81"/>
    <w:rsid w:val="001E5D7A"/>
    <w:rsid w:val="001E73BE"/>
    <w:rsid w:val="001F01EB"/>
    <w:rsid w:val="001F0420"/>
    <w:rsid w:val="001F549D"/>
    <w:rsid w:val="002024EE"/>
    <w:rsid w:val="0020256D"/>
    <w:rsid w:val="00213361"/>
    <w:rsid w:val="002178BF"/>
    <w:rsid w:val="0022068F"/>
    <w:rsid w:val="00232C7F"/>
    <w:rsid w:val="00237121"/>
    <w:rsid w:val="002426FD"/>
    <w:rsid w:val="00243872"/>
    <w:rsid w:val="00250075"/>
    <w:rsid w:val="00251BF5"/>
    <w:rsid w:val="00255EF2"/>
    <w:rsid w:val="00257715"/>
    <w:rsid w:val="00261303"/>
    <w:rsid w:val="00261625"/>
    <w:rsid w:val="00262D88"/>
    <w:rsid w:val="00264C70"/>
    <w:rsid w:val="002660A8"/>
    <w:rsid w:val="002700E3"/>
    <w:rsid w:val="002810A2"/>
    <w:rsid w:val="00284D7A"/>
    <w:rsid w:val="00287009"/>
    <w:rsid w:val="00287D54"/>
    <w:rsid w:val="00291431"/>
    <w:rsid w:val="00293F43"/>
    <w:rsid w:val="00294627"/>
    <w:rsid w:val="00296853"/>
    <w:rsid w:val="002A26E6"/>
    <w:rsid w:val="002A2A2C"/>
    <w:rsid w:val="002A2C22"/>
    <w:rsid w:val="002B3567"/>
    <w:rsid w:val="002B35EF"/>
    <w:rsid w:val="002B6238"/>
    <w:rsid w:val="002B649E"/>
    <w:rsid w:val="002B64D9"/>
    <w:rsid w:val="002C1651"/>
    <w:rsid w:val="002C29A7"/>
    <w:rsid w:val="002D03E5"/>
    <w:rsid w:val="002D50DF"/>
    <w:rsid w:val="002D5799"/>
    <w:rsid w:val="002E30C7"/>
    <w:rsid w:val="002E39E4"/>
    <w:rsid w:val="002E4793"/>
    <w:rsid w:val="002E6B64"/>
    <w:rsid w:val="002F0470"/>
    <w:rsid w:val="002F524A"/>
    <w:rsid w:val="002F538B"/>
    <w:rsid w:val="002F7030"/>
    <w:rsid w:val="00307581"/>
    <w:rsid w:val="00310D7C"/>
    <w:rsid w:val="0031614F"/>
    <w:rsid w:val="003257D6"/>
    <w:rsid w:val="003353E3"/>
    <w:rsid w:val="003367EE"/>
    <w:rsid w:val="003465E9"/>
    <w:rsid w:val="00347805"/>
    <w:rsid w:val="003511C9"/>
    <w:rsid w:val="00351BFA"/>
    <w:rsid w:val="00354D1C"/>
    <w:rsid w:val="00360140"/>
    <w:rsid w:val="00363580"/>
    <w:rsid w:val="00364417"/>
    <w:rsid w:val="00364C27"/>
    <w:rsid w:val="0036593F"/>
    <w:rsid w:val="00366A1E"/>
    <w:rsid w:val="00366B39"/>
    <w:rsid w:val="0037013D"/>
    <w:rsid w:val="00370657"/>
    <w:rsid w:val="003725B7"/>
    <w:rsid w:val="00375F44"/>
    <w:rsid w:val="00376CA5"/>
    <w:rsid w:val="00383234"/>
    <w:rsid w:val="00384EC2"/>
    <w:rsid w:val="00386594"/>
    <w:rsid w:val="003915FB"/>
    <w:rsid w:val="0039182A"/>
    <w:rsid w:val="00396DF5"/>
    <w:rsid w:val="003A0AA1"/>
    <w:rsid w:val="003A3160"/>
    <w:rsid w:val="003A4630"/>
    <w:rsid w:val="003A5983"/>
    <w:rsid w:val="003A7011"/>
    <w:rsid w:val="003A7454"/>
    <w:rsid w:val="003A7ED6"/>
    <w:rsid w:val="003B04B6"/>
    <w:rsid w:val="003B1FB5"/>
    <w:rsid w:val="003B2EAD"/>
    <w:rsid w:val="003C1868"/>
    <w:rsid w:val="003C2B25"/>
    <w:rsid w:val="003C2C73"/>
    <w:rsid w:val="003C6544"/>
    <w:rsid w:val="003D1890"/>
    <w:rsid w:val="003D23DF"/>
    <w:rsid w:val="003D630C"/>
    <w:rsid w:val="003E044A"/>
    <w:rsid w:val="003E3D6E"/>
    <w:rsid w:val="003E3E38"/>
    <w:rsid w:val="003F0F71"/>
    <w:rsid w:val="003F2F0A"/>
    <w:rsid w:val="003F5C4C"/>
    <w:rsid w:val="00402FC1"/>
    <w:rsid w:val="004063A7"/>
    <w:rsid w:val="00420FD3"/>
    <w:rsid w:val="0042218E"/>
    <w:rsid w:val="0042492A"/>
    <w:rsid w:val="0043062F"/>
    <w:rsid w:val="00433605"/>
    <w:rsid w:val="004405EA"/>
    <w:rsid w:val="00440950"/>
    <w:rsid w:val="004418E1"/>
    <w:rsid w:val="00441DFD"/>
    <w:rsid w:val="00441F36"/>
    <w:rsid w:val="00443480"/>
    <w:rsid w:val="004448B6"/>
    <w:rsid w:val="0044520F"/>
    <w:rsid w:val="004465C7"/>
    <w:rsid w:val="00446ED2"/>
    <w:rsid w:val="00450774"/>
    <w:rsid w:val="004529AB"/>
    <w:rsid w:val="00454A74"/>
    <w:rsid w:val="00456D4E"/>
    <w:rsid w:val="00460B69"/>
    <w:rsid w:val="00464829"/>
    <w:rsid w:val="00464E16"/>
    <w:rsid w:val="00465067"/>
    <w:rsid w:val="0046523E"/>
    <w:rsid w:val="00471151"/>
    <w:rsid w:val="0047243E"/>
    <w:rsid w:val="00473D58"/>
    <w:rsid w:val="00474231"/>
    <w:rsid w:val="0047471A"/>
    <w:rsid w:val="00474B39"/>
    <w:rsid w:val="00475762"/>
    <w:rsid w:val="004863BE"/>
    <w:rsid w:val="004926A8"/>
    <w:rsid w:val="004A0500"/>
    <w:rsid w:val="004A18DE"/>
    <w:rsid w:val="004A2085"/>
    <w:rsid w:val="004A4597"/>
    <w:rsid w:val="004A611D"/>
    <w:rsid w:val="004C09FF"/>
    <w:rsid w:val="004C3101"/>
    <w:rsid w:val="004C3D05"/>
    <w:rsid w:val="004C5798"/>
    <w:rsid w:val="004D3035"/>
    <w:rsid w:val="004D6ECD"/>
    <w:rsid w:val="004E10F7"/>
    <w:rsid w:val="004E1C54"/>
    <w:rsid w:val="004E1CDF"/>
    <w:rsid w:val="004E5138"/>
    <w:rsid w:val="004E6053"/>
    <w:rsid w:val="004F1334"/>
    <w:rsid w:val="004F5972"/>
    <w:rsid w:val="004F6B23"/>
    <w:rsid w:val="004F6CBE"/>
    <w:rsid w:val="00503617"/>
    <w:rsid w:val="00503C9F"/>
    <w:rsid w:val="00506481"/>
    <w:rsid w:val="005070E6"/>
    <w:rsid w:val="0050770E"/>
    <w:rsid w:val="00511041"/>
    <w:rsid w:val="005112F8"/>
    <w:rsid w:val="00512417"/>
    <w:rsid w:val="00523FB3"/>
    <w:rsid w:val="00527D74"/>
    <w:rsid w:val="00530D2E"/>
    <w:rsid w:val="0053775C"/>
    <w:rsid w:val="00542158"/>
    <w:rsid w:val="00547EE8"/>
    <w:rsid w:val="00550335"/>
    <w:rsid w:val="005554C0"/>
    <w:rsid w:val="00555C21"/>
    <w:rsid w:val="005644A0"/>
    <w:rsid w:val="005675D6"/>
    <w:rsid w:val="00571D8B"/>
    <w:rsid w:val="00572499"/>
    <w:rsid w:val="005765BB"/>
    <w:rsid w:val="00584459"/>
    <w:rsid w:val="00587B4B"/>
    <w:rsid w:val="0059724E"/>
    <w:rsid w:val="005A264C"/>
    <w:rsid w:val="005A588A"/>
    <w:rsid w:val="005B2A43"/>
    <w:rsid w:val="005B3461"/>
    <w:rsid w:val="005B5CC4"/>
    <w:rsid w:val="005C2B4D"/>
    <w:rsid w:val="005C2C69"/>
    <w:rsid w:val="005C32CE"/>
    <w:rsid w:val="005C368B"/>
    <w:rsid w:val="005C693C"/>
    <w:rsid w:val="005D1DB8"/>
    <w:rsid w:val="005D260C"/>
    <w:rsid w:val="005E4E94"/>
    <w:rsid w:val="00605424"/>
    <w:rsid w:val="00606175"/>
    <w:rsid w:val="00610B7F"/>
    <w:rsid w:val="00611C70"/>
    <w:rsid w:val="00612A0A"/>
    <w:rsid w:val="00612BD4"/>
    <w:rsid w:val="006169FE"/>
    <w:rsid w:val="0062263D"/>
    <w:rsid w:val="00626994"/>
    <w:rsid w:val="0063143F"/>
    <w:rsid w:val="006327F4"/>
    <w:rsid w:val="00632C3E"/>
    <w:rsid w:val="00633A6A"/>
    <w:rsid w:val="0063724D"/>
    <w:rsid w:val="0064054E"/>
    <w:rsid w:val="00641854"/>
    <w:rsid w:val="0065095D"/>
    <w:rsid w:val="00654122"/>
    <w:rsid w:val="006578A5"/>
    <w:rsid w:val="006607D2"/>
    <w:rsid w:val="00662AC1"/>
    <w:rsid w:val="0067080F"/>
    <w:rsid w:val="006747A8"/>
    <w:rsid w:val="00676973"/>
    <w:rsid w:val="00677313"/>
    <w:rsid w:val="00677E34"/>
    <w:rsid w:val="00680425"/>
    <w:rsid w:val="006926F6"/>
    <w:rsid w:val="006972D5"/>
    <w:rsid w:val="006A51D5"/>
    <w:rsid w:val="006B2DCF"/>
    <w:rsid w:val="006B37F7"/>
    <w:rsid w:val="006B6A46"/>
    <w:rsid w:val="006C384C"/>
    <w:rsid w:val="006C58A8"/>
    <w:rsid w:val="006D5CFF"/>
    <w:rsid w:val="006D780F"/>
    <w:rsid w:val="006E4D2C"/>
    <w:rsid w:val="006E6256"/>
    <w:rsid w:val="006F0B5D"/>
    <w:rsid w:val="006F11E7"/>
    <w:rsid w:val="006F7905"/>
    <w:rsid w:val="00704105"/>
    <w:rsid w:val="00705B40"/>
    <w:rsid w:val="00711864"/>
    <w:rsid w:val="00711C13"/>
    <w:rsid w:val="00712918"/>
    <w:rsid w:val="007129D0"/>
    <w:rsid w:val="00712F7A"/>
    <w:rsid w:val="0071310E"/>
    <w:rsid w:val="0071565D"/>
    <w:rsid w:val="0071646E"/>
    <w:rsid w:val="00720DA8"/>
    <w:rsid w:val="007233BC"/>
    <w:rsid w:val="00731BB5"/>
    <w:rsid w:val="00731F4F"/>
    <w:rsid w:val="00733BB0"/>
    <w:rsid w:val="0073610B"/>
    <w:rsid w:val="0074045A"/>
    <w:rsid w:val="00743552"/>
    <w:rsid w:val="007442BA"/>
    <w:rsid w:val="00745BF6"/>
    <w:rsid w:val="007520FB"/>
    <w:rsid w:val="0075662E"/>
    <w:rsid w:val="007615EB"/>
    <w:rsid w:val="0076373D"/>
    <w:rsid w:val="00772E31"/>
    <w:rsid w:val="00773E6E"/>
    <w:rsid w:val="00774203"/>
    <w:rsid w:val="00774283"/>
    <w:rsid w:val="00774895"/>
    <w:rsid w:val="00780AC7"/>
    <w:rsid w:val="00783D19"/>
    <w:rsid w:val="00786BC2"/>
    <w:rsid w:val="00790A4E"/>
    <w:rsid w:val="0079169E"/>
    <w:rsid w:val="007928B5"/>
    <w:rsid w:val="00794D22"/>
    <w:rsid w:val="007A036E"/>
    <w:rsid w:val="007A0FCF"/>
    <w:rsid w:val="007A250D"/>
    <w:rsid w:val="007A363A"/>
    <w:rsid w:val="007B026A"/>
    <w:rsid w:val="007B124D"/>
    <w:rsid w:val="007B491C"/>
    <w:rsid w:val="007B613D"/>
    <w:rsid w:val="007C0836"/>
    <w:rsid w:val="007D1E1C"/>
    <w:rsid w:val="007D32B3"/>
    <w:rsid w:val="007F68B7"/>
    <w:rsid w:val="00800310"/>
    <w:rsid w:val="008105C5"/>
    <w:rsid w:val="00810B0B"/>
    <w:rsid w:val="008143D1"/>
    <w:rsid w:val="00816079"/>
    <w:rsid w:val="008160B1"/>
    <w:rsid w:val="00816315"/>
    <w:rsid w:val="00817812"/>
    <w:rsid w:val="00817E37"/>
    <w:rsid w:val="00825E76"/>
    <w:rsid w:val="008313E6"/>
    <w:rsid w:val="0083196D"/>
    <w:rsid w:val="00832C8F"/>
    <w:rsid w:val="00837985"/>
    <w:rsid w:val="00837FEA"/>
    <w:rsid w:val="0084188A"/>
    <w:rsid w:val="00843DCB"/>
    <w:rsid w:val="00845B13"/>
    <w:rsid w:val="00850008"/>
    <w:rsid w:val="00851976"/>
    <w:rsid w:val="008532EF"/>
    <w:rsid w:val="008544AE"/>
    <w:rsid w:val="00864775"/>
    <w:rsid w:val="00871312"/>
    <w:rsid w:val="00874180"/>
    <w:rsid w:val="0087532E"/>
    <w:rsid w:val="00876E32"/>
    <w:rsid w:val="00893D68"/>
    <w:rsid w:val="00896917"/>
    <w:rsid w:val="008A2932"/>
    <w:rsid w:val="008A2AFD"/>
    <w:rsid w:val="008A4EFF"/>
    <w:rsid w:val="008A502F"/>
    <w:rsid w:val="008A6F23"/>
    <w:rsid w:val="008A72A0"/>
    <w:rsid w:val="008B095B"/>
    <w:rsid w:val="008B1860"/>
    <w:rsid w:val="008B48BA"/>
    <w:rsid w:val="008B5193"/>
    <w:rsid w:val="008D066E"/>
    <w:rsid w:val="008D2709"/>
    <w:rsid w:val="008D4053"/>
    <w:rsid w:val="008E5DB4"/>
    <w:rsid w:val="008E6B58"/>
    <w:rsid w:val="008F5947"/>
    <w:rsid w:val="008F6EF3"/>
    <w:rsid w:val="008F7F92"/>
    <w:rsid w:val="00900574"/>
    <w:rsid w:val="0090156D"/>
    <w:rsid w:val="00904A2F"/>
    <w:rsid w:val="009125BE"/>
    <w:rsid w:val="00914482"/>
    <w:rsid w:val="009168B1"/>
    <w:rsid w:val="00917D88"/>
    <w:rsid w:val="00920281"/>
    <w:rsid w:val="00922AB3"/>
    <w:rsid w:val="0093065E"/>
    <w:rsid w:val="009376A8"/>
    <w:rsid w:val="0094151D"/>
    <w:rsid w:val="00941EC5"/>
    <w:rsid w:val="009435D7"/>
    <w:rsid w:val="00943829"/>
    <w:rsid w:val="00945A4C"/>
    <w:rsid w:val="00952B46"/>
    <w:rsid w:val="00962219"/>
    <w:rsid w:val="0097481E"/>
    <w:rsid w:val="0097649C"/>
    <w:rsid w:val="00986E99"/>
    <w:rsid w:val="00987827"/>
    <w:rsid w:val="00990709"/>
    <w:rsid w:val="00990AC9"/>
    <w:rsid w:val="0099136D"/>
    <w:rsid w:val="00995A39"/>
    <w:rsid w:val="0099799E"/>
    <w:rsid w:val="009A3510"/>
    <w:rsid w:val="009A7AC0"/>
    <w:rsid w:val="009B00EF"/>
    <w:rsid w:val="009B1440"/>
    <w:rsid w:val="009B3201"/>
    <w:rsid w:val="009B6318"/>
    <w:rsid w:val="009B6897"/>
    <w:rsid w:val="009C0069"/>
    <w:rsid w:val="009C16DE"/>
    <w:rsid w:val="009C45EE"/>
    <w:rsid w:val="009C46C3"/>
    <w:rsid w:val="009D0AC3"/>
    <w:rsid w:val="009D1378"/>
    <w:rsid w:val="009D3303"/>
    <w:rsid w:val="009D41BC"/>
    <w:rsid w:val="009E38AC"/>
    <w:rsid w:val="009E4C85"/>
    <w:rsid w:val="009E516E"/>
    <w:rsid w:val="009E769B"/>
    <w:rsid w:val="009F064D"/>
    <w:rsid w:val="009F1B94"/>
    <w:rsid w:val="009F4476"/>
    <w:rsid w:val="009F4527"/>
    <w:rsid w:val="009F76B9"/>
    <w:rsid w:val="00A01356"/>
    <w:rsid w:val="00A01609"/>
    <w:rsid w:val="00A0540B"/>
    <w:rsid w:val="00A0793D"/>
    <w:rsid w:val="00A14978"/>
    <w:rsid w:val="00A32276"/>
    <w:rsid w:val="00A32F08"/>
    <w:rsid w:val="00A34E67"/>
    <w:rsid w:val="00A361C2"/>
    <w:rsid w:val="00A460D0"/>
    <w:rsid w:val="00A46325"/>
    <w:rsid w:val="00A52227"/>
    <w:rsid w:val="00A549CA"/>
    <w:rsid w:val="00A631B0"/>
    <w:rsid w:val="00A74E90"/>
    <w:rsid w:val="00A754DC"/>
    <w:rsid w:val="00A80846"/>
    <w:rsid w:val="00A841FC"/>
    <w:rsid w:val="00A84821"/>
    <w:rsid w:val="00A86C88"/>
    <w:rsid w:val="00A916DC"/>
    <w:rsid w:val="00A9451A"/>
    <w:rsid w:val="00A94D21"/>
    <w:rsid w:val="00A973B0"/>
    <w:rsid w:val="00A97F37"/>
    <w:rsid w:val="00AA1BC4"/>
    <w:rsid w:val="00AA38A6"/>
    <w:rsid w:val="00AA482E"/>
    <w:rsid w:val="00AA491F"/>
    <w:rsid w:val="00AA4A6E"/>
    <w:rsid w:val="00AA4F4A"/>
    <w:rsid w:val="00AB08CF"/>
    <w:rsid w:val="00AB232B"/>
    <w:rsid w:val="00AB2CD1"/>
    <w:rsid w:val="00AC3532"/>
    <w:rsid w:val="00AC6460"/>
    <w:rsid w:val="00AC6C45"/>
    <w:rsid w:val="00AD0923"/>
    <w:rsid w:val="00AD7406"/>
    <w:rsid w:val="00AF039B"/>
    <w:rsid w:val="00AF1220"/>
    <w:rsid w:val="00AF612C"/>
    <w:rsid w:val="00B02B62"/>
    <w:rsid w:val="00B05CD3"/>
    <w:rsid w:val="00B07CF2"/>
    <w:rsid w:val="00B1602F"/>
    <w:rsid w:val="00B16C1C"/>
    <w:rsid w:val="00B1787C"/>
    <w:rsid w:val="00B2240D"/>
    <w:rsid w:val="00B27C19"/>
    <w:rsid w:val="00B33F58"/>
    <w:rsid w:val="00B41E06"/>
    <w:rsid w:val="00B45038"/>
    <w:rsid w:val="00B51242"/>
    <w:rsid w:val="00B56ECE"/>
    <w:rsid w:val="00B6048B"/>
    <w:rsid w:val="00B66DC6"/>
    <w:rsid w:val="00B678C2"/>
    <w:rsid w:val="00B70F36"/>
    <w:rsid w:val="00B74B82"/>
    <w:rsid w:val="00B81EE4"/>
    <w:rsid w:val="00B84387"/>
    <w:rsid w:val="00B90AFA"/>
    <w:rsid w:val="00BA494A"/>
    <w:rsid w:val="00BA7BD7"/>
    <w:rsid w:val="00BB0B21"/>
    <w:rsid w:val="00BB1000"/>
    <w:rsid w:val="00BB2C2D"/>
    <w:rsid w:val="00BB3754"/>
    <w:rsid w:val="00BB4ABB"/>
    <w:rsid w:val="00BB69CF"/>
    <w:rsid w:val="00BB7E00"/>
    <w:rsid w:val="00BC114B"/>
    <w:rsid w:val="00BD18E0"/>
    <w:rsid w:val="00BD565E"/>
    <w:rsid w:val="00BD625C"/>
    <w:rsid w:val="00BE5225"/>
    <w:rsid w:val="00BE5A84"/>
    <w:rsid w:val="00BE6E6B"/>
    <w:rsid w:val="00BF0350"/>
    <w:rsid w:val="00BF1821"/>
    <w:rsid w:val="00BF1ABE"/>
    <w:rsid w:val="00BF4A5E"/>
    <w:rsid w:val="00C05893"/>
    <w:rsid w:val="00C06D77"/>
    <w:rsid w:val="00C124BD"/>
    <w:rsid w:val="00C1457E"/>
    <w:rsid w:val="00C1606F"/>
    <w:rsid w:val="00C21068"/>
    <w:rsid w:val="00C27910"/>
    <w:rsid w:val="00C30FC1"/>
    <w:rsid w:val="00C33B2A"/>
    <w:rsid w:val="00C35002"/>
    <w:rsid w:val="00C37637"/>
    <w:rsid w:val="00C41362"/>
    <w:rsid w:val="00C44AFE"/>
    <w:rsid w:val="00C457E3"/>
    <w:rsid w:val="00C528B8"/>
    <w:rsid w:val="00C5299D"/>
    <w:rsid w:val="00C5328D"/>
    <w:rsid w:val="00C53F9D"/>
    <w:rsid w:val="00C55FC3"/>
    <w:rsid w:val="00C5709A"/>
    <w:rsid w:val="00C57DC2"/>
    <w:rsid w:val="00C57FEE"/>
    <w:rsid w:val="00C60992"/>
    <w:rsid w:val="00C6133B"/>
    <w:rsid w:val="00C641BF"/>
    <w:rsid w:val="00C7058B"/>
    <w:rsid w:val="00C7147E"/>
    <w:rsid w:val="00C7170A"/>
    <w:rsid w:val="00C752AE"/>
    <w:rsid w:val="00C81917"/>
    <w:rsid w:val="00C83AA0"/>
    <w:rsid w:val="00C92712"/>
    <w:rsid w:val="00C928E4"/>
    <w:rsid w:val="00C936CA"/>
    <w:rsid w:val="00C9390E"/>
    <w:rsid w:val="00CA2366"/>
    <w:rsid w:val="00CA4640"/>
    <w:rsid w:val="00CA4681"/>
    <w:rsid w:val="00CA65D3"/>
    <w:rsid w:val="00CC00C5"/>
    <w:rsid w:val="00CC2E2D"/>
    <w:rsid w:val="00CC4897"/>
    <w:rsid w:val="00CD33A0"/>
    <w:rsid w:val="00CD4021"/>
    <w:rsid w:val="00CD5007"/>
    <w:rsid w:val="00CD5777"/>
    <w:rsid w:val="00CD71F4"/>
    <w:rsid w:val="00CE4F86"/>
    <w:rsid w:val="00CE5864"/>
    <w:rsid w:val="00CE609B"/>
    <w:rsid w:val="00CE7D56"/>
    <w:rsid w:val="00CF6610"/>
    <w:rsid w:val="00CF7774"/>
    <w:rsid w:val="00D02D8C"/>
    <w:rsid w:val="00D05B5E"/>
    <w:rsid w:val="00D06AD8"/>
    <w:rsid w:val="00D16088"/>
    <w:rsid w:val="00D21CA8"/>
    <w:rsid w:val="00D239E9"/>
    <w:rsid w:val="00D252A4"/>
    <w:rsid w:val="00D31706"/>
    <w:rsid w:val="00D438E1"/>
    <w:rsid w:val="00D46659"/>
    <w:rsid w:val="00D47660"/>
    <w:rsid w:val="00D51E92"/>
    <w:rsid w:val="00D5270C"/>
    <w:rsid w:val="00D53BE2"/>
    <w:rsid w:val="00D57CFA"/>
    <w:rsid w:val="00D62FBA"/>
    <w:rsid w:val="00D63623"/>
    <w:rsid w:val="00D64DD1"/>
    <w:rsid w:val="00D67A58"/>
    <w:rsid w:val="00D742BF"/>
    <w:rsid w:val="00D74723"/>
    <w:rsid w:val="00D776DC"/>
    <w:rsid w:val="00D836F3"/>
    <w:rsid w:val="00D93680"/>
    <w:rsid w:val="00D942B9"/>
    <w:rsid w:val="00D95854"/>
    <w:rsid w:val="00D97777"/>
    <w:rsid w:val="00DA1CCE"/>
    <w:rsid w:val="00DA2001"/>
    <w:rsid w:val="00DA21AF"/>
    <w:rsid w:val="00DA265F"/>
    <w:rsid w:val="00DA3811"/>
    <w:rsid w:val="00DA4505"/>
    <w:rsid w:val="00DA626A"/>
    <w:rsid w:val="00DC0E39"/>
    <w:rsid w:val="00DC0E8B"/>
    <w:rsid w:val="00DC2DD1"/>
    <w:rsid w:val="00DF11D9"/>
    <w:rsid w:val="00DF6C49"/>
    <w:rsid w:val="00E018FB"/>
    <w:rsid w:val="00E0193B"/>
    <w:rsid w:val="00E02D21"/>
    <w:rsid w:val="00E03E5A"/>
    <w:rsid w:val="00E04B76"/>
    <w:rsid w:val="00E11DE6"/>
    <w:rsid w:val="00E11E98"/>
    <w:rsid w:val="00E12E08"/>
    <w:rsid w:val="00E23161"/>
    <w:rsid w:val="00E24989"/>
    <w:rsid w:val="00E3094B"/>
    <w:rsid w:val="00E31A03"/>
    <w:rsid w:val="00E33B51"/>
    <w:rsid w:val="00E3683C"/>
    <w:rsid w:val="00E40CBB"/>
    <w:rsid w:val="00E41039"/>
    <w:rsid w:val="00E44557"/>
    <w:rsid w:val="00E45381"/>
    <w:rsid w:val="00E46CE7"/>
    <w:rsid w:val="00E46F77"/>
    <w:rsid w:val="00E53C8C"/>
    <w:rsid w:val="00E54A8B"/>
    <w:rsid w:val="00E63BD5"/>
    <w:rsid w:val="00E64601"/>
    <w:rsid w:val="00E64D43"/>
    <w:rsid w:val="00E65C7C"/>
    <w:rsid w:val="00E721DD"/>
    <w:rsid w:val="00E80A5D"/>
    <w:rsid w:val="00E826EE"/>
    <w:rsid w:val="00E836B3"/>
    <w:rsid w:val="00E84FF9"/>
    <w:rsid w:val="00E932EF"/>
    <w:rsid w:val="00E938B9"/>
    <w:rsid w:val="00E94BF8"/>
    <w:rsid w:val="00EA007C"/>
    <w:rsid w:val="00EA05B9"/>
    <w:rsid w:val="00EB3E07"/>
    <w:rsid w:val="00EB4867"/>
    <w:rsid w:val="00EB6AAA"/>
    <w:rsid w:val="00EC1937"/>
    <w:rsid w:val="00EC4D6E"/>
    <w:rsid w:val="00EC5766"/>
    <w:rsid w:val="00ED0A7A"/>
    <w:rsid w:val="00ED4260"/>
    <w:rsid w:val="00ED7706"/>
    <w:rsid w:val="00EE1C61"/>
    <w:rsid w:val="00EE39B5"/>
    <w:rsid w:val="00EE3D92"/>
    <w:rsid w:val="00EE43EB"/>
    <w:rsid w:val="00EF4804"/>
    <w:rsid w:val="00EF666F"/>
    <w:rsid w:val="00EF6F92"/>
    <w:rsid w:val="00F04DBD"/>
    <w:rsid w:val="00F06128"/>
    <w:rsid w:val="00F069D9"/>
    <w:rsid w:val="00F07953"/>
    <w:rsid w:val="00F122ED"/>
    <w:rsid w:val="00F12723"/>
    <w:rsid w:val="00F12968"/>
    <w:rsid w:val="00F201BA"/>
    <w:rsid w:val="00F22634"/>
    <w:rsid w:val="00F26328"/>
    <w:rsid w:val="00F27B1B"/>
    <w:rsid w:val="00F3091B"/>
    <w:rsid w:val="00F378DA"/>
    <w:rsid w:val="00F41B82"/>
    <w:rsid w:val="00F51CE4"/>
    <w:rsid w:val="00F535F4"/>
    <w:rsid w:val="00F62DE9"/>
    <w:rsid w:val="00F64D53"/>
    <w:rsid w:val="00F65F4F"/>
    <w:rsid w:val="00F72C7E"/>
    <w:rsid w:val="00F72D0B"/>
    <w:rsid w:val="00F74C0E"/>
    <w:rsid w:val="00F7581B"/>
    <w:rsid w:val="00F8661C"/>
    <w:rsid w:val="00F90453"/>
    <w:rsid w:val="00F90499"/>
    <w:rsid w:val="00F92897"/>
    <w:rsid w:val="00F93C73"/>
    <w:rsid w:val="00F9766D"/>
    <w:rsid w:val="00FA04D2"/>
    <w:rsid w:val="00FA13DF"/>
    <w:rsid w:val="00FA6179"/>
    <w:rsid w:val="00FB13DB"/>
    <w:rsid w:val="00FB25B6"/>
    <w:rsid w:val="00FB70F4"/>
    <w:rsid w:val="00FC10F3"/>
    <w:rsid w:val="00FC21D9"/>
    <w:rsid w:val="00FD50D6"/>
    <w:rsid w:val="00FE18B8"/>
    <w:rsid w:val="00FE222A"/>
    <w:rsid w:val="00FE4342"/>
    <w:rsid w:val="00FE625C"/>
    <w:rsid w:val="00FF309D"/>
    <w:rsid w:val="00FF4D17"/>
    <w:rsid w:val="00FF4DFA"/>
    <w:rsid w:val="00FF63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F1F689B-32C6-4F55-8656-DE32D0FE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2B3567"/>
    <w:rPr>
      <w:rFonts w:ascii="Arial" w:hAnsi="Arial"/>
      <w:sz w:val="24"/>
    </w:rPr>
  </w:style>
  <w:style w:type="character" w:styleId="Hyperlink">
    <w:name w:val="Hyperlink"/>
    <w:unhideWhenUsed/>
    <w:rsid w:val="002B3567"/>
    <w:rPr>
      <w:color w:val="0000FF"/>
      <w:u w:val="single"/>
    </w:rPr>
  </w:style>
  <w:style w:type="paragraph" w:styleId="Textodebalo">
    <w:name w:val="Balloon Text"/>
    <w:basedOn w:val="Normal"/>
    <w:semiHidden/>
    <w:rsid w:val="00817E37"/>
    <w:rPr>
      <w:rFonts w:ascii="Tahoma" w:hAnsi="Tahoma" w:cs="Tahoma"/>
      <w:sz w:val="16"/>
      <w:szCs w:val="16"/>
    </w:rPr>
  </w:style>
  <w:style w:type="table" w:styleId="Tabelacomgrade">
    <w:name w:val="Table Grid"/>
    <w:basedOn w:val="Tabelanormal"/>
    <w:rsid w:val="008F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rsid w:val="002E4793"/>
  </w:style>
  <w:style w:type="character" w:customStyle="1" w:styleId="TextodenotadefimChar">
    <w:name w:val="Texto de nota de fim Char"/>
    <w:basedOn w:val="Fontepargpadro"/>
    <w:link w:val="Textodenotadefim"/>
    <w:rsid w:val="002E4793"/>
  </w:style>
  <w:style w:type="character" w:styleId="Refdenotadefim">
    <w:name w:val="endnote reference"/>
    <w:basedOn w:val="Fontepargpadro"/>
    <w:rsid w:val="002E47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67583">
      <w:bodyDiv w:val="1"/>
      <w:marLeft w:val="0"/>
      <w:marRight w:val="0"/>
      <w:marTop w:val="0"/>
      <w:marBottom w:val="0"/>
      <w:divBdr>
        <w:top w:val="none" w:sz="0" w:space="0" w:color="auto"/>
        <w:left w:val="none" w:sz="0" w:space="0" w:color="auto"/>
        <w:bottom w:val="none" w:sz="0" w:space="0" w:color="auto"/>
        <w:right w:val="none" w:sz="0" w:space="0" w:color="auto"/>
      </w:divBdr>
      <w:divsChild>
        <w:div w:id="793868366">
          <w:marLeft w:val="0"/>
          <w:marRight w:val="0"/>
          <w:marTop w:val="0"/>
          <w:marBottom w:val="0"/>
          <w:divBdr>
            <w:top w:val="none" w:sz="0" w:space="0" w:color="auto"/>
            <w:left w:val="none" w:sz="0" w:space="0" w:color="auto"/>
            <w:bottom w:val="none" w:sz="0" w:space="0" w:color="auto"/>
            <w:right w:val="none" w:sz="0" w:space="0" w:color="auto"/>
          </w:divBdr>
        </w:div>
      </w:divsChild>
    </w:div>
    <w:div w:id="150100393">
      <w:bodyDiv w:val="1"/>
      <w:marLeft w:val="0"/>
      <w:marRight w:val="0"/>
      <w:marTop w:val="0"/>
      <w:marBottom w:val="0"/>
      <w:divBdr>
        <w:top w:val="none" w:sz="0" w:space="0" w:color="auto"/>
        <w:left w:val="none" w:sz="0" w:space="0" w:color="auto"/>
        <w:bottom w:val="none" w:sz="0" w:space="0" w:color="auto"/>
        <w:right w:val="none" w:sz="0" w:space="0" w:color="auto"/>
      </w:divBdr>
      <w:divsChild>
        <w:div w:id="661201759">
          <w:marLeft w:val="0"/>
          <w:marRight w:val="0"/>
          <w:marTop w:val="0"/>
          <w:marBottom w:val="0"/>
          <w:divBdr>
            <w:top w:val="none" w:sz="0" w:space="0" w:color="auto"/>
            <w:left w:val="none" w:sz="0" w:space="0" w:color="auto"/>
            <w:bottom w:val="none" w:sz="0" w:space="0" w:color="auto"/>
            <w:right w:val="none" w:sz="0" w:space="0" w:color="auto"/>
          </w:divBdr>
        </w:div>
      </w:divsChild>
    </w:div>
    <w:div w:id="242877217">
      <w:bodyDiv w:val="1"/>
      <w:marLeft w:val="0"/>
      <w:marRight w:val="0"/>
      <w:marTop w:val="0"/>
      <w:marBottom w:val="0"/>
      <w:divBdr>
        <w:top w:val="none" w:sz="0" w:space="0" w:color="auto"/>
        <w:left w:val="none" w:sz="0" w:space="0" w:color="auto"/>
        <w:bottom w:val="none" w:sz="0" w:space="0" w:color="auto"/>
        <w:right w:val="none" w:sz="0" w:space="0" w:color="auto"/>
      </w:divBdr>
      <w:divsChild>
        <w:div w:id="1022513712">
          <w:marLeft w:val="0"/>
          <w:marRight w:val="0"/>
          <w:marTop w:val="0"/>
          <w:marBottom w:val="0"/>
          <w:divBdr>
            <w:top w:val="none" w:sz="0" w:space="0" w:color="auto"/>
            <w:left w:val="none" w:sz="0" w:space="0" w:color="auto"/>
            <w:bottom w:val="none" w:sz="0" w:space="0" w:color="auto"/>
            <w:right w:val="none" w:sz="0" w:space="0" w:color="auto"/>
          </w:divBdr>
        </w:div>
      </w:divsChild>
    </w:div>
    <w:div w:id="514541329">
      <w:bodyDiv w:val="1"/>
      <w:marLeft w:val="0"/>
      <w:marRight w:val="0"/>
      <w:marTop w:val="0"/>
      <w:marBottom w:val="0"/>
      <w:divBdr>
        <w:top w:val="none" w:sz="0" w:space="0" w:color="auto"/>
        <w:left w:val="none" w:sz="0" w:space="0" w:color="auto"/>
        <w:bottom w:val="none" w:sz="0" w:space="0" w:color="auto"/>
        <w:right w:val="none" w:sz="0" w:space="0" w:color="auto"/>
      </w:divBdr>
      <w:divsChild>
        <w:div w:id="942343666">
          <w:marLeft w:val="0"/>
          <w:marRight w:val="0"/>
          <w:marTop w:val="0"/>
          <w:marBottom w:val="0"/>
          <w:divBdr>
            <w:top w:val="none" w:sz="0" w:space="0" w:color="auto"/>
            <w:left w:val="none" w:sz="0" w:space="0" w:color="auto"/>
            <w:bottom w:val="none" w:sz="0" w:space="0" w:color="auto"/>
            <w:right w:val="none" w:sz="0" w:space="0" w:color="auto"/>
          </w:divBdr>
        </w:div>
      </w:divsChild>
    </w:div>
    <w:div w:id="522324788">
      <w:bodyDiv w:val="1"/>
      <w:marLeft w:val="0"/>
      <w:marRight w:val="0"/>
      <w:marTop w:val="0"/>
      <w:marBottom w:val="0"/>
      <w:divBdr>
        <w:top w:val="none" w:sz="0" w:space="0" w:color="auto"/>
        <w:left w:val="none" w:sz="0" w:space="0" w:color="auto"/>
        <w:bottom w:val="none" w:sz="0" w:space="0" w:color="auto"/>
        <w:right w:val="none" w:sz="0" w:space="0" w:color="auto"/>
      </w:divBdr>
      <w:divsChild>
        <w:div w:id="1191527810">
          <w:marLeft w:val="0"/>
          <w:marRight w:val="0"/>
          <w:marTop w:val="0"/>
          <w:marBottom w:val="0"/>
          <w:divBdr>
            <w:top w:val="none" w:sz="0" w:space="0" w:color="auto"/>
            <w:left w:val="none" w:sz="0" w:space="0" w:color="auto"/>
            <w:bottom w:val="none" w:sz="0" w:space="0" w:color="auto"/>
            <w:right w:val="none" w:sz="0" w:space="0" w:color="auto"/>
          </w:divBdr>
        </w:div>
      </w:divsChild>
    </w:div>
    <w:div w:id="682054321">
      <w:bodyDiv w:val="1"/>
      <w:marLeft w:val="0"/>
      <w:marRight w:val="0"/>
      <w:marTop w:val="0"/>
      <w:marBottom w:val="0"/>
      <w:divBdr>
        <w:top w:val="none" w:sz="0" w:space="0" w:color="auto"/>
        <w:left w:val="none" w:sz="0" w:space="0" w:color="auto"/>
        <w:bottom w:val="none" w:sz="0" w:space="0" w:color="auto"/>
        <w:right w:val="none" w:sz="0" w:space="0" w:color="auto"/>
      </w:divBdr>
      <w:divsChild>
        <w:div w:id="713769102">
          <w:marLeft w:val="0"/>
          <w:marRight w:val="0"/>
          <w:marTop w:val="0"/>
          <w:marBottom w:val="0"/>
          <w:divBdr>
            <w:top w:val="none" w:sz="0" w:space="0" w:color="auto"/>
            <w:left w:val="none" w:sz="0" w:space="0" w:color="auto"/>
            <w:bottom w:val="none" w:sz="0" w:space="0" w:color="auto"/>
            <w:right w:val="none" w:sz="0" w:space="0" w:color="auto"/>
          </w:divBdr>
        </w:div>
      </w:divsChild>
    </w:div>
    <w:div w:id="790126911">
      <w:bodyDiv w:val="1"/>
      <w:marLeft w:val="0"/>
      <w:marRight w:val="0"/>
      <w:marTop w:val="0"/>
      <w:marBottom w:val="0"/>
      <w:divBdr>
        <w:top w:val="none" w:sz="0" w:space="0" w:color="auto"/>
        <w:left w:val="none" w:sz="0" w:space="0" w:color="auto"/>
        <w:bottom w:val="none" w:sz="0" w:space="0" w:color="auto"/>
        <w:right w:val="none" w:sz="0" w:space="0" w:color="auto"/>
      </w:divBdr>
      <w:divsChild>
        <w:div w:id="2138450611">
          <w:marLeft w:val="0"/>
          <w:marRight w:val="0"/>
          <w:marTop w:val="0"/>
          <w:marBottom w:val="0"/>
          <w:divBdr>
            <w:top w:val="none" w:sz="0" w:space="0" w:color="auto"/>
            <w:left w:val="none" w:sz="0" w:space="0" w:color="auto"/>
            <w:bottom w:val="none" w:sz="0" w:space="0" w:color="auto"/>
            <w:right w:val="none" w:sz="0" w:space="0" w:color="auto"/>
          </w:divBdr>
        </w:div>
      </w:divsChild>
    </w:div>
    <w:div w:id="838156703">
      <w:bodyDiv w:val="1"/>
      <w:marLeft w:val="0"/>
      <w:marRight w:val="0"/>
      <w:marTop w:val="0"/>
      <w:marBottom w:val="0"/>
      <w:divBdr>
        <w:top w:val="none" w:sz="0" w:space="0" w:color="auto"/>
        <w:left w:val="none" w:sz="0" w:space="0" w:color="auto"/>
        <w:bottom w:val="none" w:sz="0" w:space="0" w:color="auto"/>
        <w:right w:val="none" w:sz="0" w:space="0" w:color="auto"/>
      </w:divBdr>
      <w:divsChild>
        <w:div w:id="1838642649">
          <w:marLeft w:val="0"/>
          <w:marRight w:val="0"/>
          <w:marTop w:val="0"/>
          <w:marBottom w:val="0"/>
          <w:divBdr>
            <w:top w:val="none" w:sz="0" w:space="0" w:color="auto"/>
            <w:left w:val="none" w:sz="0" w:space="0" w:color="auto"/>
            <w:bottom w:val="none" w:sz="0" w:space="0" w:color="auto"/>
            <w:right w:val="none" w:sz="0" w:space="0" w:color="auto"/>
          </w:divBdr>
        </w:div>
      </w:divsChild>
    </w:div>
    <w:div w:id="883099143">
      <w:bodyDiv w:val="1"/>
      <w:marLeft w:val="0"/>
      <w:marRight w:val="0"/>
      <w:marTop w:val="0"/>
      <w:marBottom w:val="0"/>
      <w:divBdr>
        <w:top w:val="none" w:sz="0" w:space="0" w:color="auto"/>
        <w:left w:val="none" w:sz="0" w:space="0" w:color="auto"/>
        <w:bottom w:val="none" w:sz="0" w:space="0" w:color="auto"/>
        <w:right w:val="none" w:sz="0" w:space="0" w:color="auto"/>
      </w:divBdr>
      <w:divsChild>
        <w:div w:id="1244293602">
          <w:marLeft w:val="0"/>
          <w:marRight w:val="0"/>
          <w:marTop w:val="0"/>
          <w:marBottom w:val="0"/>
          <w:divBdr>
            <w:top w:val="none" w:sz="0" w:space="0" w:color="auto"/>
            <w:left w:val="none" w:sz="0" w:space="0" w:color="auto"/>
            <w:bottom w:val="none" w:sz="0" w:space="0" w:color="auto"/>
            <w:right w:val="none" w:sz="0" w:space="0" w:color="auto"/>
          </w:divBdr>
        </w:div>
      </w:divsChild>
    </w:div>
    <w:div w:id="1076124421">
      <w:bodyDiv w:val="1"/>
      <w:marLeft w:val="0"/>
      <w:marRight w:val="0"/>
      <w:marTop w:val="0"/>
      <w:marBottom w:val="0"/>
      <w:divBdr>
        <w:top w:val="none" w:sz="0" w:space="0" w:color="auto"/>
        <w:left w:val="none" w:sz="0" w:space="0" w:color="auto"/>
        <w:bottom w:val="none" w:sz="0" w:space="0" w:color="auto"/>
        <w:right w:val="none" w:sz="0" w:space="0" w:color="auto"/>
      </w:divBdr>
      <w:divsChild>
        <w:div w:id="1185442164">
          <w:marLeft w:val="0"/>
          <w:marRight w:val="0"/>
          <w:marTop w:val="0"/>
          <w:marBottom w:val="0"/>
          <w:divBdr>
            <w:top w:val="none" w:sz="0" w:space="0" w:color="auto"/>
            <w:left w:val="none" w:sz="0" w:space="0" w:color="auto"/>
            <w:bottom w:val="none" w:sz="0" w:space="0" w:color="auto"/>
            <w:right w:val="none" w:sz="0" w:space="0" w:color="auto"/>
          </w:divBdr>
        </w:div>
      </w:divsChild>
    </w:div>
    <w:div w:id="1148479818">
      <w:bodyDiv w:val="1"/>
      <w:marLeft w:val="0"/>
      <w:marRight w:val="0"/>
      <w:marTop w:val="0"/>
      <w:marBottom w:val="0"/>
      <w:divBdr>
        <w:top w:val="none" w:sz="0" w:space="0" w:color="auto"/>
        <w:left w:val="none" w:sz="0" w:space="0" w:color="auto"/>
        <w:bottom w:val="none" w:sz="0" w:space="0" w:color="auto"/>
        <w:right w:val="none" w:sz="0" w:space="0" w:color="auto"/>
      </w:divBdr>
      <w:divsChild>
        <w:div w:id="148446829">
          <w:marLeft w:val="0"/>
          <w:marRight w:val="0"/>
          <w:marTop w:val="0"/>
          <w:marBottom w:val="0"/>
          <w:divBdr>
            <w:top w:val="none" w:sz="0" w:space="0" w:color="auto"/>
            <w:left w:val="none" w:sz="0" w:space="0" w:color="auto"/>
            <w:bottom w:val="none" w:sz="0" w:space="0" w:color="auto"/>
            <w:right w:val="none" w:sz="0" w:space="0" w:color="auto"/>
          </w:divBdr>
        </w:div>
      </w:divsChild>
    </w:div>
    <w:div w:id="1178420720">
      <w:bodyDiv w:val="1"/>
      <w:marLeft w:val="0"/>
      <w:marRight w:val="0"/>
      <w:marTop w:val="0"/>
      <w:marBottom w:val="0"/>
      <w:divBdr>
        <w:top w:val="none" w:sz="0" w:space="0" w:color="auto"/>
        <w:left w:val="none" w:sz="0" w:space="0" w:color="auto"/>
        <w:bottom w:val="none" w:sz="0" w:space="0" w:color="auto"/>
        <w:right w:val="none" w:sz="0" w:space="0" w:color="auto"/>
      </w:divBdr>
      <w:divsChild>
        <w:div w:id="152794365">
          <w:marLeft w:val="0"/>
          <w:marRight w:val="0"/>
          <w:marTop w:val="0"/>
          <w:marBottom w:val="0"/>
          <w:divBdr>
            <w:top w:val="none" w:sz="0" w:space="0" w:color="auto"/>
            <w:left w:val="none" w:sz="0" w:space="0" w:color="auto"/>
            <w:bottom w:val="none" w:sz="0" w:space="0" w:color="auto"/>
            <w:right w:val="none" w:sz="0" w:space="0" w:color="auto"/>
          </w:divBdr>
        </w:div>
      </w:divsChild>
    </w:div>
    <w:div w:id="1183397425">
      <w:bodyDiv w:val="1"/>
      <w:marLeft w:val="0"/>
      <w:marRight w:val="0"/>
      <w:marTop w:val="0"/>
      <w:marBottom w:val="0"/>
      <w:divBdr>
        <w:top w:val="none" w:sz="0" w:space="0" w:color="auto"/>
        <w:left w:val="none" w:sz="0" w:space="0" w:color="auto"/>
        <w:bottom w:val="none" w:sz="0" w:space="0" w:color="auto"/>
        <w:right w:val="none" w:sz="0" w:space="0" w:color="auto"/>
      </w:divBdr>
      <w:divsChild>
        <w:div w:id="34043414">
          <w:marLeft w:val="0"/>
          <w:marRight w:val="0"/>
          <w:marTop w:val="0"/>
          <w:marBottom w:val="0"/>
          <w:divBdr>
            <w:top w:val="none" w:sz="0" w:space="0" w:color="auto"/>
            <w:left w:val="none" w:sz="0" w:space="0" w:color="auto"/>
            <w:bottom w:val="none" w:sz="0" w:space="0" w:color="auto"/>
            <w:right w:val="none" w:sz="0" w:space="0" w:color="auto"/>
          </w:divBdr>
        </w:div>
      </w:divsChild>
    </w:div>
    <w:div w:id="1259829917">
      <w:bodyDiv w:val="1"/>
      <w:marLeft w:val="0"/>
      <w:marRight w:val="0"/>
      <w:marTop w:val="0"/>
      <w:marBottom w:val="0"/>
      <w:divBdr>
        <w:top w:val="none" w:sz="0" w:space="0" w:color="auto"/>
        <w:left w:val="none" w:sz="0" w:space="0" w:color="auto"/>
        <w:bottom w:val="none" w:sz="0" w:space="0" w:color="auto"/>
        <w:right w:val="none" w:sz="0" w:space="0" w:color="auto"/>
      </w:divBdr>
      <w:divsChild>
        <w:div w:id="58017762">
          <w:marLeft w:val="0"/>
          <w:marRight w:val="0"/>
          <w:marTop w:val="0"/>
          <w:marBottom w:val="0"/>
          <w:divBdr>
            <w:top w:val="none" w:sz="0" w:space="0" w:color="auto"/>
            <w:left w:val="none" w:sz="0" w:space="0" w:color="auto"/>
            <w:bottom w:val="none" w:sz="0" w:space="0" w:color="auto"/>
            <w:right w:val="none" w:sz="0" w:space="0" w:color="auto"/>
          </w:divBdr>
        </w:div>
      </w:divsChild>
    </w:div>
    <w:div w:id="1403603758">
      <w:bodyDiv w:val="1"/>
      <w:marLeft w:val="0"/>
      <w:marRight w:val="0"/>
      <w:marTop w:val="0"/>
      <w:marBottom w:val="0"/>
      <w:divBdr>
        <w:top w:val="none" w:sz="0" w:space="0" w:color="auto"/>
        <w:left w:val="none" w:sz="0" w:space="0" w:color="auto"/>
        <w:bottom w:val="none" w:sz="0" w:space="0" w:color="auto"/>
        <w:right w:val="none" w:sz="0" w:space="0" w:color="auto"/>
      </w:divBdr>
      <w:divsChild>
        <w:div w:id="1844392442">
          <w:marLeft w:val="0"/>
          <w:marRight w:val="0"/>
          <w:marTop w:val="0"/>
          <w:marBottom w:val="0"/>
          <w:divBdr>
            <w:top w:val="none" w:sz="0" w:space="0" w:color="auto"/>
            <w:left w:val="none" w:sz="0" w:space="0" w:color="auto"/>
            <w:bottom w:val="none" w:sz="0" w:space="0" w:color="auto"/>
            <w:right w:val="none" w:sz="0" w:space="0" w:color="auto"/>
          </w:divBdr>
        </w:div>
      </w:divsChild>
    </w:div>
    <w:div w:id="1473138541">
      <w:bodyDiv w:val="1"/>
      <w:marLeft w:val="0"/>
      <w:marRight w:val="0"/>
      <w:marTop w:val="0"/>
      <w:marBottom w:val="0"/>
      <w:divBdr>
        <w:top w:val="none" w:sz="0" w:space="0" w:color="auto"/>
        <w:left w:val="none" w:sz="0" w:space="0" w:color="auto"/>
        <w:bottom w:val="none" w:sz="0" w:space="0" w:color="auto"/>
        <w:right w:val="none" w:sz="0" w:space="0" w:color="auto"/>
      </w:divBdr>
      <w:divsChild>
        <w:div w:id="1415593867">
          <w:marLeft w:val="0"/>
          <w:marRight w:val="0"/>
          <w:marTop w:val="0"/>
          <w:marBottom w:val="0"/>
          <w:divBdr>
            <w:top w:val="none" w:sz="0" w:space="0" w:color="auto"/>
            <w:left w:val="none" w:sz="0" w:space="0" w:color="auto"/>
            <w:bottom w:val="none" w:sz="0" w:space="0" w:color="auto"/>
            <w:right w:val="none" w:sz="0" w:space="0" w:color="auto"/>
          </w:divBdr>
        </w:div>
      </w:divsChild>
    </w:div>
    <w:div w:id="1481654732">
      <w:bodyDiv w:val="1"/>
      <w:marLeft w:val="0"/>
      <w:marRight w:val="0"/>
      <w:marTop w:val="0"/>
      <w:marBottom w:val="0"/>
      <w:divBdr>
        <w:top w:val="none" w:sz="0" w:space="0" w:color="auto"/>
        <w:left w:val="none" w:sz="0" w:space="0" w:color="auto"/>
        <w:bottom w:val="none" w:sz="0" w:space="0" w:color="auto"/>
        <w:right w:val="none" w:sz="0" w:space="0" w:color="auto"/>
      </w:divBdr>
      <w:divsChild>
        <w:div w:id="1700860334">
          <w:marLeft w:val="0"/>
          <w:marRight w:val="0"/>
          <w:marTop w:val="0"/>
          <w:marBottom w:val="0"/>
          <w:divBdr>
            <w:top w:val="none" w:sz="0" w:space="0" w:color="auto"/>
            <w:left w:val="none" w:sz="0" w:space="0" w:color="auto"/>
            <w:bottom w:val="none" w:sz="0" w:space="0" w:color="auto"/>
            <w:right w:val="none" w:sz="0" w:space="0" w:color="auto"/>
          </w:divBdr>
        </w:div>
      </w:divsChild>
    </w:div>
    <w:div w:id="1487434858">
      <w:bodyDiv w:val="1"/>
      <w:marLeft w:val="0"/>
      <w:marRight w:val="0"/>
      <w:marTop w:val="0"/>
      <w:marBottom w:val="0"/>
      <w:divBdr>
        <w:top w:val="none" w:sz="0" w:space="0" w:color="auto"/>
        <w:left w:val="none" w:sz="0" w:space="0" w:color="auto"/>
        <w:bottom w:val="none" w:sz="0" w:space="0" w:color="auto"/>
        <w:right w:val="none" w:sz="0" w:space="0" w:color="auto"/>
      </w:divBdr>
      <w:divsChild>
        <w:div w:id="2058896418">
          <w:marLeft w:val="0"/>
          <w:marRight w:val="0"/>
          <w:marTop w:val="0"/>
          <w:marBottom w:val="0"/>
          <w:divBdr>
            <w:top w:val="none" w:sz="0" w:space="0" w:color="auto"/>
            <w:left w:val="none" w:sz="0" w:space="0" w:color="auto"/>
            <w:bottom w:val="none" w:sz="0" w:space="0" w:color="auto"/>
            <w:right w:val="none" w:sz="0" w:space="0" w:color="auto"/>
          </w:divBdr>
        </w:div>
      </w:divsChild>
    </w:div>
    <w:div w:id="1500732856">
      <w:bodyDiv w:val="1"/>
      <w:marLeft w:val="0"/>
      <w:marRight w:val="0"/>
      <w:marTop w:val="0"/>
      <w:marBottom w:val="0"/>
      <w:divBdr>
        <w:top w:val="none" w:sz="0" w:space="0" w:color="auto"/>
        <w:left w:val="none" w:sz="0" w:space="0" w:color="auto"/>
        <w:bottom w:val="none" w:sz="0" w:space="0" w:color="auto"/>
        <w:right w:val="none" w:sz="0" w:space="0" w:color="auto"/>
      </w:divBdr>
      <w:divsChild>
        <w:div w:id="1301501280">
          <w:marLeft w:val="0"/>
          <w:marRight w:val="0"/>
          <w:marTop w:val="0"/>
          <w:marBottom w:val="0"/>
          <w:divBdr>
            <w:top w:val="none" w:sz="0" w:space="0" w:color="auto"/>
            <w:left w:val="none" w:sz="0" w:space="0" w:color="auto"/>
            <w:bottom w:val="none" w:sz="0" w:space="0" w:color="auto"/>
            <w:right w:val="none" w:sz="0" w:space="0" w:color="auto"/>
          </w:divBdr>
        </w:div>
      </w:divsChild>
    </w:div>
    <w:div w:id="1500921189">
      <w:bodyDiv w:val="1"/>
      <w:marLeft w:val="0"/>
      <w:marRight w:val="0"/>
      <w:marTop w:val="0"/>
      <w:marBottom w:val="0"/>
      <w:divBdr>
        <w:top w:val="none" w:sz="0" w:space="0" w:color="auto"/>
        <w:left w:val="none" w:sz="0" w:space="0" w:color="auto"/>
        <w:bottom w:val="none" w:sz="0" w:space="0" w:color="auto"/>
        <w:right w:val="none" w:sz="0" w:space="0" w:color="auto"/>
      </w:divBdr>
      <w:divsChild>
        <w:div w:id="1364789601">
          <w:marLeft w:val="0"/>
          <w:marRight w:val="0"/>
          <w:marTop w:val="0"/>
          <w:marBottom w:val="0"/>
          <w:divBdr>
            <w:top w:val="none" w:sz="0" w:space="0" w:color="auto"/>
            <w:left w:val="none" w:sz="0" w:space="0" w:color="auto"/>
            <w:bottom w:val="none" w:sz="0" w:space="0" w:color="auto"/>
            <w:right w:val="none" w:sz="0" w:space="0" w:color="auto"/>
          </w:divBdr>
        </w:div>
      </w:divsChild>
    </w:div>
    <w:div w:id="1502043436">
      <w:bodyDiv w:val="1"/>
      <w:marLeft w:val="0"/>
      <w:marRight w:val="0"/>
      <w:marTop w:val="0"/>
      <w:marBottom w:val="0"/>
      <w:divBdr>
        <w:top w:val="none" w:sz="0" w:space="0" w:color="auto"/>
        <w:left w:val="none" w:sz="0" w:space="0" w:color="auto"/>
        <w:bottom w:val="none" w:sz="0" w:space="0" w:color="auto"/>
        <w:right w:val="none" w:sz="0" w:space="0" w:color="auto"/>
      </w:divBdr>
    </w:div>
    <w:div w:id="1702048568">
      <w:bodyDiv w:val="1"/>
      <w:marLeft w:val="0"/>
      <w:marRight w:val="0"/>
      <w:marTop w:val="0"/>
      <w:marBottom w:val="0"/>
      <w:divBdr>
        <w:top w:val="none" w:sz="0" w:space="0" w:color="auto"/>
        <w:left w:val="none" w:sz="0" w:space="0" w:color="auto"/>
        <w:bottom w:val="none" w:sz="0" w:space="0" w:color="auto"/>
        <w:right w:val="none" w:sz="0" w:space="0" w:color="auto"/>
      </w:divBdr>
      <w:divsChild>
        <w:div w:id="22678404">
          <w:marLeft w:val="0"/>
          <w:marRight w:val="0"/>
          <w:marTop w:val="0"/>
          <w:marBottom w:val="0"/>
          <w:divBdr>
            <w:top w:val="none" w:sz="0" w:space="0" w:color="auto"/>
            <w:left w:val="none" w:sz="0" w:space="0" w:color="auto"/>
            <w:bottom w:val="none" w:sz="0" w:space="0" w:color="auto"/>
            <w:right w:val="none" w:sz="0" w:space="0" w:color="auto"/>
          </w:divBdr>
        </w:div>
      </w:divsChild>
    </w:div>
    <w:div w:id="1856117228">
      <w:bodyDiv w:val="1"/>
      <w:marLeft w:val="0"/>
      <w:marRight w:val="0"/>
      <w:marTop w:val="0"/>
      <w:marBottom w:val="0"/>
      <w:divBdr>
        <w:top w:val="none" w:sz="0" w:space="0" w:color="auto"/>
        <w:left w:val="none" w:sz="0" w:space="0" w:color="auto"/>
        <w:bottom w:val="none" w:sz="0" w:space="0" w:color="auto"/>
        <w:right w:val="none" w:sz="0" w:space="0" w:color="auto"/>
      </w:divBdr>
      <w:divsChild>
        <w:div w:id="2059621014">
          <w:marLeft w:val="0"/>
          <w:marRight w:val="0"/>
          <w:marTop w:val="0"/>
          <w:marBottom w:val="0"/>
          <w:divBdr>
            <w:top w:val="none" w:sz="0" w:space="0" w:color="auto"/>
            <w:left w:val="none" w:sz="0" w:space="0" w:color="auto"/>
            <w:bottom w:val="none" w:sz="0" w:space="0" w:color="auto"/>
            <w:right w:val="none" w:sz="0" w:space="0" w:color="auto"/>
          </w:divBdr>
        </w:div>
      </w:divsChild>
    </w:div>
    <w:div w:id="2013725291">
      <w:bodyDiv w:val="1"/>
      <w:marLeft w:val="0"/>
      <w:marRight w:val="0"/>
      <w:marTop w:val="0"/>
      <w:marBottom w:val="0"/>
      <w:divBdr>
        <w:top w:val="none" w:sz="0" w:space="0" w:color="auto"/>
        <w:left w:val="none" w:sz="0" w:space="0" w:color="auto"/>
        <w:bottom w:val="none" w:sz="0" w:space="0" w:color="auto"/>
        <w:right w:val="none" w:sz="0" w:space="0" w:color="auto"/>
      </w:divBdr>
      <w:divsChild>
        <w:div w:id="1488785092">
          <w:marLeft w:val="0"/>
          <w:marRight w:val="0"/>
          <w:marTop w:val="0"/>
          <w:marBottom w:val="0"/>
          <w:divBdr>
            <w:top w:val="none" w:sz="0" w:space="0" w:color="auto"/>
            <w:left w:val="none" w:sz="0" w:space="0" w:color="auto"/>
            <w:bottom w:val="none" w:sz="0" w:space="0" w:color="auto"/>
            <w:right w:val="none" w:sz="0" w:space="0" w:color="auto"/>
          </w:divBdr>
        </w:div>
      </w:divsChild>
    </w:div>
    <w:div w:id="2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440805755">
          <w:marLeft w:val="0"/>
          <w:marRight w:val="0"/>
          <w:marTop w:val="0"/>
          <w:marBottom w:val="0"/>
          <w:divBdr>
            <w:top w:val="none" w:sz="0" w:space="0" w:color="auto"/>
            <w:left w:val="none" w:sz="0" w:space="0" w:color="auto"/>
            <w:bottom w:val="none" w:sz="0" w:space="0" w:color="auto"/>
            <w:right w:val="none" w:sz="0" w:space="0" w:color="auto"/>
          </w:divBdr>
        </w:div>
      </w:divsChild>
    </w:div>
    <w:div w:id="2043439172">
      <w:bodyDiv w:val="1"/>
      <w:marLeft w:val="0"/>
      <w:marRight w:val="0"/>
      <w:marTop w:val="0"/>
      <w:marBottom w:val="0"/>
      <w:divBdr>
        <w:top w:val="none" w:sz="0" w:space="0" w:color="auto"/>
        <w:left w:val="none" w:sz="0" w:space="0" w:color="auto"/>
        <w:bottom w:val="none" w:sz="0" w:space="0" w:color="auto"/>
        <w:right w:val="none" w:sz="0" w:space="0" w:color="auto"/>
      </w:divBdr>
      <w:divsChild>
        <w:div w:id="2127965807">
          <w:marLeft w:val="0"/>
          <w:marRight w:val="0"/>
          <w:marTop w:val="0"/>
          <w:marBottom w:val="0"/>
          <w:divBdr>
            <w:top w:val="none" w:sz="0" w:space="0" w:color="auto"/>
            <w:left w:val="none" w:sz="0" w:space="0" w:color="auto"/>
            <w:bottom w:val="none" w:sz="0" w:space="0" w:color="auto"/>
            <w:right w:val="none" w:sz="0" w:space="0" w:color="auto"/>
          </w:divBdr>
        </w:div>
      </w:divsChild>
    </w:div>
    <w:div w:id="2047437735">
      <w:bodyDiv w:val="1"/>
      <w:marLeft w:val="0"/>
      <w:marRight w:val="0"/>
      <w:marTop w:val="0"/>
      <w:marBottom w:val="0"/>
      <w:divBdr>
        <w:top w:val="none" w:sz="0" w:space="0" w:color="auto"/>
        <w:left w:val="none" w:sz="0" w:space="0" w:color="auto"/>
        <w:bottom w:val="none" w:sz="0" w:space="0" w:color="auto"/>
        <w:right w:val="none" w:sz="0" w:space="0" w:color="auto"/>
      </w:divBdr>
      <w:divsChild>
        <w:div w:id="1949389142">
          <w:marLeft w:val="0"/>
          <w:marRight w:val="0"/>
          <w:marTop w:val="0"/>
          <w:marBottom w:val="0"/>
          <w:divBdr>
            <w:top w:val="none" w:sz="0" w:space="0" w:color="auto"/>
            <w:left w:val="none" w:sz="0" w:space="0" w:color="auto"/>
            <w:bottom w:val="none" w:sz="0" w:space="0" w:color="auto"/>
            <w:right w:val="none" w:sz="0" w:space="0" w:color="auto"/>
          </w:divBdr>
        </w:div>
      </w:divsChild>
    </w:div>
    <w:div w:id="2143571382">
      <w:bodyDiv w:val="1"/>
      <w:marLeft w:val="0"/>
      <w:marRight w:val="0"/>
      <w:marTop w:val="0"/>
      <w:marBottom w:val="0"/>
      <w:divBdr>
        <w:top w:val="none" w:sz="0" w:space="0" w:color="auto"/>
        <w:left w:val="none" w:sz="0" w:space="0" w:color="auto"/>
        <w:bottom w:val="none" w:sz="0" w:space="0" w:color="auto"/>
        <w:right w:val="none" w:sz="0" w:space="0" w:color="auto"/>
      </w:divBdr>
      <w:divsChild>
        <w:div w:id="6091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p.gov.br" TargetMode="External"/><Relationship Id="rId14" Type="http://schemas.openxmlformats.org/officeDocument/2006/relationships/customXml" Target="../customXml/item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F54555C1CA216843897EC6AFC4746615" ma:contentTypeVersion="2" ma:contentTypeDescription="Crie um novo documento." ma:contentTypeScope="" ma:versionID="d27c6416dae1f25892b92255a63a6134">
  <xsd:schema xmlns:xsd="http://www.w3.org/2001/XMLSchema" xmlns:xs="http://www.w3.org/2001/XMLSchema" xmlns:p="http://schemas.microsoft.com/office/2006/metadata/properties" xmlns:ns2="bf652690-9d57-4c03-aa54-01d7f2bf521b" targetNamespace="http://schemas.microsoft.com/office/2006/metadata/properties" ma:root="true" ma:fieldsID="ea155aefbcb61d3e665fc5b0346a0c47" ns2:_="">
    <xsd:import namespace="bf652690-9d57-4c03-aa54-01d7f2bf52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52690-9d57-4c03-aa54-01d7f2bf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C86AA-E362-45C2-968A-5918BF7A31AC}">
  <ds:schemaRefs>
    <ds:schemaRef ds:uri="http://schemas.openxmlformats.org/officeDocument/2006/bibliography"/>
  </ds:schemaRefs>
</ds:datastoreItem>
</file>

<file path=customXml/itemProps2.xml><?xml version="1.0" encoding="utf-8"?>
<ds:datastoreItem xmlns:ds="http://schemas.openxmlformats.org/officeDocument/2006/customXml" ds:itemID="{5825B106-3D33-407D-AD8D-0DD792D4C697}"/>
</file>

<file path=customXml/itemProps3.xml><?xml version="1.0" encoding="utf-8"?>
<ds:datastoreItem xmlns:ds="http://schemas.openxmlformats.org/officeDocument/2006/customXml" ds:itemID="{7DD50381-AE0B-48A1-8FA2-513A2EF577F9}"/>
</file>

<file path=customXml/itemProps4.xml><?xml version="1.0" encoding="utf-8"?>
<ds:datastoreItem xmlns:ds="http://schemas.openxmlformats.org/officeDocument/2006/customXml" ds:itemID="{64583A9C-7E48-4D22-AA5C-1154145ED634}"/>
</file>

<file path=docProps/app.xml><?xml version="1.0" encoding="utf-8"?>
<Properties xmlns="http://schemas.openxmlformats.org/officeDocument/2006/extended-properties" xmlns:vt="http://schemas.openxmlformats.org/officeDocument/2006/docPropsVTypes">
  <Template>Normal.dotm</Template>
  <TotalTime>0</TotalTime>
  <Pages>15</Pages>
  <Words>4840</Words>
  <Characters>26137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FORMULÁRIO DE COMENTÁRIOS E SUGESTÕES</vt:lpstr>
    </vt:vector>
  </TitlesOfParts>
  <Company>CNT</Company>
  <LinksUpToDate>false</LinksUpToDate>
  <CharactersWithSpaces>30916</CharactersWithSpaces>
  <SharedDoc>false</SharedDoc>
  <HLinks>
    <vt:vector size="6" baseType="variant">
      <vt:variant>
        <vt:i4>6684707</vt:i4>
      </vt:variant>
      <vt:variant>
        <vt:i4>0</vt:i4>
      </vt:variant>
      <vt:variant>
        <vt:i4>0</vt:i4>
      </vt:variant>
      <vt:variant>
        <vt:i4>5</vt:i4>
      </vt:variant>
      <vt:variant>
        <vt:lpwstr>http://www.anp.gov.br/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DE COMENTÁRIOS E SUGESTÕES</dc:title>
  <dc:subject/>
  <dc:creator>Fabiana Rodrigues</dc:creator>
  <cp:keywords/>
  <dc:description/>
  <cp:lastModifiedBy>CELMA DA SILVA ANASTACIO ROCCO</cp:lastModifiedBy>
  <cp:revision>2</cp:revision>
  <cp:lastPrinted>2011-10-11T18:50:00Z</cp:lastPrinted>
  <dcterms:created xsi:type="dcterms:W3CDTF">2019-04-03T20:41:00Z</dcterms:created>
  <dcterms:modified xsi:type="dcterms:W3CDTF">2019-04-03T20:41:00Z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0x010100F54555C1CA216843897EC6AFC4746615</vt:lpwstr>
  </property>
</Properties>
</file>