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159" w:rsidRDefault="005D1159" w:rsidP="003B4889">
      <w:pPr>
        <w:pStyle w:val="norma"/>
        <w:spacing w:before="120" w:beforeAutospacing="0" w:after="120" w:afterAutospacing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96202">
        <w:rPr>
          <w:rFonts w:ascii="Calibri" w:hAnsi="Calibri" w:cs="Calibri"/>
          <w:b/>
          <w:bCs/>
          <w:sz w:val="22"/>
          <w:szCs w:val="22"/>
        </w:rPr>
        <w:t>RESOLUÇÃO ANP Nº</w:t>
      </w:r>
    </w:p>
    <w:p w:rsidR="0009424D" w:rsidRPr="00296202" w:rsidRDefault="0009424D" w:rsidP="003B4889">
      <w:pPr>
        <w:pStyle w:val="norma"/>
        <w:spacing w:before="120" w:beforeAutospacing="0" w:after="120" w:afterAutospacing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D1159" w:rsidRPr="00296202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> A Diretora-Geral da Agência Nacional do Petróleo, Gás Natural e Biocombustíveis - ANP, no uso de suas atribuições,</w:t>
      </w:r>
      <w:r w:rsidR="009B07B4">
        <w:rPr>
          <w:rFonts w:ascii="Calibri" w:hAnsi="Calibri" w:cs="Calibri"/>
          <w:sz w:val="22"/>
          <w:szCs w:val="22"/>
        </w:rPr>
        <w:t xml:space="preserve"> considerando as razões delineadas na Exposição de Motivos contida nos autos do Processo Administrativo nº...</w:t>
      </w:r>
    </w:p>
    <w:p w:rsidR="003B4889" w:rsidRPr="00296202" w:rsidRDefault="003B4889" w:rsidP="003B4889">
      <w:pPr>
        <w:pStyle w:val="texto"/>
        <w:spacing w:before="120" w:beforeAutospacing="0" w:after="120" w:afterAutospacing="0"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5D1159" w:rsidRPr="00296202" w:rsidRDefault="005D1159" w:rsidP="003B4889">
      <w:pPr>
        <w:pStyle w:val="texto"/>
        <w:spacing w:before="120" w:beforeAutospacing="0" w:after="12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>Resolve:</w:t>
      </w:r>
    </w:p>
    <w:p w:rsidR="00422346" w:rsidRPr="00296202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> </w:t>
      </w:r>
      <w:r w:rsidRPr="00296202">
        <w:rPr>
          <w:rFonts w:ascii="Calibri" w:hAnsi="Calibri" w:cs="Calibri"/>
          <w:b/>
          <w:bCs/>
          <w:sz w:val="22"/>
          <w:szCs w:val="22"/>
        </w:rPr>
        <w:t>Art. 1º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96202">
        <w:rPr>
          <w:rFonts w:ascii="Calibri" w:hAnsi="Calibri" w:cs="Calibri"/>
          <w:sz w:val="22"/>
          <w:szCs w:val="22"/>
        </w:rPr>
        <w:t>Fica</w:t>
      </w:r>
      <w:r w:rsidR="003B4889" w:rsidRPr="00296202">
        <w:rPr>
          <w:rFonts w:ascii="Calibri" w:hAnsi="Calibri" w:cs="Calibri"/>
          <w:sz w:val="22"/>
          <w:szCs w:val="22"/>
        </w:rPr>
        <w:t>m</w:t>
      </w:r>
      <w:r w:rsidRPr="00296202">
        <w:rPr>
          <w:rFonts w:ascii="Calibri" w:hAnsi="Calibri" w:cs="Calibri"/>
          <w:sz w:val="22"/>
          <w:szCs w:val="22"/>
        </w:rPr>
        <w:t xml:space="preserve"> estabelecidas, por meio da presente Resolução, </w:t>
      </w:r>
      <w:r w:rsidR="003B4889" w:rsidRPr="00296202">
        <w:rPr>
          <w:rFonts w:ascii="Calibri" w:hAnsi="Calibri" w:cs="Calibri"/>
          <w:sz w:val="22"/>
          <w:szCs w:val="22"/>
        </w:rPr>
        <w:t xml:space="preserve">os requisitos para a celebração de Termo de Ajustamento de Conduta – TAC pelas empresas distribuidoras de gás liquefeito de petróleo, </w:t>
      </w:r>
      <w:r w:rsidR="00D30222" w:rsidRPr="00296202">
        <w:rPr>
          <w:rFonts w:ascii="Calibri" w:hAnsi="Calibri" w:cs="Calibri"/>
          <w:sz w:val="22"/>
          <w:szCs w:val="22"/>
        </w:rPr>
        <w:t>sobre o tempo e o modo de</w:t>
      </w:r>
      <w:r w:rsidR="003B4889" w:rsidRPr="00296202">
        <w:rPr>
          <w:rFonts w:ascii="Calibri" w:hAnsi="Calibri" w:cs="Calibri"/>
          <w:sz w:val="22"/>
          <w:szCs w:val="22"/>
        </w:rPr>
        <w:t xml:space="preserve"> requalificação de recipientes transportáveis de GLP</w:t>
      </w:r>
    </w:p>
    <w:p w:rsidR="009B07B4" w:rsidRDefault="009B07B4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5D1159" w:rsidRPr="00224526" w:rsidRDefault="00D30222" w:rsidP="00224526">
      <w:pPr>
        <w:pStyle w:val="norma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  <w:r w:rsidRPr="00224526">
        <w:rPr>
          <w:rFonts w:ascii="Calibri" w:hAnsi="Calibri" w:cs="Calibri"/>
          <w:b/>
          <w:bCs/>
          <w:sz w:val="22"/>
          <w:szCs w:val="22"/>
        </w:rPr>
        <w:t>Do Compromisso de Ajustamento de Conduta</w:t>
      </w:r>
    </w:p>
    <w:p w:rsidR="005D1159" w:rsidRPr="00296202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b/>
          <w:bCs/>
          <w:sz w:val="22"/>
          <w:szCs w:val="22"/>
        </w:rPr>
        <w:t xml:space="preserve">Art. </w:t>
      </w:r>
      <w:r w:rsidR="00D30222" w:rsidRPr="00296202">
        <w:rPr>
          <w:rFonts w:ascii="Calibri" w:hAnsi="Calibri" w:cs="Calibri"/>
          <w:b/>
          <w:bCs/>
          <w:sz w:val="22"/>
          <w:szCs w:val="22"/>
        </w:rPr>
        <w:t>2</w:t>
      </w:r>
      <w:r w:rsidRPr="00296202">
        <w:rPr>
          <w:rFonts w:ascii="Calibri" w:hAnsi="Calibri" w:cs="Calibri"/>
          <w:b/>
          <w:bCs/>
          <w:sz w:val="22"/>
          <w:szCs w:val="22"/>
        </w:rPr>
        <w:t>º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 </w:t>
      </w:r>
      <w:r w:rsidR="00467D0F" w:rsidRPr="00296202">
        <w:rPr>
          <w:rFonts w:ascii="Calibri" w:hAnsi="Calibri" w:cs="Calibri"/>
          <w:sz w:val="22"/>
          <w:szCs w:val="22"/>
        </w:rPr>
        <w:t>Poderá ser firmado termo de ajustamento de conduta pelas empresas distribuidoras de gás liquefeito de petróleo, que assumirão o compromisso de providenciar a requalificação de recipientes transportáveis de GLP de sua marca, de acordo com cronograma elaborado pela ANP, cujo termo final não ultrapassará o dia 31 de julho de 2017</w:t>
      </w:r>
      <w:r w:rsidRPr="00296202">
        <w:rPr>
          <w:rFonts w:ascii="Calibri" w:hAnsi="Calibri" w:cs="Calibri"/>
          <w:sz w:val="22"/>
          <w:szCs w:val="22"/>
        </w:rPr>
        <w:t>.</w:t>
      </w:r>
    </w:p>
    <w:p w:rsidR="005D1159" w:rsidRPr="00296202" w:rsidRDefault="00467D0F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>Parágrafo único.</w:t>
      </w:r>
      <w:r w:rsidR="005D1159" w:rsidRPr="00296202">
        <w:rPr>
          <w:rFonts w:ascii="Calibri" w:hAnsi="Calibri" w:cs="Calibri"/>
          <w:sz w:val="22"/>
          <w:szCs w:val="22"/>
        </w:rPr>
        <w:t xml:space="preserve"> </w:t>
      </w:r>
      <w:r w:rsidRPr="00296202">
        <w:rPr>
          <w:rFonts w:ascii="Calibri" w:hAnsi="Calibri" w:cs="Calibri"/>
          <w:sz w:val="22"/>
          <w:szCs w:val="22"/>
        </w:rPr>
        <w:t xml:space="preserve">Apenas as empresas </w:t>
      </w:r>
      <w:r w:rsidR="00CA1B4E">
        <w:rPr>
          <w:rFonts w:ascii="Calibri" w:hAnsi="Calibri" w:cs="Calibri"/>
          <w:sz w:val="22"/>
          <w:szCs w:val="22"/>
        </w:rPr>
        <w:t xml:space="preserve">qualificadas como </w:t>
      </w:r>
      <w:r w:rsidRPr="00296202">
        <w:rPr>
          <w:rFonts w:ascii="Calibri" w:hAnsi="Calibri" w:cs="Calibri"/>
          <w:sz w:val="22"/>
          <w:szCs w:val="22"/>
        </w:rPr>
        <w:t>distribuidoras de GLP poderão firmar o Termo de Ajustamento de Conduta previsto nesta Resolução</w:t>
      </w:r>
      <w:r w:rsidR="005D1159" w:rsidRPr="00296202">
        <w:rPr>
          <w:rFonts w:ascii="Calibri" w:hAnsi="Calibri" w:cs="Calibri"/>
          <w:sz w:val="22"/>
          <w:szCs w:val="22"/>
        </w:rPr>
        <w:t>.</w:t>
      </w:r>
    </w:p>
    <w:p w:rsidR="00F02C82" w:rsidRPr="00296202" w:rsidRDefault="00F02C82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02C82" w:rsidRPr="00224526" w:rsidRDefault="00F02C82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  <w:r w:rsidRPr="00224526">
        <w:rPr>
          <w:rFonts w:ascii="Calibri" w:hAnsi="Calibri" w:cs="Calibri"/>
          <w:b/>
          <w:bCs/>
          <w:sz w:val="22"/>
          <w:szCs w:val="22"/>
        </w:rPr>
        <w:t>Da quitação dos débitos já constituídos</w:t>
      </w:r>
    </w:p>
    <w:p w:rsidR="00467D0F" w:rsidRPr="00296202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b/>
          <w:bCs/>
          <w:sz w:val="22"/>
          <w:szCs w:val="22"/>
        </w:rPr>
        <w:t xml:space="preserve">Art. </w:t>
      </w:r>
      <w:r w:rsidR="00467D0F" w:rsidRPr="00296202">
        <w:rPr>
          <w:rFonts w:ascii="Calibri" w:hAnsi="Calibri" w:cs="Calibri"/>
          <w:b/>
          <w:bCs/>
          <w:sz w:val="22"/>
          <w:szCs w:val="22"/>
        </w:rPr>
        <w:t>3</w:t>
      </w:r>
      <w:r w:rsidRPr="00296202">
        <w:rPr>
          <w:rFonts w:ascii="Calibri" w:hAnsi="Calibri" w:cs="Calibri"/>
          <w:b/>
          <w:bCs/>
          <w:sz w:val="22"/>
          <w:szCs w:val="22"/>
        </w:rPr>
        <w:t>º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 </w:t>
      </w:r>
      <w:r w:rsidR="00467D0F" w:rsidRPr="00296202">
        <w:rPr>
          <w:rFonts w:ascii="Calibri" w:hAnsi="Calibri" w:cs="Calibri"/>
          <w:sz w:val="22"/>
          <w:szCs w:val="22"/>
        </w:rPr>
        <w:t xml:space="preserve">A eficácia do Termo de Ajustamento de Conduta – TAC ficará condicionada ao pagamento das multas aplicadas pela ANP à empresa </w:t>
      </w:r>
      <w:r w:rsidR="00A10C04" w:rsidRPr="00296202">
        <w:rPr>
          <w:rFonts w:ascii="Calibri" w:hAnsi="Calibri" w:cs="Calibri"/>
          <w:sz w:val="22"/>
          <w:szCs w:val="22"/>
        </w:rPr>
        <w:t>signatária</w:t>
      </w:r>
      <w:r w:rsidR="00467D0F" w:rsidRPr="00296202">
        <w:rPr>
          <w:rFonts w:ascii="Calibri" w:hAnsi="Calibri" w:cs="Calibri"/>
          <w:sz w:val="22"/>
          <w:szCs w:val="22"/>
        </w:rPr>
        <w:t>, decorrentes do procedimento administrativo estabelecido pelo Decreto nº 2.953/99</w:t>
      </w:r>
      <w:r w:rsidR="00A91D5B">
        <w:rPr>
          <w:rFonts w:ascii="Calibri" w:hAnsi="Calibri" w:cs="Calibri"/>
          <w:sz w:val="22"/>
          <w:szCs w:val="22"/>
        </w:rPr>
        <w:t>.</w:t>
      </w:r>
    </w:p>
    <w:p w:rsidR="00F02C82" w:rsidRPr="00296202" w:rsidRDefault="00467D0F" w:rsidP="00467D0F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 xml:space="preserve">§1º A ANP </w:t>
      </w:r>
      <w:r w:rsidR="00A91D5B">
        <w:rPr>
          <w:rFonts w:ascii="Calibri" w:hAnsi="Calibri" w:cs="Calibri"/>
          <w:sz w:val="22"/>
          <w:szCs w:val="22"/>
        </w:rPr>
        <w:t>elaborará</w:t>
      </w:r>
      <w:r w:rsidRPr="00296202">
        <w:rPr>
          <w:rFonts w:ascii="Calibri" w:hAnsi="Calibri" w:cs="Calibri"/>
          <w:sz w:val="22"/>
          <w:szCs w:val="22"/>
        </w:rPr>
        <w:t xml:space="preserve"> </w:t>
      </w:r>
      <w:r w:rsidR="00A91D5B">
        <w:rPr>
          <w:rFonts w:ascii="Calibri" w:hAnsi="Calibri" w:cs="Calibri"/>
          <w:sz w:val="22"/>
          <w:szCs w:val="22"/>
        </w:rPr>
        <w:t>lista</w:t>
      </w:r>
      <w:r w:rsidRPr="00296202">
        <w:rPr>
          <w:rFonts w:ascii="Calibri" w:hAnsi="Calibri" w:cs="Calibri"/>
          <w:sz w:val="22"/>
          <w:szCs w:val="22"/>
        </w:rPr>
        <w:t xml:space="preserve"> </w:t>
      </w:r>
      <w:r w:rsidR="00A91D5B">
        <w:rPr>
          <w:rFonts w:ascii="Calibri" w:hAnsi="Calibri" w:cs="Calibri"/>
          <w:sz w:val="22"/>
          <w:szCs w:val="22"/>
        </w:rPr>
        <w:t>dos</w:t>
      </w:r>
      <w:r w:rsidRPr="00296202">
        <w:rPr>
          <w:rFonts w:ascii="Calibri" w:hAnsi="Calibri" w:cs="Calibri"/>
          <w:sz w:val="22"/>
          <w:szCs w:val="22"/>
        </w:rPr>
        <w:t xml:space="preserve"> processos administrativos </w:t>
      </w:r>
      <w:r w:rsidR="00A91D5B">
        <w:rPr>
          <w:rFonts w:ascii="Calibri" w:hAnsi="Calibri" w:cs="Calibri"/>
          <w:sz w:val="22"/>
          <w:szCs w:val="22"/>
        </w:rPr>
        <w:t>em que aplicadas</w:t>
      </w:r>
      <w:r w:rsidRPr="00296202">
        <w:rPr>
          <w:rFonts w:ascii="Calibri" w:hAnsi="Calibri" w:cs="Calibri"/>
          <w:sz w:val="22"/>
          <w:szCs w:val="22"/>
        </w:rPr>
        <w:t xml:space="preserve"> </w:t>
      </w:r>
      <w:r w:rsidR="00A91D5B">
        <w:rPr>
          <w:rFonts w:ascii="Calibri" w:hAnsi="Calibri" w:cs="Calibri"/>
          <w:sz w:val="22"/>
          <w:szCs w:val="22"/>
        </w:rPr>
        <w:t>multas</w:t>
      </w:r>
      <w:r w:rsidRPr="00296202">
        <w:rPr>
          <w:rFonts w:ascii="Calibri" w:hAnsi="Calibri" w:cs="Calibri"/>
          <w:sz w:val="22"/>
          <w:szCs w:val="22"/>
        </w:rPr>
        <w:t xml:space="preserve"> à empresa </w:t>
      </w:r>
      <w:r w:rsidR="00A10C04" w:rsidRPr="00296202">
        <w:rPr>
          <w:rFonts w:ascii="Calibri" w:hAnsi="Calibri" w:cs="Calibri"/>
          <w:sz w:val="22"/>
          <w:szCs w:val="22"/>
        </w:rPr>
        <w:t>signatária</w:t>
      </w:r>
      <w:r w:rsidRPr="00296202">
        <w:rPr>
          <w:rFonts w:ascii="Calibri" w:hAnsi="Calibri" w:cs="Calibri"/>
          <w:sz w:val="22"/>
          <w:szCs w:val="22"/>
        </w:rPr>
        <w:t xml:space="preserve">, que constituirá anexo </w:t>
      </w:r>
      <w:r w:rsidR="00422346" w:rsidRPr="00296202">
        <w:rPr>
          <w:rFonts w:ascii="Calibri" w:hAnsi="Calibri" w:cs="Calibri"/>
          <w:sz w:val="22"/>
          <w:szCs w:val="22"/>
        </w:rPr>
        <w:t>do</w:t>
      </w:r>
      <w:r w:rsidRPr="00296202">
        <w:rPr>
          <w:rFonts w:ascii="Calibri" w:hAnsi="Calibri" w:cs="Calibri"/>
          <w:sz w:val="22"/>
          <w:szCs w:val="22"/>
        </w:rPr>
        <w:t xml:space="preserve"> TAC</w:t>
      </w:r>
      <w:r w:rsidR="009349C4">
        <w:rPr>
          <w:rFonts w:ascii="Calibri" w:hAnsi="Calibri" w:cs="Calibri"/>
          <w:sz w:val="22"/>
          <w:szCs w:val="22"/>
        </w:rPr>
        <w:t>.</w:t>
      </w:r>
    </w:p>
    <w:p w:rsidR="00467D0F" w:rsidRPr="00296202" w:rsidRDefault="00F02C82" w:rsidP="00467D0F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 xml:space="preserve">§2º </w:t>
      </w:r>
      <w:r w:rsidR="00A91D5B">
        <w:rPr>
          <w:rFonts w:ascii="Calibri" w:hAnsi="Calibri" w:cs="Calibri"/>
          <w:sz w:val="22"/>
          <w:szCs w:val="22"/>
        </w:rPr>
        <w:t xml:space="preserve">A lista </w:t>
      </w:r>
      <w:r w:rsidRPr="00296202">
        <w:rPr>
          <w:rFonts w:ascii="Calibri" w:hAnsi="Calibri" w:cs="Calibri"/>
          <w:sz w:val="22"/>
          <w:szCs w:val="22"/>
        </w:rPr>
        <w:t xml:space="preserve">a </w:t>
      </w:r>
      <w:r w:rsidR="00A91D5B">
        <w:rPr>
          <w:rFonts w:ascii="Calibri" w:hAnsi="Calibri" w:cs="Calibri"/>
          <w:sz w:val="22"/>
          <w:szCs w:val="22"/>
        </w:rPr>
        <w:t>que</w:t>
      </w:r>
      <w:r w:rsidRPr="00296202">
        <w:rPr>
          <w:rFonts w:ascii="Calibri" w:hAnsi="Calibri" w:cs="Calibri"/>
          <w:sz w:val="22"/>
          <w:szCs w:val="22"/>
        </w:rPr>
        <w:t xml:space="preserve"> se refere o §1º especificará </w:t>
      </w:r>
      <w:r w:rsidR="00A10C04" w:rsidRPr="00296202">
        <w:rPr>
          <w:rFonts w:ascii="Calibri" w:hAnsi="Calibri" w:cs="Calibri"/>
          <w:sz w:val="22"/>
          <w:szCs w:val="22"/>
        </w:rPr>
        <w:t>o número do processo</w:t>
      </w:r>
      <w:r w:rsidRPr="00296202">
        <w:rPr>
          <w:rFonts w:ascii="Calibri" w:hAnsi="Calibri" w:cs="Calibri"/>
          <w:sz w:val="22"/>
          <w:szCs w:val="22"/>
        </w:rPr>
        <w:t xml:space="preserve"> administrativo</w:t>
      </w:r>
      <w:r w:rsidR="00A10C04" w:rsidRPr="00296202">
        <w:rPr>
          <w:rFonts w:ascii="Calibri" w:hAnsi="Calibri" w:cs="Calibri"/>
          <w:sz w:val="22"/>
          <w:szCs w:val="22"/>
        </w:rPr>
        <w:t>, o número do auto de infração, o enquadramento legal das infrações cometidas e o valor atualizado d</w:t>
      </w:r>
      <w:r w:rsidRPr="00296202">
        <w:rPr>
          <w:rFonts w:ascii="Calibri" w:hAnsi="Calibri" w:cs="Calibri"/>
          <w:sz w:val="22"/>
          <w:szCs w:val="22"/>
        </w:rPr>
        <w:t>a</w:t>
      </w:r>
      <w:r w:rsidR="00A10C04" w:rsidRPr="00296202">
        <w:rPr>
          <w:rFonts w:ascii="Calibri" w:hAnsi="Calibri" w:cs="Calibri"/>
          <w:sz w:val="22"/>
          <w:szCs w:val="22"/>
        </w:rPr>
        <w:t xml:space="preserve"> </w:t>
      </w:r>
      <w:r w:rsidRPr="00296202">
        <w:rPr>
          <w:rFonts w:ascii="Calibri" w:hAnsi="Calibri" w:cs="Calibri"/>
          <w:sz w:val="22"/>
          <w:szCs w:val="22"/>
        </w:rPr>
        <w:t>multa a ser paga</w:t>
      </w:r>
      <w:r w:rsidR="00467D0F" w:rsidRPr="00296202">
        <w:rPr>
          <w:rFonts w:ascii="Calibri" w:hAnsi="Calibri" w:cs="Calibri"/>
          <w:sz w:val="22"/>
          <w:szCs w:val="22"/>
        </w:rPr>
        <w:t>.</w:t>
      </w:r>
    </w:p>
    <w:p w:rsidR="00467D0F" w:rsidRPr="00296202" w:rsidRDefault="00D87990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 xml:space="preserve">§ </w:t>
      </w:r>
      <w:r w:rsidR="00F02C82" w:rsidRPr="00296202">
        <w:rPr>
          <w:rFonts w:ascii="Calibri" w:hAnsi="Calibri" w:cs="Calibri"/>
          <w:sz w:val="22"/>
          <w:szCs w:val="22"/>
        </w:rPr>
        <w:t>3</w:t>
      </w:r>
      <w:r w:rsidRPr="00296202">
        <w:rPr>
          <w:rFonts w:ascii="Calibri" w:hAnsi="Calibri" w:cs="Calibri"/>
          <w:sz w:val="22"/>
          <w:szCs w:val="22"/>
        </w:rPr>
        <w:t>º Ficam excluídos d</w:t>
      </w:r>
      <w:r w:rsidR="00A91D5B">
        <w:rPr>
          <w:rFonts w:ascii="Calibri" w:hAnsi="Calibri" w:cs="Calibri"/>
          <w:sz w:val="22"/>
          <w:szCs w:val="22"/>
        </w:rPr>
        <w:t>a</w:t>
      </w:r>
      <w:r w:rsidRPr="00296202">
        <w:rPr>
          <w:rFonts w:ascii="Calibri" w:hAnsi="Calibri" w:cs="Calibri"/>
          <w:sz w:val="22"/>
          <w:szCs w:val="22"/>
        </w:rPr>
        <w:t xml:space="preserve"> </w:t>
      </w:r>
      <w:r w:rsidR="00A91D5B">
        <w:rPr>
          <w:rFonts w:ascii="Calibri" w:hAnsi="Calibri" w:cs="Calibri"/>
          <w:sz w:val="22"/>
          <w:szCs w:val="22"/>
        </w:rPr>
        <w:t>lista</w:t>
      </w:r>
      <w:r w:rsidR="00F02C82" w:rsidRPr="00296202">
        <w:rPr>
          <w:rFonts w:ascii="Calibri" w:hAnsi="Calibri" w:cs="Calibri"/>
          <w:sz w:val="22"/>
          <w:szCs w:val="22"/>
        </w:rPr>
        <w:t xml:space="preserve"> referido no §1º</w:t>
      </w:r>
      <w:r w:rsidRPr="00296202">
        <w:rPr>
          <w:rFonts w:ascii="Calibri" w:hAnsi="Calibri" w:cs="Calibri"/>
          <w:sz w:val="22"/>
          <w:szCs w:val="22"/>
        </w:rPr>
        <w:t xml:space="preserve"> os processos administrativos:</w:t>
      </w:r>
    </w:p>
    <w:p w:rsidR="00D87990" w:rsidRPr="00296202" w:rsidRDefault="005D1159" w:rsidP="00815786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lastRenderedPageBreak/>
        <w:t xml:space="preserve">I </w:t>
      </w:r>
      <w:r w:rsidR="00D87990" w:rsidRPr="00296202">
        <w:rPr>
          <w:rFonts w:ascii="Calibri" w:hAnsi="Calibri" w:cs="Calibri"/>
          <w:sz w:val="22"/>
          <w:szCs w:val="22"/>
        </w:rPr>
        <w:t>–</w:t>
      </w:r>
      <w:r w:rsidRPr="00296202">
        <w:rPr>
          <w:rFonts w:ascii="Calibri" w:hAnsi="Calibri" w:cs="Calibri"/>
          <w:sz w:val="22"/>
          <w:szCs w:val="22"/>
        </w:rPr>
        <w:t xml:space="preserve"> </w:t>
      </w:r>
      <w:r w:rsidR="00D87990" w:rsidRPr="00296202">
        <w:rPr>
          <w:rFonts w:ascii="Calibri" w:hAnsi="Calibri" w:cs="Calibri"/>
          <w:sz w:val="22"/>
          <w:szCs w:val="22"/>
        </w:rPr>
        <w:t>Cuj</w:t>
      </w:r>
      <w:r w:rsidR="00A91D5B">
        <w:rPr>
          <w:rFonts w:ascii="Calibri" w:hAnsi="Calibri" w:cs="Calibri"/>
          <w:sz w:val="22"/>
          <w:szCs w:val="22"/>
        </w:rPr>
        <w:t>o auto de</w:t>
      </w:r>
      <w:r w:rsidR="00D87990" w:rsidRPr="00296202">
        <w:rPr>
          <w:rFonts w:ascii="Calibri" w:hAnsi="Calibri" w:cs="Calibri"/>
          <w:sz w:val="22"/>
          <w:szCs w:val="22"/>
        </w:rPr>
        <w:t xml:space="preserve"> </w:t>
      </w:r>
      <w:r w:rsidR="00A91D5B">
        <w:rPr>
          <w:rFonts w:ascii="Calibri" w:hAnsi="Calibri" w:cs="Calibri"/>
          <w:sz w:val="22"/>
          <w:szCs w:val="22"/>
        </w:rPr>
        <w:t>infração</w:t>
      </w:r>
      <w:r w:rsidR="00D87990" w:rsidRPr="00296202">
        <w:rPr>
          <w:rFonts w:ascii="Calibri" w:hAnsi="Calibri" w:cs="Calibri"/>
          <w:sz w:val="22"/>
          <w:szCs w:val="22"/>
        </w:rPr>
        <w:t xml:space="preserve"> tenha sido julgad</w:t>
      </w:r>
      <w:r w:rsidR="00A91D5B">
        <w:rPr>
          <w:rFonts w:ascii="Calibri" w:hAnsi="Calibri" w:cs="Calibri"/>
          <w:sz w:val="22"/>
          <w:szCs w:val="22"/>
        </w:rPr>
        <w:t>o</w:t>
      </w:r>
      <w:r w:rsidR="00D87990" w:rsidRPr="00296202">
        <w:rPr>
          <w:rFonts w:ascii="Calibri" w:hAnsi="Calibri" w:cs="Calibri"/>
          <w:sz w:val="22"/>
          <w:szCs w:val="22"/>
        </w:rPr>
        <w:t xml:space="preserve"> insubsistente pela ANP;</w:t>
      </w:r>
    </w:p>
    <w:p w:rsidR="00D87990" w:rsidRPr="00296202" w:rsidRDefault="00A91D5B" w:rsidP="00815786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 – Cujo auto de infração</w:t>
      </w:r>
      <w:r w:rsidR="00D87990" w:rsidRPr="00296202">
        <w:rPr>
          <w:rFonts w:ascii="Calibri" w:hAnsi="Calibri" w:cs="Calibri"/>
          <w:sz w:val="22"/>
          <w:szCs w:val="22"/>
        </w:rPr>
        <w:t xml:space="preserve"> tenha sido declarad</w:t>
      </w:r>
      <w:r>
        <w:rPr>
          <w:rFonts w:ascii="Calibri" w:hAnsi="Calibri" w:cs="Calibri"/>
          <w:sz w:val="22"/>
          <w:szCs w:val="22"/>
        </w:rPr>
        <w:t>o</w:t>
      </w:r>
      <w:r w:rsidR="00D87990" w:rsidRPr="00296202">
        <w:rPr>
          <w:rFonts w:ascii="Calibri" w:hAnsi="Calibri" w:cs="Calibri"/>
          <w:sz w:val="22"/>
          <w:szCs w:val="22"/>
        </w:rPr>
        <w:t xml:space="preserve"> nul</w:t>
      </w:r>
      <w:r>
        <w:rPr>
          <w:rFonts w:ascii="Calibri" w:hAnsi="Calibri" w:cs="Calibri"/>
          <w:sz w:val="22"/>
          <w:szCs w:val="22"/>
        </w:rPr>
        <w:t>o</w:t>
      </w:r>
      <w:r w:rsidR="00D87990" w:rsidRPr="00296202">
        <w:rPr>
          <w:rFonts w:ascii="Calibri" w:hAnsi="Calibri" w:cs="Calibri"/>
          <w:sz w:val="22"/>
          <w:szCs w:val="22"/>
        </w:rPr>
        <w:t xml:space="preserve"> em processo judicial transitado em julgado;</w:t>
      </w:r>
    </w:p>
    <w:p w:rsidR="00D87990" w:rsidRPr="00296202" w:rsidRDefault="00D87990" w:rsidP="00815786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 xml:space="preserve">III – Cuja prescrição da cobrança tenha sido reconhecida </w:t>
      </w:r>
      <w:r w:rsidR="00A91D5B">
        <w:rPr>
          <w:rFonts w:ascii="Calibri" w:hAnsi="Calibri" w:cs="Calibri"/>
          <w:sz w:val="22"/>
          <w:szCs w:val="22"/>
        </w:rPr>
        <w:t>administrativamente</w:t>
      </w:r>
      <w:r w:rsidRPr="00296202">
        <w:rPr>
          <w:rFonts w:ascii="Calibri" w:hAnsi="Calibri" w:cs="Calibri"/>
          <w:sz w:val="22"/>
          <w:szCs w:val="22"/>
        </w:rPr>
        <w:t xml:space="preserve"> pela ANP;</w:t>
      </w:r>
    </w:p>
    <w:p w:rsidR="00F02C82" w:rsidRPr="00296202" w:rsidRDefault="00F02C82" w:rsidP="00815786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>§4º O pagamento das multas consolidadas n</w:t>
      </w:r>
      <w:r w:rsidR="00A91D5B">
        <w:rPr>
          <w:rFonts w:ascii="Calibri" w:hAnsi="Calibri" w:cs="Calibri"/>
          <w:sz w:val="22"/>
          <w:szCs w:val="22"/>
        </w:rPr>
        <w:t>a lista</w:t>
      </w:r>
      <w:r w:rsidRPr="00296202">
        <w:rPr>
          <w:rFonts w:ascii="Calibri" w:hAnsi="Calibri" w:cs="Calibri"/>
          <w:sz w:val="22"/>
          <w:szCs w:val="22"/>
        </w:rPr>
        <w:t xml:space="preserve"> referid</w:t>
      </w:r>
      <w:r w:rsidR="00A91D5B">
        <w:rPr>
          <w:rFonts w:ascii="Calibri" w:hAnsi="Calibri" w:cs="Calibri"/>
          <w:sz w:val="22"/>
          <w:szCs w:val="22"/>
        </w:rPr>
        <w:t>a</w:t>
      </w:r>
      <w:r w:rsidRPr="00296202">
        <w:rPr>
          <w:rFonts w:ascii="Calibri" w:hAnsi="Calibri" w:cs="Calibri"/>
          <w:sz w:val="22"/>
          <w:szCs w:val="22"/>
        </w:rPr>
        <w:t xml:space="preserve"> no §1º deverá ocorrer no prazo de 30 dias a contar da </w:t>
      </w:r>
      <w:r w:rsidR="00A91D5B">
        <w:rPr>
          <w:rFonts w:ascii="Calibri" w:hAnsi="Calibri" w:cs="Calibri"/>
          <w:sz w:val="22"/>
          <w:szCs w:val="22"/>
        </w:rPr>
        <w:t xml:space="preserve">data da </w:t>
      </w:r>
      <w:r w:rsidR="007D1EA9">
        <w:rPr>
          <w:rFonts w:ascii="Calibri" w:hAnsi="Calibri" w:cs="Calibri"/>
          <w:sz w:val="22"/>
          <w:szCs w:val="22"/>
        </w:rPr>
        <w:t>assinatura do TAC.</w:t>
      </w:r>
    </w:p>
    <w:p w:rsidR="00F02C82" w:rsidRDefault="00F02C82" w:rsidP="00815786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pacing w:val="-4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 xml:space="preserve">§5º </w:t>
      </w:r>
      <w:r w:rsidRPr="00296202">
        <w:rPr>
          <w:rFonts w:ascii="Calibri" w:hAnsi="Calibri" w:cs="Calibri"/>
          <w:spacing w:val="-4"/>
          <w:sz w:val="22"/>
          <w:szCs w:val="22"/>
        </w:rPr>
        <w:t xml:space="preserve">O pagamento das multas </w:t>
      </w:r>
      <w:r w:rsidR="009349C4">
        <w:rPr>
          <w:rFonts w:ascii="Calibri" w:hAnsi="Calibri" w:cs="Calibri"/>
          <w:spacing w:val="-4"/>
          <w:sz w:val="22"/>
          <w:szCs w:val="22"/>
        </w:rPr>
        <w:t>aplicadas</w:t>
      </w:r>
      <w:r w:rsidRPr="00296202">
        <w:rPr>
          <w:rFonts w:ascii="Calibri" w:hAnsi="Calibri" w:cs="Calibri"/>
          <w:spacing w:val="-4"/>
          <w:sz w:val="22"/>
          <w:szCs w:val="22"/>
        </w:rPr>
        <w:t xml:space="preserve"> em processos administrativos ainda em curso, bem como as decorrentes de autos de infração lavrados na vigência do TAC, será efetuado no prazo de 30 dias após a intimação </w:t>
      </w:r>
      <w:r w:rsidR="009349C4">
        <w:rPr>
          <w:rFonts w:ascii="Calibri" w:hAnsi="Calibri" w:cs="Calibri"/>
          <w:spacing w:val="-4"/>
          <w:sz w:val="22"/>
          <w:szCs w:val="22"/>
        </w:rPr>
        <w:t xml:space="preserve">da empresa signatária </w:t>
      </w:r>
      <w:r w:rsidRPr="00296202">
        <w:rPr>
          <w:rFonts w:ascii="Calibri" w:hAnsi="Calibri" w:cs="Calibri"/>
          <w:spacing w:val="-4"/>
          <w:sz w:val="22"/>
          <w:szCs w:val="22"/>
        </w:rPr>
        <w:t>da decisão definitiva da ANP</w:t>
      </w:r>
      <w:r w:rsidR="00A451E0">
        <w:rPr>
          <w:rFonts w:ascii="Calibri" w:hAnsi="Calibri" w:cs="Calibri"/>
          <w:spacing w:val="-4"/>
          <w:sz w:val="22"/>
          <w:szCs w:val="22"/>
        </w:rPr>
        <w:t>.</w:t>
      </w:r>
    </w:p>
    <w:p w:rsidR="00A451E0" w:rsidRPr="007B448B" w:rsidRDefault="007B448B" w:rsidP="00815786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 xml:space="preserve">§6º As infrações cujas multas sejam pagas com fundamento </w:t>
      </w:r>
      <w:r>
        <w:rPr>
          <w:rFonts w:ascii="Calibri" w:hAnsi="Calibri" w:cs="Calibri"/>
          <w:i/>
          <w:spacing w:val="-4"/>
          <w:sz w:val="22"/>
          <w:szCs w:val="22"/>
        </w:rPr>
        <w:t>caput</w:t>
      </w:r>
      <w:r>
        <w:rPr>
          <w:rFonts w:ascii="Calibri" w:hAnsi="Calibri" w:cs="Calibri"/>
          <w:spacing w:val="-4"/>
          <w:sz w:val="22"/>
          <w:szCs w:val="22"/>
        </w:rPr>
        <w:t xml:space="preserve"> deste dispositivo</w:t>
      </w:r>
      <w:r w:rsidR="0009424D">
        <w:rPr>
          <w:rFonts w:ascii="Calibri" w:hAnsi="Calibri" w:cs="Calibri"/>
          <w:spacing w:val="-4"/>
          <w:sz w:val="22"/>
          <w:szCs w:val="22"/>
        </w:rPr>
        <w:t>,</w:t>
      </w:r>
      <w:r>
        <w:rPr>
          <w:rFonts w:ascii="Calibri" w:hAnsi="Calibri" w:cs="Calibri"/>
          <w:spacing w:val="-4"/>
          <w:sz w:val="22"/>
          <w:szCs w:val="22"/>
        </w:rPr>
        <w:t xml:space="preserve"> </w:t>
      </w:r>
      <w:r w:rsidR="0009424D">
        <w:rPr>
          <w:rFonts w:ascii="Calibri" w:hAnsi="Calibri" w:cs="Calibri"/>
          <w:spacing w:val="-4"/>
          <w:sz w:val="22"/>
          <w:szCs w:val="22"/>
        </w:rPr>
        <w:t>assim como as infrações cujas multas tenham sido pagas anteriormente à assinatura do TAC,</w:t>
      </w:r>
      <w:r w:rsidR="0009424D">
        <w:rPr>
          <w:rFonts w:ascii="Calibri" w:hAnsi="Calibri" w:cs="Calibri"/>
          <w:sz w:val="22"/>
          <w:szCs w:val="22"/>
        </w:rPr>
        <w:t xml:space="preserve"> não serão consideradas para a verificação de reincidência,</w:t>
      </w:r>
      <w:r w:rsidR="0009424D" w:rsidRPr="00296202">
        <w:rPr>
          <w:rStyle w:val="apple-converted-space"/>
          <w:rFonts w:ascii="Calibri" w:hAnsi="Calibri" w:cs="Calibri"/>
          <w:sz w:val="22"/>
          <w:szCs w:val="22"/>
        </w:rPr>
        <w:t xml:space="preserve"> para fins de aplicação das penalidades que impliquem em interrupção das atividades de fornecimento de GLP, previstas no art. 2º, incisos VI e VIII, da Lei n.º 9.847/99</w:t>
      </w:r>
      <w:r w:rsidR="009349C4">
        <w:rPr>
          <w:rFonts w:ascii="Calibri" w:hAnsi="Calibri" w:cs="Calibri"/>
          <w:spacing w:val="-4"/>
          <w:sz w:val="22"/>
          <w:szCs w:val="22"/>
        </w:rPr>
        <w:t>,</w:t>
      </w:r>
      <w:r>
        <w:rPr>
          <w:rFonts w:ascii="Calibri" w:hAnsi="Calibri" w:cs="Calibri"/>
          <w:spacing w:val="-4"/>
          <w:sz w:val="22"/>
          <w:szCs w:val="22"/>
        </w:rPr>
        <w:t>.</w:t>
      </w:r>
    </w:p>
    <w:p w:rsidR="00F02C82" w:rsidRPr="00296202" w:rsidRDefault="00F02C82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02C82" w:rsidRPr="00224526" w:rsidRDefault="00F02C82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  <w:r w:rsidRPr="00224526">
        <w:rPr>
          <w:rFonts w:ascii="Calibri" w:hAnsi="Calibri" w:cs="Calibri"/>
          <w:b/>
          <w:bCs/>
          <w:sz w:val="22"/>
          <w:szCs w:val="22"/>
        </w:rPr>
        <w:t>Das ações judiciais em curso</w:t>
      </w:r>
    </w:p>
    <w:p w:rsidR="005D1159" w:rsidRPr="00296202" w:rsidRDefault="00F07954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b/>
          <w:bCs/>
          <w:sz w:val="22"/>
          <w:szCs w:val="22"/>
        </w:rPr>
        <w:t>Art. 4</w:t>
      </w:r>
      <w:r w:rsidR="005D1159" w:rsidRPr="00296202">
        <w:rPr>
          <w:rFonts w:ascii="Calibri" w:hAnsi="Calibri" w:cs="Calibri"/>
          <w:b/>
          <w:bCs/>
          <w:sz w:val="22"/>
          <w:szCs w:val="22"/>
        </w:rPr>
        <w:t>º</w:t>
      </w:r>
      <w:r w:rsidR="00422346" w:rsidRPr="00296202">
        <w:rPr>
          <w:rFonts w:ascii="Calibri" w:hAnsi="Calibri" w:cs="Calibri"/>
          <w:b/>
          <w:bCs/>
          <w:sz w:val="22"/>
          <w:szCs w:val="22"/>
        </w:rPr>
        <w:t>.</w:t>
      </w:r>
      <w:r w:rsidR="005D1159" w:rsidRPr="00296202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Havendo processo judicial em curso no qual se questione a validade de multa aplicada pela ANP</w:t>
      </w:r>
      <w:r w:rsidRPr="00296202">
        <w:rPr>
          <w:rFonts w:ascii="Calibri" w:hAnsi="Calibri" w:cs="Calibri"/>
          <w:sz w:val="22"/>
          <w:szCs w:val="22"/>
        </w:rPr>
        <w:t xml:space="preserve">, a empresa </w:t>
      </w:r>
      <w:r w:rsidR="00A10C04" w:rsidRPr="00296202">
        <w:rPr>
          <w:rFonts w:ascii="Calibri" w:hAnsi="Calibri" w:cs="Calibri"/>
          <w:sz w:val="22"/>
          <w:szCs w:val="22"/>
        </w:rPr>
        <w:t>signatária</w:t>
      </w:r>
      <w:r w:rsidRPr="00296202">
        <w:rPr>
          <w:rFonts w:ascii="Calibri" w:hAnsi="Calibri" w:cs="Calibri"/>
          <w:sz w:val="22"/>
          <w:szCs w:val="22"/>
        </w:rPr>
        <w:t xml:space="preserve"> </w:t>
      </w:r>
      <w:r w:rsidR="00984D6C" w:rsidRPr="00296202">
        <w:rPr>
          <w:rStyle w:val="apple-converted-space"/>
          <w:rFonts w:ascii="Calibri" w:hAnsi="Calibri" w:cs="Calibri"/>
          <w:sz w:val="22"/>
          <w:szCs w:val="22"/>
        </w:rPr>
        <w:t>se obriga a apresentar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 petição</w:t>
      </w:r>
      <w:r w:rsidR="00422346" w:rsidRPr="00296202">
        <w:rPr>
          <w:rStyle w:val="apple-converted-space"/>
          <w:rFonts w:ascii="Calibri" w:hAnsi="Calibri" w:cs="Calibri"/>
          <w:sz w:val="22"/>
          <w:szCs w:val="22"/>
        </w:rPr>
        <w:t xml:space="preserve"> em juízo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 renunciando expressamente ao direito sobre o qual se funda a ação, nos termos do art. 269, V, do CPC, autorizando a conversão em renda dos valores depositados em favor da ANP, com a consequente extinção do crédito constituído.</w:t>
      </w:r>
    </w:p>
    <w:p w:rsidR="005D1159" w:rsidRPr="00296202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 xml:space="preserve">§1º </w:t>
      </w:r>
      <w:r w:rsidR="00F07954" w:rsidRPr="00296202">
        <w:rPr>
          <w:rFonts w:ascii="Calibri" w:hAnsi="Calibri" w:cs="Calibri"/>
          <w:sz w:val="22"/>
          <w:szCs w:val="22"/>
        </w:rPr>
        <w:t xml:space="preserve">Não havendo depósito efetuado nos autos do processo judicial em curso, a empresa </w:t>
      </w:r>
      <w:r w:rsidR="00A10C04" w:rsidRPr="00296202">
        <w:rPr>
          <w:rFonts w:ascii="Calibri" w:hAnsi="Calibri" w:cs="Calibri"/>
          <w:sz w:val="22"/>
          <w:szCs w:val="22"/>
        </w:rPr>
        <w:t>signatária</w:t>
      </w:r>
      <w:r w:rsidR="00F07954" w:rsidRPr="00296202">
        <w:rPr>
          <w:rFonts w:ascii="Calibri" w:hAnsi="Calibri" w:cs="Calibri"/>
          <w:sz w:val="22"/>
          <w:szCs w:val="22"/>
        </w:rPr>
        <w:t xml:space="preserve"> </w:t>
      </w:r>
      <w:r w:rsidR="00984D6C" w:rsidRPr="00296202">
        <w:rPr>
          <w:rFonts w:ascii="Calibri" w:hAnsi="Calibri" w:cs="Calibri"/>
          <w:sz w:val="22"/>
          <w:szCs w:val="22"/>
        </w:rPr>
        <w:t>obriga-se a efetuar</w:t>
      </w:r>
      <w:r w:rsidR="00F07954" w:rsidRPr="00296202">
        <w:rPr>
          <w:rFonts w:ascii="Calibri" w:hAnsi="Calibri" w:cs="Calibri"/>
          <w:sz w:val="22"/>
          <w:szCs w:val="22"/>
        </w:rPr>
        <w:t xml:space="preserve"> o pagamento da multa e em seguida </w:t>
      </w:r>
      <w:r w:rsidR="00984D6C" w:rsidRPr="00296202">
        <w:rPr>
          <w:rFonts w:ascii="Calibri" w:hAnsi="Calibri" w:cs="Calibri"/>
          <w:sz w:val="22"/>
          <w:szCs w:val="22"/>
        </w:rPr>
        <w:t xml:space="preserve">a </w:t>
      </w:r>
      <w:r w:rsidR="00F07954" w:rsidRPr="00296202">
        <w:rPr>
          <w:rStyle w:val="apple-converted-space"/>
          <w:rFonts w:ascii="Calibri" w:hAnsi="Calibri" w:cs="Calibri"/>
          <w:sz w:val="22"/>
          <w:szCs w:val="22"/>
        </w:rPr>
        <w:t>apresentar petição renunciando expressamente ao direito sobre o qual se funda a ação, nos termos do art. 269, V, do CPC</w:t>
      </w:r>
      <w:r w:rsidRPr="00296202">
        <w:rPr>
          <w:rFonts w:ascii="Calibri" w:hAnsi="Calibri" w:cs="Calibri"/>
          <w:sz w:val="22"/>
          <w:szCs w:val="22"/>
        </w:rPr>
        <w:t>.</w:t>
      </w:r>
    </w:p>
    <w:p w:rsidR="005D1159" w:rsidRPr="00296202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 xml:space="preserve">§2º </w:t>
      </w:r>
      <w:r w:rsidR="00422346" w:rsidRPr="00296202">
        <w:rPr>
          <w:rFonts w:ascii="Calibri" w:hAnsi="Calibri" w:cs="Calibri"/>
          <w:sz w:val="22"/>
          <w:szCs w:val="22"/>
        </w:rPr>
        <w:t>Nas hipóteses</w:t>
      </w:r>
      <w:r w:rsidR="00F07954" w:rsidRPr="00296202">
        <w:rPr>
          <w:rFonts w:ascii="Calibri" w:hAnsi="Calibri" w:cs="Calibri"/>
          <w:sz w:val="22"/>
          <w:szCs w:val="22"/>
        </w:rPr>
        <w:t xml:space="preserve"> </w:t>
      </w:r>
      <w:r w:rsidR="00931AE5">
        <w:rPr>
          <w:rFonts w:ascii="Calibri" w:hAnsi="Calibri" w:cs="Calibri"/>
          <w:sz w:val="22"/>
          <w:szCs w:val="22"/>
        </w:rPr>
        <w:t xml:space="preserve">descritas no </w:t>
      </w:r>
      <w:r w:rsidR="00931AE5">
        <w:rPr>
          <w:rFonts w:ascii="Calibri" w:hAnsi="Calibri" w:cs="Calibri"/>
          <w:i/>
          <w:sz w:val="22"/>
          <w:szCs w:val="22"/>
        </w:rPr>
        <w:t xml:space="preserve">caput </w:t>
      </w:r>
      <w:r w:rsidR="00931AE5">
        <w:rPr>
          <w:rFonts w:ascii="Calibri" w:hAnsi="Calibri" w:cs="Calibri"/>
          <w:sz w:val="22"/>
          <w:szCs w:val="22"/>
        </w:rPr>
        <w:t>e no §1º deste artigo,</w:t>
      </w:r>
      <w:r w:rsidR="00F07954" w:rsidRPr="00296202">
        <w:rPr>
          <w:rFonts w:ascii="Calibri" w:hAnsi="Calibri" w:cs="Calibri"/>
          <w:sz w:val="22"/>
          <w:szCs w:val="22"/>
        </w:rPr>
        <w:t xml:space="preserve"> </w:t>
      </w:r>
      <w:r w:rsidR="00F07954" w:rsidRPr="00296202">
        <w:rPr>
          <w:rStyle w:val="apple-converted-space"/>
          <w:rFonts w:ascii="Calibri" w:hAnsi="Calibri" w:cs="Calibri"/>
          <w:sz w:val="22"/>
          <w:szCs w:val="22"/>
        </w:rPr>
        <w:t>a ANP</w:t>
      </w:r>
      <w:r w:rsidR="007B448B">
        <w:rPr>
          <w:rStyle w:val="apple-converted-space"/>
          <w:rFonts w:ascii="Calibri" w:hAnsi="Calibri" w:cs="Calibri"/>
          <w:sz w:val="22"/>
          <w:szCs w:val="22"/>
        </w:rPr>
        <w:t xml:space="preserve"> poderá</w:t>
      </w:r>
      <w:r w:rsidR="00F07954" w:rsidRPr="00296202">
        <w:rPr>
          <w:rStyle w:val="apple-converted-space"/>
          <w:rFonts w:ascii="Calibri" w:hAnsi="Calibri" w:cs="Calibri"/>
          <w:sz w:val="22"/>
          <w:szCs w:val="22"/>
        </w:rPr>
        <w:t xml:space="preserve"> assinar conjuntamente</w:t>
      </w:r>
      <w:r w:rsidR="00984D6C" w:rsidRPr="00296202">
        <w:rPr>
          <w:rStyle w:val="apple-converted-space"/>
          <w:rFonts w:ascii="Calibri" w:hAnsi="Calibri" w:cs="Calibri"/>
          <w:sz w:val="22"/>
          <w:szCs w:val="22"/>
        </w:rPr>
        <w:t xml:space="preserve"> a </w:t>
      </w:r>
      <w:r w:rsidR="007B448B">
        <w:rPr>
          <w:rStyle w:val="apple-converted-space"/>
          <w:rFonts w:ascii="Calibri" w:hAnsi="Calibri" w:cs="Calibri"/>
          <w:sz w:val="22"/>
          <w:szCs w:val="22"/>
        </w:rPr>
        <w:t>petição,</w:t>
      </w:r>
      <w:r w:rsidR="00F07954" w:rsidRPr="00296202">
        <w:rPr>
          <w:rStyle w:val="apple-converted-space"/>
          <w:rFonts w:ascii="Calibri" w:hAnsi="Calibri" w:cs="Calibri"/>
          <w:sz w:val="22"/>
          <w:szCs w:val="22"/>
        </w:rPr>
        <w:t xml:space="preserve"> arcando cada parte com os honorários de seus </w:t>
      </w:r>
      <w:r w:rsidR="00422346" w:rsidRPr="00296202">
        <w:rPr>
          <w:rStyle w:val="apple-converted-space"/>
          <w:rFonts w:ascii="Calibri" w:hAnsi="Calibri" w:cs="Calibri"/>
          <w:sz w:val="22"/>
          <w:szCs w:val="22"/>
        </w:rPr>
        <w:t>patronos</w:t>
      </w:r>
      <w:r w:rsidR="00931AE5">
        <w:rPr>
          <w:rStyle w:val="apple-converted-space"/>
          <w:rFonts w:ascii="Calibri" w:hAnsi="Calibri" w:cs="Calibri"/>
          <w:sz w:val="22"/>
          <w:szCs w:val="22"/>
        </w:rPr>
        <w:t>, cabendo à empresa signatária arcar com as demais despesas processuais.</w:t>
      </w:r>
    </w:p>
    <w:p w:rsidR="005D1159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§3º </w:t>
      </w:r>
      <w:r w:rsidR="00F07954" w:rsidRPr="00296202">
        <w:rPr>
          <w:rStyle w:val="apple-converted-space"/>
          <w:rFonts w:ascii="Calibri" w:hAnsi="Calibri" w:cs="Calibri"/>
          <w:sz w:val="22"/>
          <w:szCs w:val="22"/>
        </w:rPr>
        <w:t xml:space="preserve">A empresa </w:t>
      </w:r>
      <w:r w:rsidR="00A10C04" w:rsidRPr="00296202">
        <w:rPr>
          <w:rStyle w:val="apple-converted-space"/>
          <w:rFonts w:ascii="Calibri" w:hAnsi="Calibri" w:cs="Calibri"/>
          <w:sz w:val="22"/>
          <w:szCs w:val="22"/>
        </w:rPr>
        <w:t>signatária</w:t>
      </w:r>
      <w:r w:rsidR="00F07954" w:rsidRPr="00296202">
        <w:rPr>
          <w:rStyle w:val="apple-converted-space"/>
          <w:rFonts w:ascii="Calibri" w:hAnsi="Calibri" w:cs="Calibri"/>
          <w:sz w:val="22"/>
          <w:szCs w:val="22"/>
        </w:rPr>
        <w:t xml:space="preserve"> </w:t>
      </w:r>
      <w:r w:rsidR="00931AE5">
        <w:rPr>
          <w:rStyle w:val="apple-converted-space"/>
          <w:rFonts w:ascii="Calibri" w:hAnsi="Calibri" w:cs="Calibri"/>
          <w:sz w:val="22"/>
          <w:szCs w:val="22"/>
        </w:rPr>
        <w:t>compromete-se</w:t>
      </w:r>
      <w:r w:rsidR="00984D6C" w:rsidRPr="00296202">
        <w:rPr>
          <w:rStyle w:val="apple-converted-space"/>
          <w:rFonts w:ascii="Calibri" w:hAnsi="Calibri" w:cs="Calibri"/>
          <w:sz w:val="22"/>
          <w:szCs w:val="22"/>
        </w:rPr>
        <w:t xml:space="preserve"> a </w:t>
      </w:r>
      <w:r w:rsidR="00F07954" w:rsidRPr="00296202">
        <w:rPr>
          <w:rStyle w:val="apple-converted-space"/>
          <w:rFonts w:ascii="Calibri" w:hAnsi="Calibri" w:cs="Calibri"/>
          <w:sz w:val="22"/>
          <w:szCs w:val="22"/>
        </w:rPr>
        <w:t>não ajuizar novas demandas judiciais questionando a validade dos autos de infração</w:t>
      </w:r>
      <w:r w:rsidR="00422346" w:rsidRPr="00296202">
        <w:rPr>
          <w:rStyle w:val="apple-converted-space"/>
          <w:rFonts w:ascii="Calibri" w:hAnsi="Calibri" w:cs="Calibri"/>
          <w:sz w:val="22"/>
          <w:szCs w:val="22"/>
        </w:rPr>
        <w:t xml:space="preserve"> lavrados pela ANP, senão após</w:t>
      </w:r>
      <w:r w:rsidR="00F07954" w:rsidRPr="00296202">
        <w:rPr>
          <w:rStyle w:val="apple-converted-space"/>
          <w:rFonts w:ascii="Calibri" w:hAnsi="Calibri" w:cs="Calibri"/>
          <w:sz w:val="22"/>
          <w:szCs w:val="22"/>
        </w:rPr>
        <w:t xml:space="preserve"> </w:t>
      </w:r>
      <w:r w:rsidR="00422346" w:rsidRPr="00296202">
        <w:rPr>
          <w:rStyle w:val="apple-converted-space"/>
          <w:rFonts w:ascii="Calibri" w:hAnsi="Calibri" w:cs="Calibri"/>
          <w:sz w:val="22"/>
          <w:szCs w:val="22"/>
        </w:rPr>
        <w:t xml:space="preserve">o </w:t>
      </w:r>
      <w:r w:rsidR="00F07954" w:rsidRPr="00296202">
        <w:rPr>
          <w:rStyle w:val="apple-converted-space"/>
          <w:rFonts w:ascii="Calibri" w:hAnsi="Calibri" w:cs="Calibri"/>
          <w:sz w:val="22"/>
          <w:szCs w:val="22"/>
        </w:rPr>
        <w:t xml:space="preserve">pagamento </w:t>
      </w:r>
      <w:r w:rsidR="00984D6C" w:rsidRPr="00296202">
        <w:rPr>
          <w:rStyle w:val="apple-converted-space"/>
          <w:rFonts w:ascii="Calibri" w:hAnsi="Calibri" w:cs="Calibri"/>
          <w:sz w:val="22"/>
          <w:szCs w:val="22"/>
        </w:rPr>
        <w:t>administrativo da multa aplicada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.</w:t>
      </w:r>
    </w:p>
    <w:p w:rsidR="005A0EB7" w:rsidRDefault="005A0EB7" w:rsidP="005A0EB7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§4º As infrações cujas ações judiciais sejam extintas com fundamento neste dispositivo não serão consideradas para a verificação de reincidência,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 para fins de aplicação das penalidades que impliquem em interrupção das atividades de fornecimento de GLP, previstas no art. 2º, incisos VI e VIII, da Lei n.º 9.847/99</w:t>
      </w:r>
      <w:r>
        <w:rPr>
          <w:rStyle w:val="apple-converted-space"/>
          <w:rFonts w:ascii="Calibri" w:hAnsi="Calibri" w:cs="Calibri"/>
          <w:sz w:val="22"/>
          <w:szCs w:val="22"/>
        </w:rPr>
        <w:t>.</w:t>
      </w:r>
    </w:p>
    <w:p w:rsidR="00487D8D" w:rsidRDefault="00905CD4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>
        <w:rPr>
          <w:rStyle w:val="apple-converted-space"/>
          <w:rFonts w:ascii="Calibri" w:hAnsi="Calibri" w:cs="Calibri"/>
          <w:sz w:val="22"/>
          <w:szCs w:val="22"/>
        </w:rPr>
        <w:t>§</w:t>
      </w:r>
      <w:r w:rsidR="005A0EB7">
        <w:rPr>
          <w:rStyle w:val="apple-converted-space"/>
          <w:rFonts w:ascii="Calibri" w:hAnsi="Calibri" w:cs="Calibri"/>
          <w:sz w:val="22"/>
          <w:szCs w:val="22"/>
        </w:rPr>
        <w:t>5</w:t>
      </w:r>
      <w:r>
        <w:rPr>
          <w:rStyle w:val="apple-converted-space"/>
          <w:rFonts w:ascii="Calibri" w:hAnsi="Calibri" w:cs="Calibri"/>
          <w:sz w:val="22"/>
          <w:szCs w:val="22"/>
        </w:rPr>
        <w:t xml:space="preserve">º. </w:t>
      </w:r>
      <w:r w:rsidR="00487D8D">
        <w:rPr>
          <w:rStyle w:val="apple-converted-space"/>
          <w:rFonts w:ascii="Calibri" w:hAnsi="Calibri" w:cs="Calibri"/>
          <w:sz w:val="22"/>
          <w:szCs w:val="22"/>
        </w:rPr>
        <w:t>A i</w:t>
      </w:r>
      <w:r>
        <w:rPr>
          <w:rStyle w:val="apple-converted-space"/>
          <w:rFonts w:ascii="Calibri" w:hAnsi="Calibri" w:cs="Calibri"/>
          <w:sz w:val="22"/>
          <w:szCs w:val="22"/>
        </w:rPr>
        <w:t xml:space="preserve">nterposição </w:t>
      </w:r>
      <w:r w:rsidR="003F6CFC" w:rsidRPr="00224526">
        <w:rPr>
          <w:rStyle w:val="apple-converted-space"/>
          <w:rFonts w:ascii="Calibri" w:hAnsi="Calibri" w:cs="Calibri"/>
          <w:sz w:val="22"/>
          <w:szCs w:val="22"/>
        </w:rPr>
        <w:t xml:space="preserve">de </w:t>
      </w:r>
      <w:r>
        <w:rPr>
          <w:rStyle w:val="apple-converted-space"/>
          <w:rFonts w:ascii="Calibri" w:hAnsi="Calibri" w:cs="Calibri"/>
          <w:sz w:val="22"/>
          <w:szCs w:val="22"/>
        </w:rPr>
        <w:t>ação anulatória após o pagamento administrativo da multa não implicará em rescisão do TCAC,</w:t>
      </w:r>
      <w:r w:rsidR="00487D8D">
        <w:rPr>
          <w:rStyle w:val="apple-converted-space"/>
          <w:rFonts w:ascii="Calibri" w:hAnsi="Calibri" w:cs="Calibri"/>
          <w:sz w:val="22"/>
          <w:szCs w:val="22"/>
        </w:rPr>
        <w:t xml:space="preserve"> porém julgados improcedentes </w:t>
      </w:r>
      <w:r w:rsidR="005A0EB7">
        <w:rPr>
          <w:rStyle w:val="apple-converted-space"/>
          <w:rFonts w:ascii="Calibri" w:hAnsi="Calibri" w:cs="Calibri"/>
          <w:sz w:val="22"/>
          <w:szCs w:val="22"/>
        </w:rPr>
        <w:t>os pedidos formulados, a infração será considerada para fins de reincidência.</w:t>
      </w:r>
    </w:p>
    <w:p w:rsidR="003A51D4" w:rsidRPr="00224526" w:rsidRDefault="003A51D4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22346" w:rsidRPr="00224526" w:rsidRDefault="00422346" w:rsidP="00422346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  <w:r w:rsidRPr="00224526">
        <w:rPr>
          <w:rFonts w:ascii="Calibri" w:hAnsi="Calibri" w:cs="Calibri"/>
          <w:b/>
          <w:bCs/>
          <w:sz w:val="22"/>
          <w:szCs w:val="22"/>
        </w:rPr>
        <w:t>D</w:t>
      </w:r>
      <w:r w:rsidR="006D1CE6" w:rsidRPr="00224526">
        <w:rPr>
          <w:rFonts w:ascii="Calibri" w:hAnsi="Calibri" w:cs="Calibri"/>
          <w:b/>
          <w:bCs/>
          <w:sz w:val="22"/>
          <w:szCs w:val="22"/>
        </w:rPr>
        <w:t>a confissão</w:t>
      </w:r>
    </w:p>
    <w:p w:rsidR="00296202" w:rsidRDefault="00422346" w:rsidP="00422346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 w:rsidRPr="00296202">
        <w:rPr>
          <w:rStyle w:val="apple-converted-space"/>
          <w:rFonts w:ascii="Calibri" w:hAnsi="Calibri" w:cs="Calibri"/>
          <w:b/>
          <w:sz w:val="22"/>
          <w:szCs w:val="22"/>
        </w:rPr>
        <w:t>Art. 5º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. </w:t>
      </w:r>
      <w:r w:rsidR="00C85DF2">
        <w:rPr>
          <w:rStyle w:val="apple-converted-space"/>
          <w:rFonts w:ascii="Calibri" w:hAnsi="Calibri" w:cs="Calibri"/>
          <w:sz w:val="22"/>
          <w:szCs w:val="22"/>
        </w:rPr>
        <w:t>Nos autos de infração</w:t>
      </w:r>
      <w:r w:rsidR="00296202">
        <w:rPr>
          <w:rStyle w:val="apple-converted-space"/>
          <w:rFonts w:ascii="Calibri" w:hAnsi="Calibri" w:cs="Calibri"/>
          <w:sz w:val="22"/>
          <w:szCs w:val="22"/>
        </w:rPr>
        <w:t xml:space="preserve"> lavrados </w:t>
      </w:r>
      <w:r w:rsidR="00C85DF2">
        <w:rPr>
          <w:rStyle w:val="apple-converted-space"/>
          <w:rFonts w:ascii="Calibri" w:hAnsi="Calibri" w:cs="Calibri"/>
          <w:sz w:val="22"/>
          <w:szCs w:val="22"/>
        </w:rPr>
        <w:t>durante</w:t>
      </w:r>
      <w:r w:rsidR="00296202">
        <w:rPr>
          <w:rStyle w:val="apple-converted-space"/>
          <w:rFonts w:ascii="Calibri" w:hAnsi="Calibri" w:cs="Calibri"/>
          <w:sz w:val="22"/>
          <w:szCs w:val="22"/>
        </w:rPr>
        <w:t xml:space="preserve"> a vigência do TAC, bem como nos processos administrativos ainda em curso</w:t>
      </w:r>
      <w:r w:rsidR="00C85DF2">
        <w:rPr>
          <w:rStyle w:val="apple-converted-space"/>
          <w:rFonts w:ascii="Calibri" w:hAnsi="Calibri" w:cs="Calibri"/>
          <w:sz w:val="22"/>
          <w:szCs w:val="22"/>
        </w:rPr>
        <w:t xml:space="preserve"> para a aplicação de penalidade por infrações cometidas</w:t>
      </w:r>
      <w:r w:rsidR="006D1CE6">
        <w:rPr>
          <w:rStyle w:val="apple-converted-space"/>
          <w:rFonts w:ascii="Calibri" w:hAnsi="Calibri" w:cs="Calibri"/>
          <w:sz w:val="22"/>
          <w:szCs w:val="22"/>
        </w:rPr>
        <w:t>, sem decisão administrativa proferida</w:t>
      </w:r>
      <w:r w:rsidR="00296202">
        <w:rPr>
          <w:rStyle w:val="apple-converted-space"/>
          <w:rFonts w:ascii="Calibri" w:hAnsi="Calibri" w:cs="Calibri"/>
          <w:sz w:val="22"/>
          <w:szCs w:val="22"/>
        </w:rPr>
        <w:t xml:space="preserve">, a empresa signatária poderá </w:t>
      </w:r>
      <w:r w:rsidR="006D1CE6">
        <w:rPr>
          <w:rStyle w:val="apple-converted-space"/>
          <w:rFonts w:ascii="Calibri" w:hAnsi="Calibri" w:cs="Calibri"/>
          <w:sz w:val="22"/>
          <w:szCs w:val="22"/>
        </w:rPr>
        <w:t>confessar</w:t>
      </w:r>
      <w:r w:rsidR="00C85DF2">
        <w:rPr>
          <w:rStyle w:val="apple-converted-space"/>
          <w:rFonts w:ascii="Calibri" w:hAnsi="Calibri" w:cs="Calibri"/>
          <w:sz w:val="22"/>
          <w:szCs w:val="22"/>
        </w:rPr>
        <w:t xml:space="preserve"> o cometimento da infração, </w:t>
      </w:r>
      <w:r w:rsidR="00296202">
        <w:rPr>
          <w:rStyle w:val="apple-converted-space"/>
          <w:rFonts w:ascii="Calibri" w:hAnsi="Calibri" w:cs="Calibri"/>
          <w:sz w:val="22"/>
          <w:szCs w:val="22"/>
        </w:rPr>
        <w:t xml:space="preserve">reconhecendo </w:t>
      </w:r>
      <w:r w:rsidR="00C85DF2">
        <w:rPr>
          <w:rStyle w:val="apple-converted-space"/>
          <w:rFonts w:ascii="Calibri" w:hAnsi="Calibri" w:cs="Calibri"/>
          <w:sz w:val="22"/>
          <w:szCs w:val="22"/>
        </w:rPr>
        <w:t xml:space="preserve">expressamente </w:t>
      </w:r>
      <w:r w:rsidR="00296202">
        <w:rPr>
          <w:rStyle w:val="apple-converted-space"/>
          <w:rFonts w:ascii="Calibri" w:hAnsi="Calibri" w:cs="Calibri"/>
          <w:sz w:val="22"/>
          <w:szCs w:val="22"/>
        </w:rPr>
        <w:t xml:space="preserve">a </w:t>
      </w:r>
      <w:r w:rsidR="00C85DF2">
        <w:rPr>
          <w:rStyle w:val="apple-converted-space"/>
          <w:rFonts w:ascii="Calibri" w:hAnsi="Calibri" w:cs="Calibri"/>
          <w:sz w:val="22"/>
          <w:szCs w:val="22"/>
        </w:rPr>
        <w:t xml:space="preserve">correção </w:t>
      </w:r>
      <w:r w:rsidR="00296202">
        <w:rPr>
          <w:rStyle w:val="apple-converted-space"/>
          <w:rFonts w:ascii="Calibri" w:hAnsi="Calibri" w:cs="Calibri"/>
          <w:sz w:val="22"/>
          <w:szCs w:val="22"/>
        </w:rPr>
        <w:t xml:space="preserve">do auto de infração </w:t>
      </w:r>
      <w:r w:rsidR="00C85DF2">
        <w:rPr>
          <w:rStyle w:val="apple-converted-space"/>
          <w:rFonts w:ascii="Calibri" w:hAnsi="Calibri" w:cs="Calibri"/>
          <w:sz w:val="22"/>
          <w:szCs w:val="22"/>
        </w:rPr>
        <w:t xml:space="preserve">lavrado </w:t>
      </w:r>
      <w:r w:rsidR="00296202">
        <w:rPr>
          <w:rStyle w:val="apple-converted-space"/>
          <w:rFonts w:ascii="Calibri" w:hAnsi="Calibri" w:cs="Calibri"/>
          <w:sz w:val="22"/>
          <w:szCs w:val="22"/>
        </w:rPr>
        <w:t>e solicitando a imediata aplicação da pena</w:t>
      </w:r>
      <w:r w:rsidR="00C85DF2">
        <w:rPr>
          <w:rStyle w:val="apple-converted-space"/>
          <w:rFonts w:ascii="Calibri" w:hAnsi="Calibri" w:cs="Calibri"/>
          <w:sz w:val="22"/>
          <w:szCs w:val="22"/>
        </w:rPr>
        <w:t>lidade</w:t>
      </w:r>
      <w:r w:rsidR="00296202">
        <w:rPr>
          <w:rStyle w:val="apple-converted-space"/>
          <w:rFonts w:ascii="Calibri" w:hAnsi="Calibri" w:cs="Calibri"/>
          <w:sz w:val="22"/>
          <w:szCs w:val="22"/>
        </w:rPr>
        <w:t>, no pra</w:t>
      </w:r>
      <w:r w:rsidR="00C85DF2">
        <w:rPr>
          <w:rStyle w:val="apple-converted-space"/>
          <w:rFonts w:ascii="Calibri" w:hAnsi="Calibri" w:cs="Calibri"/>
          <w:sz w:val="22"/>
          <w:szCs w:val="22"/>
        </w:rPr>
        <w:t>zo para a apresentação da defesa escrita prevista no art. 8º do Decreto nº 2.953/99</w:t>
      </w:r>
      <w:r w:rsidR="00296202">
        <w:rPr>
          <w:rStyle w:val="apple-converted-space"/>
          <w:rFonts w:ascii="Calibri" w:hAnsi="Calibri" w:cs="Calibri"/>
          <w:sz w:val="22"/>
          <w:szCs w:val="22"/>
        </w:rPr>
        <w:t>.</w:t>
      </w:r>
    </w:p>
    <w:p w:rsidR="00296202" w:rsidRDefault="00C85DF2" w:rsidP="00422346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>
        <w:rPr>
          <w:rStyle w:val="apple-converted-space"/>
          <w:rFonts w:ascii="Calibri" w:hAnsi="Calibri" w:cs="Calibri"/>
          <w:sz w:val="22"/>
          <w:szCs w:val="22"/>
        </w:rPr>
        <w:t xml:space="preserve">§1º. Na hipótese prevista no </w:t>
      </w:r>
      <w:r>
        <w:rPr>
          <w:rStyle w:val="apple-converted-space"/>
          <w:rFonts w:ascii="Calibri" w:hAnsi="Calibri" w:cs="Calibri"/>
          <w:i/>
          <w:sz w:val="22"/>
          <w:szCs w:val="22"/>
        </w:rPr>
        <w:t>caput</w:t>
      </w:r>
      <w:r>
        <w:rPr>
          <w:rStyle w:val="apple-converted-space"/>
          <w:rFonts w:ascii="Calibri" w:hAnsi="Calibri" w:cs="Calibri"/>
          <w:sz w:val="22"/>
          <w:szCs w:val="22"/>
        </w:rPr>
        <w:t>, a dosimetria da pena será aplicada em seu patamar mínimo, agrava</w:t>
      </w:r>
      <w:r w:rsidR="009349C4">
        <w:rPr>
          <w:rStyle w:val="apple-converted-space"/>
          <w:rFonts w:ascii="Calibri" w:hAnsi="Calibri" w:cs="Calibri"/>
          <w:sz w:val="22"/>
          <w:szCs w:val="22"/>
        </w:rPr>
        <w:t>da</w:t>
      </w:r>
      <w:r>
        <w:rPr>
          <w:rStyle w:val="apple-converted-space"/>
          <w:rFonts w:ascii="Calibri" w:hAnsi="Calibri" w:cs="Calibri"/>
          <w:sz w:val="22"/>
          <w:szCs w:val="22"/>
        </w:rPr>
        <w:t xml:space="preserve"> em 80%, já consideradas as circunstâncias estabelecidas </w:t>
      </w:r>
      <w:r w:rsidR="00045F1B">
        <w:rPr>
          <w:rStyle w:val="apple-converted-space"/>
          <w:rFonts w:ascii="Calibri" w:hAnsi="Calibri" w:cs="Calibri"/>
          <w:sz w:val="22"/>
          <w:szCs w:val="22"/>
        </w:rPr>
        <w:t>no art. 25 do Decreto nº 2.953/99</w:t>
      </w:r>
      <w:r>
        <w:rPr>
          <w:rStyle w:val="apple-converted-space"/>
          <w:rFonts w:ascii="Calibri" w:hAnsi="Calibri" w:cs="Calibri"/>
          <w:sz w:val="22"/>
          <w:szCs w:val="22"/>
        </w:rPr>
        <w:t xml:space="preserve">, em decisão da qual será intimada a empresa </w:t>
      </w:r>
      <w:r w:rsidR="009349C4">
        <w:rPr>
          <w:rStyle w:val="apple-converted-space"/>
          <w:rFonts w:ascii="Calibri" w:hAnsi="Calibri" w:cs="Calibri"/>
          <w:sz w:val="22"/>
          <w:szCs w:val="22"/>
        </w:rPr>
        <w:t xml:space="preserve">signatária </w:t>
      </w:r>
      <w:r>
        <w:rPr>
          <w:rStyle w:val="apple-converted-space"/>
          <w:rFonts w:ascii="Calibri" w:hAnsi="Calibri" w:cs="Calibri"/>
          <w:sz w:val="22"/>
          <w:szCs w:val="22"/>
        </w:rPr>
        <w:t>para pagamento do valor determinado</w:t>
      </w:r>
      <w:r w:rsidR="009349C4">
        <w:rPr>
          <w:rStyle w:val="apple-converted-space"/>
          <w:rFonts w:ascii="Calibri" w:hAnsi="Calibri" w:cs="Calibri"/>
          <w:sz w:val="22"/>
          <w:szCs w:val="22"/>
        </w:rPr>
        <w:t>,</w:t>
      </w:r>
      <w:r>
        <w:rPr>
          <w:rStyle w:val="apple-converted-space"/>
          <w:rFonts w:ascii="Calibri" w:hAnsi="Calibri" w:cs="Calibri"/>
          <w:sz w:val="22"/>
          <w:szCs w:val="22"/>
        </w:rPr>
        <w:t xml:space="preserve"> no prazo de </w:t>
      </w:r>
      <w:r w:rsidR="009349C4">
        <w:rPr>
          <w:rStyle w:val="apple-converted-space"/>
          <w:rFonts w:ascii="Calibri" w:hAnsi="Calibri" w:cs="Calibri"/>
          <w:sz w:val="22"/>
          <w:szCs w:val="22"/>
        </w:rPr>
        <w:t>10</w:t>
      </w:r>
      <w:r>
        <w:rPr>
          <w:rStyle w:val="apple-converted-space"/>
          <w:rFonts w:ascii="Calibri" w:hAnsi="Calibri" w:cs="Calibri"/>
          <w:sz w:val="22"/>
          <w:szCs w:val="22"/>
        </w:rPr>
        <w:t xml:space="preserve"> dias.</w:t>
      </w:r>
    </w:p>
    <w:p w:rsidR="00984D6C" w:rsidRDefault="00045F1B" w:rsidP="00422346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>
        <w:rPr>
          <w:rStyle w:val="apple-converted-space"/>
          <w:rFonts w:ascii="Calibri" w:hAnsi="Calibri" w:cs="Calibri"/>
          <w:sz w:val="22"/>
          <w:szCs w:val="22"/>
        </w:rPr>
        <w:t xml:space="preserve">§2º. Efetuado o pagamento da multa no prazo estabelecido no §1º deste dispositivo, </w:t>
      </w:r>
      <w:r w:rsidR="00F02C82" w:rsidRPr="00296202">
        <w:rPr>
          <w:rStyle w:val="apple-converted-space"/>
          <w:rFonts w:ascii="Calibri" w:hAnsi="Calibri" w:cs="Calibri"/>
          <w:sz w:val="22"/>
          <w:szCs w:val="22"/>
        </w:rPr>
        <w:t>ficarão suspensos</w:t>
      </w:r>
      <w:r w:rsidR="00984D6C" w:rsidRPr="00296202">
        <w:rPr>
          <w:rStyle w:val="apple-converted-space"/>
          <w:rFonts w:ascii="Calibri" w:hAnsi="Calibri" w:cs="Calibri"/>
          <w:sz w:val="22"/>
          <w:szCs w:val="22"/>
        </w:rPr>
        <w:t xml:space="preserve">, com relação </w:t>
      </w:r>
      <w:r>
        <w:rPr>
          <w:rStyle w:val="apple-converted-space"/>
          <w:rFonts w:ascii="Calibri" w:hAnsi="Calibri" w:cs="Calibri"/>
          <w:sz w:val="22"/>
          <w:szCs w:val="22"/>
        </w:rPr>
        <w:t>à infração objeto da confissão</w:t>
      </w:r>
      <w:r w:rsidR="00984D6C" w:rsidRPr="00296202">
        <w:rPr>
          <w:rStyle w:val="apple-converted-space"/>
          <w:rFonts w:ascii="Calibri" w:hAnsi="Calibri" w:cs="Calibri"/>
          <w:sz w:val="22"/>
          <w:szCs w:val="22"/>
        </w:rPr>
        <w:t>, os efeitos práticos da reincidência</w:t>
      </w:r>
      <w:r>
        <w:rPr>
          <w:rStyle w:val="apple-converted-space"/>
          <w:rFonts w:ascii="Calibri" w:hAnsi="Calibri" w:cs="Calibri"/>
          <w:sz w:val="22"/>
          <w:szCs w:val="22"/>
        </w:rPr>
        <w:t>,</w:t>
      </w:r>
      <w:r w:rsidR="00984D6C" w:rsidRPr="00296202">
        <w:rPr>
          <w:rStyle w:val="apple-converted-space"/>
          <w:rFonts w:ascii="Calibri" w:hAnsi="Calibri" w:cs="Calibri"/>
          <w:sz w:val="22"/>
          <w:szCs w:val="22"/>
        </w:rPr>
        <w:t xml:space="preserve"> para fins de aplicação das penalidades que impliquem em interrupção das atividades de fornecimento de GLP, previstas no art. 2º, incisos</w:t>
      </w:r>
      <w:r w:rsidR="00F02C82" w:rsidRPr="00296202">
        <w:rPr>
          <w:rStyle w:val="apple-converted-space"/>
          <w:rFonts w:ascii="Calibri" w:hAnsi="Calibri" w:cs="Calibri"/>
          <w:sz w:val="22"/>
          <w:szCs w:val="22"/>
        </w:rPr>
        <w:t xml:space="preserve"> VI e VIII, da Lei n.º 9.847/99</w:t>
      </w:r>
      <w:r w:rsidR="00984D6C" w:rsidRPr="00296202">
        <w:rPr>
          <w:rStyle w:val="apple-converted-space"/>
          <w:rFonts w:ascii="Calibri" w:hAnsi="Calibri" w:cs="Calibri"/>
          <w:sz w:val="22"/>
          <w:szCs w:val="22"/>
        </w:rPr>
        <w:t>.</w:t>
      </w:r>
    </w:p>
    <w:p w:rsidR="00045F1B" w:rsidRDefault="00045F1B" w:rsidP="00387864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>
        <w:rPr>
          <w:rStyle w:val="apple-converted-space"/>
          <w:rFonts w:ascii="Calibri" w:hAnsi="Calibri" w:cs="Calibri"/>
          <w:sz w:val="22"/>
          <w:szCs w:val="22"/>
        </w:rPr>
        <w:t>§3º.</w:t>
      </w:r>
      <w:r w:rsidR="00387864">
        <w:rPr>
          <w:rStyle w:val="apple-converted-space"/>
          <w:rFonts w:ascii="Calibri" w:hAnsi="Calibri" w:cs="Calibri"/>
          <w:sz w:val="22"/>
          <w:szCs w:val="22"/>
        </w:rPr>
        <w:t xml:space="preserve"> </w:t>
      </w:r>
      <w:r>
        <w:rPr>
          <w:rStyle w:val="apple-converted-space"/>
          <w:rFonts w:ascii="Calibri" w:hAnsi="Calibri" w:cs="Calibri"/>
          <w:sz w:val="22"/>
          <w:szCs w:val="22"/>
        </w:rPr>
        <w:t>Caso a empresa signatária opte por apresentar defesa no processo administrativo para a apuração de infrações, seguindo o rito estabelecido no Decreto nº 2.953/99, na hipótese de não acolhimento da defesa apresentada, julgando-se subsistente penalidade aplicada, a infração cometida será considerada para efeitos de verificação da reincidência</w:t>
      </w:r>
      <w:r w:rsidR="00C9240F">
        <w:rPr>
          <w:rStyle w:val="apple-converted-space"/>
          <w:rFonts w:ascii="Calibri" w:hAnsi="Calibri" w:cs="Calibri"/>
          <w:sz w:val="22"/>
          <w:szCs w:val="22"/>
        </w:rPr>
        <w:t xml:space="preserve">, salvo se a empresa signatária efetuar o pagamento da multa no prazo de 10 dias a </w:t>
      </w:r>
      <w:r w:rsidR="00281A4E">
        <w:rPr>
          <w:rStyle w:val="apple-converted-space"/>
          <w:rFonts w:ascii="Calibri" w:hAnsi="Calibri" w:cs="Calibri"/>
          <w:sz w:val="22"/>
          <w:szCs w:val="22"/>
        </w:rPr>
        <w:t>contar</w:t>
      </w:r>
      <w:r w:rsidR="00C9240F">
        <w:rPr>
          <w:rStyle w:val="apple-converted-space"/>
          <w:rFonts w:ascii="Calibri" w:hAnsi="Calibri" w:cs="Calibri"/>
          <w:sz w:val="22"/>
          <w:szCs w:val="22"/>
        </w:rPr>
        <w:t xml:space="preserve"> da intimação da decisão administrativa definitiva.</w:t>
      </w:r>
    </w:p>
    <w:p w:rsidR="005A0EB7" w:rsidRDefault="005A0EB7" w:rsidP="001C7CB0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09424D" w:rsidRDefault="0009424D" w:rsidP="001C7CB0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09424D" w:rsidRDefault="0009424D" w:rsidP="001C7CB0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color w:val="1F497D"/>
          <w:sz w:val="22"/>
          <w:szCs w:val="22"/>
        </w:rPr>
      </w:pPr>
    </w:p>
    <w:p w:rsidR="001C7CB0" w:rsidRPr="00224526" w:rsidRDefault="001C7CB0" w:rsidP="001C7CB0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  <w:r w:rsidRPr="00224526">
        <w:rPr>
          <w:rFonts w:ascii="Calibri" w:hAnsi="Calibri" w:cs="Calibri"/>
          <w:b/>
          <w:bCs/>
          <w:sz w:val="22"/>
          <w:szCs w:val="22"/>
        </w:rPr>
        <w:lastRenderedPageBreak/>
        <w:t>Da fiscalização e da extinção do compromisso de ajustamento de conduta</w:t>
      </w:r>
    </w:p>
    <w:p w:rsidR="001C7CB0" w:rsidRPr="00296202" w:rsidRDefault="001C7CB0" w:rsidP="001C7CB0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 w:rsidRPr="00296202">
        <w:rPr>
          <w:rStyle w:val="apple-converted-space"/>
          <w:rFonts w:ascii="Calibri" w:hAnsi="Calibri" w:cs="Calibri"/>
          <w:b/>
          <w:sz w:val="22"/>
          <w:szCs w:val="22"/>
        </w:rPr>
        <w:t>Art. 6º.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 A fiscalização do cumprimento das obrigações assumidas no termo de ajustamento de conduta </w:t>
      </w:r>
      <w:r w:rsidRPr="00224526">
        <w:rPr>
          <w:rStyle w:val="apple-converted-space"/>
          <w:rFonts w:ascii="Calibri" w:hAnsi="Calibri" w:cs="Calibri"/>
          <w:sz w:val="22"/>
          <w:szCs w:val="22"/>
        </w:rPr>
        <w:t xml:space="preserve">caberá </w:t>
      </w:r>
      <w:r w:rsidR="00712C84" w:rsidRPr="00224526">
        <w:rPr>
          <w:rStyle w:val="apple-converted-space"/>
          <w:rFonts w:ascii="Calibri" w:hAnsi="Calibri" w:cs="Calibri"/>
          <w:sz w:val="22"/>
          <w:szCs w:val="22"/>
        </w:rPr>
        <w:t>às áreas internas</w:t>
      </w:r>
      <w:r w:rsidRPr="00224526">
        <w:rPr>
          <w:rStyle w:val="apple-converted-space"/>
          <w:rFonts w:ascii="Calibri" w:hAnsi="Calibri" w:cs="Calibri"/>
          <w:sz w:val="22"/>
          <w:szCs w:val="22"/>
        </w:rPr>
        <w:t xml:space="preserve"> da ANP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, observadas suas competências regimentais. </w:t>
      </w:r>
    </w:p>
    <w:p w:rsidR="001C7CB0" w:rsidRDefault="001C7CB0" w:rsidP="001C7CB0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 w:rsidRPr="00296202">
        <w:rPr>
          <w:rStyle w:val="apple-converted-space"/>
          <w:rFonts w:ascii="Calibri" w:hAnsi="Calibri" w:cs="Calibri"/>
          <w:b/>
          <w:sz w:val="22"/>
          <w:szCs w:val="22"/>
        </w:rPr>
        <w:t>Art. 7º.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 O descumprimento de quaisquer das obrigações </w:t>
      </w:r>
      <w:r w:rsidR="00D307A8" w:rsidRPr="00296202">
        <w:rPr>
          <w:rStyle w:val="apple-converted-space"/>
          <w:rFonts w:ascii="Calibri" w:hAnsi="Calibri" w:cs="Calibri"/>
          <w:sz w:val="22"/>
          <w:szCs w:val="22"/>
        </w:rPr>
        <w:t>assumidas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 constitui condição resolutiva</w:t>
      </w:r>
      <w:r w:rsidR="00D307A8" w:rsidRPr="00296202">
        <w:rPr>
          <w:rStyle w:val="apple-converted-space"/>
          <w:rFonts w:ascii="Calibri" w:hAnsi="Calibri" w:cs="Calibri"/>
          <w:sz w:val="22"/>
          <w:szCs w:val="22"/>
        </w:rPr>
        <w:t xml:space="preserve"> do ajuste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, a ser reconhecida pela Diretoria Colegiada</w:t>
      </w:r>
      <w:r w:rsidR="00D307A8" w:rsidRPr="00296202">
        <w:rPr>
          <w:rStyle w:val="apple-converted-space"/>
          <w:rFonts w:ascii="Calibri" w:hAnsi="Calibri" w:cs="Calibri"/>
          <w:sz w:val="22"/>
          <w:szCs w:val="22"/>
        </w:rPr>
        <w:t xml:space="preserve"> da ANP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, após notificação para manifestação da </w:t>
      </w:r>
      <w:r w:rsidR="00D307A8" w:rsidRPr="00296202">
        <w:rPr>
          <w:rStyle w:val="apple-converted-space"/>
          <w:rFonts w:ascii="Calibri" w:hAnsi="Calibri" w:cs="Calibri"/>
          <w:sz w:val="22"/>
          <w:szCs w:val="22"/>
        </w:rPr>
        <w:t>empresa signatária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 no prazo de 15 dias</w:t>
      </w:r>
      <w:r w:rsidR="006D1CE6">
        <w:rPr>
          <w:rStyle w:val="apple-converted-space"/>
          <w:rFonts w:ascii="Calibri" w:hAnsi="Calibri" w:cs="Calibri"/>
          <w:sz w:val="22"/>
          <w:szCs w:val="22"/>
        </w:rPr>
        <w:t>, nos autos do processo administrativo em que firmado o TAC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.</w:t>
      </w:r>
    </w:p>
    <w:p w:rsidR="003E6DA6" w:rsidRPr="00296202" w:rsidRDefault="003E6DA6" w:rsidP="001C7CB0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>
        <w:rPr>
          <w:rStyle w:val="apple-converted-space"/>
          <w:rFonts w:ascii="Calibri" w:hAnsi="Calibri" w:cs="Calibri"/>
          <w:sz w:val="22"/>
          <w:szCs w:val="22"/>
        </w:rPr>
        <w:t>Parágrafo Único. A Diretoria Colegiada da ANP poderá conceder prazo para o cumprimento das obrigações violadas, a fim de manter a vigência do TAC.</w:t>
      </w:r>
    </w:p>
    <w:p w:rsidR="001C7CB0" w:rsidRPr="00296202" w:rsidRDefault="00D307A8" w:rsidP="001C7CB0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 w:rsidRPr="00296202">
        <w:rPr>
          <w:rStyle w:val="apple-converted-space"/>
          <w:rFonts w:ascii="Calibri" w:hAnsi="Calibri" w:cs="Calibri"/>
          <w:b/>
          <w:sz w:val="22"/>
          <w:szCs w:val="22"/>
        </w:rPr>
        <w:t xml:space="preserve">Art. 8º. </w:t>
      </w:r>
      <w:r w:rsidR="001C7CB0" w:rsidRPr="00296202">
        <w:rPr>
          <w:rStyle w:val="apple-converted-space"/>
          <w:rFonts w:ascii="Calibri" w:hAnsi="Calibri" w:cs="Calibri"/>
          <w:sz w:val="22"/>
          <w:szCs w:val="22"/>
        </w:rPr>
        <w:t xml:space="preserve">As obrigações 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assumidas no TAC</w:t>
      </w:r>
      <w:r w:rsidR="001C7CB0" w:rsidRPr="00296202">
        <w:rPr>
          <w:rStyle w:val="apple-converted-space"/>
          <w:rFonts w:ascii="Calibri" w:hAnsi="Calibri" w:cs="Calibri"/>
          <w:sz w:val="22"/>
          <w:szCs w:val="22"/>
        </w:rPr>
        <w:t xml:space="preserve"> serão extintas com a declaração da Diretoria Colegiada 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da ANP </w:t>
      </w:r>
      <w:r w:rsidR="001C7CB0" w:rsidRPr="00296202">
        <w:rPr>
          <w:rStyle w:val="apple-converted-space"/>
          <w:rFonts w:ascii="Calibri" w:hAnsi="Calibri" w:cs="Calibri"/>
          <w:sz w:val="22"/>
          <w:szCs w:val="22"/>
        </w:rPr>
        <w:t>reconhecendo seu cumprimento integral.</w:t>
      </w:r>
    </w:p>
    <w:p w:rsidR="001C7CB0" w:rsidRPr="00296202" w:rsidRDefault="00D307A8" w:rsidP="001C7CB0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 w:rsidRPr="00296202">
        <w:rPr>
          <w:rStyle w:val="apple-converted-space"/>
          <w:rFonts w:ascii="Calibri" w:hAnsi="Calibri" w:cs="Calibri"/>
          <w:b/>
          <w:sz w:val="22"/>
          <w:szCs w:val="22"/>
        </w:rPr>
        <w:t xml:space="preserve">Art. 9º 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O</w:t>
      </w:r>
      <w:r w:rsidR="001C7CB0" w:rsidRPr="00296202">
        <w:rPr>
          <w:rStyle w:val="apple-converted-space"/>
          <w:rFonts w:ascii="Calibri" w:hAnsi="Calibri" w:cs="Calibri"/>
          <w:sz w:val="22"/>
          <w:szCs w:val="22"/>
        </w:rPr>
        <w:t xml:space="preserve"> descumprimento das obrigações 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assumidas no TAC</w:t>
      </w:r>
      <w:r w:rsidR="001C7CB0" w:rsidRPr="00296202">
        <w:rPr>
          <w:rStyle w:val="apple-converted-space"/>
          <w:rFonts w:ascii="Calibri" w:hAnsi="Calibri" w:cs="Calibri"/>
          <w:sz w:val="22"/>
          <w:szCs w:val="22"/>
        </w:rPr>
        <w:t>,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 </w:t>
      </w:r>
      <w:r w:rsidR="001C7CB0" w:rsidRPr="00296202">
        <w:rPr>
          <w:rStyle w:val="apple-converted-space"/>
          <w:rFonts w:ascii="Calibri" w:hAnsi="Calibri" w:cs="Calibri"/>
          <w:sz w:val="22"/>
          <w:szCs w:val="22"/>
        </w:rPr>
        <w:t xml:space="preserve">reconhecido pela Diretoria Colegiada da ANP, 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sujeitará a empresa signatária ao</w:t>
      </w:r>
      <w:r w:rsidR="001C7CB0" w:rsidRPr="00296202">
        <w:rPr>
          <w:rStyle w:val="apple-converted-space"/>
          <w:rFonts w:ascii="Calibri" w:hAnsi="Calibri" w:cs="Calibri"/>
          <w:sz w:val="22"/>
          <w:szCs w:val="22"/>
        </w:rPr>
        <w:t xml:space="preserve"> pagamento de multa no valor de R$1.000.000,00 (um milhão de reais), servindo o 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Termo de Ajustamento de Conduta como título executivo extrajudicial.</w:t>
      </w:r>
    </w:p>
    <w:p w:rsidR="00A10C04" w:rsidRPr="00296202" w:rsidRDefault="00A10C04" w:rsidP="001C7CB0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</w:p>
    <w:p w:rsidR="005D1159" w:rsidRPr="00224526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b/>
          <w:bCs/>
          <w:sz w:val="22"/>
          <w:szCs w:val="22"/>
        </w:rPr>
      </w:pPr>
      <w:r w:rsidRPr="00224526">
        <w:rPr>
          <w:rFonts w:ascii="Calibri" w:hAnsi="Calibri" w:cs="Calibri"/>
          <w:b/>
          <w:bCs/>
          <w:sz w:val="22"/>
          <w:szCs w:val="22"/>
        </w:rPr>
        <w:t>Das Disposições Finais</w:t>
      </w:r>
    </w:p>
    <w:p w:rsidR="005D1159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b/>
          <w:bCs/>
          <w:sz w:val="22"/>
          <w:szCs w:val="22"/>
        </w:rPr>
        <w:t xml:space="preserve">Art. </w:t>
      </w:r>
      <w:r w:rsidR="00A10C04" w:rsidRPr="00296202">
        <w:rPr>
          <w:rFonts w:ascii="Calibri" w:hAnsi="Calibri" w:cs="Calibri"/>
          <w:b/>
          <w:bCs/>
          <w:sz w:val="22"/>
          <w:szCs w:val="22"/>
        </w:rPr>
        <w:t>10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 </w:t>
      </w:r>
      <w:r w:rsidR="00A10C04" w:rsidRPr="00296202">
        <w:rPr>
          <w:rFonts w:ascii="Calibri" w:hAnsi="Calibri" w:cs="Calibri"/>
          <w:spacing w:val="-4"/>
          <w:sz w:val="22"/>
          <w:szCs w:val="22"/>
        </w:rPr>
        <w:t>Os compromissos assumidos no termo de ajustamento de conduta não constituem impedimento à continuidade e regularidade das ações de fiscalização da ANP, nem à lavratura dos autos de infração em caso de violação das normas vigentes</w:t>
      </w:r>
      <w:r w:rsidRPr="00296202">
        <w:rPr>
          <w:rFonts w:ascii="Calibri" w:hAnsi="Calibri" w:cs="Calibri"/>
          <w:sz w:val="22"/>
          <w:szCs w:val="22"/>
        </w:rPr>
        <w:t>.</w:t>
      </w:r>
    </w:p>
    <w:p w:rsidR="007B448B" w:rsidRDefault="007B448B" w:rsidP="007B448B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 w:rsidRPr="007B448B">
        <w:rPr>
          <w:rFonts w:ascii="Calibri" w:hAnsi="Calibri" w:cs="Calibri"/>
          <w:b/>
          <w:sz w:val="22"/>
          <w:szCs w:val="22"/>
        </w:rPr>
        <w:t>Art. 11.</w:t>
      </w:r>
      <w:r>
        <w:rPr>
          <w:rFonts w:ascii="Calibri" w:hAnsi="Calibri" w:cs="Calibri"/>
          <w:sz w:val="22"/>
          <w:szCs w:val="22"/>
        </w:rPr>
        <w:t xml:space="preserve"> 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 xml:space="preserve">Rescindido o TAC </w:t>
      </w:r>
      <w:r w:rsidR="00196247" w:rsidRPr="005A0EB7">
        <w:rPr>
          <w:rStyle w:val="apple-converted-space"/>
          <w:rFonts w:ascii="Calibri" w:hAnsi="Calibri" w:cs="Calibri"/>
          <w:sz w:val="22"/>
          <w:szCs w:val="22"/>
        </w:rPr>
        <w:t>por culpa da empresa signatária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, serão revigorados os efeitos da reincidência relativos às multas já aplicadas</w:t>
      </w:r>
      <w:r>
        <w:rPr>
          <w:rStyle w:val="apple-converted-space"/>
          <w:rFonts w:ascii="Calibri" w:hAnsi="Calibri" w:cs="Calibri"/>
          <w:sz w:val="22"/>
          <w:szCs w:val="22"/>
        </w:rPr>
        <w:t>, observados os limites temporais estabeleci</w:t>
      </w:r>
      <w:r w:rsidR="003E6DA6">
        <w:rPr>
          <w:rStyle w:val="apple-converted-space"/>
          <w:rFonts w:ascii="Calibri" w:hAnsi="Calibri" w:cs="Calibri"/>
          <w:sz w:val="22"/>
          <w:szCs w:val="22"/>
        </w:rPr>
        <w:t xml:space="preserve">dos pela Resolução ANP nº 08/2012 ou por norma que </w:t>
      </w:r>
      <w:r w:rsidR="007D1EA9">
        <w:rPr>
          <w:rStyle w:val="apple-converted-space"/>
          <w:rFonts w:ascii="Calibri" w:hAnsi="Calibri" w:cs="Calibri"/>
          <w:sz w:val="22"/>
          <w:szCs w:val="22"/>
        </w:rPr>
        <w:t>a</w:t>
      </w:r>
      <w:r w:rsidR="003E6DA6">
        <w:rPr>
          <w:rStyle w:val="apple-converted-space"/>
          <w:rFonts w:ascii="Calibri" w:hAnsi="Calibri" w:cs="Calibri"/>
          <w:sz w:val="22"/>
          <w:szCs w:val="22"/>
        </w:rPr>
        <w:t xml:space="preserve"> substituir.</w:t>
      </w:r>
    </w:p>
    <w:p w:rsidR="007D1EA9" w:rsidRPr="00296202" w:rsidRDefault="007D1EA9" w:rsidP="007B448B">
      <w:pPr>
        <w:pStyle w:val="texto"/>
        <w:spacing w:before="120" w:beforeAutospacing="0" w:after="120" w:afterAutospacing="0" w:line="360" w:lineRule="auto"/>
        <w:ind w:firstLine="567"/>
        <w:jc w:val="both"/>
        <w:rPr>
          <w:rStyle w:val="apple-converted-space"/>
          <w:rFonts w:ascii="Calibri" w:hAnsi="Calibri" w:cs="Calibri"/>
          <w:sz w:val="22"/>
          <w:szCs w:val="22"/>
        </w:rPr>
      </w:pPr>
      <w:r>
        <w:rPr>
          <w:rStyle w:val="apple-converted-space"/>
          <w:rFonts w:ascii="Calibri" w:hAnsi="Calibri" w:cs="Calibri"/>
          <w:sz w:val="22"/>
          <w:szCs w:val="22"/>
        </w:rPr>
        <w:t xml:space="preserve">Parágrafo único. </w:t>
      </w:r>
      <w:r w:rsidR="00F57408">
        <w:rPr>
          <w:rStyle w:val="apple-converted-space"/>
          <w:rFonts w:ascii="Calibri" w:hAnsi="Calibri" w:cs="Calibri"/>
          <w:sz w:val="22"/>
          <w:szCs w:val="22"/>
        </w:rPr>
        <w:t xml:space="preserve">A violação das obrigações </w:t>
      </w:r>
      <w:r w:rsidR="005C7C0A">
        <w:rPr>
          <w:rStyle w:val="apple-converted-space"/>
          <w:rFonts w:ascii="Calibri" w:hAnsi="Calibri" w:cs="Calibri"/>
          <w:sz w:val="22"/>
          <w:szCs w:val="22"/>
        </w:rPr>
        <w:t>de informações ao consumidor</w:t>
      </w:r>
      <w:r w:rsidR="00412DA1">
        <w:rPr>
          <w:rStyle w:val="apple-converted-space"/>
          <w:rFonts w:ascii="Calibri" w:hAnsi="Calibri" w:cs="Calibri"/>
          <w:sz w:val="22"/>
          <w:szCs w:val="22"/>
        </w:rPr>
        <w:t>, previstas no item 2.2 do Termo, implicará</w:t>
      </w:r>
      <w:r w:rsidR="005C7C0A">
        <w:rPr>
          <w:rStyle w:val="apple-converted-space"/>
          <w:rFonts w:ascii="Calibri" w:hAnsi="Calibri" w:cs="Calibri"/>
          <w:sz w:val="22"/>
          <w:szCs w:val="22"/>
        </w:rPr>
        <w:t xml:space="preserve"> na rescisão do TAC, porém não revigorará os efeitos da reincidência relativos às infrações cujas multas tenham sido pagas durante a sua</w:t>
      </w:r>
      <w:r w:rsidR="004D40B4">
        <w:rPr>
          <w:rStyle w:val="apple-converted-space"/>
          <w:rFonts w:ascii="Calibri" w:hAnsi="Calibri" w:cs="Calibri"/>
          <w:sz w:val="22"/>
          <w:szCs w:val="22"/>
        </w:rPr>
        <w:t xml:space="preserve"> vigência</w:t>
      </w:r>
      <w:r w:rsidR="005C7C0A">
        <w:rPr>
          <w:rStyle w:val="apple-converted-space"/>
          <w:rFonts w:ascii="Calibri" w:hAnsi="Calibri" w:cs="Calibri"/>
          <w:sz w:val="22"/>
          <w:szCs w:val="22"/>
        </w:rPr>
        <w:t>.</w:t>
      </w:r>
    </w:p>
    <w:p w:rsidR="005D1159" w:rsidRPr="00296202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b/>
          <w:bCs/>
          <w:sz w:val="22"/>
          <w:szCs w:val="22"/>
        </w:rPr>
        <w:t>Art. 1</w:t>
      </w:r>
      <w:r w:rsidR="007B448B">
        <w:rPr>
          <w:rFonts w:ascii="Calibri" w:hAnsi="Calibri" w:cs="Calibri"/>
          <w:b/>
          <w:bCs/>
          <w:sz w:val="22"/>
          <w:szCs w:val="22"/>
        </w:rPr>
        <w:t>2</w:t>
      </w:r>
      <w:r w:rsidRPr="00296202">
        <w:rPr>
          <w:rFonts w:ascii="Calibri" w:hAnsi="Calibri" w:cs="Calibri"/>
          <w:b/>
          <w:bCs/>
          <w:sz w:val="22"/>
          <w:szCs w:val="22"/>
        </w:rPr>
        <w:t>.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 </w:t>
      </w:r>
      <w:r w:rsidR="00A10C04" w:rsidRPr="00296202">
        <w:rPr>
          <w:rFonts w:ascii="Calibri" w:hAnsi="Calibri" w:cs="Calibri"/>
          <w:sz w:val="22"/>
          <w:szCs w:val="22"/>
        </w:rPr>
        <w:t>Fica aprovada a minuta do Termo de Ajustamento de Conduta que segue como anexo a esta Resolução.</w:t>
      </w:r>
    </w:p>
    <w:p w:rsidR="005D1159" w:rsidRPr="00296202" w:rsidRDefault="005D1159" w:rsidP="003B4889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b/>
          <w:bCs/>
          <w:sz w:val="22"/>
          <w:szCs w:val="22"/>
        </w:rPr>
        <w:t>Art. 1</w:t>
      </w:r>
      <w:r w:rsidR="007B448B">
        <w:rPr>
          <w:rFonts w:ascii="Calibri" w:hAnsi="Calibri" w:cs="Calibri"/>
          <w:b/>
          <w:bCs/>
          <w:sz w:val="22"/>
          <w:szCs w:val="22"/>
        </w:rPr>
        <w:t>3</w:t>
      </w:r>
      <w:r w:rsidRPr="00296202">
        <w:rPr>
          <w:rFonts w:ascii="Calibri" w:hAnsi="Calibri" w:cs="Calibri"/>
          <w:b/>
          <w:bCs/>
          <w:sz w:val="22"/>
          <w:szCs w:val="22"/>
        </w:rPr>
        <w:t>.</w:t>
      </w:r>
      <w:r w:rsidRPr="00296202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296202">
        <w:rPr>
          <w:rFonts w:ascii="Calibri" w:hAnsi="Calibri" w:cs="Calibri"/>
          <w:sz w:val="22"/>
          <w:szCs w:val="22"/>
        </w:rPr>
        <w:t>Esta Resolução entra em vigor na data de sua publicação no Diário Oficial da União.</w:t>
      </w:r>
    </w:p>
    <w:p w:rsidR="005D1159" w:rsidRPr="00296202" w:rsidRDefault="005D1159" w:rsidP="009B07B4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i/>
          <w:iCs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lastRenderedPageBreak/>
        <w:t> </w:t>
      </w:r>
      <w:r w:rsidRPr="00296202">
        <w:rPr>
          <w:rFonts w:ascii="Calibri" w:hAnsi="Calibri" w:cs="Calibri"/>
          <w:i/>
          <w:iCs/>
          <w:sz w:val="22"/>
          <w:szCs w:val="22"/>
        </w:rPr>
        <w:t>MAGDA MARIA DE REGINA CHAMBRIARD</w:t>
      </w:r>
    </w:p>
    <w:p w:rsidR="009B07B4" w:rsidRDefault="005D1159" w:rsidP="009B07B4">
      <w:pPr>
        <w:pStyle w:val="texto"/>
        <w:spacing w:before="120" w:beforeAutospacing="0" w:after="120" w:afterAutospacing="0"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296202">
        <w:rPr>
          <w:rFonts w:ascii="Calibri" w:hAnsi="Calibri" w:cs="Calibri"/>
          <w:sz w:val="22"/>
          <w:szCs w:val="22"/>
        </w:rPr>
        <w:t> </w:t>
      </w:r>
    </w:p>
    <w:p w:rsidR="005D1159" w:rsidRPr="00296202" w:rsidRDefault="005D1159" w:rsidP="009B07B4">
      <w:pPr>
        <w:pStyle w:val="texto"/>
        <w:spacing w:before="120" w:beforeAutospacing="0" w:after="120" w:afterAutospacing="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96202">
        <w:rPr>
          <w:rFonts w:ascii="Calibri" w:hAnsi="Calibri" w:cs="Calibri"/>
          <w:b/>
          <w:bCs/>
          <w:sz w:val="22"/>
          <w:szCs w:val="22"/>
        </w:rPr>
        <w:t>ANEXO</w:t>
      </w:r>
    </w:p>
    <w:p w:rsidR="00A10C04" w:rsidRPr="00296202" w:rsidRDefault="00A10C04" w:rsidP="00A10C04">
      <w:pPr>
        <w:spacing w:before="120" w:after="120" w:line="360" w:lineRule="auto"/>
        <w:rPr>
          <w:rFonts w:cs="Calibri"/>
          <w:b/>
          <w:u w:val="single"/>
        </w:rPr>
      </w:pPr>
      <w:r w:rsidRPr="00296202">
        <w:rPr>
          <w:rFonts w:cs="Calibri"/>
          <w:b/>
          <w:u w:val="single"/>
        </w:rPr>
        <w:t>MINUTA DE TERMO COMPROMISSO DE AJUSTE DE CONDUTA</w:t>
      </w:r>
    </w:p>
    <w:sectPr w:rsidR="00A10C04" w:rsidRPr="00296202" w:rsidSect="00216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092"/>
    <w:multiLevelType w:val="hybridMultilevel"/>
    <w:tmpl w:val="357646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913F2"/>
    <w:multiLevelType w:val="hybridMultilevel"/>
    <w:tmpl w:val="87CC2C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840CD"/>
    <w:multiLevelType w:val="hybridMultilevel"/>
    <w:tmpl w:val="931C23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31234"/>
    <w:multiLevelType w:val="hybridMultilevel"/>
    <w:tmpl w:val="0772F56A"/>
    <w:lvl w:ilvl="0" w:tplc="9E20C3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9C22A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E8F0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514C79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DE049A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31208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F962F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0743D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C92F7F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E48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0310C5"/>
    <w:multiLevelType w:val="hybridMultilevel"/>
    <w:tmpl w:val="D238632A"/>
    <w:lvl w:ilvl="0" w:tplc="7E60BE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567033"/>
    <w:multiLevelType w:val="hybridMultilevel"/>
    <w:tmpl w:val="2732EDEA"/>
    <w:lvl w:ilvl="0" w:tplc="AD10B9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100BCD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4F8560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2627C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ECC015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9662F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BDC81E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E0224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F04A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C5DFF"/>
    <w:rsid w:val="0001113A"/>
    <w:rsid w:val="000156A7"/>
    <w:rsid w:val="00033DF3"/>
    <w:rsid w:val="00034C07"/>
    <w:rsid w:val="0003654E"/>
    <w:rsid w:val="00045F1B"/>
    <w:rsid w:val="00062C62"/>
    <w:rsid w:val="000721C2"/>
    <w:rsid w:val="00082C09"/>
    <w:rsid w:val="0009424D"/>
    <w:rsid w:val="000B7547"/>
    <w:rsid w:val="000B7B7F"/>
    <w:rsid w:val="000C0960"/>
    <w:rsid w:val="000C1B91"/>
    <w:rsid w:val="000C35FC"/>
    <w:rsid w:val="000D07FB"/>
    <w:rsid w:val="000D2D5D"/>
    <w:rsid w:val="000E36D7"/>
    <w:rsid w:val="00102550"/>
    <w:rsid w:val="0012121A"/>
    <w:rsid w:val="00131B8D"/>
    <w:rsid w:val="00136B4E"/>
    <w:rsid w:val="0016156E"/>
    <w:rsid w:val="00164F52"/>
    <w:rsid w:val="00196247"/>
    <w:rsid w:val="001A62CF"/>
    <w:rsid w:val="001B2D1A"/>
    <w:rsid w:val="001C02AE"/>
    <w:rsid w:val="001C0BD4"/>
    <w:rsid w:val="001C2F2D"/>
    <w:rsid w:val="001C7CB0"/>
    <w:rsid w:val="001F47B5"/>
    <w:rsid w:val="00200D5B"/>
    <w:rsid w:val="002018E3"/>
    <w:rsid w:val="0021010A"/>
    <w:rsid w:val="00216E23"/>
    <w:rsid w:val="00220F8C"/>
    <w:rsid w:val="00221B02"/>
    <w:rsid w:val="00224526"/>
    <w:rsid w:val="002675F9"/>
    <w:rsid w:val="00280E92"/>
    <w:rsid w:val="00281A4E"/>
    <w:rsid w:val="00296202"/>
    <w:rsid w:val="002D392E"/>
    <w:rsid w:val="003123F5"/>
    <w:rsid w:val="00320A06"/>
    <w:rsid w:val="00320A2E"/>
    <w:rsid w:val="00325DDE"/>
    <w:rsid w:val="0032781B"/>
    <w:rsid w:val="003503F3"/>
    <w:rsid w:val="0035379E"/>
    <w:rsid w:val="00371D33"/>
    <w:rsid w:val="00375DCB"/>
    <w:rsid w:val="00386B82"/>
    <w:rsid w:val="00387864"/>
    <w:rsid w:val="003A4287"/>
    <w:rsid w:val="003A51D4"/>
    <w:rsid w:val="003B4889"/>
    <w:rsid w:val="003D3113"/>
    <w:rsid w:val="003E6DA6"/>
    <w:rsid w:val="003F6CFC"/>
    <w:rsid w:val="00403A99"/>
    <w:rsid w:val="00412DA1"/>
    <w:rsid w:val="00422346"/>
    <w:rsid w:val="00422CC6"/>
    <w:rsid w:val="004359EE"/>
    <w:rsid w:val="00437793"/>
    <w:rsid w:val="00450394"/>
    <w:rsid w:val="00460AAB"/>
    <w:rsid w:val="00460FFF"/>
    <w:rsid w:val="00467D0F"/>
    <w:rsid w:val="0047238E"/>
    <w:rsid w:val="00482B07"/>
    <w:rsid w:val="0048369A"/>
    <w:rsid w:val="00484BC2"/>
    <w:rsid w:val="00485798"/>
    <w:rsid w:val="00487D8D"/>
    <w:rsid w:val="004929FA"/>
    <w:rsid w:val="004B00E1"/>
    <w:rsid w:val="004B460B"/>
    <w:rsid w:val="004D40B4"/>
    <w:rsid w:val="004F536B"/>
    <w:rsid w:val="004F5C1E"/>
    <w:rsid w:val="00521799"/>
    <w:rsid w:val="00533DDA"/>
    <w:rsid w:val="00542466"/>
    <w:rsid w:val="0054656F"/>
    <w:rsid w:val="005564C4"/>
    <w:rsid w:val="005732D3"/>
    <w:rsid w:val="005826D1"/>
    <w:rsid w:val="005A0EB7"/>
    <w:rsid w:val="005A67CA"/>
    <w:rsid w:val="005C6587"/>
    <w:rsid w:val="005C7C0A"/>
    <w:rsid w:val="005D1159"/>
    <w:rsid w:val="005D25F3"/>
    <w:rsid w:val="005D7CA1"/>
    <w:rsid w:val="005E796E"/>
    <w:rsid w:val="005F4309"/>
    <w:rsid w:val="005F4EB8"/>
    <w:rsid w:val="00607A93"/>
    <w:rsid w:val="0061514E"/>
    <w:rsid w:val="00630A6F"/>
    <w:rsid w:val="0064155E"/>
    <w:rsid w:val="00642854"/>
    <w:rsid w:val="00653AA2"/>
    <w:rsid w:val="00655565"/>
    <w:rsid w:val="0066369A"/>
    <w:rsid w:val="0068705A"/>
    <w:rsid w:val="006A6B98"/>
    <w:rsid w:val="006C5BA6"/>
    <w:rsid w:val="006D1CE6"/>
    <w:rsid w:val="006F1B3A"/>
    <w:rsid w:val="007026C6"/>
    <w:rsid w:val="007075C5"/>
    <w:rsid w:val="007123FE"/>
    <w:rsid w:val="00712C84"/>
    <w:rsid w:val="007306AC"/>
    <w:rsid w:val="0073625C"/>
    <w:rsid w:val="00737D7C"/>
    <w:rsid w:val="007474FA"/>
    <w:rsid w:val="00757D85"/>
    <w:rsid w:val="007B35B1"/>
    <w:rsid w:val="007B448B"/>
    <w:rsid w:val="007B67A2"/>
    <w:rsid w:val="007C13DE"/>
    <w:rsid w:val="007D1EA9"/>
    <w:rsid w:val="007E262E"/>
    <w:rsid w:val="007F6602"/>
    <w:rsid w:val="0081509F"/>
    <w:rsid w:val="00815786"/>
    <w:rsid w:val="00816DFE"/>
    <w:rsid w:val="00817F77"/>
    <w:rsid w:val="0082085D"/>
    <w:rsid w:val="00827FE4"/>
    <w:rsid w:val="00833BA8"/>
    <w:rsid w:val="00835B99"/>
    <w:rsid w:val="00841D4A"/>
    <w:rsid w:val="00855F9A"/>
    <w:rsid w:val="00856684"/>
    <w:rsid w:val="0086391D"/>
    <w:rsid w:val="00867476"/>
    <w:rsid w:val="00890837"/>
    <w:rsid w:val="008908B6"/>
    <w:rsid w:val="008A12D6"/>
    <w:rsid w:val="008A377A"/>
    <w:rsid w:val="008B2087"/>
    <w:rsid w:val="008D65C5"/>
    <w:rsid w:val="008F265B"/>
    <w:rsid w:val="00905CD4"/>
    <w:rsid w:val="0091434E"/>
    <w:rsid w:val="0091549C"/>
    <w:rsid w:val="00931AE5"/>
    <w:rsid w:val="009349C4"/>
    <w:rsid w:val="00950B4B"/>
    <w:rsid w:val="009530D6"/>
    <w:rsid w:val="0096032E"/>
    <w:rsid w:val="009628C5"/>
    <w:rsid w:val="00962DFC"/>
    <w:rsid w:val="0096616C"/>
    <w:rsid w:val="0098104E"/>
    <w:rsid w:val="00984D6C"/>
    <w:rsid w:val="00985718"/>
    <w:rsid w:val="00994D98"/>
    <w:rsid w:val="009B07B4"/>
    <w:rsid w:val="009E2F37"/>
    <w:rsid w:val="009E4C02"/>
    <w:rsid w:val="00A025A9"/>
    <w:rsid w:val="00A10C04"/>
    <w:rsid w:val="00A12FA9"/>
    <w:rsid w:val="00A33914"/>
    <w:rsid w:val="00A3638B"/>
    <w:rsid w:val="00A451E0"/>
    <w:rsid w:val="00A85E0F"/>
    <w:rsid w:val="00A91D5B"/>
    <w:rsid w:val="00A92C87"/>
    <w:rsid w:val="00AB6AFE"/>
    <w:rsid w:val="00AE769A"/>
    <w:rsid w:val="00B1220A"/>
    <w:rsid w:val="00B1237E"/>
    <w:rsid w:val="00B626F3"/>
    <w:rsid w:val="00B656BF"/>
    <w:rsid w:val="00B70C8E"/>
    <w:rsid w:val="00B840F8"/>
    <w:rsid w:val="00B9385C"/>
    <w:rsid w:val="00B97A8E"/>
    <w:rsid w:val="00BA2577"/>
    <w:rsid w:val="00BB23F0"/>
    <w:rsid w:val="00BC4292"/>
    <w:rsid w:val="00BD5628"/>
    <w:rsid w:val="00BE2741"/>
    <w:rsid w:val="00BE61DB"/>
    <w:rsid w:val="00BF623A"/>
    <w:rsid w:val="00C048DD"/>
    <w:rsid w:val="00C36E1E"/>
    <w:rsid w:val="00C72A49"/>
    <w:rsid w:val="00C74317"/>
    <w:rsid w:val="00C8243D"/>
    <w:rsid w:val="00C85DF2"/>
    <w:rsid w:val="00C86135"/>
    <w:rsid w:val="00C9240F"/>
    <w:rsid w:val="00C976A0"/>
    <w:rsid w:val="00CA1B4E"/>
    <w:rsid w:val="00CF38E0"/>
    <w:rsid w:val="00CF3BC5"/>
    <w:rsid w:val="00D04E9B"/>
    <w:rsid w:val="00D24499"/>
    <w:rsid w:val="00D30222"/>
    <w:rsid w:val="00D307A8"/>
    <w:rsid w:val="00D556E3"/>
    <w:rsid w:val="00D73379"/>
    <w:rsid w:val="00D7491E"/>
    <w:rsid w:val="00D8208C"/>
    <w:rsid w:val="00D83CA8"/>
    <w:rsid w:val="00D87990"/>
    <w:rsid w:val="00DA1101"/>
    <w:rsid w:val="00DB2C78"/>
    <w:rsid w:val="00DC5DFF"/>
    <w:rsid w:val="00DD62A4"/>
    <w:rsid w:val="00DE3515"/>
    <w:rsid w:val="00DF069D"/>
    <w:rsid w:val="00E11789"/>
    <w:rsid w:val="00E1511B"/>
    <w:rsid w:val="00E506BB"/>
    <w:rsid w:val="00E60545"/>
    <w:rsid w:val="00E85ADF"/>
    <w:rsid w:val="00E85CB7"/>
    <w:rsid w:val="00E87E81"/>
    <w:rsid w:val="00EB752D"/>
    <w:rsid w:val="00EE7FE2"/>
    <w:rsid w:val="00EF3768"/>
    <w:rsid w:val="00EF7CD2"/>
    <w:rsid w:val="00F02C82"/>
    <w:rsid w:val="00F07954"/>
    <w:rsid w:val="00F12C4A"/>
    <w:rsid w:val="00F16F75"/>
    <w:rsid w:val="00F527B4"/>
    <w:rsid w:val="00F57408"/>
    <w:rsid w:val="00F6076F"/>
    <w:rsid w:val="00F70EB7"/>
    <w:rsid w:val="00F73C53"/>
    <w:rsid w:val="00F81DF1"/>
    <w:rsid w:val="00FA1326"/>
    <w:rsid w:val="00FA5B34"/>
    <w:rsid w:val="00FC61CE"/>
    <w:rsid w:val="00FD1C0D"/>
    <w:rsid w:val="00FD6A5E"/>
    <w:rsid w:val="00FE7001"/>
    <w:rsid w:val="00FF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2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5DFF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3654E"/>
  </w:style>
  <w:style w:type="paragraph" w:styleId="NormalWeb">
    <w:name w:val="Normal (Web)"/>
    <w:basedOn w:val="Normal"/>
    <w:uiPriority w:val="99"/>
    <w:unhideWhenUsed/>
    <w:rsid w:val="00036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3BC5"/>
    <w:rPr>
      <w:color w:val="0000FF"/>
      <w:u w:val="single"/>
    </w:rPr>
  </w:style>
  <w:style w:type="paragraph" w:customStyle="1" w:styleId="04partenormativa">
    <w:name w:val="04partenormativa"/>
    <w:basedOn w:val="Normal"/>
    <w:rsid w:val="000B7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A06"/>
    <w:rPr>
      <w:rFonts w:ascii="Tahoma" w:hAnsi="Tahoma" w:cs="Tahoma"/>
      <w:sz w:val="16"/>
      <w:szCs w:val="16"/>
      <w:lang w:eastAsia="en-US"/>
    </w:rPr>
  </w:style>
  <w:style w:type="paragraph" w:customStyle="1" w:styleId="norma">
    <w:name w:val="norma"/>
    <w:basedOn w:val="Normal"/>
    <w:rsid w:val="005D1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5D1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tura">
    <w:name w:val="assinatura"/>
    <w:basedOn w:val="Normal"/>
    <w:rsid w:val="005D1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nexo">
    <w:name w:val="anexo"/>
    <w:basedOn w:val="Normal"/>
    <w:rsid w:val="005D1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5D1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281A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1A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1A4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A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1A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6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2218">
          <w:marLeft w:val="0"/>
          <w:marRight w:val="0"/>
          <w:marTop w:val="0"/>
          <w:marBottom w:val="0"/>
          <w:divBdr>
            <w:top w:val="single" w:sz="2" w:space="0" w:color="000080"/>
            <w:left w:val="none" w:sz="0" w:space="0" w:color="auto"/>
            <w:bottom w:val="single" w:sz="2" w:space="0" w:color="000080"/>
            <w:right w:val="none" w:sz="0" w:space="0" w:color="auto"/>
          </w:divBdr>
        </w:div>
      </w:divsChild>
    </w:div>
    <w:div w:id="13749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31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4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7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27DD-514B-4DEE-876E-10111E12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1292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mdsilva</dc:creator>
  <cp:lastModifiedBy>Usuário do Windows</cp:lastModifiedBy>
  <cp:revision>3</cp:revision>
  <cp:lastPrinted>2012-09-17T19:50:00Z</cp:lastPrinted>
  <dcterms:created xsi:type="dcterms:W3CDTF">2012-10-05T15:20:00Z</dcterms:created>
  <dcterms:modified xsi:type="dcterms:W3CDTF">2012-10-05T17:39:00Z</dcterms:modified>
</cp:coreProperties>
</file>