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4CC59" w14:textId="77777777" w:rsidR="004C19ED" w:rsidRDefault="004C19ED" w:rsidP="004C19ED">
      <w:pPr>
        <w:rPr>
          <w:rFonts w:cs="Arial"/>
          <w:b/>
          <w:sz w:val="22"/>
        </w:rPr>
      </w:pPr>
    </w:p>
    <w:p w14:paraId="2C1B60D1" w14:textId="7FD407EC" w:rsidR="004C19ED" w:rsidRDefault="004C19ED" w:rsidP="004C19ED">
      <w:pPr>
        <w:jc w:val="center"/>
        <w:rPr>
          <w:rFonts w:cs="Arial"/>
          <w:b/>
          <w:sz w:val="22"/>
        </w:rPr>
      </w:pPr>
      <w:r>
        <w:rPr>
          <w:rFonts w:cs="Arial"/>
          <w:b/>
          <w:sz w:val="22"/>
        </w:rPr>
        <w:t>NOTAS EXPLICATIVAS – EXERCÍCIO 2021</w:t>
      </w:r>
    </w:p>
    <w:p w14:paraId="7DAD80EF" w14:textId="77777777" w:rsidR="004C19ED" w:rsidRDefault="004C19ED" w:rsidP="004C19ED">
      <w:pPr>
        <w:rPr>
          <w:rFonts w:cs="Arial"/>
          <w:b/>
          <w:sz w:val="22"/>
        </w:rPr>
      </w:pPr>
    </w:p>
    <w:p w14:paraId="3B3D3F28" w14:textId="17178DF4" w:rsidR="004C19ED" w:rsidRPr="00177927" w:rsidRDefault="004C19ED" w:rsidP="004C19ED">
      <w:pPr>
        <w:rPr>
          <w:rFonts w:cs="Arial"/>
          <w:b/>
          <w:sz w:val="22"/>
        </w:rPr>
      </w:pPr>
      <w:r w:rsidRPr="00177927">
        <w:rPr>
          <w:rFonts w:cs="Arial"/>
          <w:b/>
          <w:sz w:val="22"/>
        </w:rPr>
        <w:t>Nota 0</w:t>
      </w:r>
      <w:r>
        <w:rPr>
          <w:rFonts w:cs="Arial"/>
          <w:b/>
          <w:sz w:val="22"/>
        </w:rPr>
        <w:t>0</w:t>
      </w:r>
      <w:r w:rsidRPr="00177927">
        <w:rPr>
          <w:rFonts w:cs="Arial"/>
          <w:b/>
          <w:sz w:val="22"/>
        </w:rPr>
        <w:t xml:space="preserve"> </w:t>
      </w:r>
      <w:r>
        <w:rPr>
          <w:rFonts w:cs="Arial"/>
          <w:b/>
          <w:sz w:val="22"/>
        </w:rPr>
        <w:t>– Resultado Financeiro</w:t>
      </w:r>
    </w:p>
    <w:p w14:paraId="37ACC51D" w14:textId="77777777" w:rsidR="004C19ED" w:rsidRPr="00177927" w:rsidRDefault="004C19ED" w:rsidP="004C19ED">
      <w:pPr>
        <w:rPr>
          <w:rFonts w:cs="Arial"/>
          <w:b/>
          <w:sz w:val="22"/>
        </w:rPr>
      </w:pPr>
    </w:p>
    <w:p w14:paraId="7A12AC5E" w14:textId="77777777" w:rsidR="004C19ED" w:rsidRDefault="004C19ED" w:rsidP="004C19ED">
      <w:pPr>
        <w:rPr>
          <w:rFonts w:cs="Arial"/>
          <w:sz w:val="22"/>
        </w:rPr>
      </w:pPr>
      <w:r w:rsidRPr="00DF0C08">
        <w:rPr>
          <w:rFonts w:cs="Arial"/>
          <w:sz w:val="22"/>
        </w:rPr>
        <w:t>O resultado financeiro do exercício de 20</w:t>
      </w:r>
      <w:r>
        <w:rPr>
          <w:rFonts w:cs="Arial"/>
          <w:sz w:val="22"/>
        </w:rPr>
        <w:t>21</w:t>
      </w:r>
      <w:r w:rsidRPr="00DF0C08">
        <w:rPr>
          <w:rFonts w:cs="Arial"/>
          <w:sz w:val="22"/>
        </w:rPr>
        <w:t xml:space="preserve"> importou no </w:t>
      </w:r>
      <w:r w:rsidRPr="00625ADA">
        <w:rPr>
          <w:rFonts w:cs="Arial"/>
          <w:sz w:val="22"/>
        </w:rPr>
        <w:t>acréscimo superior a R$ 654 milhões e sua formação é detalhada na tabela a seguir:</w:t>
      </w:r>
    </w:p>
    <w:p w14:paraId="396B9340" w14:textId="77777777" w:rsidR="004C19ED" w:rsidRDefault="004C19ED" w:rsidP="004C19ED">
      <w:pPr>
        <w:rPr>
          <w:rFonts w:cs="Arial"/>
          <w:sz w:val="22"/>
        </w:rPr>
      </w:pPr>
    </w:p>
    <w:p w14:paraId="6EFCD6E3" w14:textId="77777777" w:rsidR="004C19ED" w:rsidRDefault="004C19ED" w:rsidP="004C19ED">
      <w:pPr>
        <w:rPr>
          <w:rFonts w:cs="Arial"/>
          <w:sz w:val="22"/>
        </w:rPr>
      </w:pPr>
      <w:r w:rsidRPr="00177927">
        <w:rPr>
          <w:rFonts w:cs="Arial"/>
          <w:b/>
          <w:sz w:val="22"/>
        </w:rPr>
        <w:t xml:space="preserve">Tabela 1 – </w:t>
      </w:r>
      <w:r>
        <w:rPr>
          <w:rFonts w:cs="Arial"/>
          <w:b/>
          <w:sz w:val="22"/>
        </w:rPr>
        <w:t>Resultado Financeiro – Composição</w:t>
      </w:r>
      <w:r w:rsidRPr="00177927">
        <w:rPr>
          <w:rFonts w:cs="Arial"/>
          <w:b/>
          <w:sz w:val="22"/>
        </w:rPr>
        <w:t>.</w:t>
      </w:r>
      <w:r w:rsidRPr="00177927">
        <w:rPr>
          <w:rFonts w:cs="Arial"/>
          <w:sz w:val="22"/>
        </w:rPr>
        <w:t xml:space="preserve"> </w:t>
      </w:r>
    </w:p>
    <w:p w14:paraId="74CCBE18" w14:textId="77777777" w:rsidR="004C19ED" w:rsidRDefault="004C19ED" w:rsidP="004C19ED">
      <w:pPr>
        <w:rPr>
          <w:rFonts w:cs="Arial"/>
          <w:sz w:val="22"/>
        </w:rPr>
      </w:pPr>
      <w:r>
        <w:rPr>
          <w:rFonts w:cs="Arial"/>
          <w:sz w:val="22"/>
        </w:rPr>
        <w:t xml:space="preserve">                                                                                                                                            R$</w:t>
      </w:r>
    </w:p>
    <w:tbl>
      <w:tblPr>
        <w:tblW w:w="9850" w:type="dxa"/>
        <w:tblCellMar>
          <w:left w:w="70" w:type="dxa"/>
          <w:right w:w="70" w:type="dxa"/>
        </w:tblCellMar>
        <w:tblLook w:val="04A0" w:firstRow="1" w:lastRow="0" w:firstColumn="1" w:lastColumn="0" w:noHBand="0" w:noVBand="1"/>
      </w:tblPr>
      <w:tblGrid>
        <w:gridCol w:w="3720"/>
        <w:gridCol w:w="2036"/>
        <w:gridCol w:w="2252"/>
        <w:gridCol w:w="1842"/>
      </w:tblGrid>
      <w:tr w:rsidR="004C19ED" w:rsidRPr="00E42115" w14:paraId="579238DA" w14:textId="77777777" w:rsidTr="003E2CCD">
        <w:trPr>
          <w:trHeight w:val="306"/>
        </w:trPr>
        <w:tc>
          <w:tcPr>
            <w:tcW w:w="3720" w:type="dxa"/>
            <w:tcBorders>
              <w:top w:val="single" w:sz="4" w:space="0" w:color="000000"/>
              <w:left w:val="nil"/>
              <w:bottom w:val="single" w:sz="4" w:space="0" w:color="000000"/>
              <w:right w:val="nil"/>
            </w:tcBorders>
            <w:shd w:val="clear" w:color="000000" w:fill="FFFFFF"/>
            <w:noWrap/>
            <w:vAlign w:val="bottom"/>
            <w:hideMark/>
          </w:tcPr>
          <w:p w14:paraId="6DA593D4" w14:textId="77777777" w:rsidR="004C19ED" w:rsidRPr="00E42115" w:rsidRDefault="004C19ED" w:rsidP="003E2CCD">
            <w:pPr>
              <w:jc w:val="left"/>
              <w:rPr>
                <w:rFonts w:ascii="Calibri" w:eastAsia="Times New Roman" w:hAnsi="Calibri" w:cs="Calibri"/>
                <w:b/>
                <w:bCs/>
                <w:color w:val="FFFFFF"/>
                <w:sz w:val="22"/>
                <w:lang w:eastAsia="pt-BR"/>
              </w:rPr>
            </w:pPr>
            <w:r w:rsidRPr="00E42115">
              <w:rPr>
                <w:rFonts w:ascii="Calibri" w:eastAsia="Times New Roman" w:hAnsi="Calibri" w:cs="Calibri"/>
                <w:b/>
                <w:bCs/>
                <w:color w:val="FFFFFF"/>
                <w:sz w:val="22"/>
                <w:lang w:eastAsia="pt-BR"/>
              </w:rPr>
              <w:t>Colunas1</w:t>
            </w:r>
          </w:p>
        </w:tc>
        <w:tc>
          <w:tcPr>
            <w:tcW w:w="2036" w:type="dxa"/>
            <w:tcBorders>
              <w:top w:val="single" w:sz="4" w:space="0" w:color="000000"/>
              <w:left w:val="nil"/>
              <w:bottom w:val="single" w:sz="4" w:space="0" w:color="000000"/>
              <w:right w:val="nil"/>
            </w:tcBorders>
            <w:shd w:val="clear" w:color="000000" w:fill="FFFFFF"/>
            <w:noWrap/>
            <w:vAlign w:val="bottom"/>
            <w:hideMark/>
          </w:tcPr>
          <w:p w14:paraId="042528A0" w14:textId="77777777" w:rsidR="004C19ED" w:rsidRPr="00E42115" w:rsidRDefault="004C19ED" w:rsidP="003E2CCD">
            <w:pPr>
              <w:jc w:val="right"/>
              <w:rPr>
                <w:rFonts w:ascii="Calibri" w:eastAsia="Times New Roman" w:hAnsi="Calibri" w:cs="Calibri"/>
                <w:b/>
                <w:bCs/>
                <w:sz w:val="22"/>
                <w:lang w:eastAsia="pt-BR"/>
              </w:rPr>
            </w:pPr>
            <w:r w:rsidRPr="00E42115">
              <w:rPr>
                <w:rFonts w:ascii="Calibri" w:eastAsia="Times New Roman" w:hAnsi="Calibri" w:cs="Calibri"/>
                <w:b/>
                <w:bCs/>
                <w:sz w:val="22"/>
                <w:lang w:eastAsia="pt-BR"/>
              </w:rPr>
              <w:t>3</w:t>
            </w:r>
            <w:r>
              <w:rPr>
                <w:rFonts w:ascii="Calibri" w:eastAsia="Times New Roman" w:hAnsi="Calibri" w:cs="Calibri"/>
                <w:b/>
                <w:bCs/>
                <w:sz w:val="22"/>
                <w:lang w:eastAsia="pt-BR"/>
              </w:rPr>
              <w:t>1</w:t>
            </w:r>
            <w:r w:rsidRPr="00E42115">
              <w:rPr>
                <w:rFonts w:ascii="Calibri" w:eastAsia="Times New Roman" w:hAnsi="Calibri" w:cs="Calibri"/>
                <w:b/>
                <w:bCs/>
                <w:sz w:val="22"/>
                <w:lang w:eastAsia="pt-BR"/>
              </w:rPr>
              <w:t>/</w:t>
            </w:r>
            <w:r>
              <w:rPr>
                <w:rFonts w:ascii="Calibri" w:eastAsia="Times New Roman" w:hAnsi="Calibri" w:cs="Calibri"/>
                <w:b/>
                <w:bCs/>
                <w:sz w:val="22"/>
                <w:lang w:eastAsia="pt-BR"/>
              </w:rPr>
              <w:t>12</w:t>
            </w:r>
            <w:r w:rsidRPr="00E42115">
              <w:rPr>
                <w:rFonts w:ascii="Calibri" w:eastAsia="Times New Roman" w:hAnsi="Calibri" w:cs="Calibri"/>
                <w:b/>
                <w:bCs/>
                <w:sz w:val="22"/>
                <w:lang w:eastAsia="pt-BR"/>
              </w:rPr>
              <w:t>/20</w:t>
            </w:r>
            <w:r>
              <w:rPr>
                <w:rFonts w:ascii="Calibri" w:eastAsia="Times New Roman" w:hAnsi="Calibri" w:cs="Calibri"/>
                <w:b/>
                <w:bCs/>
                <w:sz w:val="22"/>
                <w:lang w:eastAsia="pt-BR"/>
              </w:rPr>
              <w:t>21</w:t>
            </w:r>
          </w:p>
        </w:tc>
        <w:tc>
          <w:tcPr>
            <w:tcW w:w="2252" w:type="dxa"/>
            <w:tcBorders>
              <w:top w:val="single" w:sz="4" w:space="0" w:color="000000"/>
              <w:left w:val="nil"/>
              <w:bottom w:val="single" w:sz="4" w:space="0" w:color="000000"/>
              <w:right w:val="nil"/>
            </w:tcBorders>
            <w:shd w:val="clear" w:color="auto" w:fill="auto"/>
            <w:noWrap/>
            <w:vAlign w:val="bottom"/>
            <w:hideMark/>
          </w:tcPr>
          <w:p w14:paraId="2094384D" w14:textId="77777777" w:rsidR="004C19ED" w:rsidRPr="00E42115" w:rsidRDefault="004C19ED" w:rsidP="003E2CCD">
            <w:pPr>
              <w:jc w:val="right"/>
              <w:rPr>
                <w:rFonts w:ascii="Calibri" w:eastAsia="Times New Roman" w:hAnsi="Calibri" w:cs="Calibri"/>
                <w:b/>
                <w:bCs/>
                <w:color w:val="000000"/>
                <w:sz w:val="22"/>
                <w:lang w:eastAsia="pt-BR"/>
              </w:rPr>
            </w:pPr>
            <w:r>
              <w:rPr>
                <w:rFonts w:ascii="Calibri" w:eastAsia="Times New Roman" w:hAnsi="Calibri" w:cs="Calibri"/>
                <w:b/>
                <w:bCs/>
                <w:color w:val="000000"/>
                <w:sz w:val="22"/>
                <w:lang w:eastAsia="pt-BR"/>
              </w:rPr>
              <w:t>31</w:t>
            </w:r>
            <w:r w:rsidRPr="00E42115">
              <w:rPr>
                <w:rFonts w:ascii="Calibri" w:eastAsia="Times New Roman" w:hAnsi="Calibri" w:cs="Calibri"/>
                <w:b/>
                <w:bCs/>
                <w:color w:val="000000"/>
                <w:sz w:val="22"/>
                <w:lang w:eastAsia="pt-BR"/>
              </w:rPr>
              <w:t>/</w:t>
            </w:r>
            <w:r>
              <w:rPr>
                <w:rFonts w:ascii="Calibri" w:eastAsia="Times New Roman" w:hAnsi="Calibri" w:cs="Calibri"/>
                <w:b/>
                <w:bCs/>
                <w:color w:val="000000"/>
                <w:sz w:val="22"/>
                <w:lang w:eastAsia="pt-BR"/>
              </w:rPr>
              <w:t>12</w:t>
            </w:r>
            <w:r w:rsidRPr="00E42115">
              <w:rPr>
                <w:rFonts w:ascii="Calibri" w:eastAsia="Times New Roman" w:hAnsi="Calibri" w:cs="Calibri"/>
                <w:b/>
                <w:bCs/>
                <w:color w:val="000000"/>
                <w:sz w:val="22"/>
                <w:lang w:eastAsia="pt-BR"/>
              </w:rPr>
              <w:t>/20</w:t>
            </w:r>
            <w:r>
              <w:rPr>
                <w:rFonts w:ascii="Calibri" w:eastAsia="Times New Roman" w:hAnsi="Calibri" w:cs="Calibri"/>
                <w:b/>
                <w:bCs/>
                <w:color w:val="000000"/>
                <w:sz w:val="22"/>
                <w:lang w:eastAsia="pt-BR"/>
              </w:rPr>
              <w:t>20</w:t>
            </w:r>
          </w:p>
        </w:tc>
        <w:tc>
          <w:tcPr>
            <w:tcW w:w="1842" w:type="dxa"/>
            <w:tcBorders>
              <w:top w:val="single" w:sz="4" w:space="0" w:color="000000"/>
              <w:left w:val="nil"/>
              <w:bottom w:val="single" w:sz="4" w:space="0" w:color="000000"/>
              <w:right w:val="nil"/>
            </w:tcBorders>
            <w:shd w:val="clear" w:color="auto" w:fill="auto"/>
            <w:noWrap/>
            <w:vAlign w:val="bottom"/>
            <w:hideMark/>
          </w:tcPr>
          <w:p w14:paraId="7140A1F5" w14:textId="77777777" w:rsidR="004C19ED" w:rsidRPr="00E42115" w:rsidRDefault="004C19ED" w:rsidP="003E2CCD">
            <w:pPr>
              <w:jc w:val="right"/>
              <w:rPr>
                <w:rFonts w:ascii="Calibri" w:eastAsia="Times New Roman" w:hAnsi="Calibri" w:cs="Calibri"/>
                <w:b/>
                <w:bCs/>
                <w:color w:val="000000"/>
                <w:sz w:val="22"/>
                <w:lang w:eastAsia="pt-BR"/>
              </w:rPr>
            </w:pPr>
            <w:r w:rsidRPr="00E42115">
              <w:rPr>
                <w:rFonts w:ascii="Calibri" w:eastAsia="Times New Roman" w:hAnsi="Calibri" w:cs="Calibri"/>
                <w:b/>
                <w:bCs/>
                <w:color w:val="000000"/>
                <w:sz w:val="22"/>
                <w:lang w:eastAsia="pt-BR"/>
              </w:rPr>
              <w:t>AH (%)</w:t>
            </w:r>
          </w:p>
        </w:tc>
      </w:tr>
      <w:tr w:rsidR="004C19ED" w:rsidRPr="00E42115" w14:paraId="4E7841A4" w14:textId="77777777" w:rsidTr="003E2CCD">
        <w:trPr>
          <w:trHeight w:val="306"/>
        </w:trPr>
        <w:tc>
          <w:tcPr>
            <w:tcW w:w="3720" w:type="dxa"/>
            <w:tcBorders>
              <w:top w:val="nil"/>
              <w:left w:val="nil"/>
              <w:bottom w:val="nil"/>
              <w:right w:val="nil"/>
            </w:tcBorders>
            <w:shd w:val="clear" w:color="D9D9D9" w:fill="D9D9D9"/>
            <w:noWrap/>
            <w:vAlign w:val="bottom"/>
            <w:hideMark/>
          </w:tcPr>
          <w:p w14:paraId="1F9BDEFC" w14:textId="77777777" w:rsidR="004C19ED" w:rsidRPr="00E42115" w:rsidRDefault="004C19ED" w:rsidP="003E2CCD">
            <w:pPr>
              <w:jc w:val="left"/>
              <w:rPr>
                <w:rFonts w:ascii="Calibri" w:eastAsia="Times New Roman" w:hAnsi="Calibri" w:cs="Calibri"/>
                <w:color w:val="000000"/>
                <w:sz w:val="22"/>
                <w:lang w:eastAsia="pt-BR"/>
              </w:rPr>
            </w:pPr>
            <w:r w:rsidRPr="00E42115">
              <w:rPr>
                <w:rFonts w:ascii="Calibri" w:eastAsia="Times New Roman" w:hAnsi="Calibri" w:cs="Calibri"/>
                <w:color w:val="000000"/>
                <w:sz w:val="22"/>
                <w:lang w:eastAsia="pt-BR"/>
              </w:rPr>
              <w:t>Receita Orçamentária</w:t>
            </w:r>
          </w:p>
        </w:tc>
        <w:tc>
          <w:tcPr>
            <w:tcW w:w="2036" w:type="dxa"/>
            <w:tcBorders>
              <w:top w:val="nil"/>
              <w:left w:val="nil"/>
              <w:bottom w:val="nil"/>
              <w:right w:val="nil"/>
            </w:tcBorders>
            <w:shd w:val="clear" w:color="D9D9D9" w:fill="D9D9D9"/>
            <w:noWrap/>
            <w:vAlign w:val="bottom"/>
          </w:tcPr>
          <w:p w14:paraId="39C63094" w14:textId="77777777" w:rsidR="004C19ED" w:rsidRPr="00E42115" w:rsidRDefault="004C19ED" w:rsidP="003E2CCD">
            <w:pPr>
              <w:jc w:val="right"/>
              <w:rPr>
                <w:rFonts w:ascii="Calibri" w:eastAsia="Times New Roman" w:hAnsi="Calibri" w:cs="Calibri"/>
                <w:color w:val="000000"/>
                <w:sz w:val="22"/>
                <w:lang w:eastAsia="pt-BR"/>
              </w:rPr>
            </w:pPr>
            <w:r w:rsidRPr="005D58EB">
              <w:rPr>
                <w:rFonts w:ascii="Calibri" w:eastAsia="Times New Roman" w:hAnsi="Calibri" w:cs="Calibri"/>
                <w:color w:val="000000"/>
                <w:sz w:val="22"/>
                <w:lang w:eastAsia="pt-BR"/>
              </w:rPr>
              <w:t>1</w:t>
            </w:r>
            <w:r>
              <w:rPr>
                <w:rFonts w:ascii="Calibri" w:eastAsia="Times New Roman" w:hAnsi="Calibri" w:cs="Calibri"/>
                <w:color w:val="000000"/>
                <w:sz w:val="22"/>
                <w:lang w:eastAsia="pt-BR"/>
              </w:rPr>
              <w:t>.</w:t>
            </w:r>
            <w:r w:rsidRPr="005D58EB">
              <w:rPr>
                <w:rFonts w:ascii="Calibri" w:eastAsia="Times New Roman" w:hAnsi="Calibri" w:cs="Calibri"/>
                <w:color w:val="000000"/>
                <w:sz w:val="22"/>
                <w:lang w:eastAsia="pt-BR"/>
              </w:rPr>
              <w:t>546</w:t>
            </w:r>
            <w:r>
              <w:rPr>
                <w:rFonts w:ascii="Calibri" w:eastAsia="Times New Roman" w:hAnsi="Calibri" w:cs="Calibri"/>
                <w:color w:val="000000"/>
                <w:sz w:val="22"/>
                <w:lang w:eastAsia="pt-BR"/>
              </w:rPr>
              <w:t>.</w:t>
            </w:r>
            <w:r w:rsidRPr="005D58EB">
              <w:rPr>
                <w:rFonts w:ascii="Calibri" w:eastAsia="Times New Roman" w:hAnsi="Calibri" w:cs="Calibri"/>
                <w:color w:val="000000"/>
                <w:sz w:val="22"/>
                <w:lang w:eastAsia="pt-BR"/>
              </w:rPr>
              <w:t>331</w:t>
            </w:r>
            <w:r>
              <w:rPr>
                <w:rFonts w:ascii="Calibri" w:eastAsia="Times New Roman" w:hAnsi="Calibri" w:cs="Calibri"/>
                <w:color w:val="000000"/>
                <w:sz w:val="22"/>
                <w:lang w:eastAsia="pt-BR"/>
              </w:rPr>
              <w:t>.</w:t>
            </w:r>
            <w:r w:rsidRPr="005D58EB">
              <w:rPr>
                <w:rFonts w:ascii="Calibri" w:eastAsia="Times New Roman" w:hAnsi="Calibri" w:cs="Calibri"/>
                <w:color w:val="000000"/>
                <w:sz w:val="22"/>
                <w:lang w:eastAsia="pt-BR"/>
              </w:rPr>
              <w:t>084,42</w:t>
            </w:r>
          </w:p>
        </w:tc>
        <w:tc>
          <w:tcPr>
            <w:tcW w:w="2252" w:type="dxa"/>
            <w:tcBorders>
              <w:top w:val="nil"/>
              <w:left w:val="nil"/>
              <w:bottom w:val="nil"/>
              <w:right w:val="nil"/>
            </w:tcBorders>
            <w:shd w:val="clear" w:color="D9D9D9" w:fill="D9D9D9"/>
            <w:noWrap/>
            <w:vAlign w:val="bottom"/>
            <w:hideMark/>
          </w:tcPr>
          <w:p w14:paraId="03427F1A" w14:textId="77777777" w:rsidR="004C19ED" w:rsidRPr="00E42115" w:rsidRDefault="004C19ED" w:rsidP="003E2CCD">
            <w:pPr>
              <w:jc w:val="right"/>
              <w:rPr>
                <w:rFonts w:ascii="Calibri" w:eastAsia="Times New Roman" w:hAnsi="Calibri" w:cs="Calibri"/>
                <w:color w:val="000000"/>
                <w:sz w:val="22"/>
                <w:lang w:eastAsia="pt-BR"/>
              </w:rPr>
            </w:pPr>
            <w:r w:rsidRPr="00D844BC">
              <w:rPr>
                <w:rFonts w:ascii="Calibri" w:eastAsia="Times New Roman" w:hAnsi="Calibri" w:cs="Calibri"/>
                <w:color w:val="000000"/>
                <w:sz w:val="22"/>
                <w:lang w:eastAsia="pt-BR"/>
              </w:rPr>
              <w:t>589.154.917,41</w:t>
            </w:r>
            <w:r w:rsidRPr="00D844BC">
              <w:rPr>
                <w:rFonts w:ascii="Calibri" w:eastAsia="Times New Roman" w:hAnsi="Calibri" w:cs="Calibri"/>
                <w:color w:val="000000"/>
                <w:sz w:val="22"/>
                <w:lang w:eastAsia="pt-BR"/>
              </w:rPr>
              <w:tab/>
            </w:r>
          </w:p>
        </w:tc>
        <w:tc>
          <w:tcPr>
            <w:tcW w:w="1842" w:type="dxa"/>
            <w:tcBorders>
              <w:top w:val="nil"/>
              <w:left w:val="nil"/>
              <w:bottom w:val="nil"/>
              <w:right w:val="nil"/>
            </w:tcBorders>
            <w:shd w:val="clear" w:color="D9D9D9" w:fill="D9D9D9"/>
            <w:noWrap/>
            <w:vAlign w:val="bottom"/>
            <w:hideMark/>
          </w:tcPr>
          <w:p w14:paraId="2912BA0D" w14:textId="77777777" w:rsidR="004C19ED" w:rsidRPr="00E42115" w:rsidRDefault="004C19ED" w:rsidP="003E2CCD">
            <w:pPr>
              <w:jc w:val="right"/>
              <w:rPr>
                <w:rFonts w:ascii="Calibri" w:eastAsia="Times New Roman" w:hAnsi="Calibri" w:cs="Calibri"/>
                <w:color w:val="000000"/>
                <w:sz w:val="22"/>
                <w:lang w:eastAsia="pt-BR"/>
              </w:rPr>
            </w:pPr>
            <w:r>
              <w:rPr>
                <w:rFonts w:ascii="Calibri" w:eastAsia="Times New Roman" w:hAnsi="Calibri" w:cs="Calibri"/>
                <w:color w:val="000000"/>
                <w:sz w:val="22"/>
                <w:lang w:eastAsia="pt-BR"/>
              </w:rPr>
              <w:t>162,47</w:t>
            </w:r>
          </w:p>
        </w:tc>
      </w:tr>
      <w:tr w:rsidR="004C19ED" w:rsidRPr="00E42115" w14:paraId="635E585D" w14:textId="77777777" w:rsidTr="003E2CCD">
        <w:trPr>
          <w:trHeight w:val="306"/>
        </w:trPr>
        <w:tc>
          <w:tcPr>
            <w:tcW w:w="3720" w:type="dxa"/>
            <w:tcBorders>
              <w:top w:val="nil"/>
              <w:left w:val="nil"/>
              <w:bottom w:val="nil"/>
              <w:right w:val="nil"/>
            </w:tcBorders>
            <w:shd w:val="clear" w:color="auto" w:fill="auto"/>
            <w:noWrap/>
            <w:vAlign w:val="bottom"/>
            <w:hideMark/>
          </w:tcPr>
          <w:p w14:paraId="767B14E7" w14:textId="77777777" w:rsidR="004C19ED" w:rsidRPr="00E42115" w:rsidRDefault="004C19ED" w:rsidP="003E2CCD">
            <w:pPr>
              <w:jc w:val="left"/>
              <w:rPr>
                <w:rFonts w:ascii="Calibri" w:eastAsia="Times New Roman" w:hAnsi="Calibri" w:cs="Calibri"/>
                <w:color w:val="000000"/>
                <w:sz w:val="22"/>
                <w:lang w:eastAsia="pt-BR"/>
              </w:rPr>
            </w:pPr>
            <w:r w:rsidRPr="00E42115">
              <w:rPr>
                <w:rFonts w:ascii="Calibri" w:eastAsia="Times New Roman" w:hAnsi="Calibri" w:cs="Calibri"/>
                <w:color w:val="000000"/>
                <w:sz w:val="22"/>
                <w:lang w:eastAsia="pt-BR"/>
              </w:rPr>
              <w:t>Despesa Orçamentária</w:t>
            </w:r>
          </w:p>
        </w:tc>
        <w:tc>
          <w:tcPr>
            <w:tcW w:w="2036" w:type="dxa"/>
            <w:tcBorders>
              <w:top w:val="nil"/>
              <w:left w:val="nil"/>
              <w:bottom w:val="nil"/>
              <w:right w:val="nil"/>
            </w:tcBorders>
            <w:shd w:val="clear" w:color="auto" w:fill="auto"/>
            <w:noWrap/>
            <w:vAlign w:val="bottom"/>
          </w:tcPr>
          <w:p w14:paraId="6ADDEA6F" w14:textId="77777777" w:rsidR="004C19ED" w:rsidRPr="005D58EB" w:rsidRDefault="004C19ED" w:rsidP="003E2CCD">
            <w:pPr>
              <w:jc w:val="right"/>
              <w:rPr>
                <w:rFonts w:ascii="Calibri" w:eastAsia="Times New Roman" w:hAnsi="Calibri" w:cs="Calibri"/>
                <w:color w:val="FF0000"/>
                <w:sz w:val="22"/>
                <w:u w:val="single"/>
                <w:lang w:eastAsia="pt-BR"/>
              </w:rPr>
            </w:pPr>
            <w:r w:rsidRPr="005D58EB">
              <w:rPr>
                <w:rFonts w:ascii="Calibri" w:eastAsia="Times New Roman" w:hAnsi="Calibri" w:cs="Calibri"/>
                <w:color w:val="FF0000"/>
                <w:sz w:val="22"/>
                <w:u w:val="single"/>
                <w:lang w:eastAsia="pt-BR"/>
              </w:rPr>
              <w:t>-48.775.040.420,69</w:t>
            </w:r>
          </w:p>
        </w:tc>
        <w:tc>
          <w:tcPr>
            <w:tcW w:w="2252" w:type="dxa"/>
            <w:tcBorders>
              <w:top w:val="nil"/>
              <w:left w:val="nil"/>
              <w:bottom w:val="nil"/>
              <w:right w:val="nil"/>
            </w:tcBorders>
            <w:shd w:val="clear" w:color="auto" w:fill="auto"/>
            <w:noWrap/>
            <w:vAlign w:val="bottom"/>
            <w:hideMark/>
          </w:tcPr>
          <w:p w14:paraId="5E77A2BA" w14:textId="77777777" w:rsidR="004C19ED" w:rsidRPr="00E42115" w:rsidRDefault="004C19ED" w:rsidP="003E2CCD">
            <w:pPr>
              <w:jc w:val="right"/>
              <w:rPr>
                <w:rFonts w:ascii="Calibri" w:eastAsia="Times New Roman" w:hAnsi="Calibri" w:cs="Calibri"/>
                <w:color w:val="000000"/>
                <w:sz w:val="22"/>
                <w:u w:val="single"/>
                <w:lang w:eastAsia="pt-BR"/>
              </w:rPr>
            </w:pPr>
            <w:r>
              <w:rPr>
                <w:rFonts w:ascii="Calibri" w:eastAsia="Times New Roman" w:hAnsi="Calibri" w:cs="Calibri"/>
                <w:color w:val="FF0000"/>
                <w:sz w:val="22"/>
                <w:u w:val="single"/>
                <w:lang w:eastAsia="pt-BR"/>
              </w:rPr>
              <w:t>-</w:t>
            </w:r>
            <w:r w:rsidRPr="00D844BC">
              <w:rPr>
                <w:rFonts w:ascii="Calibri" w:eastAsia="Times New Roman" w:hAnsi="Calibri" w:cs="Calibri"/>
                <w:color w:val="FF0000"/>
                <w:sz w:val="22"/>
                <w:u w:val="single"/>
                <w:lang w:eastAsia="pt-BR"/>
              </w:rPr>
              <w:t>36.093.912.133,16</w:t>
            </w:r>
          </w:p>
        </w:tc>
        <w:tc>
          <w:tcPr>
            <w:tcW w:w="1842" w:type="dxa"/>
            <w:tcBorders>
              <w:top w:val="nil"/>
              <w:left w:val="nil"/>
              <w:bottom w:val="nil"/>
              <w:right w:val="nil"/>
            </w:tcBorders>
            <w:shd w:val="clear" w:color="auto" w:fill="auto"/>
            <w:noWrap/>
            <w:vAlign w:val="bottom"/>
            <w:hideMark/>
          </w:tcPr>
          <w:p w14:paraId="2EAAA3E5" w14:textId="77777777" w:rsidR="004C19ED" w:rsidRPr="00E42115" w:rsidRDefault="004C19ED" w:rsidP="003E2CCD">
            <w:pPr>
              <w:jc w:val="right"/>
              <w:rPr>
                <w:rFonts w:ascii="Calibri" w:eastAsia="Times New Roman" w:hAnsi="Calibri" w:cs="Calibri"/>
                <w:color w:val="000000"/>
                <w:sz w:val="22"/>
                <w:lang w:eastAsia="pt-BR"/>
              </w:rPr>
            </w:pPr>
            <w:r>
              <w:rPr>
                <w:rFonts w:ascii="Calibri" w:eastAsia="Times New Roman" w:hAnsi="Calibri" w:cs="Calibri"/>
                <w:color w:val="000000"/>
                <w:sz w:val="22"/>
                <w:lang w:eastAsia="pt-BR"/>
              </w:rPr>
              <w:t>-35,13</w:t>
            </w:r>
          </w:p>
        </w:tc>
      </w:tr>
      <w:tr w:rsidR="004C19ED" w:rsidRPr="00E42115" w14:paraId="59A2DF7B" w14:textId="77777777" w:rsidTr="003E2CCD">
        <w:trPr>
          <w:trHeight w:val="306"/>
        </w:trPr>
        <w:tc>
          <w:tcPr>
            <w:tcW w:w="3720" w:type="dxa"/>
            <w:tcBorders>
              <w:top w:val="nil"/>
              <w:left w:val="nil"/>
              <w:bottom w:val="nil"/>
              <w:right w:val="nil"/>
            </w:tcBorders>
            <w:shd w:val="clear" w:color="D9D9D9" w:fill="D9D9D9"/>
            <w:noWrap/>
            <w:vAlign w:val="bottom"/>
            <w:hideMark/>
          </w:tcPr>
          <w:p w14:paraId="3570CF43" w14:textId="77777777" w:rsidR="004C19ED" w:rsidRPr="00E42115" w:rsidRDefault="004C19ED" w:rsidP="003E2CCD">
            <w:pPr>
              <w:jc w:val="right"/>
              <w:rPr>
                <w:rFonts w:ascii="Calibri" w:eastAsia="Times New Roman" w:hAnsi="Calibri" w:cs="Calibri"/>
                <w:color w:val="000000"/>
                <w:sz w:val="22"/>
                <w:lang w:eastAsia="pt-BR"/>
              </w:rPr>
            </w:pPr>
          </w:p>
        </w:tc>
        <w:tc>
          <w:tcPr>
            <w:tcW w:w="2036" w:type="dxa"/>
            <w:tcBorders>
              <w:top w:val="nil"/>
              <w:left w:val="nil"/>
              <w:bottom w:val="nil"/>
              <w:right w:val="nil"/>
            </w:tcBorders>
            <w:shd w:val="clear" w:color="D9D9D9" w:fill="D9D9D9"/>
            <w:noWrap/>
            <w:vAlign w:val="bottom"/>
          </w:tcPr>
          <w:p w14:paraId="43CC1142" w14:textId="77777777" w:rsidR="004C19ED" w:rsidRPr="005D58EB" w:rsidRDefault="004C19ED" w:rsidP="003E2CCD">
            <w:pPr>
              <w:jc w:val="right"/>
              <w:rPr>
                <w:rFonts w:cs="Arial"/>
                <w:b/>
                <w:bCs/>
                <w:color w:val="FF0000"/>
                <w:szCs w:val="20"/>
              </w:rPr>
            </w:pPr>
            <w:r w:rsidRPr="005D58EB">
              <w:rPr>
                <w:rFonts w:cs="Arial"/>
                <w:b/>
                <w:bCs/>
                <w:color w:val="FF0000"/>
                <w:szCs w:val="20"/>
              </w:rPr>
              <w:t>-47.228.709.336,27</w:t>
            </w:r>
          </w:p>
        </w:tc>
        <w:tc>
          <w:tcPr>
            <w:tcW w:w="2252" w:type="dxa"/>
            <w:tcBorders>
              <w:top w:val="nil"/>
              <w:left w:val="nil"/>
              <w:bottom w:val="nil"/>
              <w:right w:val="nil"/>
            </w:tcBorders>
            <w:shd w:val="clear" w:color="D9D9D9" w:fill="D9D9D9"/>
            <w:noWrap/>
            <w:vAlign w:val="bottom"/>
            <w:hideMark/>
          </w:tcPr>
          <w:p w14:paraId="06BEFB9A" w14:textId="77777777" w:rsidR="004C19ED" w:rsidRPr="00E42115" w:rsidRDefault="004C19ED" w:rsidP="003E2CCD">
            <w:pPr>
              <w:jc w:val="right"/>
              <w:rPr>
                <w:rFonts w:ascii="Calibri" w:eastAsia="Times New Roman" w:hAnsi="Calibri" w:cs="Calibri"/>
                <w:b/>
                <w:bCs/>
                <w:color w:val="000000"/>
                <w:sz w:val="22"/>
                <w:lang w:eastAsia="pt-BR"/>
              </w:rPr>
            </w:pPr>
            <w:r w:rsidRPr="006D0C9A">
              <w:rPr>
                <w:rFonts w:cs="Arial"/>
                <w:b/>
                <w:color w:val="FF0000"/>
                <w:szCs w:val="20"/>
              </w:rPr>
              <w:t>-35.504.757.215,75</w:t>
            </w:r>
          </w:p>
        </w:tc>
        <w:tc>
          <w:tcPr>
            <w:tcW w:w="1842" w:type="dxa"/>
            <w:tcBorders>
              <w:top w:val="nil"/>
              <w:left w:val="nil"/>
              <w:bottom w:val="nil"/>
              <w:right w:val="nil"/>
            </w:tcBorders>
            <w:shd w:val="clear" w:color="D9D9D9" w:fill="D9D9D9"/>
            <w:noWrap/>
            <w:vAlign w:val="bottom"/>
            <w:hideMark/>
          </w:tcPr>
          <w:p w14:paraId="67C708A0" w14:textId="77777777" w:rsidR="004C19ED" w:rsidRPr="00E42115" w:rsidRDefault="004C19ED" w:rsidP="003E2CCD">
            <w:pPr>
              <w:jc w:val="right"/>
              <w:rPr>
                <w:rFonts w:ascii="Calibri" w:eastAsia="Times New Roman" w:hAnsi="Calibri" w:cs="Calibri"/>
                <w:b/>
                <w:bCs/>
                <w:color w:val="000000"/>
                <w:sz w:val="22"/>
                <w:lang w:eastAsia="pt-BR"/>
              </w:rPr>
            </w:pPr>
            <w:r>
              <w:rPr>
                <w:rFonts w:ascii="Calibri" w:eastAsia="Times New Roman" w:hAnsi="Calibri" w:cs="Calibri"/>
                <w:b/>
                <w:bCs/>
                <w:color w:val="000000"/>
                <w:sz w:val="22"/>
                <w:lang w:eastAsia="pt-BR"/>
              </w:rPr>
              <w:t>-33,02</w:t>
            </w:r>
          </w:p>
        </w:tc>
      </w:tr>
      <w:tr w:rsidR="004C19ED" w:rsidRPr="00E42115" w14:paraId="61473E53" w14:textId="77777777" w:rsidTr="003E2CCD">
        <w:trPr>
          <w:trHeight w:val="306"/>
        </w:trPr>
        <w:tc>
          <w:tcPr>
            <w:tcW w:w="3720" w:type="dxa"/>
            <w:tcBorders>
              <w:top w:val="nil"/>
              <w:left w:val="nil"/>
              <w:bottom w:val="nil"/>
              <w:right w:val="nil"/>
            </w:tcBorders>
            <w:shd w:val="clear" w:color="auto" w:fill="auto"/>
            <w:noWrap/>
            <w:vAlign w:val="bottom"/>
            <w:hideMark/>
          </w:tcPr>
          <w:p w14:paraId="5864471A" w14:textId="77777777" w:rsidR="004C19ED" w:rsidRPr="00E42115" w:rsidRDefault="004C19ED" w:rsidP="003E2CCD">
            <w:pPr>
              <w:jc w:val="right"/>
              <w:rPr>
                <w:rFonts w:ascii="Calibri" w:eastAsia="Times New Roman" w:hAnsi="Calibri" w:cs="Calibri"/>
                <w:b/>
                <w:bCs/>
                <w:color w:val="000000"/>
                <w:sz w:val="22"/>
                <w:lang w:eastAsia="pt-BR"/>
              </w:rPr>
            </w:pPr>
          </w:p>
        </w:tc>
        <w:tc>
          <w:tcPr>
            <w:tcW w:w="2036" w:type="dxa"/>
            <w:tcBorders>
              <w:top w:val="nil"/>
              <w:left w:val="nil"/>
              <w:bottom w:val="nil"/>
              <w:right w:val="nil"/>
            </w:tcBorders>
            <w:shd w:val="clear" w:color="auto" w:fill="auto"/>
            <w:noWrap/>
            <w:vAlign w:val="bottom"/>
          </w:tcPr>
          <w:p w14:paraId="1A088CFC" w14:textId="77777777" w:rsidR="004C19ED" w:rsidRPr="00E42115" w:rsidRDefault="004C19ED" w:rsidP="003E2CCD">
            <w:pPr>
              <w:jc w:val="left"/>
              <w:rPr>
                <w:rFonts w:ascii="Times New Roman" w:eastAsia="Times New Roman" w:hAnsi="Times New Roman" w:cs="Times New Roman"/>
                <w:szCs w:val="20"/>
                <w:lang w:eastAsia="pt-BR"/>
              </w:rPr>
            </w:pPr>
          </w:p>
        </w:tc>
        <w:tc>
          <w:tcPr>
            <w:tcW w:w="2252" w:type="dxa"/>
            <w:tcBorders>
              <w:top w:val="nil"/>
              <w:left w:val="nil"/>
              <w:bottom w:val="nil"/>
              <w:right w:val="nil"/>
            </w:tcBorders>
            <w:shd w:val="clear" w:color="auto" w:fill="auto"/>
            <w:noWrap/>
            <w:vAlign w:val="bottom"/>
            <w:hideMark/>
          </w:tcPr>
          <w:p w14:paraId="55155F89" w14:textId="77777777" w:rsidR="004C19ED" w:rsidRPr="00E42115" w:rsidRDefault="004C19ED" w:rsidP="003E2CCD">
            <w:pPr>
              <w:jc w:val="left"/>
              <w:rPr>
                <w:rFonts w:ascii="Times New Roman" w:eastAsia="Times New Roman" w:hAnsi="Times New Roman" w:cs="Times New Roman"/>
                <w:szCs w:val="20"/>
                <w:lang w:eastAsia="pt-BR"/>
              </w:rPr>
            </w:pPr>
          </w:p>
        </w:tc>
        <w:tc>
          <w:tcPr>
            <w:tcW w:w="1842" w:type="dxa"/>
            <w:tcBorders>
              <w:top w:val="nil"/>
              <w:left w:val="nil"/>
              <w:bottom w:val="nil"/>
              <w:right w:val="nil"/>
            </w:tcBorders>
            <w:shd w:val="clear" w:color="auto" w:fill="auto"/>
            <w:noWrap/>
            <w:vAlign w:val="bottom"/>
            <w:hideMark/>
          </w:tcPr>
          <w:p w14:paraId="2FFEE941" w14:textId="77777777" w:rsidR="004C19ED" w:rsidRPr="00E42115" w:rsidRDefault="004C19ED" w:rsidP="003E2CCD">
            <w:pPr>
              <w:jc w:val="left"/>
              <w:rPr>
                <w:rFonts w:ascii="Times New Roman" w:eastAsia="Times New Roman" w:hAnsi="Times New Roman" w:cs="Times New Roman"/>
                <w:szCs w:val="20"/>
                <w:lang w:eastAsia="pt-BR"/>
              </w:rPr>
            </w:pPr>
          </w:p>
        </w:tc>
      </w:tr>
      <w:tr w:rsidR="004C19ED" w:rsidRPr="00E42115" w14:paraId="598B8500" w14:textId="77777777" w:rsidTr="003E2CCD">
        <w:trPr>
          <w:trHeight w:val="306"/>
        </w:trPr>
        <w:tc>
          <w:tcPr>
            <w:tcW w:w="3720" w:type="dxa"/>
            <w:tcBorders>
              <w:top w:val="nil"/>
              <w:left w:val="nil"/>
              <w:bottom w:val="nil"/>
              <w:right w:val="nil"/>
            </w:tcBorders>
            <w:shd w:val="clear" w:color="D9D9D9" w:fill="D9D9D9"/>
            <w:noWrap/>
            <w:vAlign w:val="bottom"/>
            <w:hideMark/>
          </w:tcPr>
          <w:p w14:paraId="052EDC95" w14:textId="77777777" w:rsidR="004C19ED" w:rsidRPr="00E42115" w:rsidRDefault="004C19ED" w:rsidP="003E2CCD">
            <w:pPr>
              <w:jc w:val="left"/>
              <w:rPr>
                <w:rFonts w:ascii="Calibri" w:eastAsia="Times New Roman" w:hAnsi="Calibri" w:cs="Calibri"/>
                <w:color w:val="000000"/>
                <w:sz w:val="22"/>
                <w:lang w:eastAsia="pt-BR"/>
              </w:rPr>
            </w:pPr>
            <w:r w:rsidRPr="00E42115">
              <w:rPr>
                <w:rFonts w:ascii="Calibri" w:eastAsia="Times New Roman" w:hAnsi="Calibri" w:cs="Calibri"/>
                <w:color w:val="000000"/>
                <w:sz w:val="22"/>
                <w:lang w:eastAsia="pt-BR"/>
              </w:rPr>
              <w:t>Transferências Financeiras Recebidas</w:t>
            </w:r>
          </w:p>
        </w:tc>
        <w:tc>
          <w:tcPr>
            <w:tcW w:w="2036" w:type="dxa"/>
            <w:tcBorders>
              <w:top w:val="nil"/>
              <w:left w:val="nil"/>
              <w:bottom w:val="nil"/>
              <w:right w:val="nil"/>
            </w:tcBorders>
            <w:shd w:val="clear" w:color="D9D9D9" w:fill="D9D9D9"/>
            <w:noWrap/>
            <w:vAlign w:val="bottom"/>
          </w:tcPr>
          <w:p w14:paraId="71D0FF37" w14:textId="77777777" w:rsidR="004C19ED" w:rsidRPr="00E42115" w:rsidRDefault="004C19ED" w:rsidP="003E2CCD">
            <w:pPr>
              <w:jc w:val="right"/>
              <w:rPr>
                <w:rFonts w:ascii="Calibri" w:eastAsia="Times New Roman" w:hAnsi="Calibri" w:cs="Calibri"/>
                <w:color w:val="000000"/>
                <w:sz w:val="22"/>
                <w:lang w:eastAsia="pt-BR"/>
              </w:rPr>
            </w:pPr>
            <w:r w:rsidRPr="005D58EB">
              <w:rPr>
                <w:rFonts w:ascii="Calibri" w:eastAsia="Times New Roman" w:hAnsi="Calibri" w:cs="Calibri"/>
                <w:color w:val="000000"/>
                <w:sz w:val="22"/>
                <w:lang w:eastAsia="pt-BR"/>
              </w:rPr>
              <w:t>91</w:t>
            </w:r>
            <w:r>
              <w:rPr>
                <w:rFonts w:ascii="Calibri" w:eastAsia="Times New Roman" w:hAnsi="Calibri" w:cs="Calibri"/>
                <w:color w:val="000000"/>
                <w:sz w:val="22"/>
                <w:lang w:eastAsia="pt-BR"/>
              </w:rPr>
              <w:t>.</w:t>
            </w:r>
            <w:r w:rsidRPr="005D58EB">
              <w:rPr>
                <w:rFonts w:ascii="Calibri" w:eastAsia="Times New Roman" w:hAnsi="Calibri" w:cs="Calibri"/>
                <w:color w:val="000000"/>
                <w:sz w:val="22"/>
                <w:lang w:eastAsia="pt-BR"/>
              </w:rPr>
              <w:t>132</w:t>
            </w:r>
            <w:r>
              <w:rPr>
                <w:rFonts w:ascii="Calibri" w:eastAsia="Times New Roman" w:hAnsi="Calibri" w:cs="Calibri"/>
                <w:color w:val="000000"/>
                <w:sz w:val="22"/>
                <w:lang w:eastAsia="pt-BR"/>
              </w:rPr>
              <w:t>.</w:t>
            </w:r>
            <w:r w:rsidRPr="005D58EB">
              <w:rPr>
                <w:rFonts w:ascii="Calibri" w:eastAsia="Times New Roman" w:hAnsi="Calibri" w:cs="Calibri"/>
                <w:color w:val="000000"/>
                <w:sz w:val="22"/>
                <w:lang w:eastAsia="pt-BR"/>
              </w:rPr>
              <w:t>457</w:t>
            </w:r>
            <w:r>
              <w:rPr>
                <w:rFonts w:ascii="Calibri" w:eastAsia="Times New Roman" w:hAnsi="Calibri" w:cs="Calibri"/>
                <w:color w:val="000000"/>
                <w:sz w:val="22"/>
                <w:lang w:eastAsia="pt-BR"/>
              </w:rPr>
              <w:t>.</w:t>
            </w:r>
            <w:r w:rsidRPr="005D58EB">
              <w:rPr>
                <w:rFonts w:ascii="Calibri" w:eastAsia="Times New Roman" w:hAnsi="Calibri" w:cs="Calibri"/>
                <w:color w:val="000000"/>
                <w:sz w:val="22"/>
                <w:lang w:eastAsia="pt-BR"/>
              </w:rPr>
              <w:t>051,56</w:t>
            </w:r>
          </w:p>
        </w:tc>
        <w:tc>
          <w:tcPr>
            <w:tcW w:w="2252" w:type="dxa"/>
            <w:tcBorders>
              <w:top w:val="nil"/>
              <w:left w:val="nil"/>
              <w:bottom w:val="nil"/>
              <w:right w:val="nil"/>
            </w:tcBorders>
            <w:shd w:val="clear" w:color="D9D9D9" w:fill="D9D9D9"/>
            <w:noWrap/>
            <w:vAlign w:val="bottom"/>
            <w:hideMark/>
          </w:tcPr>
          <w:p w14:paraId="79DBDEEF" w14:textId="77777777" w:rsidR="004C19ED" w:rsidRPr="00E42115" w:rsidRDefault="004C19ED" w:rsidP="003E2CCD">
            <w:pPr>
              <w:jc w:val="right"/>
              <w:rPr>
                <w:rFonts w:ascii="Calibri" w:eastAsia="Times New Roman" w:hAnsi="Calibri" w:cs="Calibri"/>
                <w:color w:val="000000"/>
                <w:sz w:val="22"/>
                <w:lang w:eastAsia="pt-BR"/>
              </w:rPr>
            </w:pPr>
            <w:r w:rsidRPr="00D844BC">
              <w:rPr>
                <w:rFonts w:ascii="Calibri" w:eastAsia="Times New Roman" w:hAnsi="Calibri" w:cs="Calibri"/>
                <w:color w:val="000000"/>
                <w:sz w:val="22"/>
                <w:lang w:eastAsia="pt-BR"/>
              </w:rPr>
              <w:t>55.788.441.521,51</w:t>
            </w:r>
          </w:p>
        </w:tc>
        <w:tc>
          <w:tcPr>
            <w:tcW w:w="1842" w:type="dxa"/>
            <w:tcBorders>
              <w:top w:val="nil"/>
              <w:left w:val="nil"/>
              <w:bottom w:val="nil"/>
              <w:right w:val="nil"/>
            </w:tcBorders>
            <w:shd w:val="clear" w:color="D9D9D9" w:fill="D9D9D9"/>
            <w:noWrap/>
            <w:vAlign w:val="bottom"/>
            <w:hideMark/>
          </w:tcPr>
          <w:p w14:paraId="03045DB4" w14:textId="77777777" w:rsidR="004C19ED" w:rsidRPr="00E42115" w:rsidRDefault="004C19ED" w:rsidP="003E2CCD">
            <w:pPr>
              <w:jc w:val="right"/>
              <w:rPr>
                <w:rFonts w:ascii="Calibri" w:eastAsia="Times New Roman" w:hAnsi="Calibri" w:cs="Calibri"/>
                <w:color w:val="000000"/>
                <w:sz w:val="22"/>
                <w:lang w:eastAsia="pt-BR"/>
              </w:rPr>
            </w:pPr>
            <w:r>
              <w:rPr>
                <w:rFonts w:ascii="Calibri" w:eastAsia="Times New Roman" w:hAnsi="Calibri" w:cs="Calibri"/>
                <w:color w:val="000000"/>
                <w:sz w:val="22"/>
                <w:lang w:eastAsia="pt-BR"/>
              </w:rPr>
              <w:t>63,35</w:t>
            </w:r>
          </w:p>
        </w:tc>
      </w:tr>
      <w:tr w:rsidR="004C19ED" w:rsidRPr="00E42115" w14:paraId="3E2014E1" w14:textId="77777777" w:rsidTr="003E2CCD">
        <w:trPr>
          <w:trHeight w:val="306"/>
        </w:trPr>
        <w:tc>
          <w:tcPr>
            <w:tcW w:w="3720" w:type="dxa"/>
            <w:tcBorders>
              <w:top w:val="nil"/>
              <w:left w:val="nil"/>
              <w:bottom w:val="nil"/>
              <w:right w:val="nil"/>
            </w:tcBorders>
            <w:shd w:val="clear" w:color="auto" w:fill="auto"/>
            <w:noWrap/>
            <w:vAlign w:val="bottom"/>
            <w:hideMark/>
          </w:tcPr>
          <w:p w14:paraId="587A3D33" w14:textId="77777777" w:rsidR="004C19ED" w:rsidRPr="00E42115" w:rsidRDefault="004C19ED" w:rsidP="003E2CCD">
            <w:pPr>
              <w:jc w:val="left"/>
              <w:rPr>
                <w:rFonts w:ascii="Calibri" w:eastAsia="Times New Roman" w:hAnsi="Calibri" w:cs="Calibri"/>
                <w:color w:val="000000"/>
                <w:sz w:val="22"/>
                <w:lang w:eastAsia="pt-BR"/>
              </w:rPr>
            </w:pPr>
            <w:r w:rsidRPr="00E42115">
              <w:rPr>
                <w:rFonts w:ascii="Calibri" w:eastAsia="Times New Roman" w:hAnsi="Calibri" w:cs="Calibri"/>
                <w:color w:val="000000"/>
                <w:sz w:val="22"/>
                <w:lang w:eastAsia="pt-BR"/>
              </w:rPr>
              <w:t>Transferências Financeiras Concedidas</w:t>
            </w:r>
          </w:p>
        </w:tc>
        <w:tc>
          <w:tcPr>
            <w:tcW w:w="2036" w:type="dxa"/>
            <w:tcBorders>
              <w:top w:val="nil"/>
              <w:left w:val="nil"/>
              <w:bottom w:val="nil"/>
              <w:right w:val="nil"/>
            </w:tcBorders>
            <w:shd w:val="clear" w:color="auto" w:fill="auto"/>
            <w:noWrap/>
            <w:vAlign w:val="bottom"/>
          </w:tcPr>
          <w:p w14:paraId="648AA318" w14:textId="77777777" w:rsidR="004C19ED" w:rsidRPr="00E42115" w:rsidRDefault="004C19ED" w:rsidP="003E2CCD">
            <w:pPr>
              <w:jc w:val="right"/>
              <w:rPr>
                <w:rFonts w:ascii="Calibri" w:eastAsia="Times New Roman" w:hAnsi="Calibri" w:cs="Calibri"/>
                <w:color w:val="000000"/>
                <w:sz w:val="22"/>
                <w:u w:val="single"/>
                <w:lang w:eastAsia="pt-BR"/>
              </w:rPr>
            </w:pPr>
            <w:r w:rsidRPr="005D58EB">
              <w:rPr>
                <w:rFonts w:ascii="Calibri" w:eastAsia="Times New Roman" w:hAnsi="Calibri" w:cs="Calibri"/>
                <w:color w:val="FF0000"/>
                <w:sz w:val="22"/>
                <w:u w:val="single"/>
                <w:lang w:eastAsia="pt-BR"/>
              </w:rPr>
              <w:t>-46.372.749.412,83</w:t>
            </w:r>
          </w:p>
        </w:tc>
        <w:tc>
          <w:tcPr>
            <w:tcW w:w="2252" w:type="dxa"/>
            <w:tcBorders>
              <w:top w:val="nil"/>
              <w:left w:val="nil"/>
              <w:bottom w:val="nil"/>
              <w:right w:val="nil"/>
            </w:tcBorders>
            <w:shd w:val="clear" w:color="auto" w:fill="auto"/>
            <w:noWrap/>
            <w:vAlign w:val="bottom"/>
            <w:hideMark/>
          </w:tcPr>
          <w:p w14:paraId="359FBA31" w14:textId="77777777" w:rsidR="004C19ED" w:rsidRPr="00E42115" w:rsidRDefault="004C19ED" w:rsidP="003E2CCD">
            <w:pPr>
              <w:jc w:val="right"/>
              <w:rPr>
                <w:rFonts w:ascii="Calibri" w:eastAsia="Times New Roman" w:hAnsi="Calibri" w:cs="Calibri"/>
                <w:color w:val="000000"/>
                <w:sz w:val="22"/>
                <w:u w:val="single"/>
                <w:lang w:eastAsia="pt-BR"/>
              </w:rPr>
            </w:pPr>
            <w:r>
              <w:rPr>
                <w:rFonts w:ascii="Calibri" w:eastAsia="Times New Roman" w:hAnsi="Calibri" w:cs="Calibri"/>
                <w:color w:val="FF0000"/>
                <w:sz w:val="22"/>
                <w:u w:val="single"/>
                <w:lang w:eastAsia="pt-BR"/>
              </w:rPr>
              <w:t>-</w:t>
            </w:r>
            <w:r w:rsidRPr="00D844BC">
              <w:rPr>
                <w:rFonts w:ascii="Calibri" w:eastAsia="Times New Roman" w:hAnsi="Calibri" w:cs="Calibri"/>
                <w:color w:val="FF0000"/>
                <w:sz w:val="22"/>
                <w:u w:val="single"/>
                <w:lang w:eastAsia="pt-BR"/>
              </w:rPr>
              <w:t>28.455.919.175,38</w:t>
            </w:r>
          </w:p>
        </w:tc>
        <w:tc>
          <w:tcPr>
            <w:tcW w:w="1842" w:type="dxa"/>
            <w:tcBorders>
              <w:top w:val="nil"/>
              <w:left w:val="nil"/>
              <w:bottom w:val="nil"/>
              <w:right w:val="nil"/>
            </w:tcBorders>
            <w:shd w:val="clear" w:color="auto" w:fill="auto"/>
            <w:noWrap/>
            <w:vAlign w:val="bottom"/>
            <w:hideMark/>
          </w:tcPr>
          <w:p w14:paraId="4BB6C7E9" w14:textId="77777777" w:rsidR="004C19ED" w:rsidRPr="00E42115" w:rsidRDefault="004C19ED" w:rsidP="003E2CCD">
            <w:pPr>
              <w:jc w:val="right"/>
              <w:rPr>
                <w:rFonts w:ascii="Calibri" w:eastAsia="Times New Roman" w:hAnsi="Calibri" w:cs="Calibri"/>
                <w:color w:val="000000"/>
                <w:sz w:val="22"/>
                <w:lang w:eastAsia="pt-BR"/>
              </w:rPr>
            </w:pPr>
            <w:r>
              <w:rPr>
                <w:rFonts w:ascii="Calibri" w:eastAsia="Times New Roman" w:hAnsi="Calibri" w:cs="Calibri"/>
                <w:color w:val="000000"/>
                <w:sz w:val="22"/>
                <w:lang w:eastAsia="pt-BR"/>
              </w:rPr>
              <w:t>-62,96</w:t>
            </w:r>
          </w:p>
        </w:tc>
      </w:tr>
      <w:tr w:rsidR="004C19ED" w:rsidRPr="00E42115" w14:paraId="39BA95F5" w14:textId="77777777" w:rsidTr="003E2CCD">
        <w:trPr>
          <w:trHeight w:val="306"/>
        </w:trPr>
        <w:tc>
          <w:tcPr>
            <w:tcW w:w="3720" w:type="dxa"/>
            <w:tcBorders>
              <w:top w:val="nil"/>
              <w:left w:val="nil"/>
              <w:bottom w:val="nil"/>
              <w:right w:val="nil"/>
            </w:tcBorders>
            <w:shd w:val="clear" w:color="D9D9D9" w:fill="D9D9D9"/>
            <w:noWrap/>
            <w:vAlign w:val="bottom"/>
            <w:hideMark/>
          </w:tcPr>
          <w:p w14:paraId="6FCDD068" w14:textId="77777777" w:rsidR="004C19ED" w:rsidRPr="00E42115" w:rsidRDefault="004C19ED" w:rsidP="003E2CCD">
            <w:pPr>
              <w:jc w:val="right"/>
              <w:rPr>
                <w:rFonts w:ascii="Calibri" w:eastAsia="Times New Roman" w:hAnsi="Calibri" w:cs="Calibri"/>
                <w:color w:val="000000"/>
                <w:sz w:val="22"/>
                <w:lang w:eastAsia="pt-BR"/>
              </w:rPr>
            </w:pPr>
          </w:p>
        </w:tc>
        <w:tc>
          <w:tcPr>
            <w:tcW w:w="2036" w:type="dxa"/>
            <w:tcBorders>
              <w:top w:val="nil"/>
              <w:left w:val="nil"/>
              <w:bottom w:val="nil"/>
              <w:right w:val="nil"/>
            </w:tcBorders>
            <w:shd w:val="clear" w:color="D9D9D9" w:fill="D9D9D9"/>
            <w:noWrap/>
            <w:vAlign w:val="bottom"/>
          </w:tcPr>
          <w:p w14:paraId="45C1095C" w14:textId="77777777" w:rsidR="004C19ED" w:rsidRPr="005D58EB" w:rsidRDefault="004C19ED" w:rsidP="003E2CCD">
            <w:pPr>
              <w:jc w:val="right"/>
              <w:rPr>
                <w:rFonts w:cs="Arial"/>
                <w:b/>
                <w:bCs/>
                <w:szCs w:val="20"/>
              </w:rPr>
            </w:pPr>
            <w:r w:rsidRPr="005D58EB">
              <w:rPr>
                <w:rFonts w:cs="Arial"/>
                <w:b/>
                <w:bCs/>
                <w:szCs w:val="20"/>
              </w:rPr>
              <w:t>44.759.707.638,73</w:t>
            </w:r>
          </w:p>
        </w:tc>
        <w:tc>
          <w:tcPr>
            <w:tcW w:w="2252" w:type="dxa"/>
            <w:tcBorders>
              <w:top w:val="nil"/>
              <w:left w:val="nil"/>
              <w:bottom w:val="nil"/>
              <w:right w:val="nil"/>
            </w:tcBorders>
            <w:shd w:val="clear" w:color="D9D9D9" w:fill="D9D9D9"/>
            <w:noWrap/>
            <w:vAlign w:val="bottom"/>
            <w:hideMark/>
          </w:tcPr>
          <w:p w14:paraId="1990F7B3" w14:textId="77777777" w:rsidR="004C19ED" w:rsidRPr="00E42115" w:rsidRDefault="004C19ED" w:rsidP="003E2CCD">
            <w:pPr>
              <w:jc w:val="right"/>
              <w:rPr>
                <w:rFonts w:ascii="Calibri" w:eastAsia="Times New Roman" w:hAnsi="Calibri" w:cs="Calibri"/>
                <w:b/>
                <w:bCs/>
                <w:color w:val="000000"/>
                <w:sz w:val="22"/>
                <w:lang w:eastAsia="pt-BR"/>
              </w:rPr>
            </w:pPr>
            <w:r w:rsidRPr="00491DBA">
              <w:rPr>
                <w:rFonts w:ascii="Calibri" w:eastAsia="Times New Roman" w:hAnsi="Calibri" w:cs="Calibri"/>
                <w:b/>
                <w:bCs/>
                <w:sz w:val="22"/>
                <w:lang w:eastAsia="pt-BR"/>
              </w:rPr>
              <w:t>27.332.522.346,13</w:t>
            </w:r>
          </w:p>
        </w:tc>
        <w:tc>
          <w:tcPr>
            <w:tcW w:w="1842" w:type="dxa"/>
            <w:tcBorders>
              <w:top w:val="nil"/>
              <w:left w:val="nil"/>
              <w:bottom w:val="nil"/>
              <w:right w:val="nil"/>
            </w:tcBorders>
            <w:shd w:val="clear" w:color="D9D9D9" w:fill="D9D9D9"/>
            <w:noWrap/>
            <w:vAlign w:val="bottom"/>
            <w:hideMark/>
          </w:tcPr>
          <w:p w14:paraId="697B495E" w14:textId="77777777" w:rsidR="004C19ED" w:rsidRPr="00E42115" w:rsidRDefault="004C19ED" w:rsidP="003E2CCD">
            <w:pPr>
              <w:jc w:val="right"/>
              <w:rPr>
                <w:rFonts w:ascii="Calibri" w:eastAsia="Times New Roman" w:hAnsi="Calibri" w:cs="Calibri"/>
                <w:b/>
                <w:bCs/>
                <w:color w:val="000000"/>
                <w:sz w:val="22"/>
                <w:lang w:eastAsia="pt-BR"/>
              </w:rPr>
            </w:pPr>
            <w:r>
              <w:rPr>
                <w:rFonts w:ascii="Calibri" w:eastAsia="Times New Roman" w:hAnsi="Calibri" w:cs="Calibri"/>
                <w:b/>
                <w:bCs/>
                <w:color w:val="000000"/>
                <w:sz w:val="22"/>
                <w:lang w:eastAsia="pt-BR"/>
              </w:rPr>
              <w:t>63,76</w:t>
            </w:r>
          </w:p>
        </w:tc>
      </w:tr>
      <w:tr w:rsidR="004C19ED" w:rsidRPr="00E42115" w14:paraId="6D9D0E0F" w14:textId="77777777" w:rsidTr="003E2CCD">
        <w:trPr>
          <w:trHeight w:val="306"/>
        </w:trPr>
        <w:tc>
          <w:tcPr>
            <w:tcW w:w="3720" w:type="dxa"/>
            <w:tcBorders>
              <w:top w:val="nil"/>
              <w:left w:val="nil"/>
              <w:bottom w:val="nil"/>
              <w:right w:val="nil"/>
            </w:tcBorders>
            <w:shd w:val="clear" w:color="auto" w:fill="auto"/>
            <w:noWrap/>
            <w:vAlign w:val="bottom"/>
            <w:hideMark/>
          </w:tcPr>
          <w:p w14:paraId="4617A6AE" w14:textId="77777777" w:rsidR="004C19ED" w:rsidRPr="00E42115" w:rsidRDefault="004C19ED" w:rsidP="003E2CCD">
            <w:pPr>
              <w:jc w:val="right"/>
              <w:rPr>
                <w:rFonts w:ascii="Calibri" w:eastAsia="Times New Roman" w:hAnsi="Calibri" w:cs="Calibri"/>
                <w:b/>
                <w:bCs/>
                <w:color w:val="000000"/>
                <w:sz w:val="22"/>
                <w:lang w:eastAsia="pt-BR"/>
              </w:rPr>
            </w:pPr>
          </w:p>
        </w:tc>
        <w:tc>
          <w:tcPr>
            <w:tcW w:w="2036" w:type="dxa"/>
            <w:tcBorders>
              <w:top w:val="nil"/>
              <w:left w:val="nil"/>
              <w:bottom w:val="nil"/>
              <w:right w:val="nil"/>
            </w:tcBorders>
            <w:shd w:val="clear" w:color="auto" w:fill="auto"/>
            <w:noWrap/>
            <w:vAlign w:val="bottom"/>
          </w:tcPr>
          <w:p w14:paraId="1462306A" w14:textId="77777777" w:rsidR="004C19ED" w:rsidRPr="00E42115" w:rsidRDefault="004C19ED" w:rsidP="003E2CCD">
            <w:pPr>
              <w:jc w:val="left"/>
              <w:rPr>
                <w:rFonts w:ascii="Times New Roman" w:eastAsia="Times New Roman" w:hAnsi="Times New Roman" w:cs="Times New Roman"/>
                <w:szCs w:val="20"/>
                <w:lang w:eastAsia="pt-BR"/>
              </w:rPr>
            </w:pPr>
          </w:p>
        </w:tc>
        <w:tc>
          <w:tcPr>
            <w:tcW w:w="2252" w:type="dxa"/>
            <w:tcBorders>
              <w:top w:val="nil"/>
              <w:left w:val="nil"/>
              <w:bottom w:val="nil"/>
              <w:right w:val="nil"/>
            </w:tcBorders>
            <w:shd w:val="clear" w:color="auto" w:fill="auto"/>
            <w:noWrap/>
            <w:vAlign w:val="bottom"/>
            <w:hideMark/>
          </w:tcPr>
          <w:p w14:paraId="15E805C3" w14:textId="77777777" w:rsidR="004C19ED" w:rsidRPr="00E42115" w:rsidRDefault="004C19ED" w:rsidP="003E2CCD">
            <w:pPr>
              <w:jc w:val="left"/>
              <w:rPr>
                <w:rFonts w:ascii="Times New Roman" w:eastAsia="Times New Roman" w:hAnsi="Times New Roman" w:cs="Times New Roman"/>
                <w:szCs w:val="20"/>
                <w:lang w:eastAsia="pt-BR"/>
              </w:rPr>
            </w:pPr>
          </w:p>
        </w:tc>
        <w:tc>
          <w:tcPr>
            <w:tcW w:w="1842" w:type="dxa"/>
            <w:tcBorders>
              <w:top w:val="nil"/>
              <w:left w:val="nil"/>
              <w:bottom w:val="nil"/>
              <w:right w:val="nil"/>
            </w:tcBorders>
            <w:shd w:val="clear" w:color="auto" w:fill="auto"/>
            <w:noWrap/>
            <w:vAlign w:val="bottom"/>
            <w:hideMark/>
          </w:tcPr>
          <w:p w14:paraId="0131C69C" w14:textId="77777777" w:rsidR="004C19ED" w:rsidRPr="00E42115" w:rsidRDefault="004C19ED" w:rsidP="003E2CCD">
            <w:pPr>
              <w:jc w:val="left"/>
              <w:rPr>
                <w:rFonts w:ascii="Times New Roman" w:eastAsia="Times New Roman" w:hAnsi="Times New Roman" w:cs="Times New Roman"/>
                <w:szCs w:val="20"/>
                <w:lang w:eastAsia="pt-BR"/>
              </w:rPr>
            </w:pPr>
          </w:p>
        </w:tc>
      </w:tr>
      <w:tr w:rsidR="004C19ED" w:rsidRPr="00E42115" w14:paraId="37D6F7BD" w14:textId="77777777" w:rsidTr="003E2CCD">
        <w:trPr>
          <w:trHeight w:val="306"/>
        </w:trPr>
        <w:tc>
          <w:tcPr>
            <w:tcW w:w="3720" w:type="dxa"/>
            <w:tcBorders>
              <w:top w:val="nil"/>
              <w:left w:val="nil"/>
              <w:bottom w:val="nil"/>
              <w:right w:val="nil"/>
            </w:tcBorders>
            <w:shd w:val="clear" w:color="D9D9D9" w:fill="D9D9D9"/>
            <w:noWrap/>
            <w:vAlign w:val="bottom"/>
            <w:hideMark/>
          </w:tcPr>
          <w:p w14:paraId="3D3148EA" w14:textId="77777777" w:rsidR="004C19ED" w:rsidRPr="00E42115" w:rsidRDefault="004C19ED" w:rsidP="003E2CCD">
            <w:pPr>
              <w:jc w:val="left"/>
              <w:rPr>
                <w:rFonts w:ascii="Calibri" w:eastAsia="Times New Roman" w:hAnsi="Calibri" w:cs="Calibri"/>
                <w:color w:val="000000"/>
                <w:sz w:val="22"/>
                <w:lang w:eastAsia="pt-BR"/>
              </w:rPr>
            </w:pPr>
            <w:r w:rsidRPr="00E42115">
              <w:rPr>
                <w:rFonts w:ascii="Calibri" w:eastAsia="Times New Roman" w:hAnsi="Calibri" w:cs="Calibri"/>
                <w:color w:val="000000"/>
                <w:sz w:val="22"/>
                <w:lang w:eastAsia="pt-BR"/>
              </w:rPr>
              <w:t>Recebimentos Extraorçamentários</w:t>
            </w:r>
          </w:p>
        </w:tc>
        <w:tc>
          <w:tcPr>
            <w:tcW w:w="2036" w:type="dxa"/>
            <w:tcBorders>
              <w:top w:val="nil"/>
              <w:left w:val="nil"/>
              <w:bottom w:val="nil"/>
              <w:right w:val="nil"/>
            </w:tcBorders>
            <w:shd w:val="clear" w:color="D9D9D9" w:fill="D9D9D9"/>
            <w:noWrap/>
            <w:vAlign w:val="bottom"/>
          </w:tcPr>
          <w:p w14:paraId="26C71AF1" w14:textId="77777777" w:rsidR="004C19ED" w:rsidRPr="00E42115" w:rsidRDefault="004C19ED" w:rsidP="003E2CCD">
            <w:pPr>
              <w:jc w:val="right"/>
              <w:rPr>
                <w:rFonts w:ascii="Calibri" w:eastAsia="Times New Roman" w:hAnsi="Calibri" w:cs="Calibri"/>
                <w:color w:val="000000"/>
                <w:sz w:val="22"/>
                <w:lang w:eastAsia="pt-BR"/>
              </w:rPr>
            </w:pPr>
            <w:r w:rsidRPr="005D58EB">
              <w:rPr>
                <w:rFonts w:ascii="Calibri" w:eastAsia="Times New Roman" w:hAnsi="Calibri" w:cs="Calibri"/>
                <w:color w:val="000000"/>
                <w:sz w:val="22"/>
                <w:lang w:eastAsia="pt-BR"/>
              </w:rPr>
              <w:t>8</w:t>
            </w:r>
            <w:r>
              <w:rPr>
                <w:rFonts w:ascii="Calibri" w:eastAsia="Times New Roman" w:hAnsi="Calibri" w:cs="Calibri"/>
                <w:color w:val="000000"/>
                <w:sz w:val="22"/>
                <w:lang w:eastAsia="pt-BR"/>
              </w:rPr>
              <w:t>.</w:t>
            </w:r>
            <w:r w:rsidRPr="005D58EB">
              <w:rPr>
                <w:rFonts w:ascii="Calibri" w:eastAsia="Times New Roman" w:hAnsi="Calibri" w:cs="Calibri"/>
                <w:color w:val="000000"/>
                <w:sz w:val="22"/>
                <w:lang w:eastAsia="pt-BR"/>
              </w:rPr>
              <w:t>864</w:t>
            </w:r>
            <w:r>
              <w:rPr>
                <w:rFonts w:ascii="Calibri" w:eastAsia="Times New Roman" w:hAnsi="Calibri" w:cs="Calibri"/>
                <w:color w:val="000000"/>
                <w:sz w:val="22"/>
                <w:lang w:eastAsia="pt-BR"/>
              </w:rPr>
              <w:t>.</w:t>
            </w:r>
            <w:r w:rsidRPr="005D58EB">
              <w:rPr>
                <w:rFonts w:ascii="Calibri" w:eastAsia="Times New Roman" w:hAnsi="Calibri" w:cs="Calibri"/>
                <w:color w:val="000000"/>
                <w:sz w:val="22"/>
                <w:lang w:eastAsia="pt-BR"/>
              </w:rPr>
              <w:t>288</w:t>
            </w:r>
            <w:r>
              <w:rPr>
                <w:rFonts w:ascii="Calibri" w:eastAsia="Times New Roman" w:hAnsi="Calibri" w:cs="Calibri"/>
                <w:color w:val="000000"/>
                <w:sz w:val="22"/>
                <w:lang w:eastAsia="pt-BR"/>
              </w:rPr>
              <w:t>.</w:t>
            </w:r>
            <w:r w:rsidRPr="005D58EB">
              <w:rPr>
                <w:rFonts w:ascii="Calibri" w:eastAsia="Times New Roman" w:hAnsi="Calibri" w:cs="Calibri"/>
                <w:color w:val="000000"/>
                <w:sz w:val="22"/>
                <w:lang w:eastAsia="pt-BR"/>
              </w:rPr>
              <w:t>202,76</w:t>
            </w:r>
          </w:p>
        </w:tc>
        <w:tc>
          <w:tcPr>
            <w:tcW w:w="2252" w:type="dxa"/>
            <w:tcBorders>
              <w:top w:val="nil"/>
              <w:left w:val="nil"/>
              <w:bottom w:val="nil"/>
              <w:right w:val="nil"/>
            </w:tcBorders>
            <w:shd w:val="clear" w:color="D9D9D9" w:fill="D9D9D9"/>
            <w:noWrap/>
            <w:vAlign w:val="bottom"/>
            <w:hideMark/>
          </w:tcPr>
          <w:p w14:paraId="3F615289" w14:textId="77777777" w:rsidR="004C19ED" w:rsidRPr="00E42115" w:rsidRDefault="004C19ED" w:rsidP="003E2CCD">
            <w:pPr>
              <w:jc w:val="right"/>
              <w:rPr>
                <w:rFonts w:ascii="Calibri" w:eastAsia="Times New Roman" w:hAnsi="Calibri" w:cs="Calibri"/>
                <w:color w:val="000000"/>
                <w:sz w:val="22"/>
                <w:lang w:eastAsia="pt-BR"/>
              </w:rPr>
            </w:pPr>
            <w:r w:rsidRPr="00491DBA">
              <w:rPr>
                <w:rFonts w:ascii="Calibri" w:eastAsia="Times New Roman" w:hAnsi="Calibri" w:cs="Calibri"/>
                <w:color w:val="000000"/>
                <w:sz w:val="22"/>
                <w:lang w:eastAsia="pt-BR"/>
              </w:rPr>
              <w:t>10.868.528.654,54</w:t>
            </w:r>
          </w:p>
        </w:tc>
        <w:tc>
          <w:tcPr>
            <w:tcW w:w="1842" w:type="dxa"/>
            <w:tcBorders>
              <w:top w:val="nil"/>
              <w:left w:val="nil"/>
              <w:bottom w:val="nil"/>
              <w:right w:val="nil"/>
            </w:tcBorders>
            <w:shd w:val="clear" w:color="D9D9D9" w:fill="D9D9D9"/>
            <w:noWrap/>
            <w:vAlign w:val="bottom"/>
            <w:hideMark/>
          </w:tcPr>
          <w:p w14:paraId="13A83A73" w14:textId="77777777" w:rsidR="004C19ED" w:rsidRPr="00E42115" w:rsidRDefault="004C19ED" w:rsidP="003E2CCD">
            <w:pPr>
              <w:jc w:val="right"/>
              <w:rPr>
                <w:rFonts w:ascii="Calibri" w:eastAsia="Times New Roman" w:hAnsi="Calibri" w:cs="Calibri"/>
                <w:color w:val="000000"/>
                <w:sz w:val="22"/>
                <w:lang w:eastAsia="pt-BR"/>
              </w:rPr>
            </w:pPr>
            <w:r>
              <w:rPr>
                <w:rFonts w:ascii="Calibri" w:eastAsia="Times New Roman" w:hAnsi="Calibri" w:cs="Calibri"/>
                <w:color w:val="000000"/>
                <w:sz w:val="22"/>
                <w:lang w:eastAsia="pt-BR"/>
              </w:rPr>
              <w:t>-18,44</w:t>
            </w:r>
          </w:p>
        </w:tc>
      </w:tr>
      <w:tr w:rsidR="004C19ED" w:rsidRPr="00E42115" w14:paraId="64C6A90F" w14:textId="77777777" w:rsidTr="003E2CCD">
        <w:trPr>
          <w:trHeight w:val="306"/>
        </w:trPr>
        <w:tc>
          <w:tcPr>
            <w:tcW w:w="3720" w:type="dxa"/>
            <w:tcBorders>
              <w:top w:val="nil"/>
              <w:left w:val="nil"/>
              <w:bottom w:val="nil"/>
              <w:right w:val="nil"/>
            </w:tcBorders>
            <w:shd w:val="clear" w:color="auto" w:fill="auto"/>
            <w:noWrap/>
            <w:vAlign w:val="bottom"/>
            <w:hideMark/>
          </w:tcPr>
          <w:p w14:paraId="4CEADCB6" w14:textId="77777777" w:rsidR="004C19ED" w:rsidRPr="00E42115" w:rsidRDefault="004C19ED" w:rsidP="003E2CCD">
            <w:pPr>
              <w:jc w:val="left"/>
              <w:rPr>
                <w:rFonts w:ascii="Calibri" w:eastAsia="Times New Roman" w:hAnsi="Calibri" w:cs="Calibri"/>
                <w:color w:val="000000"/>
                <w:sz w:val="22"/>
                <w:lang w:eastAsia="pt-BR"/>
              </w:rPr>
            </w:pPr>
            <w:r w:rsidRPr="00E42115">
              <w:rPr>
                <w:rFonts w:ascii="Calibri" w:eastAsia="Times New Roman" w:hAnsi="Calibri" w:cs="Calibri"/>
                <w:color w:val="000000"/>
                <w:sz w:val="22"/>
                <w:lang w:eastAsia="pt-BR"/>
              </w:rPr>
              <w:t>Pagamentos Extraorçamentários</w:t>
            </w:r>
          </w:p>
        </w:tc>
        <w:tc>
          <w:tcPr>
            <w:tcW w:w="2036" w:type="dxa"/>
            <w:tcBorders>
              <w:top w:val="nil"/>
              <w:left w:val="nil"/>
              <w:bottom w:val="nil"/>
              <w:right w:val="nil"/>
            </w:tcBorders>
            <w:shd w:val="clear" w:color="auto" w:fill="auto"/>
            <w:noWrap/>
            <w:vAlign w:val="bottom"/>
          </w:tcPr>
          <w:p w14:paraId="6921FDCB" w14:textId="77777777" w:rsidR="004C19ED" w:rsidRPr="00E42115" w:rsidRDefault="004C19ED" w:rsidP="003E2CCD">
            <w:pPr>
              <w:jc w:val="right"/>
              <w:rPr>
                <w:rFonts w:ascii="Calibri" w:eastAsia="Times New Roman" w:hAnsi="Calibri" w:cs="Calibri"/>
                <w:color w:val="000000"/>
                <w:sz w:val="22"/>
                <w:u w:val="single"/>
                <w:lang w:eastAsia="pt-BR"/>
              </w:rPr>
            </w:pPr>
            <w:r w:rsidRPr="005D58EB">
              <w:rPr>
                <w:rFonts w:ascii="Calibri" w:eastAsia="Times New Roman" w:hAnsi="Calibri" w:cs="Calibri"/>
                <w:color w:val="FF0000"/>
                <w:sz w:val="22"/>
                <w:u w:val="single"/>
                <w:lang w:eastAsia="pt-BR"/>
              </w:rPr>
              <w:t>-5.740.549.109,47</w:t>
            </w:r>
          </w:p>
        </w:tc>
        <w:tc>
          <w:tcPr>
            <w:tcW w:w="2252" w:type="dxa"/>
            <w:tcBorders>
              <w:top w:val="nil"/>
              <w:left w:val="nil"/>
              <w:bottom w:val="nil"/>
              <w:right w:val="nil"/>
            </w:tcBorders>
            <w:shd w:val="clear" w:color="auto" w:fill="auto"/>
            <w:noWrap/>
            <w:vAlign w:val="bottom"/>
            <w:hideMark/>
          </w:tcPr>
          <w:p w14:paraId="5812401E" w14:textId="77777777" w:rsidR="004C19ED" w:rsidRPr="00E42115" w:rsidRDefault="004C19ED" w:rsidP="003E2CCD">
            <w:pPr>
              <w:jc w:val="right"/>
              <w:rPr>
                <w:rFonts w:ascii="Calibri" w:eastAsia="Times New Roman" w:hAnsi="Calibri" w:cs="Calibri"/>
                <w:color w:val="000000"/>
                <w:sz w:val="22"/>
                <w:u w:val="single"/>
                <w:lang w:eastAsia="pt-BR"/>
              </w:rPr>
            </w:pPr>
            <w:r>
              <w:rPr>
                <w:rFonts w:ascii="Calibri" w:eastAsia="Times New Roman" w:hAnsi="Calibri" w:cs="Calibri"/>
                <w:color w:val="FF0000"/>
                <w:sz w:val="22"/>
                <w:u w:val="single"/>
                <w:lang w:eastAsia="pt-BR"/>
              </w:rPr>
              <w:t>-</w:t>
            </w:r>
            <w:r w:rsidRPr="00491DBA">
              <w:rPr>
                <w:rFonts w:ascii="Calibri" w:eastAsia="Times New Roman" w:hAnsi="Calibri" w:cs="Calibri"/>
                <w:color w:val="FF0000"/>
                <w:sz w:val="22"/>
                <w:u w:val="single"/>
                <w:lang w:eastAsia="pt-BR"/>
              </w:rPr>
              <w:t>2.795.793.197,66</w:t>
            </w:r>
          </w:p>
        </w:tc>
        <w:tc>
          <w:tcPr>
            <w:tcW w:w="1842" w:type="dxa"/>
            <w:tcBorders>
              <w:top w:val="nil"/>
              <w:left w:val="nil"/>
              <w:bottom w:val="nil"/>
              <w:right w:val="nil"/>
            </w:tcBorders>
            <w:shd w:val="clear" w:color="auto" w:fill="auto"/>
            <w:noWrap/>
            <w:vAlign w:val="bottom"/>
            <w:hideMark/>
          </w:tcPr>
          <w:p w14:paraId="4F32A3E7" w14:textId="77777777" w:rsidR="004C19ED" w:rsidRPr="00E42115" w:rsidRDefault="004C19ED" w:rsidP="003E2CCD">
            <w:pPr>
              <w:jc w:val="right"/>
              <w:rPr>
                <w:rFonts w:ascii="Calibri" w:eastAsia="Times New Roman" w:hAnsi="Calibri" w:cs="Calibri"/>
                <w:color w:val="000000"/>
                <w:sz w:val="22"/>
                <w:lang w:eastAsia="pt-BR"/>
              </w:rPr>
            </w:pPr>
            <w:r>
              <w:rPr>
                <w:rFonts w:ascii="Calibri" w:eastAsia="Times New Roman" w:hAnsi="Calibri" w:cs="Calibri"/>
                <w:color w:val="000000"/>
                <w:sz w:val="22"/>
                <w:lang w:eastAsia="pt-BR"/>
              </w:rPr>
              <w:t>-105,33</w:t>
            </w:r>
          </w:p>
        </w:tc>
      </w:tr>
      <w:tr w:rsidR="004C19ED" w:rsidRPr="00E42115" w14:paraId="1D2259B8" w14:textId="77777777" w:rsidTr="003E2CCD">
        <w:trPr>
          <w:trHeight w:val="306"/>
        </w:trPr>
        <w:tc>
          <w:tcPr>
            <w:tcW w:w="3720" w:type="dxa"/>
            <w:tcBorders>
              <w:top w:val="nil"/>
              <w:left w:val="nil"/>
              <w:bottom w:val="nil"/>
              <w:right w:val="nil"/>
            </w:tcBorders>
            <w:shd w:val="clear" w:color="D9D9D9" w:fill="D9D9D9"/>
            <w:noWrap/>
            <w:vAlign w:val="bottom"/>
            <w:hideMark/>
          </w:tcPr>
          <w:p w14:paraId="3450A3FA" w14:textId="77777777" w:rsidR="004C19ED" w:rsidRPr="00E42115" w:rsidRDefault="004C19ED" w:rsidP="003E2CCD">
            <w:pPr>
              <w:jc w:val="right"/>
              <w:rPr>
                <w:rFonts w:ascii="Calibri" w:eastAsia="Times New Roman" w:hAnsi="Calibri" w:cs="Calibri"/>
                <w:color w:val="000000"/>
                <w:sz w:val="22"/>
                <w:lang w:eastAsia="pt-BR"/>
              </w:rPr>
            </w:pPr>
          </w:p>
        </w:tc>
        <w:tc>
          <w:tcPr>
            <w:tcW w:w="2036" w:type="dxa"/>
            <w:tcBorders>
              <w:top w:val="nil"/>
              <w:left w:val="nil"/>
              <w:bottom w:val="nil"/>
              <w:right w:val="nil"/>
            </w:tcBorders>
            <w:shd w:val="clear" w:color="D9D9D9" w:fill="D9D9D9"/>
            <w:noWrap/>
            <w:vAlign w:val="bottom"/>
          </w:tcPr>
          <w:p w14:paraId="14AF8D82" w14:textId="77777777" w:rsidR="004C19ED" w:rsidRPr="005D58EB" w:rsidRDefault="004C19ED" w:rsidP="003E2CCD">
            <w:pPr>
              <w:jc w:val="right"/>
              <w:rPr>
                <w:rFonts w:cs="Arial"/>
                <w:b/>
                <w:bCs/>
                <w:szCs w:val="20"/>
              </w:rPr>
            </w:pPr>
            <w:r w:rsidRPr="005D58EB">
              <w:rPr>
                <w:rFonts w:cs="Arial"/>
                <w:b/>
                <w:bCs/>
                <w:szCs w:val="20"/>
              </w:rPr>
              <w:t>3.123.739.093,29</w:t>
            </w:r>
          </w:p>
        </w:tc>
        <w:tc>
          <w:tcPr>
            <w:tcW w:w="2252" w:type="dxa"/>
            <w:tcBorders>
              <w:top w:val="nil"/>
              <w:left w:val="nil"/>
              <w:bottom w:val="nil"/>
              <w:right w:val="nil"/>
            </w:tcBorders>
            <w:shd w:val="clear" w:color="D9D9D9" w:fill="D9D9D9"/>
            <w:noWrap/>
            <w:vAlign w:val="bottom"/>
            <w:hideMark/>
          </w:tcPr>
          <w:p w14:paraId="2DD465FB" w14:textId="77777777" w:rsidR="004C19ED" w:rsidRPr="00E42115" w:rsidRDefault="004C19ED" w:rsidP="003E2CCD">
            <w:pPr>
              <w:jc w:val="right"/>
              <w:rPr>
                <w:rFonts w:ascii="Calibri" w:eastAsia="Times New Roman" w:hAnsi="Calibri" w:cs="Calibri"/>
                <w:b/>
                <w:bCs/>
                <w:color w:val="000000"/>
                <w:sz w:val="22"/>
                <w:lang w:eastAsia="pt-BR"/>
              </w:rPr>
            </w:pPr>
            <w:r w:rsidRPr="00A16B85">
              <w:rPr>
                <w:rFonts w:cs="Arial"/>
                <w:b/>
                <w:bCs/>
                <w:szCs w:val="20"/>
              </w:rPr>
              <w:t>8.072.735.456,88</w:t>
            </w:r>
          </w:p>
        </w:tc>
        <w:tc>
          <w:tcPr>
            <w:tcW w:w="1842" w:type="dxa"/>
            <w:tcBorders>
              <w:top w:val="nil"/>
              <w:left w:val="nil"/>
              <w:bottom w:val="nil"/>
              <w:right w:val="nil"/>
            </w:tcBorders>
            <w:shd w:val="clear" w:color="D9D9D9" w:fill="D9D9D9"/>
            <w:noWrap/>
            <w:vAlign w:val="bottom"/>
            <w:hideMark/>
          </w:tcPr>
          <w:p w14:paraId="48591909" w14:textId="77777777" w:rsidR="004C19ED" w:rsidRPr="00E42115" w:rsidRDefault="004C19ED" w:rsidP="003E2CCD">
            <w:pPr>
              <w:jc w:val="right"/>
              <w:rPr>
                <w:rFonts w:ascii="Calibri" w:eastAsia="Times New Roman" w:hAnsi="Calibri" w:cs="Calibri"/>
                <w:b/>
                <w:bCs/>
                <w:color w:val="000000"/>
                <w:sz w:val="22"/>
                <w:lang w:eastAsia="pt-BR"/>
              </w:rPr>
            </w:pPr>
            <w:r>
              <w:rPr>
                <w:rFonts w:ascii="Calibri" w:eastAsia="Times New Roman" w:hAnsi="Calibri" w:cs="Calibri"/>
                <w:b/>
                <w:bCs/>
                <w:color w:val="000000"/>
                <w:sz w:val="22"/>
                <w:lang w:eastAsia="pt-BR"/>
              </w:rPr>
              <w:t>-61,31</w:t>
            </w:r>
          </w:p>
        </w:tc>
      </w:tr>
      <w:tr w:rsidR="004C19ED" w:rsidRPr="00E42115" w14:paraId="17F4B218" w14:textId="77777777" w:rsidTr="003E2CCD">
        <w:trPr>
          <w:trHeight w:val="306"/>
        </w:trPr>
        <w:tc>
          <w:tcPr>
            <w:tcW w:w="3720" w:type="dxa"/>
            <w:tcBorders>
              <w:top w:val="nil"/>
              <w:left w:val="nil"/>
              <w:bottom w:val="nil"/>
              <w:right w:val="nil"/>
            </w:tcBorders>
            <w:shd w:val="clear" w:color="auto" w:fill="auto"/>
            <w:noWrap/>
            <w:vAlign w:val="bottom"/>
            <w:hideMark/>
          </w:tcPr>
          <w:p w14:paraId="49D8AD74" w14:textId="77777777" w:rsidR="004C19ED" w:rsidRPr="00E42115" w:rsidRDefault="004C19ED" w:rsidP="003E2CCD">
            <w:pPr>
              <w:jc w:val="right"/>
              <w:rPr>
                <w:rFonts w:ascii="Calibri" w:eastAsia="Times New Roman" w:hAnsi="Calibri" w:cs="Calibri"/>
                <w:b/>
                <w:bCs/>
                <w:color w:val="000000"/>
                <w:sz w:val="22"/>
                <w:lang w:eastAsia="pt-BR"/>
              </w:rPr>
            </w:pPr>
          </w:p>
        </w:tc>
        <w:tc>
          <w:tcPr>
            <w:tcW w:w="2036" w:type="dxa"/>
            <w:tcBorders>
              <w:top w:val="nil"/>
              <w:left w:val="nil"/>
              <w:bottom w:val="nil"/>
              <w:right w:val="nil"/>
            </w:tcBorders>
            <w:shd w:val="clear" w:color="auto" w:fill="auto"/>
            <w:noWrap/>
            <w:vAlign w:val="bottom"/>
          </w:tcPr>
          <w:p w14:paraId="18830B2B" w14:textId="77777777" w:rsidR="004C19ED" w:rsidRPr="00E42115" w:rsidRDefault="004C19ED" w:rsidP="003E2CCD">
            <w:pPr>
              <w:jc w:val="left"/>
              <w:rPr>
                <w:rFonts w:ascii="Times New Roman" w:eastAsia="Times New Roman" w:hAnsi="Times New Roman" w:cs="Times New Roman"/>
                <w:szCs w:val="20"/>
                <w:lang w:eastAsia="pt-BR"/>
              </w:rPr>
            </w:pPr>
          </w:p>
        </w:tc>
        <w:tc>
          <w:tcPr>
            <w:tcW w:w="2252" w:type="dxa"/>
            <w:tcBorders>
              <w:top w:val="nil"/>
              <w:left w:val="nil"/>
              <w:bottom w:val="nil"/>
              <w:right w:val="nil"/>
            </w:tcBorders>
            <w:shd w:val="clear" w:color="auto" w:fill="auto"/>
            <w:noWrap/>
            <w:vAlign w:val="bottom"/>
            <w:hideMark/>
          </w:tcPr>
          <w:p w14:paraId="765023CB" w14:textId="77777777" w:rsidR="004C19ED" w:rsidRPr="00E42115" w:rsidRDefault="004C19ED" w:rsidP="003E2CCD">
            <w:pPr>
              <w:jc w:val="left"/>
              <w:rPr>
                <w:rFonts w:ascii="Times New Roman" w:eastAsia="Times New Roman" w:hAnsi="Times New Roman" w:cs="Times New Roman"/>
                <w:szCs w:val="20"/>
                <w:lang w:eastAsia="pt-BR"/>
              </w:rPr>
            </w:pPr>
          </w:p>
        </w:tc>
        <w:tc>
          <w:tcPr>
            <w:tcW w:w="1842" w:type="dxa"/>
            <w:tcBorders>
              <w:top w:val="nil"/>
              <w:left w:val="nil"/>
              <w:bottom w:val="nil"/>
              <w:right w:val="nil"/>
            </w:tcBorders>
            <w:shd w:val="clear" w:color="auto" w:fill="auto"/>
            <w:noWrap/>
            <w:vAlign w:val="bottom"/>
            <w:hideMark/>
          </w:tcPr>
          <w:p w14:paraId="7B7A2545" w14:textId="77777777" w:rsidR="004C19ED" w:rsidRPr="00E42115" w:rsidRDefault="004C19ED" w:rsidP="003E2CCD">
            <w:pPr>
              <w:jc w:val="left"/>
              <w:rPr>
                <w:rFonts w:ascii="Times New Roman" w:eastAsia="Times New Roman" w:hAnsi="Times New Roman" w:cs="Times New Roman"/>
                <w:szCs w:val="20"/>
                <w:lang w:eastAsia="pt-BR"/>
              </w:rPr>
            </w:pPr>
          </w:p>
        </w:tc>
      </w:tr>
      <w:tr w:rsidR="004C19ED" w:rsidRPr="00E42115" w14:paraId="425583F2" w14:textId="77777777" w:rsidTr="003E2CCD">
        <w:trPr>
          <w:trHeight w:val="306"/>
        </w:trPr>
        <w:tc>
          <w:tcPr>
            <w:tcW w:w="3720" w:type="dxa"/>
            <w:tcBorders>
              <w:top w:val="nil"/>
              <w:left w:val="nil"/>
              <w:bottom w:val="single" w:sz="4" w:space="0" w:color="000000"/>
              <w:right w:val="nil"/>
            </w:tcBorders>
            <w:shd w:val="clear" w:color="D9D9D9" w:fill="D9D9D9"/>
            <w:noWrap/>
            <w:vAlign w:val="bottom"/>
            <w:hideMark/>
          </w:tcPr>
          <w:p w14:paraId="2160F719" w14:textId="77777777" w:rsidR="004C19ED" w:rsidRPr="00E42115" w:rsidRDefault="004C19ED" w:rsidP="003E2CCD">
            <w:pPr>
              <w:jc w:val="left"/>
              <w:rPr>
                <w:rFonts w:ascii="Calibri" w:eastAsia="Times New Roman" w:hAnsi="Calibri" w:cs="Calibri"/>
                <w:b/>
                <w:bCs/>
                <w:color w:val="000000"/>
                <w:sz w:val="22"/>
                <w:lang w:eastAsia="pt-BR"/>
              </w:rPr>
            </w:pPr>
            <w:r w:rsidRPr="00E42115">
              <w:rPr>
                <w:rFonts w:ascii="Calibri" w:eastAsia="Times New Roman" w:hAnsi="Calibri" w:cs="Calibri"/>
                <w:b/>
                <w:bCs/>
                <w:color w:val="000000"/>
                <w:sz w:val="22"/>
                <w:lang w:eastAsia="pt-BR"/>
              </w:rPr>
              <w:t>Resultado Financeiro do Exercício</w:t>
            </w:r>
          </w:p>
        </w:tc>
        <w:tc>
          <w:tcPr>
            <w:tcW w:w="2036" w:type="dxa"/>
            <w:tcBorders>
              <w:top w:val="nil"/>
              <w:left w:val="nil"/>
              <w:bottom w:val="single" w:sz="4" w:space="0" w:color="000000"/>
              <w:right w:val="nil"/>
            </w:tcBorders>
            <w:shd w:val="clear" w:color="D9D9D9" w:fill="D9D9D9"/>
            <w:noWrap/>
            <w:vAlign w:val="bottom"/>
          </w:tcPr>
          <w:p w14:paraId="1FF42C49" w14:textId="77777777" w:rsidR="004C19ED" w:rsidRPr="00625ADA" w:rsidRDefault="004C19ED" w:rsidP="003E2CCD">
            <w:pPr>
              <w:jc w:val="right"/>
              <w:rPr>
                <w:rFonts w:cs="Arial"/>
                <w:b/>
                <w:bCs/>
                <w:szCs w:val="20"/>
              </w:rPr>
            </w:pPr>
            <w:r w:rsidRPr="00625ADA">
              <w:rPr>
                <w:rFonts w:cs="Arial"/>
                <w:b/>
                <w:bCs/>
                <w:szCs w:val="20"/>
              </w:rPr>
              <w:t>654.737.395,75</w:t>
            </w:r>
          </w:p>
        </w:tc>
        <w:tc>
          <w:tcPr>
            <w:tcW w:w="2252" w:type="dxa"/>
            <w:tcBorders>
              <w:top w:val="nil"/>
              <w:left w:val="nil"/>
              <w:bottom w:val="single" w:sz="4" w:space="0" w:color="000000"/>
              <w:right w:val="nil"/>
            </w:tcBorders>
            <w:shd w:val="clear" w:color="D9D9D9" w:fill="D9D9D9"/>
            <w:noWrap/>
            <w:vAlign w:val="bottom"/>
            <w:hideMark/>
          </w:tcPr>
          <w:p w14:paraId="7553BAD1" w14:textId="77777777" w:rsidR="004C19ED" w:rsidRPr="00A16B85" w:rsidRDefault="004C19ED" w:rsidP="003E2CCD">
            <w:pPr>
              <w:jc w:val="right"/>
              <w:rPr>
                <w:rFonts w:ascii="Calibri" w:eastAsia="Times New Roman" w:hAnsi="Calibri" w:cs="Calibri"/>
                <w:b/>
                <w:bCs/>
                <w:color w:val="000000"/>
                <w:sz w:val="22"/>
                <w:lang w:eastAsia="pt-BR"/>
              </w:rPr>
            </w:pPr>
            <w:r w:rsidRPr="00A16B85">
              <w:rPr>
                <w:rFonts w:cs="Arial"/>
                <w:b/>
                <w:bCs/>
                <w:color w:val="FF0000"/>
                <w:szCs w:val="20"/>
              </w:rPr>
              <w:t>-99.499.412,74</w:t>
            </w:r>
          </w:p>
        </w:tc>
        <w:tc>
          <w:tcPr>
            <w:tcW w:w="1842" w:type="dxa"/>
            <w:tcBorders>
              <w:top w:val="nil"/>
              <w:left w:val="nil"/>
              <w:bottom w:val="single" w:sz="4" w:space="0" w:color="000000"/>
              <w:right w:val="nil"/>
            </w:tcBorders>
            <w:shd w:val="clear" w:color="D9D9D9" w:fill="D9D9D9"/>
            <w:noWrap/>
            <w:vAlign w:val="bottom"/>
            <w:hideMark/>
          </w:tcPr>
          <w:p w14:paraId="2832DD03" w14:textId="77777777" w:rsidR="004C19ED" w:rsidRPr="00E42115" w:rsidRDefault="004C19ED" w:rsidP="003E2CCD">
            <w:pPr>
              <w:jc w:val="right"/>
              <w:rPr>
                <w:rFonts w:ascii="Calibri" w:eastAsia="Times New Roman" w:hAnsi="Calibri" w:cs="Calibri"/>
                <w:b/>
                <w:bCs/>
                <w:color w:val="000000"/>
                <w:sz w:val="22"/>
                <w:lang w:eastAsia="pt-BR"/>
              </w:rPr>
            </w:pPr>
            <w:r>
              <w:rPr>
                <w:rFonts w:ascii="Calibri" w:eastAsia="Times New Roman" w:hAnsi="Calibri" w:cs="Calibri"/>
                <w:b/>
                <w:bCs/>
                <w:color w:val="000000"/>
                <w:sz w:val="22"/>
                <w:lang w:eastAsia="pt-BR"/>
              </w:rPr>
              <w:t>758,03</w:t>
            </w:r>
          </w:p>
        </w:tc>
      </w:tr>
    </w:tbl>
    <w:p w14:paraId="65B3BC2B" w14:textId="77777777" w:rsidR="004C19ED" w:rsidRPr="002C152D" w:rsidRDefault="004C19ED" w:rsidP="004C19ED">
      <w:pPr>
        <w:rPr>
          <w:rFonts w:cs="Arial"/>
          <w:i/>
          <w:szCs w:val="20"/>
        </w:rPr>
      </w:pPr>
      <w:r w:rsidRPr="002C152D">
        <w:rPr>
          <w:rFonts w:cs="Arial"/>
          <w:i/>
          <w:szCs w:val="20"/>
        </w:rPr>
        <w:t>Fonte: SIAFI, 20</w:t>
      </w:r>
      <w:r>
        <w:rPr>
          <w:rFonts w:cs="Arial"/>
          <w:i/>
          <w:szCs w:val="20"/>
        </w:rPr>
        <w:t>21</w:t>
      </w:r>
      <w:r w:rsidRPr="002C152D">
        <w:rPr>
          <w:rFonts w:cs="Arial"/>
          <w:i/>
          <w:szCs w:val="20"/>
        </w:rPr>
        <w:t xml:space="preserve"> e 20</w:t>
      </w:r>
      <w:r>
        <w:rPr>
          <w:rFonts w:cs="Arial"/>
          <w:i/>
          <w:szCs w:val="20"/>
        </w:rPr>
        <w:t>20</w:t>
      </w:r>
      <w:r w:rsidRPr="002C152D">
        <w:rPr>
          <w:rFonts w:cs="Arial"/>
          <w:i/>
          <w:szCs w:val="20"/>
        </w:rPr>
        <w:t>.</w:t>
      </w:r>
    </w:p>
    <w:p w14:paraId="3B46B4FC" w14:textId="77777777" w:rsidR="004C19ED" w:rsidRDefault="004C19ED" w:rsidP="004C19ED">
      <w:pPr>
        <w:rPr>
          <w:rFonts w:cs="Arial"/>
          <w:sz w:val="22"/>
        </w:rPr>
      </w:pPr>
    </w:p>
    <w:p w14:paraId="2299E896" w14:textId="77777777" w:rsidR="004C19ED" w:rsidRDefault="004C19ED" w:rsidP="004C19ED">
      <w:pPr>
        <w:rPr>
          <w:rFonts w:cs="Arial"/>
          <w:sz w:val="22"/>
        </w:rPr>
      </w:pPr>
      <w:r w:rsidRPr="00625ADA">
        <w:rPr>
          <w:rFonts w:cs="Arial"/>
          <w:sz w:val="22"/>
        </w:rPr>
        <w:t xml:space="preserve">A superavit </w:t>
      </w:r>
      <w:r>
        <w:rPr>
          <w:rFonts w:cs="Arial"/>
          <w:sz w:val="22"/>
        </w:rPr>
        <w:t xml:space="preserve">financeiro </w:t>
      </w:r>
      <w:r w:rsidRPr="00625ADA">
        <w:rPr>
          <w:rFonts w:cs="Arial"/>
          <w:sz w:val="22"/>
        </w:rPr>
        <w:t>de 2021 em relação ao déficit de 2020 decorre especialmente das transferências financeiras recebidas</w:t>
      </w:r>
      <w:r w:rsidRPr="004E2F5C">
        <w:rPr>
          <w:rFonts w:cs="Arial"/>
          <w:sz w:val="22"/>
        </w:rPr>
        <w:t xml:space="preserve">. O grande aumento das receitas orçamentárias diz respeito </w:t>
      </w:r>
      <w:r>
        <w:rPr>
          <w:rFonts w:cs="Arial"/>
          <w:sz w:val="22"/>
        </w:rPr>
        <w:t xml:space="preserve">ao excesso de arrecadação, por conta do ingresso </w:t>
      </w:r>
      <w:r w:rsidRPr="001603A4">
        <w:rPr>
          <w:rFonts w:cs="Arial"/>
          <w:sz w:val="22"/>
        </w:rPr>
        <w:t>na Conta Única do Tesouro dos valores constantes na conta corrente que a ANP possui junto ao Banco do Brasil, assim como da aplicação</w:t>
      </w:r>
      <w:r w:rsidRPr="004A5585">
        <w:rPr>
          <w:rFonts w:cs="Arial"/>
          <w:sz w:val="22"/>
        </w:rPr>
        <w:t xml:space="preserve"> </w:t>
      </w:r>
      <w:r w:rsidRPr="001603A4">
        <w:rPr>
          <w:rFonts w:cs="Arial"/>
          <w:sz w:val="22"/>
        </w:rPr>
        <w:t xml:space="preserve">das penalidades contratuais pelo não cumprimento das cláusulas previstas no Programa Exploratório Mínimo – PEM, junto às empresas que realizam exploração de óleo e gás, </w:t>
      </w:r>
      <w:r>
        <w:rPr>
          <w:rFonts w:cs="Arial"/>
          <w:sz w:val="22"/>
        </w:rPr>
        <w:t xml:space="preserve">da arrecadação das multas por infrações da legislação do petróleo e dívida ativa represadas do ano de 2020, por conta da pandemia, </w:t>
      </w:r>
      <w:r w:rsidRPr="006E0907">
        <w:rPr>
          <w:rFonts w:cs="Arial"/>
          <w:sz w:val="22"/>
        </w:rPr>
        <w:t xml:space="preserve">aumento significativo está no volume financeiro apresentado pelas multas aplicados pelas superintendências de </w:t>
      </w:r>
      <w:proofErr w:type="spellStart"/>
      <w:r w:rsidRPr="006E0907">
        <w:rPr>
          <w:rFonts w:cs="Arial"/>
          <w:sz w:val="22"/>
        </w:rPr>
        <w:t>Upstream</w:t>
      </w:r>
      <w:proofErr w:type="spellEnd"/>
      <w:r w:rsidRPr="006E0907">
        <w:rPr>
          <w:rFonts w:cs="Arial"/>
          <w:sz w:val="22"/>
        </w:rPr>
        <w:t xml:space="preserve">. </w:t>
      </w:r>
    </w:p>
    <w:p w14:paraId="057C8F73" w14:textId="77777777" w:rsidR="004C19ED" w:rsidRDefault="004C19ED" w:rsidP="004C19ED">
      <w:pPr>
        <w:rPr>
          <w:rFonts w:cs="Arial"/>
          <w:sz w:val="22"/>
        </w:rPr>
      </w:pPr>
    </w:p>
    <w:p w14:paraId="1697D0CC" w14:textId="77777777" w:rsidR="004C19ED" w:rsidRDefault="004C19ED" w:rsidP="004C19ED">
      <w:pPr>
        <w:rPr>
          <w:rFonts w:cs="Arial"/>
          <w:sz w:val="22"/>
        </w:rPr>
      </w:pPr>
      <w:r>
        <w:rPr>
          <w:rFonts w:cs="Arial"/>
          <w:sz w:val="22"/>
        </w:rPr>
        <w:t xml:space="preserve">No âmbito das transferências constitucionais e legais, </w:t>
      </w:r>
      <w:r w:rsidRPr="009973CC">
        <w:rPr>
          <w:rFonts w:cs="Arial"/>
          <w:sz w:val="22"/>
        </w:rPr>
        <w:t>os fluxos orçamentário e financeiro aumentaram significativamente</w:t>
      </w:r>
      <w:r>
        <w:rPr>
          <w:rFonts w:cs="Arial"/>
          <w:sz w:val="22"/>
        </w:rPr>
        <w:t xml:space="preserve"> desde </w:t>
      </w:r>
      <w:r w:rsidRPr="00E3075B">
        <w:rPr>
          <w:rFonts w:cs="Arial"/>
          <w:sz w:val="22"/>
        </w:rPr>
        <w:t xml:space="preserve">outubro de 2019, </w:t>
      </w:r>
      <w:r>
        <w:rPr>
          <w:rFonts w:cs="Arial"/>
          <w:sz w:val="22"/>
        </w:rPr>
        <w:t xml:space="preserve">pois </w:t>
      </w:r>
      <w:r w:rsidRPr="00E3075B">
        <w:rPr>
          <w:rFonts w:cs="Arial"/>
          <w:sz w:val="22"/>
        </w:rPr>
        <w:t xml:space="preserve">a ANP passou a ser Setorial Orçamentária e Financeira, </w:t>
      </w:r>
      <w:r>
        <w:rPr>
          <w:rFonts w:cs="Arial"/>
          <w:sz w:val="22"/>
        </w:rPr>
        <w:t xml:space="preserve">passando a ser responsável </w:t>
      </w:r>
      <w:bookmarkStart w:id="0" w:name="_Hlk31220390"/>
      <w:r w:rsidRPr="00E3075B">
        <w:rPr>
          <w:rFonts w:cs="Arial"/>
          <w:bCs/>
          <w:sz w:val="22"/>
        </w:rPr>
        <w:t>pel</w:t>
      </w:r>
      <w:r>
        <w:rPr>
          <w:rFonts w:cs="Arial"/>
          <w:bCs/>
          <w:sz w:val="22"/>
        </w:rPr>
        <w:t xml:space="preserve">o recebimento e </w:t>
      </w:r>
      <w:r w:rsidRPr="00E3075B">
        <w:rPr>
          <w:rFonts w:cs="Arial"/>
          <w:color w:val="000000"/>
          <w:sz w:val="22"/>
        </w:rPr>
        <w:t>transferência das participações pela produção de petróleo e gás natural aos Estados e aos Municípios</w:t>
      </w:r>
      <w:r w:rsidRPr="00E3075B">
        <w:rPr>
          <w:rFonts w:cs="Arial"/>
          <w:sz w:val="22"/>
        </w:rPr>
        <w:t>, de acordo com o decreto 10.078 de 21/10/2019.</w:t>
      </w:r>
      <w:r>
        <w:rPr>
          <w:rFonts w:cs="Arial"/>
          <w:sz w:val="22"/>
        </w:rPr>
        <w:t xml:space="preserve"> </w:t>
      </w:r>
    </w:p>
    <w:p w14:paraId="5931E76B" w14:textId="77777777" w:rsidR="004C19ED" w:rsidRDefault="004C19ED" w:rsidP="004C19ED">
      <w:pPr>
        <w:rPr>
          <w:rFonts w:cs="Arial"/>
          <w:sz w:val="22"/>
        </w:rPr>
      </w:pPr>
    </w:p>
    <w:p w14:paraId="6A87CE62" w14:textId="0B426AB7" w:rsidR="004C19ED" w:rsidRDefault="004C19ED" w:rsidP="004C19ED">
      <w:pPr>
        <w:rPr>
          <w:rFonts w:cs="Arial"/>
          <w:sz w:val="22"/>
        </w:rPr>
      </w:pPr>
      <w:r w:rsidRPr="007410D8">
        <w:rPr>
          <w:rFonts w:cs="Arial"/>
          <w:sz w:val="22"/>
        </w:rPr>
        <w:t xml:space="preserve">Já os recebimentos extraorçamentários expressivos, dizem respeito aos restos a pagar não processados inscritos. O grande volume se deve aos saldos de empenhos de </w:t>
      </w:r>
      <w:r w:rsidRPr="007410D8">
        <w:rPr>
          <w:rFonts w:cs="Arial"/>
          <w:color w:val="000000"/>
          <w:sz w:val="22"/>
        </w:rPr>
        <w:t>participações pela produção de petróleo e gás natural aos Estados e aos Municípios</w:t>
      </w:r>
      <w:r w:rsidRPr="007410D8">
        <w:rPr>
          <w:rFonts w:cs="Arial"/>
          <w:sz w:val="22"/>
        </w:rPr>
        <w:t xml:space="preserve"> a serem liquidados e pagos, mas que ainda estavam pendentes de cálculo no final do exercício. Os pagamentos ocorreram no início de 2021 e o saldo excedente está sendo anulado durante o mês de janeiro de 202</w:t>
      </w:r>
      <w:r>
        <w:rPr>
          <w:rFonts w:cs="Arial"/>
          <w:sz w:val="22"/>
        </w:rPr>
        <w:t>2</w:t>
      </w:r>
      <w:r w:rsidRPr="007410D8">
        <w:rPr>
          <w:rFonts w:cs="Arial"/>
          <w:sz w:val="22"/>
        </w:rPr>
        <w:t>.</w:t>
      </w:r>
      <w:r>
        <w:rPr>
          <w:rFonts w:cs="Arial"/>
          <w:sz w:val="22"/>
        </w:rPr>
        <w:t xml:space="preserve">  </w:t>
      </w:r>
      <w:bookmarkEnd w:id="0"/>
    </w:p>
    <w:p w14:paraId="0E0495AC" w14:textId="77777777" w:rsidR="004C19ED" w:rsidRDefault="004C19ED">
      <w:pPr>
        <w:spacing w:after="160" w:line="259" w:lineRule="auto"/>
        <w:jc w:val="left"/>
        <w:rPr>
          <w:rFonts w:cs="Arial"/>
          <w:sz w:val="22"/>
        </w:rPr>
      </w:pPr>
      <w:r>
        <w:rPr>
          <w:rFonts w:cs="Arial"/>
          <w:sz w:val="22"/>
        </w:rPr>
        <w:br w:type="page"/>
      </w:r>
    </w:p>
    <w:p w14:paraId="615C2233" w14:textId="77777777" w:rsidR="004C19ED" w:rsidRPr="00177927" w:rsidRDefault="004C19ED" w:rsidP="004C19ED">
      <w:pPr>
        <w:rPr>
          <w:rFonts w:cs="Arial"/>
          <w:b/>
          <w:sz w:val="22"/>
        </w:rPr>
      </w:pPr>
      <w:r w:rsidRPr="00177927">
        <w:rPr>
          <w:rFonts w:cs="Arial"/>
          <w:b/>
          <w:sz w:val="22"/>
        </w:rPr>
        <w:lastRenderedPageBreak/>
        <w:t>Nota 0</w:t>
      </w:r>
      <w:r>
        <w:rPr>
          <w:rFonts w:cs="Arial"/>
          <w:b/>
          <w:sz w:val="22"/>
        </w:rPr>
        <w:t>0</w:t>
      </w:r>
      <w:r w:rsidRPr="00177927">
        <w:rPr>
          <w:rFonts w:cs="Arial"/>
          <w:b/>
          <w:sz w:val="22"/>
        </w:rPr>
        <w:t xml:space="preserve"> </w:t>
      </w:r>
      <w:r>
        <w:rPr>
          <w:rFonts w:cs="Arial"/>
          <w:b/>
          <w:sz w:val="22"/>
        </w:rPr>
        <w:t>– Resultado Orçamentário</w:t>
      </w:r>
    </w:p>
    <w:p w14:paraId="2698F42B" w14:textId="77777777" w:rsidR="004C19ED" w:rsidRPr="00177927" w:rsidRDefault="004C19ED" w:rsidP="004C19ED">
      <w:pPr>
        <w:rPr>
          <w:rFonts w:cs="Arial"/>
          <w:b/>
          <w:sz w:val="22"/>
        </w:rPr>
      </w:pPr>
    </w:p>
    <w:p w14:paraId="54DBCFD7" w14:textId="77777777" w:rsidR="004C19ED" w:rsidRDefault="004C19ED" w:rsidP="004C19ED">
      <w:pPr>
        <w:rPr>
          <w:rFonts w:cs="Arial"/>
          <w:sz w:val="22"/>
        </w:rPr>
      </w:pPr>
      <w:r>
        <w:rPr>
          <w:rFonts w:cs="Arial"/>
          <w:sz w:val="22"/>
        </w:rPr>
        <w:t>Os valores arrecadados no exercício de 2021 estão apresentados na tabela abaixo, comparados com o mesmo período do exercício anterior:</w:t>
      </w:r>
    </w:p>
    <w:p w14:paraId="0FC14A1E" w14:textId="77777777" w:rsidR="004C19ED" w:rsidRDefault="004C19ED" w:rsidP="004C19ED">
      <w:pPr>
        <w:rPr>
          <w:rFonts w:cs="Arial"/>
          <w:sz w:val="22"/>
        </w:rPr>
      </w:pPr>
    </w:p>
    <w:p w14:paraId="054520AB" w14:textId="77777777" w:rsidR="004C19ED" w:rsidRDefault="004C19ED" w:rsidP="004C19ED">
      <w:pPr>
        <w:rPr>
          <w:rFonts w:cs="Arial"/>
          <w:sz w:val="22"/>
        </w:rPr>
      </w:pPr>
      <w:r w:rsidRPr="00177927">
        <w:rPr>
          <w:rFonts w:cs="Arial"/>
          <w:b/>
          <w:sz w:val="22"/>
        </w:rPr>
        <w:t xml:space="preserve">Tabela 1 – </w:t>
      </w:r>
      <w:r>
        <w:rPr>
          <w:rFonts w:cs="Arial"/>
          <w:b/>
          <w:sz w:val="22"/>
        </w:rPr>
        <w:t xml:space="preserve">Execução Orçamentária da </w:t>
      </w:r>
      <w:r w:rsidRPr="00177927">
        <w:rPr>
          <w:rFonts w:cs="Arial"/>
          <w:b/>
          <w:sz w:val="22"/>
        </w:rPr>
        <w:t>Receita.</w:t>
      </w:r>
      <w:r w:rsidRPr="00177927">
        <w:rPr>
          <w:rFonts w:cs="Arial"/>
          <w:sz w:val="22"/>
        </w:rPr>
        <w:t xml:space="preserve"> </w:t>
      </w:r>
    </w:p>
    <w:p w14:paraId="4802E356" w14:textId="77777777" w:rsidR="004C19ED" w:rsidRDefault="004C19ED" w:rsidP="004C19ED">
      <w:pPr>
        <w:rPr>
          <w:rFonts w:cs="Arial"/>
          <w:sz w:val="22"/>
        </w:rPr>
      </w:pPr>
      <w:r>
        <w:rPr>
          <w:rFonts w:cs="Arial"/>
          <w:sz w:val="22"/>
        </w:rPr>
        <w:t xml:space="preserve">                                                                                                                                            R$</w:t>
      </w:r>
    </w:p>
    <w:tbl>
      <w:tblPr>
        <w:tblW w:w="9107" w:type="dxa"/>
        <w:tblCellMar>
          <w:left w:w="70" w:type="dxa"/>
          <w:right w:w="70" w:type="dxa"/>
        </w:tblCellMar>
        <w:tblLook w:val="04A0" w:firstRow="1" w:lastRow="0" w:firstColumn="1" w:lastColumn="0" w:noHBand="0" w:noVBand="1"/>
      </w:tblPr>
      <w:tblGrid>
        <w:gridCol w:w="2198"/>
        <w:gridCol w:w="2303"/>
        <w:gridCol w:w="2303"/>
        <w:gridCol w:w="2303"/>
      </w:tblGrid>
      <w:tr w:rsidR="004C19ED" w:rsidRPr="00183239" w14:paraId="3F4B1EF4" w14:textId="77777777" w:rsidTr="003E2CCD">
        <w:trPr>
          <w:trHeight w:val="288"/>
        </w:trPr>
        <w:tc>
          <w:tcPr>
            <w:tcW w:w="2198" w:type="dxa"/>
            <w:tcBorders>
              <w:top w:val="single" w:sz="4" w:space="0" w:color="000000"/>
              <w:left w:val="nil"/>
              <w:bottom w:val="single" w:sz="4" w:space="0" w:color="000000"/>
              <w:right w:val="nil"/>
            </w:tcBorders>
            <w:shd w:val="clear" w:color="auto" w:fill="auto"/>
            <w:noWrap/>
            <w:vAlign w:val="bottom"/>
            <w:hideMark/>
          </w:tcPr>
          <w:p w14:paraId="31D84252" w14:textId="77777777" w:rsidR="004C19ED" w:rsidRPr="00183239" w:rsidRDefault="004C19ED" w:rsidP="003E2CCD">
            <w:pPr>
              <w:jc w:val="left"/>
              <w:rPr>
                <w:rFonts w:eastAsia="Times New Roman" w:cs="Arial"/>
                <w:b/>
                <w:bCs/>
                <w:color w:val="FFFFFF"/>
                <w:szCs w:val="20"/>
                <w:lang w:eastAsia="pt-BR"/>
              </w:rPr>
            </w:pPr>
            <w:r w:rsidRPr="00183239">
              <w:rPr>
                <w:rFonts w:eastAsia="Times New Roman" w:cs="Arial"/>
                <w:b/>
                <w:bCs/>
                <w:color w:val="FFFFFF"/>
                <w:szCs w:val="20"/>
                <w:lang w:eastAsia="pt-BR"/>
              </w:rPr>
              <w:t>Colunas1</w:t>
            </w:r>
          </w:p>
        </w:tc>
        <w:tc>
          <w:tcPr>
            <w:tcW w:w="2303" w:type="dxa"/>
            <w:tcBorders>
              <w:top w:val="single" w:sz="4" w:space="0" w:color="000000"/>
              <w:left w:val="nil"/>
              <w:bottom w:val="single" w:sz="4" w:space="0" w:color="000000"/>
              <w:right w:val="nil"/>
            </w:tcBorders>
            <w:shd w:val="clear" w:color="auto" w:fill="auto"/>
            <w:noWrap/>
            <w:vAlign w:val="bottom"/>
            <w:hideMark/>
          </w:tcPr>
          <w:p w14:paraId="507502BA" w14:textId="77777777" w:rsidR="004C19ED" w:rsidRPr="00183239" w:rsidRDefault="004C19ED" w:rsidP="003E2CCD">
            <w:pPr>
              <w:jc w:val="right"/>
              <w:rPr>
                <w:rFonts w:eastAsia="Times New Roman" w:cs="Arial"/>
                <w:b/>
                <w:bCs/>
                <w:color w:val="000000"/>
                <w:szCs w:val="20"/>
                <w:lang w:eastAsia="pt-BR"/>
              </w:rPr>
            </w:pPr>
            <w:r w:rsidRPr="00183239">
              <w:rPr>
                <w:rFonts w:eastAsia="Times New Roman" w:cs="Arial"/>
                <w:b/>
                <w:bCs/>
                <w:color w:val="000000"/>
                <w:szCs w:val="20"/>
                <w:lang w:eastAsia="pt-BR"/>
              </w:rPr>
              <w:t>3</w:t>
            </w:r>
            <w:r>
              <w:rPr>
                <w:rFonts w:eastAsia="Times New Roman" w:cs="Arial"/>
                <w:b/>
                <w:bCs/>
                <w:color w:val="000000"/>
                <w:szCs w:val="20"/>
                <w:lang w:eastAsia="pt-BR"/>
              </w:rPr>
              <w:t>1</w:t>
            </w:r>
            <w:r w:rsidRPr="00183239">
              <w:rPr>
                <w:rFonts w:eastAsia="Times New Roman" w:cs="Arial"/>
                <w:b/>
                <w:bCs/>
                <w:color w:val="000000"/>
                <w:szCs w:val="20"/>
                <w:lang w:eastAsia="pt-BR"/>
              </w:rPr>
              <w:t>/</w:t>
            </w:r>
            <w:r>
              <w:rPr>
                <w:rFonts w:eastAsia="Times New Roman" w:cs="Arial"/>
                <w:b/>
                <w:bCs/>
                <w:color w:val="000000"/>
                <w:szCs w:val="20"/>
                <w:lang w:eastAsia="pt-BR"/>
              </w:rPr>
              <w:t>12</w:t>
            </w:r>
            <w:r w:rsidRPr="00183239">
              <w:rPr>
                <w:rFonts w:eastAsia="Times New Roman" w:cs="Arial"/>
                <w:b/>
                <w:bCs/>
                <w:color w:val="000000"/>
                <w:szCs w:val="20"/>
                <w:lang w:eastAsia="pt-BR"/>
              </w:rPr>
              <w:t>/20</w:t>
            </w:r>
            <w:r>
              <w:rPr>
                <w:rFonts w:eastAsia="Times New Roman" w:cs="Arial"/>
                <w:b/>
                <w:bCs/>
                <w:color w:val="000000"/>
                <w:szCs w:val="20"/>
                <w:lang w:eastAsia="pt-BR"/>
              </w:rPr>
              <w:t>21</w:t>
            </w:r>
          </w:p>
        </w:tc>
        <w:tc>
          <w:tcPr>
            <w:tcW w:w="2303" w:type="dxa"/>
            <w:tcBorders>
              <w:top w:val="single" w:sz="4" w:space="0" w:color="000000"/>
              <w:left w:val="nil"/>
              <w:bottom w:val="single" w:sz="4" w:space="0" w:color="000000"/>
              <w:right w:val="nil"/>
            </w:tcBorders>
            <w:shd w:val="clear" w:color="auto" w:fill="auto"/>
            <w:noWrap/>
            <w:vAlign w:val="bottom"/>
            <w:hideMark/>
          </w:tcPr>
          <w:p w14:paraId="33F68997" w14:textId="77777777" w:rsidR="004C19ED" w:rsidRPr="00183239" w:rsidRDefault="004C19ED" w:rsidP="003E2CCD">
            <w:pPr>
              <w:jc w:val="right"/>
              <w:rPr>
                <w:rFonts w:eastAsia="Times New Roman" w:cs="Arial"/>
                <w:b/>
                <w:bCs/>
                <w:color w:val="000000"/>
                <w:szCs w:val="20"/>
                <w:lang w:eastAsia="pt-BR"/>
              </w:rPr>
            </w:pPr>
            <w:r w:rsidRPr="00183239">
              <w:rPr>
                <w:rFonts w:eastAsia="Times New Roman" w:cs="Arial"/>
                <w:b/>
                <w:bCs/>
                <w:color w:val="000000"/>
                <w:szCs w:val="20"/>
                <w:lang w:eastAsia="pt-BR"/>
              </w:rPr>
              <w:t>3</w:t>
            </w:r>
            <w:r>
              <w:rPr>
                <w:rFonts w:eastAsia="Times New Roman" w:cs="Arial"/>
                <w:b/>
                <w:bCs/>
                <w:color w:val="000000"/>
                <w:szCs w:val="20"/>
                <w:lang w:eastAsia="pt-BR"/>
              </w:rPr>
              <w:t>1</w:t>
            </w:r>
            <w:r w:rsidRPr="00183239">
              <w:rPr>
                <w:rFonts w:eastAsia="Times New Roman" w:cs="Arial"/>
                <w:b/>
                <w:bCs/>
                <w:color w:val="000000"/>
                <w:szCs w:val="20"/>
                <w:lang w:eastAsia="pt-BR"/>
              </w:rPr>
              <w:t>/</w:t>
            </w:r>
            <w:r>
              <w:rPr>
                <w:rFonts w:eastAsia="Times New Roman" w:cs="Arial"/>
                <w:b/>
                <w:bCs/>
                <w:color w:val="000000"/>
                <w:szCs w:val="20"/>
                <w:lang w:eastAsia="pt-BR"/>
              </w:rPr>
              <w:t>12</w:t>
            </w:r>
            <w:r w:rsidRPr="00183239">
              <w:rPr>
                <w:rFonts w:eastAsia="Times New Roman" w:cs="Arial"/>
                <w:b/>
                <w:bCs/>
                <w:color w:val="000000"/>
                <w:szCs w:val="20"/>
                <w:lang w:eastAsia="pt-BR"/>
              </w:rPr>
              <w:t>/20</w:t>
            </w:r>
            <w:r>
              <w:rPr>
                <w:rFonts w:eastAsia="Times New Roman" w:cs="Arial"/>
                <w:b/>
                <w:bCs/>
                <w:color w:val="000000"/>
                <w:szCs w:val="20"/>
                <w:lang w:eastAsia="pt-BR"/>
              </w:rPr>
              <w:t>20</w:t>
            </w:r>
          </w:p>
        </w:tc>
        <w:tc>
          <w:tcPr>
            <w:tcW w:w="2303" w:type="dxa"/>
            <w:tcBorders>
              <w:top w:val="single" w:sz="4" w:space="0" w:color="000000"/>
              <w:left w:val="nil"/>
              <w:bottom w:val="single" w:sz="4" w:space="0" w:color="000000"/>
              <w:right w:val="nil"/>
            </w:tcBorders>
            <w:shd w:val="clear" w:color="auto" w:fill="auto"/>
            <w:noWrap/>
            <w:vAlign w:val="bottom"/>
            <w:hideMark/>
          </w:tcPr>
          <w:p w14:paraId="14092E8A" w14:textId="77777777" w:rsidR="004C19ED" w:rsidRPr="00183239" w:rsidRDefault="004C19ED" w:rsidP="003E2CCD">
            <w:pPr>
              <w:jc w:val="right"/>
              <w:rPr>
                <w:rFonts w:eastAsia="Times New Roman" w:cs="Arial"/>
                <w:b/>
                <w:bCs/>
                <w:color w:val="000000"/>
                <w:szCs w:val="20"/>
                <w:lang w:eastAsia="pt-BR"/>
              </w:rPr>
            </w:pPr>
            <w:r w:rsidRPr="00183239">
              <w:rPr>
                <w:rFonts w:eastAsia="Times New Roman" w:cs="Arial"/>
                <w:b/>
                <w:bCs/>
                <w:color w:val="000000"/>
                <w:szCs w:val="20"/>
                <w:lang w:eastAsia="pt-BR"/>
              </w:rPr>
              <w:t xml:space="preserve"> AH (%)</w:t>
            </w:r>
          </w:p>
        </w:tc>
      </w:tr>
      <w:tr w:rsidR="004C19ED" w:rsidRPr="00183239" w14:paraId="7A64FD41" w14:textId="77777777" w:rsidTr="003E2CCD">
        <w:trPr>
          <w:trHeight w:val="288"/>
        </w:trPr>
        <w:tc>
          <w:tcPr>
            <w:tcW w:w="2198" w:type="dxa"/>
            <w:tcBorders>
              <w:top w:val="nil"/>
              <w:left w:val="nil"/>
              <w:bottom w:val="nil"/>
              <w:right w:val="nil"/>
            </w:tcBorders>
            <w:shd w:val="clear" w:color="D9D9D9" w:fill="D9D9D9"/>
            <w:noWrap/>
            <w:vAlign w:val="bottom"/>
            <w:hideMark/>
          </w:tcPr>
          <w:p w14:paraId="3FEF40AC" w14:textId="77777777" w:rsidR="004C19ED" w:rsidRPr="00183239" w:rsidRDefault="004C19ED" w:rsidP="003E2CCD">
            <w:pPr>
              <w:jc w:val="left"/>
              <w:rPr>
                <w:rFonts w:eastAsia="Times New Roman" w:cs="Arial"/>
                <w:color w:val="000000"/>
                <w:szCs w:val="20"/>
                <w:lang w:eastAsia="pt-BR"/>
              </w:rPr>
            </w:pPr>
            <w:r w:rsidRPr="00183239">
              <w:rPr>
                <w:rFonts w:eastAsia="Times New Roman" w:cs="Arial"/>
                <w:color w:val="000000"/>
                <w:szCs w:val="20"/>
                <w:lang w:eastAsia="pt-BR"/>
              </w:rPr>
              <w:t xml:space="preserve">Receitas Correntes </w:t>
            </w:r>
            <w:r>
              <w:rPr>
                <w:rFonts w:eastAsia="Times New Roman" w:cs="Arial"/>
                <w:color w:val="000000"/>
                <w:szCs w:val="20"/>
                <w:lang w:eastAsia="pt-BR"/>
              </w:rPr>
              <w:t>Realizadas</w:t>
            </w:r>
          </w:p>
        </w:tc>
        <w:tc>
          <w:tcPr>
            <w:tcW w:w="2303" w:type="dxa"/>
            <w:tcBorders>
              <w:top w:val="nil"/>
              <w:left w:val="nil"/>
              <w:bottom w:val="nil"/>
              <w:right w:val="nil"/>
            </w:tcBorders>
            <w:shd w:val="clear" w:color="D9D9D9" w:fill="D9D9D9"/>
            <w:noWrap/>
          </w:tcPr>
          <w:p w14:paraId="5890CBA4" w14:textId="77777777" w:rsidR="004C19ED" w:rsidRPr="00183239" w:rsidRDefault="004C19ED" w:rsidP="003E2CCD">
            <w:pPr>
              <w:jc w:val="center"/>
              <w:rPr>
                <w:rFonts w:eastAsia="Times New Roman" w:cs="Arial"/>
                <w:color w:val="000000"/>
                <w:szCs w:val="20"/>
                <w:lang w:eastAsia="pt-BR"/>
              </w:rPr>
            </w:pPr>
            <w:r w:rsidRPr="00B12356">
              <w:rPr>
                <w:rFonts w:eastAsia="Times New Roman" w:cs="Arial"/>
                <w:color w:val="000000"/>
                <w:szCs w:val="20"/>
                <w:lang w:eastAsia="pt-BR"/>
              </w:rPr>
              <w:t>1</w:t>
            </w:r>
            <w:r>
              <w:rPr>
                <w:rFonts w:eastAsia="Times New Roman" w:cs="Arial"/>
                <w:color w:val="000000"/>
                <w:szCs w:val="20"/>
                <w:lang w:eastAsia="pt-BR"/>
              </w:rPr>
              <w:t>.</w:t>
            </w:r>
            <w:r w:rsidRPr="00B12356">
              <w:rPr>
                <w:rFonts w:eastAsia="Times New Roman" w:cs="Arial"/>
                <w:color w:val="000000"/>
                <w:szCs w:val="20"/>
                <w:lang w:eastAsia="pt-BR"/>
              </w:rPr>
              <w:t>546</w:t>
            </w:r>
            <w:r>
              <w:rPr>
                <w:rFonts w:eastAsia="Times New Roman" w:cs="Arial"/>
                <w:color w:val="000000"/>
                <w:szCs w:val="20"/>
                <w:lang w:eastAsia="pt-BR"/>
              </w:rPr>
              <w:t>.</w:t>
            </w:r>
            <w:r w:rsidRPr="00B12356">
              <w:rPr>
                <w:rFonts w:eastAsia="Times New Roman" w:cs="Arial"/>
                <w:color w:val="000000"/>
                <w:szCs w:val="20"/>
                <w:lang w:eastAsia="pt-BR"/>
              </w:rPr>
              <w:t>331</w:t>
            </w:r>
            <w:r>
              <w:rPr>
                <w:rFonts w:eastAsia="Times New Roman" w:cs="Arial"/>
                <w:color w:val="000000"/>
                <w:szCs w:val="20"/>
                <w:lang w:eastAsia="pt-BR"/>
              </w:rPr>
              <w:t>.</w:t>
            </w:r>
            <w:r w:rsidRPr="00B12356">
              <w:rPr>
                <w:rFonts w:eastAsia="Times New Roman" w:cs="Arial"/>
                <w:color w:val="000000"/>
                <w:szCs w:val="20"/>
                <w:lang w:eastAsia="pt-BR"/>
              </w:rPr>
              <w:t>084,42</w:t>
            </w:r>
          </w:p>
        </w:tc>
        <w:tc>
          <w:tcPr>
            <w:tcW w:w="2303" w:type="dxa"/>
            <w:tcBorders>
              <w:top w:val="nil"/>
              <w:left w:val="nil"/>
              <w:bottom w:val="nil"/>
              <w:right w:val="nil"/>
            </w:tcBorders>
            <w:shd w:val="clear" w:color="D9D9D9" w:fill="D9D9D9"/>
            <w:noWrap/>
            <w:hideMark/>
          </w:tcPr>
          <w:p w14:paraId="45E14585" w14:textId="77777777" w:rsidR="004C19ED" w:rsidRPr="00183239" w:rsidRDefault="004C19ED" w:rsidP="003E2CCD">
            <w:pPr>
              <w:jc w:val="center"/>
              <w:rPr>
                <w:rFonts w:eastAsia="Times New Roman" w:cs="Arial"/>
                <w:color w:val="000000"/>
                <w:szCs w:val="20"/>
                <w:lang w:eastAsia="pt-BR"/>
              </w:rPr>
            </w:pPr>
            <w:r>
              <w:t xml:space="preserve">             </w:t>
            </w:r>
            <w:r w:rsidRPr="00D2748E">
              <w:t>589.154.917,41</w:t>
            </w:r>
          </w:p>
        </w:tc>
        <w:tc>
          <w:tcPr>
            <w:tcW w:w="2303" w:type="dxa"/>
            <w:tcBorders>
              <w:top w:val="nil"/>
              <w:left w:val="nil"/>
              <w:bottom w:val="nil"/>
              <w:right w:val="nil"/>
            </w:tcBorders>
            <w:shd w:val="clear" w:color="D9D9D9" w:fill="D9D9D9"/>
            <w:noWrap/>
            <w:vAlign w:val="bottom"/>
            <w:hideMark/>
          </w:tcPr>
          <w:p w14:paraId="6E34CB37" w14:textId="77777777" w:rsidR="004C19ED" w:rsidRPr="00183239" w:rsidRDefault="004C19ED" w:rsidP="003E2CCD">
            <w:pPr>
              <w:jc w:val="right"/>
              <w:rPr>
                <w:rFonts w:eastAsia="Times New Roman" w:cs="Arial"/>
                <w:color w:val="000000"/>
                <w:szCs w:val="20"/>
                <w:lang w:eastAsia="pt-BR"/>
              </w:rPr>
            </w:pPr>
            <w:r>
              <w:rPr>
                <w:rFonts w:eastAsia="Times New Roman" w:cs="Arial"/>
                <w:color w:val="000000"/>
                <w:szCs w:val="20"/>
                <w:lang w:eastAsia="pt-BR"/>
              </w:rPr>
              <w:t>162,47</w:t>
            </w:r>
          </w:p>
        </w:tc>
      </w:tr>
    </w:tbl>
    <w:p w14:paraId="0F54A59F" w14:textId="77777777" w:rsidR="004C19ED" w:rsidRPr="003B4733" w:rsidRDefault="004C19ED" w:rsidP="004C19ED">
      <w:pPr>
        <w:rPr>
          <w:rFonts w:cs="Arial"/>
          <w:i/>
          <w:szCs w:val="20"/>
        </w:rPr>
      </w:pPr>
      <w:r w:rsidRPr="003B4733">
        <w:rPr>
          <w:rFonts w:cs="Arial"/>
          <w:i/>
          <w:szCs w:val="20"/>
        </w:rPr>
        <w:t>Fonte: SIAFI, 20</w:t>
      </w:r>
      <w:r>
        <w:rPr>
          <w:rFonts w:cs="Arial"/>
          <w:i/>
          <w:szCs w:val="20"/>
        </w:rPr>
        <w:t>21</w:t>
      </w:r>
      <w:r w:rsidRPr="003B4733">
        <w:rPr>
          <w:rFonts w:cs="Arial"/>
          <w:i/>
          <w:szCs w:val="20"/>
        </w:rPr>
        <w:t xml:space="preserve"> e 20</w:t>
      </w:r>
      <w:r>
        <w:rPr>
          <w:rFonts w:cs="Arial"/>
          <w:i/>
          <w:szCs w:val="20"/>
        </w:rPr>
        <w:t>20</w:t>
      </w:r>
      <w:r w:rsidRPr="003B4733">
        <w:rPr>
          <w:rFonts w:cs="Arial"/>
          <w:i/>
          <w:szCs w:val="20"/>
        </w:rPr>
        <w:t>.</w:t>
      </w:r>
    </w:p>
    <w:p w14:paraId="3D6273BE" w14:textId="77777777" w:rsidR="004C19ED" w:rsidRDefault="004C19ED" w:rsidP="004C19ED">
      <w:pPr>
        <w:rPr>
          <w:rFonts w:cs="Arial"/>
          <w:sz w:val="22"/>
        </w:rPr>
      </w:pPr>
    </w:p>
    <w:p w14:paraId="04FF1598" w14:textId="77777777" w:rsidR="004C19ED" w:rsidRPr="00177927" w:rsidRDefault="004C19ED" w:rsidP="004C19ED">
      <w:pPr>
        <w:rPr>
          <w:rFonts w:cs="Arial"/>
          <w:sz w:val="22"/>
        </w:rPr>
      </w:pPr>
      <w:r>
        <w:rPr>
          <w:rFonts w:cs="Arial"/>
          <w:sz w:val="22"/>
        </w:rPr>
        <w:t xml:space="preserve">No Balanço Orçamentário, as </w:t>
      </w:r>
      <w:r w:rsidRPr="00177927">
        <w:rPr>
          <w:rFonts w:cs="Arial"/>
          <w:sz w:val="22"/>
        </w:rPr>
        <w:t>Receitas Correntes da A</w:t>
      </w:r>
      <w:r>
        <w:rPr>
          <w:rFonts w:cs="Arial"/>
          <w:sz w:val="22"/>
        </w:rPr>
        <w:t>NP estão evidenciadas conforme a seguinte classificação:</w:t>
      </w:r>
      <w:r w:rsidRPr="00177927">
        <w:rPr>
          <w:rFonts w:cs="Arial"/>
          <w:sz w:val="22"/>
        </w:rPr>
        <w:t xml:space="preserve"> (i) Patrimonial, </w:t>
      </w:r>
      <w:r>
        <w:rPr>
          <w:rFonts w:cs="Arial"/>
          <w:sz w:val="22"/>
        </w:rPr>
        <w:t>(</w:t>
      </w:r>
      <w:proofErr w:type="spellStart"/>
      <w:r>
        <w:rPr>
          <w:rFonts w:cs="Arial"/>
          <w:sz w:val="22"/>
        </w:rPr>
        <w:t>ii</w:t>
      </w:r>
      <w:proofErr w:type="spellEnd"/>
      <w:r>
        <w:rPr>
          <w:rFonts w:cs="Arial"/>
          <w:sz w:val="22"/>
        </w:rPr>
        <w:t>) de Serviços e (</w:t>
      </w:r>
      <w:proofErr w:type="spellStart"/>
      <w:r>
        <w:rPr>
          <w:rFonts w:cs="Arial"/>
          <w:sz w:val="22"/>
        </w:rPr>
        <w:t>iii</w:t>
      </w:r>
      <w:proofErr w:type="spellEnd"/>
      <w:r>
        <w:rPr>
          <w:rFonts w:cs="Arial"/>
          <w:sz w:val="22"/>
        </w:rPr>
        <w:t>) Outras Receitas Correntes</w:t>
      </w:r>
      <w:r w:rsidRPr="00177927">
        <w:rPr>
          <w:rFonts w:cs="Arial"/>
          <w:sz w:val="22"/>
        </w:rPr>
        <w:t>. A seguir, é apresentada a composição destes grupos de receitas,</w:t>
      </w:r>
      <w:r>
        <w:rPr>
          <w:rFonts w:cs="Arial"/>
          <w:sz w:val="22"/>
        </w:rPr>
        <w:t xml:space="preserve"> conforme origem,</w:t>
      </w:r>
      <w:r w:rsidRPr="00177927">
        <w:rPr>
          <w:rFonts w:cs="Arial"/>
          <w:sz w:val="22"/>
        </w:rPr>
        <w:t xml:space="preserve"> na data base de 3</w:t>
      </w:r>
      <w:r>
        <w:rPr>
          <w:rFonts w:cs="Arial"/>
          <w:sz w:val="22"/>
        </w:rPr>
        <w:t>1</w:t>
      </w:r>
      <w:r w:rsidRPr="00177927">
        <w:rPr>
          <w:rFonts w:cs="Arial"/>
          <w:sz w:val="22"/>
        </w:rPr>
        <w:t>/</w:t>
      </w:r>
      <w:r>
        <w:rPr>
          <w:rFonts w:cs="Arial"/>
          <w:sz w:val="22"/>
        </w:rPr>
        <w:t>12</w:t>
      </w:r>
      <w:r w:rsidRPr="00177927">
        <w:rPr>
          <w:rFonts w:cs="Arial"/>
          <w:sz w:val="22"/>
        </w:rPr>
        <w:t>/20</w:t>
      </w:r>
      <w:r>
        <w:rPr>
          <w:rFonts w:cs="Arial"/>
          <w:sz w:val="22"/>
        </w:rPr>
        <w:t>21</w:t>
      </w:r>
      <w:r w:rsidRPr="00177927">
        <w:rPr>
          <w:rFonts w:cs="Arial"/>
          <w:sz w:val="22"/>
        </w:rPr>
        <w:t>:</w:t>
      </w:r>
    </w:p>
    <w:p w14:paraId="48EC2C54" w14:textId="77777777" w:rsidR="004C19ED" w:rsidRPr="00177927" w:rsidRDefault="004C19ED" w:rsidP="004C19ED">
      <w:pPr>
        <w:rPr>
          <w:rFonts w:cs="Arial"/>
          <w:sz w:val="22"/>
        </w:rPr>
      </w:pPr>
    </w:p>
    <w:p w14:paraId="276D70A1" w14:textId="77777777" w:rsidR="004C19ED" w:rsidRDefault="004C19ED" w:rsidP="004C19ED">
      <w:pPr>
        <w:rPr>
          <w:rFonts w:cs="Arial"/>
          <w:sz w:val="22"/>
        </w:rPr>
      </w:pPr>
      <w:r w:rsidRPr="00177927">
        <w:rPr>
          <w:rFonts w:cs="Arial"/>
          <w:b/>
          <w:sz w:val="22"/>
        </w:rPr>
        <w:t xml:space="preserve">Tabela </w:t>
      </w:r>
      <w:r>
        <w:rPr>
          <w:rFonts w:cs="Arial"/>
          <w:b/>
          <w:sz w:val="22"/>
        </w:rPr>
        <w:t>2</w:t>
      </w:r>
      <w:r w:rsidRPr="00177927">
        <w:rPr>
          <w:rFonts w:cs="Arial"/>
          <w:b/>
          <w:sz w:val="22"/>
        </w:rPr>
        <w:t xml:space="preserve"> – </w:t>
      </w:r>
      <w:r>
        <w:rPr>
          <w:rFonts w:cs="Arial"/>
          <w:b/>
          <w:sz w:val="22"/>
        </w:rPr>
        <w:t xml:space="preserve">Execução das </w:t>
      </w:r>
      <w:r w:rsidRPr="00177927">
        <w:rPr>
          <w:rFonts w:cs="Arial"/>
          <w:b/>
          <w:sz w:val="22"/>
        </w:rPr>
        <w:t>Receita</w:t>
      </w:r>
      <w:r>
        <w:rPr>
          <w:rFonts w:cs="Arial"/>
          <w:b/>
          <w:sz w:val="22"/>
        </w:rPr>
        <w:t>s</w:t>
      </w:r>
      <w:r w:rsidRPr="00177927">
        <w:rPr>
          <w:rFonts w:cs="Arial"/>
          <w:b/>
          <w:sz w:val="22"/>
        </w:rPr>
        <w:t xml:space="preserve"> </w:t>
      </w:r>
      <w:r>
        <w:rPr>
          <w:rFonts w:cs="Arial"/>
          <w:b/>
          <w:sz w:val="22"/>
        </w:rPr>
        <w:t>Correntes por espécies</w:t>
      </w:r>
      <w:r w:rsidRPr="00177927">
        <w:rPr>
          <w:rFonts w:cs="Arial"/>
          <w:b/>
          <w:sz w:val="22"/>
        </w:rPr>
        <w:t>.</w:t>
      </w:r>
      <w:r w:rsidRPr="00177927">
        <w:rPr>
          <w:rFonts w:cs="Arial"/>
          <w:sz w:val="22"/>
        </w:rPr>
        <w:t xml:space="preserve"> </w:t>
      </w:r>
    </w:p>
    <w:p w14:paraId="2C86895C" w14:textId="77777777" w:rsidR="004C19ED" w:rsidRDefault="004C19ED" w:rsidP="004C19ED">
      <w:pPr>
        <w:rPr>
          <w:noProof/>
          <w:sz w:val="22"/>
          <w:lang w:eastAsia="pt-BR"/>
        </w:rPr>
      </w:pPr>
      <w:r>
        <w:rPr>
          <w:rFonts w:cs="Arial"/>
          <w:sz w:val="22"/>
        </w:rPr>
        <w:t xml:space="preserve">                                                                                                                                           </w:t>
      </w:r>
      <w:r w:rsidRPr="00177927">
        <w:rPr>
          <w:rFonts w:cs="Arial"/>
          <w:sz w:val="22"/>
        </w:rPr>
        <w:t>R$</w:t>
      </w:r>
    </w:p>
    <w:tbl>
      <w:tblPr>
        <w:tblW w:w="9305" w:type="dxa"/>
        <w:tblCellMar>
          <w:left w:w="70" w:type="dxa"/>
          <w:right w:w="70" w:type="dxa"/>
        </w:tblCellMar>
        <w:tblLook w:val="04A0" w:firstRow="1" w:lastRow="0" w:firstColumn="1" w:lastColumn="0" w:noHBand="0" w:noVBand="1"/>
      </w:tblPr>
      <w:tblGrid>
        <w:gridCol w:w="5032"/>
        <w:gridCol w:w="2989"/>
        <w:gridCol w:w="1284"/>
      </w:tblGrid>
      <w:tr w:rsidR="004C19ED" w:rsidRPr="00922606" w14:paraId="18DAFEEC" w14:textId="77777777" w:rsidTr="003E2CCD">
        <w:trPr>
          <w:trHeight w:val="298"/>
        </w:trPr>
        <w:tc>
          <w:tcPr>
            <w:tcW w:w="5032" w:type="dxa"/>
            <w:tcBorders>
              <w:top w:val="single" w:sz="8" w:space="0" w:color="000000"/>
              <w:left w:val="nil"/>
              <w:bottom w:val="single" w:sz="8" w:space="0" w:color="000000"/>
              <w:right w:val="nil"/>
            </w:tcBorders>
            <w:shd w:val="clear" w:color="auto" w:fill="auto"/>
            <w:noWrap/>
            <w:vAlign w:val="center"/>
            <w:hideMark/>
          </w:tcPr>
          <w:p w14:paraId="40506317" w14:textId="77777777" w:rsidR="004C19ED" w:rsidRPr="00922606" w:rsidRDefault="004C19ED" w:rsidP="003E2CCD">
            <w:pPr>
              <w:jc w:val="left"/>
              <w:rPr>
                <w:rFonts w:eastAsia="Times New Roman" w:cs="Arial"/>
                <w:b/>
                <w:bCs/>
                <w:color w:val="FFFFFF"/>
                <w:szCs w:val="20"/>
                <w:lang w:eastAsia="pt-BR"/>
              </w:rPr>
            </w:pPr>
            <w:r w:rsidRPr="00922606">
              <w:rPr>
                <w:rFonts w:eastAsia="Times New Roman" w:cs="Arial"/>
                <w:b/>
                <w:bCs/>
                <w:color w:val="FFFFFF"/>
                <w:szCs w:val="20"/>
                <w:lang w:eastAsia="pt-BR"/>
              </w:rPr>
              <w:t>Colunas1</w:t>
            </w:r>
          </w:p>
        </w:tc>
        <w:tc>
          <w:tcPr>
            <w:tcW w:w="2989" w:type="dxa"/>
            <w:tcBorders>
              <w:top w:val="single" w:sz="8" w:space="0" w:color="000000"/>
              <w:left w:val="nil"/>
              <w:bottom w:val="single" w:sz="8" w:space="0" w:color="000000"/>
              <w:right w:val="nil"/>
            </w:tcBorders>
            <w:shd w:val="clear" w:color="auto" w:fill="auto"/>
            <w:noWrap/>
            <w:vAlign w:val="center"/>
            <w:hideMark/>
          </w:tcPr>
          <w:p w14:paraId="66F64CEF" w14:textId="77777777" w:rsidR="004C19ED" w:rsidRPr="00922606" w:rsidRDefault="004C19ED" w:rsidP="003E2CCD">
            <w:pPr>
              <w:jc w:val="right"/>
              <w:rPr>
                <w:rFonts w:eastAsia="Times New Roman" w:cs="Arial"/>
                <w:b/>
                <w:bCs/>
                <w:color w:val="000000"/>
                <w:szCs w:val="20"/>
                <w:lang w:eastAsia="pt-BR"/>
              </w:rPr>
            </w:pPr>
            <w:r w:rsidRPr="00922606">
              <w:rPr>
                <w:rFonts w:eastAsia="Times New Roman" w:cs="Arial"/>
                <w:b/>
                <w:bCs/>
                <w:color w:val="000000"/>
                <w:szCs w:val="20"/>
                <w:lang w:eastAsia="pt-BR"/>
              </w:rPr>
              <w:t>3</w:t>
            </w:r>
            <w:r>
              <w:rPr>
                <w:rFonts w:eastAsia="Times New Roman" w:cs="Arial"/>
                <w:b/>
                <w:bCs/>
                <w:color w:val="000000"/>
                <w:szCs w:val="20"/>
                <w:lang w:eastAsia="pt-BR"/>
              </w:rPr>
              <w:t>1</w:t>
            </w:r>
            <w:r w:rsidRPr="00922606">
              <w:rPr>
                <w:rFonts w:eastAsia="Times New Roman" w:cs="Arial"/>
                <w:b/>
                <w:bCs/>
                <w:color w:val="000000"/>
                <w:szCs w:val="20"/>
                <w:lang w:eastAsia="pt-BR"/>
              </w:rPr>
              <w:t>/</w:t>
            </w:r>
            <w:r>
              <w:rPr>
                <w:rFonts w:eastAsia="Times New Roman" w:cs="Arial"/>
                <w:b/>
                <w:bCs/>
                <w:color w:val="000000"/>
                <w:szCs w:val="20"/>
                <w:lang w:eastAsia="pt-BR"/>
              </w:rPr>
              <w:t>12</w:t>
            </w:r>
            <w:r w:rsidRPr="00922606">
              <w:rPr>
                <w:rFonts w:eastAsia="Times New Roman" w:cs="Arial"/>
                <w:b/>
                <w:bCs/>
                <w:color w:val="000000"/>
                <w:szCs w:val="20"/>
                <w:lang w:eastAsia="pt-BR"/>
              </w:rPr>
              <w:t>/20</w:t>
            </w:r>
            <w:r>
              <w:rPr>
                <w:rFonts w:eastAsia="Times New Roman" w:cs="Arial"/>
                <w:b/>
                <w:bCs/>
                <w:color w:val="000000"/>
                <w:szCs w:val="20"/>
                <w:lang w:eastAsia="pt-BR"/>
              </w:rPr>
              <w:t>21</w:t>
            </w:r>
          </w:p>
        </w:tc>
        <w:tc>
          <w:tcPr>
            <w:tcW w:w="1284" w:type="dxa"/>
            <w:tcBorders>
              <w:top w:val="single" w:sz="8" w:space="0" w:color="000000"/>
              <w:left w:val="nil"/>
              <w:bottom w:val="single" w:sz="8" w:space="0" w:color="000000"/>
              <w:right w:val="nil"/>
            </w:tcBorders>
            <w:shd w:val="clear" w:color="auto" w:fill="auto"/>
            <w:noWrap/>
            <w:vAlign w:val="center"/>
            <w:hideMark/>
          </w:tcPr>
          <w:p w14:paraId="11F25607" w14:textId="77777777" w:rsidR="004C19ED" w:rsidRPr="00922606" w:rsidRDefault="004C19ED" w:rsidP="003E2CCD">
            <w:pPr>
              <w:jc w:val="right"/>
              <w:rPr>
                <w:rFonts w:eastAsia="Times New Roman" w:cs="Arial"/>
                <w:b/>
                <w:bCs/>
                <w:color w:val="000000"/>
                <w:szCs w:val="20"/>
                <w:lang w:eastAsia="pt-BR"/>
              </w:rPr>
            </w:pPr>
            <w:r w:rsidRPr="00922606">
              <w:rPr>
                <w:rFonts w:eastAsia="Times New Roman" w:cs="Arial"/>
                <w:b/>
                <w:bCs/>
                <w:color w:val="000000"/>
                <w:szCs w:val="20"/>
                <w:lang w:eastAsia="pt-BR"/>
              </w:rPr>
              <w:t>AV (%)</w:t>
            </w:r>
          </w:p>
        </w:tc>
      </w:tr>
      <w:tr w:rsidR="004C19ED" w:rsidRPr="00922606" w14:paraId="11FBCC36" w14:textId="77777777" w:rsidTr="003E2CCD">
        <w:trPr>
          <w:trHeight w:val="281"/>
        </w:trPr>
        <w:tc>
          <w:tcPr>
            <w:tcW w:w="5032" w:type="dxa"/>
            <w:tcBorders>
              <w:top w:val="nil"/>
              <w:left w:val="nil"/>
              <w:bottom w:val="nil"/>
              <w:right w:val="nil"/>
            </w:tcBorders>
            <w:shd w:val="clear" w:color="auto" w:fill="D9D9D9" w:themeFill="background1" w:themeFillShade="D9"/>
            <w:noWrap/>
            <w:vAlign w:val="center"/>
            <w:hideMark/>
          </w:tcPr>
          <w:p w14:paraId="247255F0" w14:textId="77777777" w:rsidR="004C19ED" w:rsidRPr="00922606" w:rsidRDefault="004C19ED" w:rsidP="003E2CCD">
            <w:pPr>
              <w:jc w:val="left"/>
              <w:rPr>
                <w:rFonts w:eastAsia="Times New Roman" w:cs="Arial"/>
                <w:color w:val="000000"/>
                <w:szCs w:val="20"/>
                <w:lang w:eastAsia="pt-BR"/>
              </w:rPr>
            </w:pPr>
            <w:r w:rsidRPr="00922606">
              <w:rPr>
                <w:rFonts w:eastAsia="Times New Roman" w:cs="Arial"/>
                <w:color w:val="000000"/>
                <w:szCs w:val="20"/>
                <w:lang w:eastAsia="pt-BR"/>
              </w:rPr>
              <w:t>Receita Patrimonial</w:t>
            </w:r>
            <w:r>
              <w:rPr>
                <w:rFonts w:eastAsia="Times New Roman" w:cs="Arial"/>
                <w:color w:val="000000"/>
                <w:szCs w:val="20"/>
                <w:lang w:eastAsia="pt-BR"/>
              </w:rPr>
              <w:t xml:space="preserve"> - Exploração de Recursos Naturais</w:t>
            </w:r>
          </w:p>
        </w:tc>
        <w:tc>
          <w:tcPr>
            <w:tcW w:w="2989" w:type="dxa"/>
            <w:tcBorders>
              <w:top w:val="nil"/>
              <w:left w:val="nil"/>
              <w:bottom w:val="nil"/>
              <w:right w:val="nil"/>
            </w:tcBorders>
            <w:shd w:val="clear" w:color="auto" w:fill="D9D9D9" w:themeFill="background1" w:themeFillShade="D9"/>
            <w:noWrap/>
            <w:vAlign w:val="center"/>
          </w:tcPr>
          <w:p w14:paraId="5157A67D" w14:textId="77777777" w:rsidR="004C19ED" w:rsidRPr="00922606" w:rsidRDefault="004C19ED" w:rsidP="003E2CCD">
            <w:pPr>
              <w:jc w:val="right"/>
              <w:rPr>
                <w:rFonts w:eastAsia="Times New Roman" w:cs="Arial"/>
                <w:color w:val="000000"/>
                <w:szCs w:val="20"/>
                <w:lang w:eastAsia="pt-BR"/>
              </w:rPr>
            </w:pPr>
            <w:r>
              <w:rPr>
                <w:rFonts w:eastAsia="Times New Roman" w:cs="Arial"/>
                <w:color w:val="000000"/>
                <w:szCs w:val="20"/>
                <w:lang w:eastAsia="pt-BR"/>
              </w:rPr>
              <w:t>373.739.013,26</w:t>
            </w:r>
          </w:p>
        </w:tc>
        <w:tc>
          <w:tcPr>
            <w:tcW w:w="1284" w:type="dxa"/>
            <w:tcBorders>
              <w:top w:val="nil"/>
              <w:left w:val="nil"/>
              <w:bottom w:val="nil"/>
              <w:right w:val="nil"/>
            </w:tcBorders>
            <w:shd w:val="clear" w:color="auto" w:fill="D9D9D9" w:themeFill="background1" w:themeFillShade="D9"/>
            <w:noWrap/>
            <w:vAlign w:val="center"/>
            <w:hideMark/>
          </w:tcPr>
          <w:p w14:paraId="2A9ADC22" w14:textId="77777777" w:rsidR="004C19ED" w:rsidRPr="00922606" w:rsidRDefault="004C19ED" w:rsidP="003E2CCD">
            <w:pPr>
              <w:jc w:val="right"/>
              <w:rPr>
                <w:rFonts w:eastAsia="Times New Roman" w:cs="Arial"/>
                <w:color w:val="000000"/>
                <w:szCs w:val="20"/>
                <w:lang w:eastAsia="pt-BR"/>
              </w:rPr>
            </w:pPr>
            <w:r>
              <w:rPr>
                <w:rFonts w:eastAsia="Times New Roman" w:cs="Arial"/>
                <w:color w:val="000000"/>
                <w:szCs w:val="20"/>
                <w:lang w:eastAsia="pt-BR"/>
              </w:rPr>
              <w:t>24,17</w:t>
            </w:r>
          </w:p>
        </w:tc>
      </w:tr>
      <w:tr w:rsidR="004C19ED" w:rsidRPr="00922606" w14:paraId="65308324" w14:textId="77777777" w:rsidTr="003E2CCD">
        <w:trPr>
          <w:trHeight w:val="281"/>
        </w:trPr>
        <w:tc>
          <w:tcPr>
            <w:tcW w:w="5032" w:type="dxa"/>
            <w:tcBorders>
              <w:top w:val="nil"/>
              <w:left w:val="nil"/>
              <w:bottom w:val="nil"/>
              <w:right w:val="nil"/>
            </w:tcBorders>
            <w:shd w:val="clear" w:color="auto" w:fill="auto"/>
            <w:noWrap/>
            <w:vAlign w:val="center"/>
          </w:tcPr>
          <w:p w14:paraId="03D5EE84" w14:textId="77777777" w:rsidR="004C19ED" w:rsidRPr="00922606" w:rsidRDefault="004C19ED" w:rsidP="003E2CCD">
            <w:pPr>
              <w:jc w:val="left"/>
              <w:rPr>
                <w:rFonts w:eastAsia="Times New Roman" w:cs="Arial"/>
                <w:color w:val="000000"/>
                <w:szCs w:val="20"/>
                <w:lang w:eastAsia="pt-BR"/>
              </w:rPr>
            </w:pPr>
            <w:r>
              <w:rPr>
                <w:rFonts w:eastAsia="Times New Roman" w:cs="Arial"/>
                <w:color w:val="000000"/>
                <w:szCs w:val="20"/>
                <w:lang w:eastAsia="pt-BR"/>
              </w:rPr>
              <w:t>Receita Patrimonial – Valores Mobiliários</w:t>
            </w:r>
          </w:p>
        </w:tc>
        <w:tc>
          <w:tcPr>
            <w:tcW w:w="2989" w:type="dxa"/>
            <w:tcBorders>
              <w:top w:val="nil"/>
              <w:left w:val="nil"/>
              <w:bottom w:val="nil"/>
              <w:right w:val="nil"/>
            </w:tcBorders>
            <w:shd w:val="clear" w:color="auto" w:fill="auto"/>
            <w:noWrap/>
            <w:vAlign w:val="center"/>
          </w:tcPr>
          <w:p w14:paraId="412BE896" w14:textId="77777777" w:rsidR="004C19ED" w:rsidRPr="00B12356" w:rsidRDefault="004C19ED" w:rsidP="003E2CCD">
            <w:pPr>
              <w:jc w:val="right"/>
              <w:rPr>
                <w:rFonts w:eastAsia="Times New Roman" w:cs="Arial"/>
                <w:color w:val="000000"/>
                <w:szCs w:val="20"/>
                <w:lang w:eastAsia="pt-BR"/>
              </w:rPr>
            </w:pPr>
            <w:r>
              <w:rPr>
                <w:rFonts w:eastAsia="Times New Roman" w:cs="Arial"/>
                <w:color w:val="000000"/>
                <w:szCs w:val="20"/>
                <w:lang w:eastAsia="pt-BR"/>
              </w:rPr>
              <w:t>74.187.889,20</w:t>
            </w:r>
          </w:p>
        </w:tc>
        <w:tc>
          <w:tcPr>
            <w:tcW w:w="1284" w:type="dxa"/>
            <w:tcBorders>
              <w:top w:val="nil"/>
              <w:left w:val="nil"/>
              <w:bottom w:val="nil"/>
              <w:right w:val="nil"/>
            </w:tcBorders>
            <w:shd w:val="clear" w:color="auto" w:fill="auto"/>
            <w:noWrap/>
            <w:vAlign w:val="center"/>
          </w:tcPr>
          <w:p w14:paraId="4C86A9E5"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4,80</w:t>
            </w:r>
          </w:p>
        </w:tc>
      </w:tr>
      <w:tr w:rsidR="004C19ED" w:rsidRPr="00922606" w14:paraId="17DC69C4" w14:textId="77777777" w:rsidTr="003E2CCD">
        <w:trPr>
          <w:trHeight w:val="281"/>
        </w:trPr>
        <w:tc>
          <w:tcPr>
            <w:tcW w:w="5032" w:type="dxa"/>
            <w:tcBorders>
              <w:top w:val="nil"/>
              <w:left w:val="nil"/>
              <w:bottom w:val="nil"/>
              <w:right w:val="nil"/>
            </w:tcBorders>
            <w:shd w:val="clear" w:color="auto" w:fill="D9D9D9" w:themeFill="background1" w:themeFillShade="D9"/>
            <w:noWrap/>
            <w:vAlign w:val="center"/>
            <w:hideMark/>
          </w:tcPr>
          <w:p w14:paraId="1123EAD3" w14:textId="77777777" w:rsidR="004C19ED" w:rsidRPr="00922606" w:rsidRDefault="004C19ED" w:rsidP="003E2CCD">
            <w:pPr>
              <w:jc w:val="left"/>
              <w:rPr>
                <w:rFonts w:eastAsia="Times New Roman" w:cs="Arial"/>
                <w:color w:val="000000"/>
                <w:szCs w:val="20"/>
                <w:lang w:eastAsia="pt-BR"/>
              </w:rPr>
            </w:pPr>
            <w:r w:rsidRPr="00922606">
              <w:rPr>
                <w:rFonts w:eastAsia="Times New Roman" w:cs="Arial"/>
                <w:color w:val="000000"/>
                <w:szCs w:val="20"/>
                <w:lang w:eastAsia="pt-BR"/>
              </w:rPr>
              <w:t xml:space="preserve">Receitas de Serviços </w:t>
            </w:r>
            <w:r>
              <w:rPr>
                <w:rFonts w:eastAsia="Times New Roman" w:cs="Arial"/>
                <w:color w:val="000000"/>
                <w:szCs w:val="20"/>
                <w:lang w:eastAsia="pt-BR"/>
              </w:rPr>
              <w:t xml:space="preserve">- </w:t>
            </w:r>
            <w:r w:rsidRPr="00F378F8">
              <w:rPr>
                <w:rFonts w:eastAsia="Times New Roman" w:cs="Arial"/>
                <w:color w:val="000000"/>
                <w:szCs w:val="20"/>
                <w:lang w:eastAsia="pt-BR"/>
              </w:rPr>
              <w:t>Serviços Administrativos</w:t>
            </w:r>
          </w:p>
        </w:tc>
        <w:tc>
          <w:tcPr>
            <w:tcW w:w="2989" w:type="dxa"/>
            <w:tcBorders>
              <w:top w:val="nil"/>
              <w:left w:val="nil"/>
              <w:bottom w:val="nil"/>
              <w:right w:val="nil"/>
            </w:tcBorders>
            <w:shd w:val="clear" w:color="auto" w:fill="D9D9D9" w:themeFill="background1" w:themeFillShade="D9"/>
            <w:noWrap/>
            <w:vAlign w:val="center"/>
          </w:tcPr>
          <w:p w14:paraId="29F465F6" w14:textId="77777777" w:rsidR="004C19ED" w:rsidRPr="00922606" w:rsidRDefault="004C19ED" w:rsidP="003E2CCD">
            <w:pPr>
              <w:jc w:val="right"/>
              <w:rPr>
                <w:rFonts w:eastAsia="Times New Roman" w:cs="Arial"/>
                <w:color w:val="000000"/>
                <w:szCs w:val="20"/>
                <w:lang w:eastAsia="pt-BR"/>
              </w:rPr>
            </w:pPr>
            <w:r w:rsidRPr="00B12356">
              <w:rPr>
                <w:rFonts w:eastAsia="Times New Roman" w:cs="Arial"/>
                <w:color w:val="000000"/>
                <w:szCs w:val="20"/>
                <w:lang w:eastAsia="pt-BR"/>
              </w:rPr>
              <w:t>725</w:t>
            </w:r>
            <w:r>
              <w:rPr>
                <w:rFonts w:eastAsia="Times New Roman" w:cs="Arial"/>
                <w:color w:val="000000"/>
                <w:szCs w:val="20"/>
                <w:lang w:eastAsia="pt-BR"/>
              </w:rPr>
              <w:t>.</w:t>
            </w:r>
            <w:r w:rsidRPr="00B12356">
              <w:rPr>
                <w:rFonts w:eastAsia="Times New Roman" w:cs="Arial"/>
                <w:color w:val="000000"/>
                <w:szCs w:val="20"/>
                <w:lang w:eastAsia="pt-BR"/>
              </w:rPr>
              <w:t>094</w:t>
            </w:r>
            <w:r>
              <w:rPr>
                <w:rFonts w:eastAsia="Times New Roman" w:cs="Arial"/>
                <w:color w:val="000000"/>
                <w:szCs w:val="20"/>
                <w:lang w:eastAsia="pt-BR"/>
              </w:rPr>
              <w:t>.</w:t>
            </w:r>
            <w:r w:rsidRPr="00B12356">
              <w:rPr>
                <w:rFonts w:eastAsia="Times New Roman" w:cs="Arial"/>
                <w:color w:val="000000"/>
                <w:szCs w:val="20"/>
                <w:lang w:eastAsia="pt-BR"/>
              </w:rPr>
              <w:t>172,22</w:t>
            </w:r>
          </w:p>
        </w:tc>
        <w:tc>
          <w:tcPr>
            <w:tcW w:w="1284" w:type="dxa"/>
            <w:tcBorders>
              <w:top w:val="nil"/>
              <w:left w:val="nil"/>
              <w:bottom w:val="nil"/>
              <w:right w:val="nil"/>
            </w:tcBorders>
            <w:shd w:val="clear" w:color="auto" w:fill="D9D9D9" w:themeFill="background1" w:themeFillShade="D9"/>
            <w:noWrap/>
            <w:vAlign w:val="center"/>
            <w:hideMark/>
          </w:tcPr>
          <w:p w14:paraId="1FF868E2" w14:textId="77777777" w:rsidR="004C19ED" w:rsidRPr="00922606" w:rsidRDefault="004C19ED" w:rsidP="003E2CCD">
            <w:pPr>
              <w:jc w:val="right"/>
              <w:rPr>
                <w:rFonts w:eastAsia="Times New Roman" w:cs="Arial"/>
                <w:color w:val="000000"/>
                <w:szCs w:val="20"/>
                <w:lang w:eastAsia="pt-BR"/>
              </w:rPr>
            </w:pPr>
            <w:r>
              <w:rPr>
                <w:rFonts w:eastAsia="Times New Roman" w:cs="Arial"/>
                <w:color w:val="000000"/>
                <w:szCs w:val="20"/>
                <w:lang w:eastAsia="pt-BR"/>
              </w:rPr>
              <w:t>46,89</w:t>
            </w:r>
          </w:p>
        </w:tc>
      </w:tr>
      <w:tr w:rsidR="004C19ED" w:rsidRPr="00AF4CC9" w14:paraId="377C941A" w14:textId="77777777" w:rsidTr="003E2CCD">
        <w:trPr>
          <w:trHeight w:val="281"/>
        </w:trPr>
        <w:tc>
          <w:tcPr>
            <w:tcW w:w="5032" w:type="dxa"/>
            <w:tcBorders>
              <w:top w:val="nil"/>
              <w:left w:val="nil"/>
              <w:bottom w:val="single" w:sz="8" w:space="0" w:color="000000"/>
              <w:right w:val="nil"/>
            </w:tcBorders>
            <w:shd w:val="clear" w:color="auto" w:fill="auto"/>
            <w:noWrap/>
            <w:vAlign w:val="center"/>
          </w:tcPr>
          <w:p w14:paraId="7DD23880" w14:textId="77777777" w:rsidR="004C19ED" w:rsidRPr="00AF4CC9" w:rsidRDefault="004C19ED" w:rsidP="003E2CCD">
            <w:pPr>
              <w:jc w:val="left"/>
              <w:rPr>
                <w:rFonts w:eastAsia="Times New Roman" w:cs="Arial"/>
                <w:bCs/>
                <w:color w:val="000000"/>
                <w:szCs w:val="20"/>
                <w:lang w:eastAsia="pt-BR"/>
              </w:rPr>
            </w:pPr>
            <w:r w:rsidRPr="00AF4CC9">
              <w:rPr>
                <w:rFonts w:eastAsia="Times New Roman" w:cs="Arial"/>
                <w:bCs/>
                <w:color w:val="000000"/>
                <w:szCs w:val="20"/>
                <w:lang w:eastAsia="pt-BR"/>
              </w:rPr>
              <w:t>Outras Receitas Correntes</w:t>
            </w:r>
            <w:r>
              <w:rPr>
                <w:rFonts w:eastAsia="Times New Roman" w:cs="Arial"/>
                <w:bCs/>
                <w:color w:val="000000"/>
                <w:szCs w:val="20"/>
                <w:lang w:eastAsia="pt-BR"/>
              </w:rPr>
              <w:t xml:space="preserve"> - </w:t>
            </w:r>
            <w:r w:rsidRPr="00A04F23">
              <w:rPr>
                <w:rFonts w:eastAsia="Times New Roman" w:cs="Arial"/>
                <w:color w:val="000000"/>
                <w:szCs w:val="20"/>
                <w:lang w:eastAsia="pt-BR"/>
              </w:rPr>
              <w:t>Multas administrativas, contratuais e judiciais</w:t>
            </w:r>
            <w:r>
              <w:rPr>
                <w:rFonts w:eastAsia="Times New Roman" w:cs="Arial"/>
                <w:color w:val="000000"/>
                <w:szCs w:val="20"/>
                <w:lang w:eastAsia="pt-BR"/>
              </w:rPr>
              <w:t xml:space="preserve">, </w:t>
            </w:r>
            <w:r w:rsidRPr="00A04F23">
              <w:rPr>
                <w:rFonts w:eastAsia="Times New Roman" w:cs="Arial"/>
                <w:color w:val="000000"/>
                <w:szCs w:val="20"/>
                <w:lang w:eastAsia="pt-BR"/>
              </w:rPr>
              <w:t>Indenizações, restituições e ressarcimentos</w:t>
            </w:r>
          </w:p>
        </w:tc>
        <w:tc>
          <w:tcPr>
            <w:tcW w:w="2989" w:type="dxa"/>
            <w:tcBorders>
              <w:top w:val="nil"/>
              <w:left w:val="nil"/>
              <w:bottom w:val="single" w:sz="8" w:space="0" w:color="000000"/>
              <w:right w:val="nil"/>
            </w:tcBorders>
            <w:shd w:val="clear" w:color="auto" w:fill="auto"/>
            <w:noWrap/>
            <w:vAlign w:val="center"/>
          </w:tcPr>
          <w:p w14:paraId="04CE7E77" w14:textId="77777777" w:rsidR="004C19ED" w:rsidRPr="00AF4CC9" w:rsidRDefault="004C19ED" w:rsidP="003E2CCD">
            <w:pPr>
              <w:jc w:val="right"/>
              <w:rPr>
                <w:rFonts w:eastAsia="Times New Roman" w:cs="Arial"/>
                <w:bCs/>
                <w:color w:val="000000"/>
                <w:szCs w:val="20"/>
                <w:lang w:eastAsia="pt-BR"/>
              </w:rPr>
            </w:pPr>
            <w:r w:rsidRPr="00B12356">
              <w:rPr>
                <w:rFonts w:eastAsia="Times New Roman" w:cs="Arial"/>
                <w:bCs/>
                <w:color w:val="000000"/>
                <w:szCs w:val="20"/>
                <w:lang w:eastAsia="pt-BR"/>
              </w:rPr>
              <w:t>373</w:t>
            </w:r>
            <w:r>
              <w:rPr>
                <w:rFonts w:eastAsia="Times New Roman" w:cs="Arial"/>
                <w:bCs/>
                <w:color w:val="000000"/>
                <w:szCs w:val="20"/>
                <w:lang w:eastAsia="pt-BR"/>
              </w:rPr>
              <w:t>.</w:t>
            </w:r>
            <w:r w:rsidRPr="00B12356">
              <w:rPr>
                <w:rFonts w:eastAsia="Times New Roman" w:cs="Arial"/>
                <w:bCs/>
                <w:color w:val="000000"/>
                <w:szCs w:val="20"/>
                <w:lang w:eastAsia="pt-BR"/>
              </w:rPr>
              <w:t>310</w:t>
            </w:r>
            <w:r>
              <w:rPr>
                <w:rFonts w:eastAsia="Times New Roman" w:cs="Arial"/>
                <w:bCs/>
                <w:color w:val="000000"/>
                <w:szCs w:val="20"/>
                <w:lang w:eastAsia="pt-BR"/>
              </w:rPr>
              <w:t>.</w:t>
            </w:r>
            <w:r w:rsidRPr="00B12356">
              <w:rPr>
                <w:rFonts w:eastAsia="Times New Roman" w:cs="Arial"/>
                <w:bCs/>
                <w:color w:val="000000"/>
                <w:szCs w:val="20"/>
                <w:lang w:eastAsia="pt-BR"/>
              </w:rPr>
              <w:t>009,74</w:t>
            </w:r>
          </w:p>
        </w:tc>
        <w:tc>
          <w:tcPr>
            <w:tcW w:w="1284" w:type="dxa"/>
            <w:tcBorders>
              <w:top w:val="nil"/>
              <w:left w:val="nil"/>
              <w:bottom w:val="single" w:sz="8" w:space="0" w:color="000000"/>
              <w:right w:val="nil"/>
            </w:tcBorders>
            <w:shd w:val="clear" w:color="auto" w:fill="auto"/>
            <w:noWrap/>
            <w:vAlign w:val="center"/>
          </w:tcPr>
          <w:p w14:paraId="00D6475E" w14:textId="77777777" w:rsidR="004C19ED" w:rsidRPr="00AF4CC9" w:rsidRDefault="004C19ED" w:rsidP="003E2CCD">
            <w:pPr>
              <w:jc w:val="right"/>
              <w:rPr>
                <w:rFonts w:eastAsia="Times New Roman" w:cs="Arial"/>
                <w:bCs/>
                <w:color w:val="000000"/>
                <w:szCs w:val="20"/>
                <w:lang w:eastAsia="pt-BR"/>
              </w:rPr>
            </w:pPr>
            <w:r>
              <w:rPr>
                <w:rFonts w:eastAsia="Times New Roman" w:cs="Arial"/>
                <w:bCs/>
                <w:color w:val="000000"/>
                <w:szCs w:val="20"/>
                <w:lang w:eastAsia="pt-BR"/>
              </w:rPr>
              <w:t>24,14</w:t>
            </w:r>
          </w:p>
        </w:tc>
      </w:tr>
      <w:tr w:rsidR="004C19ED" w:rsidRPr="00922606" w14:paraId="2A856B03" w14:textId="77777777" w:rsidTr="003E2CCD">
        <w:trPr>
          <w:trHeight w:val="281"/>
        </w:trPr>
        <w:tc>
          <w:tcPr>
            <w:tcW w:w="5032" w:type="dxa"/>
            <w:tcBorders>
              <w:top w:val="nil"/>
              <w:left w:val="nil"/>
              <w:bottom w:val="single" w:sz="8" w:space="0" w:color="000000"/>
              <w:right w:val="nil"/>
            </w:tcBorders>
            <w:shd w:val="clear" w:color="auto" w:fill="D9D9D9" w:themeFill="background1" w:themeFillShade="D9"/>
            <w:noWrap/>
            <w:vAlign w:val="center"/>
            <w:hideMark/>
          </w:tcPr>
          <w:p w14:paraId="414A70B4" w14:textId="77777777" w:rsidR="004C19ED" w:rsidRPr="00922606" w:rsidRDefault="004C19ED" w:rsidP="003E2CCD">
            <w:pPr>
              <w:jc w:val="left"/>
              <w:rPr>
                <w:rFonts w:eastAsia="Times New Roman" w:cs="Arial"/>
                <w:b/>
                <w:bCs/>
                <w:color w:val="000000"/>
                <w:szCs w:val="20"/>
                <w:lang w:eastAsia="pt-BR"/>
              </w:rPr>
            </w:pPr>
            <w:r w:rsidRPr="00922606">
              <w:rPr>
                <w:rFonts w:eastAsia="Times New Roman" w:cs="Arial"/>
                <w:b/>
                <w:bCs/>
                <w:color w:val="000000"/>
                <w:szCs w:val="20"/>
                <w:lang w:eastAsia="pt-BR"/>
              </w:rPr>
              <w:t>Total</w:t>
            </w:r>
          </w:p>
        </w:tc>
        <w:tc>
          <w:tcPr>
            <w:tcW w:w="2989" w:type="dxa"/>
            <w:tcBorders>
              <w:top w:val="nil"/>
              <w:left w:val="nil"/>
              <w:bottom w:val="single" w:sz="8" w:space="0" w:color="000000"/>
              <w:right w:val="nil"/>
            </w:tcBorders>
            <w:shd w:val="clear" w:color="auto" w:fill="D9D9D9" w:themeFill="background1" w:themeFillShade="D9"/>
            <w:noWrap/>
            <w:vAlign w:val="center"/>
          </w:tcPr>
          <w:p w14:paraId="5FD284BA" w14:textId="77777777" w:rsidR="004C19ED" w:rsidRPr="00922606" w:rsidRDefault="004C19ED" w:rsidP="003E2CCD">
            <w:pPr>
              <w:jc w:val="right"/>
              <w:rPr>
                <w:rFonts w:eastAsia="Times New Roman" w:cs="Arial"/>
                <w:b/>
                <w:bCs/>
                <w:color w:val="000000"/>
                <w:szCs w:val="20"/>
                <w:lang w:eastAsia="pt-BR"/>
              </w:rPr>
            </w:pPr>
            <w:r w:rsidRPr="00B12356">
              <w:rPr>
                <w:rFonts w:eastAsia="Times New Roman" w:cs="Arial"/>
                <w:color w:val="000000"/>
                <w:szCs w:val="20"/>
                <w:lang w:eastAsia="pt-BR"/>
              </w:rPr>
              <w:t>1</w:t>
            </w:r>
            <w:r>
              <w:rPr>
                <w:rFonts w:eastAsia="Times New Roman" w:cs="Arial"/>
                <w:color w:val="000000"/>
                <w:szCs w:val="20"/>
                <w:lang w:eastAsia="pt-BR"/>
              </w:rPr>
              <w:t>.</w:t>
            </w:r>
            <w:r w:rsidRPr="00B12356">
              <w:rPr>
                <w:rFonts w:eastAsia="Times New Roman" w:cs="Arial"/>
                <w:color w:val="000000"/>
                <w:szCs w:val="20"/>
                <w:lang w:eastAsia="pt-BR"/>
              </w:rPr>
              <w:t>546</w:t>
            </w:r>
            <w:r>
              <w:rPr>
                <w:rFonts w:eastAsia="Times New Roman" w:cs="Arial"/>
                <w:color w:val="000000"/>
                <w:szCs w:val="20"/>
                <w:lang w:eastAsia="pt-BR"/>
              </w:rPr>
              <w:t>.</w:t>
            </w:r>
            <w:r w:rsidRPr="00B12356">
              <w:rPr>
                <w:rFonts w:eastAsia="Times New Roman" w:cs="Arial"/>
                <w:color w:val="000000"/>
                <w:szCs w:val="20"/>
                <w:lang w:eastAsia="pt-BR"/>
              </w:rPr>
              <w:t>331</w:t>
            </w:r>
            <w:r>
              <w:rPr>
                <w:rFonts w:eastAsia="Times New Roman" w:cs="Arial"/>
                <w:color w:val="000000"/>
                <w:szCs w:val="20"/>
                <w:lang w:eastAsia="pt-BR"/>
              </w:rPr>
              <w:t>.</w:t>
            </w:r>
            <w:r w:rsidRPr="00B12356">
              <w:rPr>
                <w:rFonts w:eastAsia="Times New Roman" w:cs="Arial"/>
                <w:color w:val="000000"/>
                <w:szCs w:val="20"/>
                <w:lang w:eastAsia="pt-BR"/>
              </w:rPr>
              <w:t>084,42</w:t>
            </w:r>
          </w:p>
        </w:tc>
        <w:tc>
          <w:tcPr>
            <w:tcW w:w="1284" w:type="dxa"/>
            <w:tcBorders>
              <w:top w:val="nil"/>
              <w:left w:val="nil"/>
              <w:bottom w:val="single" w:sz="8" w:space="0" w:color="000000"/>
              <w:right w:val="nil"/>
            </w:tcBorders>
            <w:shd w:val="clear" w:color="auto" w:fill="D9D9D9" w:themeFill="background1" w:themeFillShade="D9"/>
            <w:noWrap/>
            <w:vAlign w:val="center"/>
            <w:hideMark/>
          </w:tcPr>
          <w:p w14:paraId="2A3ABD85" w14:textId="77777777" w:rsidR="004C19ED" w:rsidRPr="00922606" w:rsidRDefault="004C19ED" w:rsidP="003E2CCD">
            <w:pPr>
              <w:jc w:val="right"/>
              <w:rPr>
                <w:rFonts w:eastAsia="Times New Roman" w:cs="Arial"/>
                <w:b/>
                <w:bCs/>
                <w:color w:val="000000"/>
                <w:szCs w:val="20"/>
                <w:lang w:eastAsia="pt-BR"/>
              </w:rPr>
            </w:pPr>
            <w:r w:rsidRPr="00922606">
              <w:rPr>
                <w:rFonts w:eastAsia="Times New Roman" w:cs="Arial"/>
                <w:b/>
                <w:bCs/>
                <w:color w:val="000000"/>
                <w:szCs w:val="20"/>
                <w:lang w:eastAsia="pt-BR"/>
              </w:rPr>
              <w:t>100,00</w:t>
            </w:r>
          </w:p>
        </w:tc>
      </w:tr>
    </w:tbl>
    <w:p w14:paraId="5B6727CE" w14:textId="77777777" w:rsidR="004C19ED" w:rsidRPr="003B4733" w:rsidRDefault="004C19ED" w:rsidP="004C19ED">
      <w:pPr>
        <w:rPr>
          <w:rFonts w:cs="Arial"/>
          <w:i/>
          <w:szCs w:val="20"/>
        </w:rPr>
      </w:pPr>
      <w:r w:rsidRPr="003B4733">
        <w:rPr>
          <w:rFonts w:cs="Arial"/>
          <w:i/>
          <w:szCs w:val="20"/>
        </w:rPr>
        <w:t>Fonte: SIAFI, 20</w:t>
      </w:r>
      <w:r>
        <w:rPr>
          <w:rFonts w:cs="Arial"/>
          <w:i/>
          <w:szCs w:val="20"/>
        </w:rPr>
        <w:t>21</w:t>
      </w:r>
      <w:r w:rsidRPr="003B4733">
        <w:rPr>
          <w:rFonts w:cs="Arial"/>
          <w:i/>
          <w:szCs w:val="20"/>
        </w:rPr>
        <w:t>.</w:t>
      </w:r>
    </w:p>
    <w:p w14:paraId="1F6F023F" w14:textId="77777777" w:rsidR="004C19ED" w:rsidRDefault="004C19ED" w:rsidP="004C19ED">
      <w:pPr>
        <w:rPr>
          <w:rFonts w:cs="Arial"/>
          <w:sz w:val="22"/>
        </w:rPr>
      </w:pPr>
    </w:p>
    <w:p w14:paraId="00B600C2" w14:textId="77777777" w:rsidR="004C19ED" w:rsidRDefault="004C19ED" w:rsidP="004C19ED">
      <w:pPr>
        <w:rPr>
          <w:rFonts w:cs="Arial"/>
          <w:sz w:val="22"/>
        </w:rPr>
      </w:pPr>
      <w:r w:rsidRPr="00425FE0">
        <w:rPr>
          <w:rFonts w:cs="Arial"/>
          <w:sz w:val="22"/>
        </w:rPr>
        <w:t xml:space="preserve">No exercício de 2021, a dotação da receita corrente, inicial e atualizada das atividades-fim da ANP, foi superada, demonstrando um excesso de arrecadação. Esse excesso, se deu por conta </w:t>
      </w:r>
      <w:r>
        <w:rPr>
          <w:rFonts w:cs="Arial"/>
          <w:sz w:val="22"/>
        </w:rPr>
        <w:t>do alto impacto nas Receitas de Serviços, e diz respeito à realização da receita quando da entrada na Conta Única do Tesouro dos valores constantes na conta corrente que a ANP possui junto ao Banco do Brasil, assim como da aplicação</w:t>
      </w:r>
      <w:r w:rsidRPr="00425FE0">
        <w:rPr>
          <w:rFonts w:cs="Arial"/>
          <w:sz w:val="22"/>
        </w:rPr>
        <w:t xml:space="preserve"> </w:t>
      </w:r>
      <w:r>
        <w:rPr>
          <w:rFonts w:cs="Arial"/>
          <w:sz w:val="22"/>
        </w:rPr>
        <w:t xml:space="preserve">das penalidades contratuais pelo não cumprimento das cláusulas previstas no Programa Exploratório Mínimo – PEM, junto às empresas que realizam exploração de óleo e gás. </w:t>
      </w:r>
    </w:p>
    <w:p w14:paraId="6147CC18" w14:textId="77777777" w:rsidR="004C19ED" w:rsidRPr="00425FE0" w:rsidRDefault="004C19ED" w:rsidP="004C19ED">
      <w:pPr>
        <w:rPr>
          <w:rFonts w:cs="Arial"/>
          <w:sz w:val="22"/>
        </w:rPr>
      </w:pPr>
    </w:p>
    <w:p w14:paraId="1A6DA8B6" w14:textId="77777777" w:rsidR="004C19ED" w:rsidRDefault="004C19ED" w:rsidP="004C19ED">
      <w:pPr>
        <w:rPr>
          <w:rFonts w:cs="Arial"/>
          <w:sz w:val="22"/>
          <w:highlight w:val="cyan"/>
        </w:rPr>
      </w:pPr>
      <w:r w:rsidRPr="00425FE0">
        <w:rPr>
          <w:rFonts w:cs="Arial"/>
          <w:sz w:val="22"/>
        </w:rPr>
        <w:t xml:space="preserve">Já o alto impacto no item Outras Receitas Correntes, faz referência </w:t>
      </w:r>
      <w:r>
        <w:rPr>
          <w:rFonts w:cs="Arial"/>
          <w:sz w:val="22"/>
        </w:rPr>
        <w:t>a arrecadação d</w:t>
      </w:r>
      <w:r w:rsidRPr="00425FE0">
        <w:rPr>
          <w:rFonts w:cs="Arial"/>
          <w:sz w:val="22"/>
        </w:rPr>
        <w:t xml:space="preserve">as multas administrativas por infração da legislação do petróleo </w:t>
      </w:r>
      <w:r>
        <w:rPr>
          <w:rFonts w:cs="Arial"/>
          <w:sz w:val="22"/>
        </w:rPr>
        <w:t xml:space="preserve">e da dívida ativa, que tiveram em 2020 sua demanda represada por conta da pandemia, sendo arrecadadas em 2021. </w:t>
      </w:r>
      <w:r w:rsidRPr="006E0907">
        <w:rPr>
          <w:rFonts w:cs="Arial"/>
          <w:sz w:val="22"/>
        </w:rPr>
        <w:t xml:space="preserve">A explicação para o aumento significativo está no volume financeiro apresentado pelas multas aplicados pelas superintendências de </w:t>
      </w:r>
      <w:proofErr w:type="spellStart"/>
      <w:r w:rsidRPr="006E0907">
        <w:rPr>
          <w:rFonts w:cs="Arial"/>
          <w:sz w:val="22"/>
        </w:rPr>
        <w:t>Upstream</w:t>
      </w:r>
      <w:proofErr w:type="spellEnd"/>
      <w:r w:rsidRPr="006E0907">
        <w:rPr>
          <w:rFonts w:cs="Arial"/>
          <w:sz w:val="22"/>
        </w:rPr>
        <w:t>. Em 2021, as multas pecuniárias com valor superior a 500 mil reais representaram 63% do volume financeiro notificado e pago no referido exercício.</w:t>
      </w:r>
      <w:r w:rsidRPr="00445CD8">
        <w:rPr>
          <w:rFonts w:cs="Arial"/>
          <w:sz w:val="22"/>
          <w:highlight w:val="cyan"/>
        </w:rPr>
        <w:t xml:space="preserve"> </w:t>
      </w:r>
    </w:p>
    <w:p w14:paraId="7BEE13F2" w14:textId="77777777" w:rsidR="004C19ED" w:rsidRDefault="004C19ED" w:rsidP="004C19ED">
      <w:pPr>
        <w:rPr>
          <w:rFonts w:cs="Arial"/>
          <w:sz w:val="22"/>
          <w:highlight w:val="cyan"/>
        </w:rPr>
      </w:pPr>
    </w:p>
    <w:p w14:paraId="77803634" w14:textId="77777777" w:rsidR="004C19ED" w:rsidRDefault="004C19ED" w:rsidP="004C19ED">
      <w:pPr>
        <w:rPr>
          <w:rFonts w:cs="Arial"/>
          <w:sz w:val="22"/>
        </w:rPr>
      </w:pPr>
      <w:r w:rsidRPr="00B43413">
        <w:rPr>
          <w:rFonts w:cs="Arial"/>
          <w:sz w:val="22"/>
        </w:rPr>
        <w:t>Quanto as Receitas Patrimoniais, essa se refere à arrecadação das retenções de áreas de exploração para produção, realizados anualmente</w:t>
      </w:r>
      <w:r>
        <w:rPr>
          <w:rFonts w:cs="Arial"/>
          <w:sz w:val="22"/>
        </w:rPr>
        <w:t xml:space="preserve"> e também aos valores mobiliários provenientes da remuneração da aplicação financeira realizada no banco do Brasil, oriunda dos valores constantes na conta corrente mantida pela ANP.</w:t>
      </w:r>
    </w:p>
    <w:p w14:paraId="0CAC5C82" w14:textId="77777777" w:rsidR="004C19ED" w:rsidRDefault="004C19ED" w:rsidP="004C19ED">
      <w:pPr>
        <w:rPr>
          <w:rFonts w:cs="Arial"/>
          <w:sz w:val="22"/>
        </w:rPr>
      </w:pPr>
    </w:p>
    <w:p w14:paraId="4B65A531" w14:textId="77777777" w:rsidR="004C19ED" w:rsidRDefault="004C19ED" w:rsidP="004C19ED">
      <w:pPr>
        <w:rPr>
          <w:rFonts w:cs="Arial"/>
          <w:sz w:val="22"/>
        </w:rPr>
      </w:pPr>
      <w:r w:rsidRPr="00F5234D">
        <w:rPr>
          <w:rFonts w:cs="Arial"/>
          <w:sz w:val="22"/>
        </w:rPr>
        <w:t>Vale salientar que, além do 2º Ciclo de Licitações de Oferta Permanente, realizado em 04/12/2020, ainda vigente, no final de 2021, foi realizada a 2ª rodada do excedente de</w:t>
      </w:r>
      <w:r w:rsidRPr="00B43413">
        <w:rPr>
          <w:rFonts w:cs="Arial"/>
          <w:sz w:val="22"/>
        </w:rPr>
        <w:t xml:space="preserve"> cessão onerosa</w:t>
      </w:r>
      <w:r>
        <w:rPr>
          <w:rFonts w:cs="Arial"/>
          <w:sz w:val="22"/>
        </w:rPr>
        <w:t xml:space="preserve"> e também a </w:t>
      </w:r>
      <w:r w:rsidRPr="00B43413">
        <w:rPr>
          <w:rFonts w:cs="Arial"/>
          <w:sz w:val="22"/>
        </w:rPr>
        <w:t xml:space="preserve">17ª Rodada de Licitações de Blocos para Exploração e Produção de </w:t>
      </w:r>
      <w:r w:rsidRPr="00B43413">
        <w:rPr>
          <w:rFonts w:cs="Arial"/>
          <w:sz w:val="22"/>
        </w:rPr>
        <w:lastRenderedPageBreak/>
        <w:t>Petróleo e Gás Natural sob o regime de concessão</w:t>
      </w:r>
      <w:r>
        <w:rPr>
          <w:rFonts w:cs="Arial"/>
          <w:sz w:val="22"/>
        </w:rPr>
        <w:t>, que irão refletir na arrecadação, somente no primeiro trimestre de 2022.</w:t>
      </w:r>
    </w:p>
    <w:p w14:paraId="157F2AF6" w14:textId="77777777" w:rsidR="004C19ED" w:rsidRDefault="004C19ED" w:rsidP="004C19ED">
      <w:pPr>
        <w:rPr>
          <w:rFonts w:cs="Arial"/>
          <w:sz w:val="22"/>
        </w:rPr>
      </w:pPr>
    </w:p>
    <w:p w14:paraId="4A9FD0E5" w14:textId="77777777" w:rsidR="004C19ED" w:rsidRDefault="004C19ED" w:rsidP="004C19ED">
      <w:pPr>
        <w:rPr>
          <w:rFonts w:cs="Arial"/>
          <w:sz w:val="22"/>
        </w:rPr>
      </w:pPr>
      <w:r>
        <w:rPr>
          <w:rFonts w:cs="Arial"/>
          <w:sz w:val="22"/>
        </w:rPr>
        <w:t>Quanto às despesas, f</w:t>
      </w:r>
      <w:r w:rsidRPr="00203032">
        <w:rPr>
          <w:rFonts w:cs="Arial"/>
          <w:sz w:val="22"/>
        </w:rPr>
        <w:t>oram empenhados valores superiores a R$ 48,7 bilhões, cuja comparação com o exercício anterior é demonstrada da tabela a seguir:</w:t>
      </w:r>
    </w:p>
    <w:p w14:paraId="701DBD80" w14:textId="77777777" w:rsidR="004C19ED" w:rsidRDefault="004C19ED" w:rsidP="004C19ED">
      <w:pPr>
        <w:rPr>
          <w:rFonts w:cs="Arial"/>
          <w:sz w:val="22"/>
        </w:rPr>
      </w:pPr>
    </w:p>
    <w:p w14:paraId="3FFBCF50" w14:textId="77777777" w:rsidR="004C19ED" w:rsidRPr="00351BB7" w:rsidRDefault="004C19ED" w:rsidP="004C19ED">
      <w:pPr>
        <w:rPr>
          <w:rFonts w:cs="Arial"/>
          <w:sz w:val="22"/>
        </w:rPr>
      </w:pPr>
      <w:r w:rsidRPr="00C449FB">
        <w:rPr>
          <w:rFonts w:cs="Arial"/>
          <w:b/>
          <w:sz w:val="22"/>
        </w:rPr>
        <w:t>Tabela 6 – Execução Orçamentária da Despesa - Despesa Empenhada.</w:t>
      </w:r>
      <w:r w:rsidRPr="00351BB7">
        <w:rPr>
          <w:rFonts w:cs="Arial"/>
          <w:sz w:val="22"/>
        </w:rPr>
        <w:t xml:space="preserve">                                                                                                                                        </w:t>
      </w:r>
    </w:p>
    <w:p w14:paraId="3A4CF49F" w14:textId="77777777" w:rsidR="004C19ED" w:rsidRPr="00351BB7" w:rsidRDefault="004C19ED" w:rsidP="004C19ED">
      <w:pPr>
        <w:rPr>
          <w:rFonts w:cs="Arial"/>
          <w:sz w:val="22"/>
        </w:rPr>
      </w:pPr>
      <w:r w:rsidRPr="00351BB7">
        <w:rPr>
          <w:rFonts w:cs="Arial"/>
          <w:sz w:val="22"/>
        </w:rPr>
        <w:t xml:space="preserve">            </w:t>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t>R$</w:t>
      </w:r>
    </w:p>
    <w:tbl>
      <w:tblPr>
        <w:tblW w:w="9096" w:type="dxa"/>
        <w:tblCellMar>
          <w:left w:w="70" w:type="dxa"/>
          <w:right w:w="70" w:type="dxa"/>
        </w:tblCellMar>
        <w:tblLook w:val="04A0" w:firstRow="1" w:lastRow="0" w:firstColumn="1" w:lastColumn="0" w:noHBand="0" w:noVBand="1"/>
      </w:tblPr>
      <w:tblGrid>
        <w:gridCol w:w="2663"/>
        <w:gridCol w:w="2584"/>
        <w:gridCol w:w="2584"/>
        <w:gridCol w:w="1265"/>
      </w:tblGrid>
      <w:tr w:rsidR="004C19ED" w:rsidRPr="00E819F8" w14:paraId="7A838A81" w14:textId="77777777" w:rsidTr="003E2CCD">
        <w:trPr>
          <w:trHeight w:val="299"/>
        </w:trPr>
        <w:tc>
          <w:tcPr>
            <w:tcW w:w="2663" w:type="dxa"/>
            <w:tcBorders>
              <w:top w:val="single" w:sz="4" w:space="0" w:color="000000"/>
              <w:left w:val="nil"/>
              <w:bottom w:val="single" w:sz="4" w:space="0" w:color="000000"/>
              <w:right w:val="nil"/>
            </w:tcBorders>
            <w:shd w:val="clear" w:color="auto" w:fill="auto"/>
            <w:noWrap/>
            <w:vAlign w:val="bottom"/>
            <w:hideMark/>
          </w:tcPr>
          <w:p w14:paraId="35515952" w14:textId="77777777" w:rsidR="004C19ED" w:rsidRPr="00E819F8" w:rsidRDefault="004C19ED" w:rsidP="003E2CCD">
            <w:pPr>
              <w:jc w:val="left"/>
              <w:rPr>
                <w:rFonts w:eastAsia="Times New Roman" w:cs="Arial"/>
                <w:b/>
                <w:bCs/>
                <w:color w:val="FFFFFF"/>
                <w:szCs w:val="20"/>
                <w:lang w:eastAsia="pt-BR"/>
              </w:rPr>
            </w:pPr>
            <w:r w:rsidRPr="00E819F8">
              <w:rPr>
                <w:rFonts w:eastAsia="Times New Roman" w:cs="Arial"/>
                <w:b/>
                <w:bCs/>
                <w:color w:val="FFFFFF"/>
                <w:szCs w:val="20"/>
                <w:lang w:eastAsia="pt-BR"/>
              </w:rPr>
              <w:t>Colunas1</w:t>
            </w:r>
          </w:p>
        </w:tc>
        <w:tc>
          <w:tcPr>
            <w:tcW w:w="2584" w:type="dxa"/>
            <w:tcBorders>
              <w:top w:val="single" w:sz="4" w:space="0" w:color="000000"/>
              <w:left w:val="nil"/>
              <w:bottom w:val="single" w:sz="4" w:space="0" w:color="000000"/>
              <w:right w:val="nil"/>
            </w:tcBorders>
            <w:shd w:val="clear" w:color="auto" w:fill="auto"/>
            <w:noWrap/>
            <w:vAlign w:val="bottom"/>
            <w:hideMark/>
          </w:tcPr>
          <w:p w14:paraId="0CDC654D" w14:textId="77777777" w:rsidR="004C19ED" w:rsidRPr="00E819F8" w:rsidRDefault="004C19ED" w:rsidP="003E2CCD">
            <w:pPr>
              <w:jc w:val="right"/>
              <w:rPr>
                <w:rFonts w:eastAsia="Times New Roman" w:cs="Arial"/>
                <w:b/>
                <w:bCs/>
                <w:color w:val="000000"/>
                <w:szCs w:val="20"/>
                <w:lang w:eastAsia="pt-BR"/>
              </w:rPr>
            </w:pPr>
            <w:r w:rsidRPr="00E819F8">
              <w:rPr>
                <w:rFonts w:eastAsia="Times New Roman" w:cs="Arial"/>
                <w:b/>
                <w:bCs/>
                <w:color w:val="000000"/>
                <w:szCs w:val="20"/>
                <w:lang w:eastAsia="pt-BR"/>
              </w:rPr>
              <w:t>3</w:t>
            </w:r>
            <w:r>
              <w:rPr>
                <w:rFonts w:eastAsia="Times New Roman" w:cs="Arial"/>
                <w:b/>
                <w:bCs/>
                <w:color w:val="000000"/>
                <w:szCs w:val="20"/>
                <w:lang w:eastAsia="pt-BR"/>
              </w:rPr>
              <w:t>1</w:t>
            </w:r>
            <w:r w:rsidRPr="00E819F8">
              <w:rPr>
                <w:rFonts w:eastAsia="Times New Roman" w:cs="Arial"/>
                <w:b/>
                <w:bCs/>
                <w:color w:val="000000"/>
                <w:szCs w:val="20"/>
                <w:lang w:eastAsia="pt-BR"/>
              </w:rPr>
              <w:t>/</w:t>
            </w:r>
            <w:r>
              <w:rPr>
                <w:rFonts w:eastAsia="Times New Roman" w:cs="Arial"/>
                <w:b/>
                <w:bCs/>
                <w:color w:val="000000"/>
                <w:szCs w:val="20"/>
                <w:lang w:eastAsia="pt-BR"/>
              </w:rPr>
              <w:t>12</w:t>
            </w:r>
            <w:r w:rsidRPr="00E819F8">
              <w:rPr>
                <w:rFonts w:eastAsia="Times New Roman" w:cs="Arial"/>
                <w:b/>
                <w:bCs/>
                <w:color w:val="000000"/>
                <w:szCs w:val="20"/>
                <w:lang w:eastAsia="pt-BR"/>
              </w:rPr>
              <w:t>/20</w:t>
            </w:r>
            <w:r>
              <w:rPr>
                <w:rFonts w:eastAsia="Times New Roman" w:cs="Arial"/>
                <w:b/>
                <w:bCs/>
                <w:color w:val="000000"/>
                <w:szCs w:val="20"/>
                <w:lang w:eastAsia="pt-BR"/>
              </w:rPr>
              <w:t>21</w:t>
            </w:r>
          </w:p>
        </w:tc>
        <w:tc>
          <w:tcPr>
            <w:tcW w:w="2584" w:type="dxa"/>
            <w:tcBorders>
              <w:top w:val="single" w:sz="4" w:space="0" w:color="000000"/>
              <w:left w:val="nil"/>
              <w:bottom w:val="single" w:sz="4" w:space="0" w:color="000000"/>
              <w:right w:val="nil"/>
            </w:tcBorders>
            <w:shd w:val="clear" w:color="auto" w:fill="auto"/>
            <w:noWrap/>
            <w:vAlign w:val="bottom"/>
            <w:hideMark/>
          </w:tcPr>
          <w:p w14:paraId="7E26EB86" w14:textId="77777777" w:rsidR="004C19ED" w:rsidRPr="00E819F8" w:rsidRDefault="004C19ED" w:rsidP="003E2CCD">
            <w:pPr>
              <w:jc w:val="right"/>
              <w:rPr>
                <w:rFonts w:eastAsia="Times New Roman" w:cs="Arial"/>
                <w:b/>
                <w:bCs/>
                <w:color w:val="000000"/>
                <w:szCs w:val="20"/>
                <w:lang w:eastAsia="pt-BR"/>
              </w:rPr>
            </w:pPr>
            <w:r w:rsidRPr="00E819F8">
              <w:rPr>
                <w:rFonts w:eastAsia="Times New Roman" w:cs="Arial"/>
                <w:b/>
                <w:bCs/>
                <w:color w:val="000000"/>
                <w:szCs w:val="20"/>
                <w:lang w:eastAsia="pt-BR"/>
              </w:rPr>
              <w:t>3</w:t>
            </w:r>
            <w:r>
              <w:rPr>
                <w:rFonts w:eastAsia="Times New Roman" w:cs="Arial"/>
                <w:b/>
                <w:bCs/>
                <w:color w:val="000000"/>
                <w:szCs w:val="20"/>
                <w:lang w:eastAsia="pt-BR"/>
              </w:rPr>
              <w:t>1</w:t>
            </w:r>
            <w:r w:rsidRPr="00E819F8">
              <w:rPr>
                <w:rFonts w:eastAsia="Times New Roman" w:cs="Arial"/>
                <w:b/>
                <w:bCs/>
                <w:color w:val="000000"/>
                <w:szCs w:val="20"/>
                <w:lang w:eastAsia="pt-BR"/>
              </w:rPr>
              <w:t>/</w:t>
            </w:r>
            <w:r>
              <w:rPr>
                <w:rFonts w:eastAsia="Times New Roman" w:cs="Arial"/>
                <w:b/>
                <w:bCs/>
                <w:color w:val="000000"/>
                <w:szCs w:val="20"/>
                <w:lang w:eastAsia="pt-BR"/>
              </w:rPr>
              <w:t>12</w:t>
            </w:r>
            <w:r w:rsidRPr="00E819F8">
              <w:rPr>
                <w:rFonts w:eastAsia="Times New Roman" w:cs="Arial"/>
                <w:b/>
                <w:bCs/>
                <w:color w:val="000000"/>
                <w:szCs w:val="20"/>
                <w:lang w:eastAsia="pt-BR"/>
              </w:rPr>
              <w:t>/20</w:t>
            </w:r>
            <w:r>
              <w:rPr>
                <w:rFonts w:eastAsia="Times New Roman" w:cs="Arial"/>
                <w:b/>
                <w:bCs/>
                <w:color w:val="000000"/>
                <w:szCs w:val="20"/>
                <w:lang w:eastAsia="pt-BR"/>
              </w:rPr>
              <w:t>20</w:t>
            </w:r>
          </w:p>
        </w:tc>
        <w:tc>
          <w:tcPr>
            <w:tcW w:w="1265" w:type="dxa"/>
            <w:tcBorders>
              <w:top w:val="single" w:sz="4" w:space="0" w:color="000000"/>
              <w:left w:val="nil"/>
              <w:bottom w:val="single" w:sz="4" w:space="0" w:color="000000"/>
              <w:right w:val="nil"/>
            </w:tcBorders>
            <w:shd w:val="clear" w:color="auto" w:fill="auto"/>
            <w:noWrap/>
            <w:vAlign w:val="bottom"/>
            <w:hideMark/>
          </w:tcPr>
          <w:p w14:paraId="3626687E" w14:textId="77777777" w:rsidR="004C19ED" w:rsidRPr="00E819F8" w:rsidRDefault="004C19ED" w:rsidP="003E2CCD">
            <w:pPr>
              <w:jc w:val="right"/>
              <w:rPr>
                <w:rFonts w:eastAsia="Times New Roman" w:cs="Arial"/>
                <w:b/>
                <w:bCs/>
                <w:color w:val="000000"/>
                <w:szCs w:val="20"/>
                <w:lang w:eastAsia="pt-BR"/>
              </w:rPr>
            </w:pPr>
            <w:r w:rsidRPr="00E819F8">
              <w:rPr>
                <w:rFonts w:eastAsia="Times New Roman" w:cs="Arial"/>
                <w:b/>
                <w:bCs/>
                <w:color w:val="000000"/>
                <w:szCs w:val="20"/>
                <w:lang w:eastAsia="pt-BR"/>
              </w:rPr>
              <w:t>AH (%)</w:t>
            </w:r>
          </w:p>
        </w:tc>
      </w:tr>
      <w:tr w:rsidR="004C19ED" w:rsidRPr="00E819F8" w14:paraId="3AD2C53A" w14:textId="77777777" w:rsidTr="003E2CCD">
        <w:trPr>
          <w:trHeight w:val="299"/>
        </w:trPr>
        <w:tc>
          <w:tcPr>
            <w:tcW w:w="2663" w:type="dxa"/>
            <w:tcBorders>
              <w:top w:val="nil"/>
              <w:left w:val="nil"/>
              <w:bottom w:val="nil"/>
              <w:right w:val="nil"/>
            </w:tcBorders>
            <w:shd w:val="clear" w:color="D9D9D9" w:fill="D9D9D9"/>
            <w:noWrap/>
            <w:vAlign w:val="bottom"/>
            <w:hideMark/>
          </w:tcPr>
          <w:p w14:paraId="236563D0" w14:textId="77777777" w:rsidR="004C19ED" w:rsidRPr="00E819F8" w:rsidRDefault="004C19ED" w:rsidP="003E2CCD">
            <w:pPr>
              <w:jc w:val="left"/>
              <w:rPr>
                <w:rFonts w:eastAsia="Times New Roman" w:cs="Arial"/>
                <w:color w:val="000000"/>
                <w:szCs w:val="20"/>
                <w:lang w:eastAsia="pt-BR"/>
              </w:rPr>
            </w:pPr>
            <w:r w:rsidRPr="00E819F8">
              <w:rPr>
                <w:rFonts w:eastAsia="Times New Roman" w:cs="Arial"/>
                <w:color w:val="000000"/>
                <w:szCs w:val="20"/>
                <w:lang w:eastAsia="pt-BR"/>
              </w:rPr>
              <w:t>Despesas Correntes</w:t>
            </w:r>
          </w:p>
        </w:tc>
        <w:tc>
          <w:tcPr>
            <w:tcW w:w="2584" w:type="dxa"/>
            <w:tcBorders>
              <w:top w:val="nil"/>
              <w:left w:val="nil"/>
              <w:bottom w:val="nil"/>
              <w:right w:val="nil"/>
            </w:tcBorders>
            <w:shd w:val="clear" w:color="D9D9D9" w:fill="D9D9D9"/>
            <w:noWrap/>
            <w:vAlign w:val="bottom"/>
          </w:tcPr>
          <w:p w14:paraId="03B2DA3D" w14:textId="77777777" w:rsidR="004C19ED" w:rsidRPr="00E819F8" w:rsidRDefault="004C19ED" w:rsidP="003E2CCD">
            <w:pPr>
              <w:jc w:val="right"/>
              <w:rPr>
                <w:rFonts w:eastAsia="Times New Roman" w:cs="Arial"/>
                <w:color w:val="000000"/>
                <w:szCs w:val="20"/>
                <w:lang w:eastAsia="pt-BR"/>
              </w:rPr>
            </w:pPr>
            <w:r w:rsidRPr="00203032">
              <w:rPr>
                <w:rFonts w:eastAsia="Times New Roman" w:cs="Arial"/>
                <w:color w:val="000000"/>
                <w:szCs w:val="20"/>
                <w:lang w:eastAsia="pt-BR"/>
              </w:rPr>
              <w:t>48</w:t>
            </w:r>
            <w:r>
              <w:rPr>
                <w:rFonts w:eastAsia="Times New Roman" w:cs="Arial"/>
                <w:color w:val="000000"/>
                <w:szCs w:val="20"/>
                <w:lang w:eastAsia="pt-BR"/>
              </w:rPr>
              <w:t>.</w:t>
            </w:r>
            <w:r w:rsidRPr="00203032">
              <w:rPr>
                <w:rFonts w:eastAsia="Times New Roman" w:cs="Arial"/>
                <w:color w:val="000000"/>
                <w:szCs w:val="20"/>
                <w:lang w:eastAsia="pt-BR"/>
              </w:rPr>
              <w:t>764</w:t>
            </w:r>
            <w:r>
              <w:rPr>
                <w:rFonts w:eastAsia="Times New Roman" w:cs="Arial"/>
                <w:color w:val="000000"/>
                <w:szCs w:val="20"/>
                <w:lang w:eastAsia="pt-BR"/>
              </w:rPr>
              <w:t>.</w:t>
            </w:r>
            <w:r w:rsidRPr="00203032">
              <w:rPr>
                <w:rFonts w:eastAsia="Times New Roman" w:cs="Arial"/>
                <w:color w:val="000000"/>
                <w:szCs w:val="20"/>
                <w:lang w:eastAsia="pt-BR"/>
              </w:rPr>
              <w:t>612</w:t>
            </w:r>
            <w:r>
              <w:rPr>
                <w:rFonts w:eastAsia="Times New Roman" w:cs="Arial"/>
                <w:color w:val="000000"/>
                <w:szCs w:val="20"/>
                <w:lang w:eastAsia="pt-BR"/>
              </w:rPr>
              <w:t>.</w:t>
            </w:r>
            <w:r w:rsidRPr="00203032">
              <w:rPr>
                <w:rFonts w:eastAsia="Times New Roman" w:cs="Arial"/>
                <w:color w:val="000000"/>
                <w:szCs w:val="20"/>
                <w:lang w:eastAsia="pt-BR"/>
              </w:rPr>
              <w:t>977,55</w:t>
            </w:r>
          </w:p>
        </w:tc>
        <w:tc>
          <w:tcPr>
            <w:tcW w:w="2584" w:type="dxa"/>
            <w:tcBorders>
              <w:top w:val="nil"/>
              <w:left w:val="nil"/>
              <w:bottom w:val="nil"/>
              <w:right w:val="nil"/>
            </w:tcBorders>
            <w:shd w:val="clear" w:color="D9D9D9" w:fill="D9D9D9"/>
            <w:noWrap/>
            <w:vAlign w:val="bottom"/>
            <w:hideMark/>
          </w:tcPr>
          <w:p w14:paraId="7F6B080F" w14:textId="77777777" w:rsidR="004C19ED" w:rsidRPr="00E819F8" w:rsidRDefault="004C19ED" w:rsidP="003E2CCD">
            <w:pPr>
              <w:jc w:val="right"/>
              <w:rPr>
                <w:rFonts w:eastAsia="Times New Roman" w:cs="Arial"/>
                <w:color w:val="000000"/>
                <w:szCs w:val="20"/>
                <w:lang w:eastAsia="pt-BR"/>
              </w:rPr>
            </w:pPr>
            <w:r w:rsidRPr="00FB3BFF">
              <w:rPr>
                <w:rFonts w:eastAsia="Times New Roman" w:cs="Arial"/>
                <w:color w:val="000000"/>
                <w:szCs w:val="20"/>
                <w:lang w:eastAsia="pt-BR"/>
              </w:rPr>
              <w:t>36.085.830.570,83</w:t>
            </w:r>
          </w:p>
        </w:tc>
        <w:tc>
          <w:tcPr>
            <w:tcW w:w="1265" w:type="dxa"/>
            <w:tcBorders>
              <w:top w:val="nil"/>
              <w:left w:val="nil"/>
              <w:bottom w:val="nil"/>
              <w:right w:val="nil"/>
            </w:tcBorders>
            <w:shd w:val="clear" w:color="D9D9D9" w:fill="D9D9D9"/>
            <w:noWrap/>
            <w:vAlign w:val="bottom"/>
            <w:hideMark/>
          </w:tcPr>
          <w:p w14:paraId="4821269A" w14:textId="77777777" w:rsidR="004C19ED" w:rsidRPr="00E819F8" w:rsidRDefault="004C19ED" w:rsidP="003E2CCD">
            <w:pPr>
              <w:jc w:val="right"/>
              <w:rPr>
                <w:rFonts w:eastAsia="Times New Roman" w:cs="Arial"/>
                <w:color w:val="000000"/>
                <w:szCs w:val="20"/>
                <w:lang w:eastAsia="pt-BR"/>
              </w:rPr>
            </w:pPr>
            <w:r>
              <w:rPr>
                <w:rFonts w:eastAsia="Times New Roman" w:cs="Arial"/>
                <w:color w:val="000000"/>
                <w:szCs w:val="20"/>
                <w:lang w:eastAsia="pt-BR"/>
              </w:rPr>
              <w:t>35</w:t>
            </w:r>
            <w:r w:rsidRPr="00E819F8">
              <w:rPr>
                <w:rFonts w:eastAsia="Times New Roman" w:cs="Arial"/>
                <w:color w:val="000000"/>
                <w:szCs w:val="20"/>
                <w:lang w:eastAsia="pt-BR"/>
              </w:rPr>
              <w:t>,</w:t>
            </w:r>
            <w:r>
              <w:rPr>
                <w:rFonts w:eastAsia="Times New Roman" w:cs="Arial"/>
                <w:color w:val="000000"/>
                <w:szCs w:val="20"/>
                <w:lang w:eastAsia="pt-BR"/>
              </w:rPr>
              <w:t>20</w:t>
            </w:r>
          </w:p>
        </w:tc>
      </w:tr>
      <w:tr w:rsidR="004C19ED" w:rsidRPr="00E819F8" w14:paraId="624E585F" w14:textId="77777777" w:rsidTr="003E2CCD">
        <w:trPr>
          <w:trHeight w:val="299"/>
        </w:trPr>
        <w:tc>
          <w:tcPr>
            <w:tcW w:w="2663" w:type="dxa"/>
            <w:tcBorders>
              <w:top w:val="nil"/>
              <w:left w:val="nil"/>
              <w:bottom w:val="nil"/>
              <w:right w:val="nil"/>
            </w:tcBorders>
            <w:shd w:val="clear" w:color="auto" w:fill="auto"/>
            <w:noWrap/>
            <w:vAlign w:val="bottom"/>
            <w:hideMark/>
          </w:tcPr>
          <w:p w14:paraId="42E50F65" w14:textId="77777777" w:rsidR="004C19ED" w:rsidRPr="00E819F8" w:rsidRDefault="004C19ED" w:rsidP="003E2CCD">
            <w:pPr>
              <w:jc w:val="left"/>
              <w:rPr>
                <w:rFonts w:eastAsia="Times New Roman" w:cs="Arial"/>
                <w:color w:val="000000"/>
                <w:szCs w:val="20"/>
                <w:lang w:eastAsia="pt-BR"/>
              </w:rPr>
            </w:pPr>
            <w:r w:rsidRPr="00E819F8">
              <w:rPr>
                <w:rFonts w:eastAsia="Times New Roman" w:cs="Arial"/>
                <w:color w:val="000000"/>
                <w:szCs w:val="20"/>
                <w:lang w:eastAsia="pt-BR"/>
              </w:rPr>
              <w:t>Despesas de Capital</w:t>
            </w:r>
          </w:p>
        </w:tc>
        <w:tc>
          <w:tcPr>
            <w:tcW w:w="2584" w:type="dxa"/>
            <w:tcBorders>
              <w:top w:val="nil"/>
              <w:left w:val="nil"/>
              <w:bottom w:val="nil"/>
              <w:right w:val="nil"/>
            </w:tcBorders>
            <w:shd w:val="clear" w:color="auto" w:fill="auto"/>
            <w:noWrap/>
            <w:vAlign w:val="bottom"/>
          </w:tcPr>
          <w:p w14:paraId="688C80E9" w14:textId="77777777" w:rsidR="004C19ED" w:rsidRPr="00E819F8" w:rsidRDefault="004C19ED" w:rsidP="003E2CCD">
            <w:pPr>
              <w:jc w:val="right"/>
              <w:rPr>
                <w:rFonts w:eastAsia="Times New Roman" w:cs="Arial"/>
                <w:color w:val="000000"/>
                <w:szCs w:val="20"/>
                <w:lang w:eastAsia="pt-BR"/>
              </w:rPr>
            </w:pPr>
            <w:r w:rsidRPr="00203032">
              <w:rPr>
                <w:rFonts w:eastAsia="Times New Roman" w:cs="Arial"/>
                <w:color w:val="000000"/>
                <w:szCs w:val="20"/>
                <w:lang w:eastAsia="pt-BR"/>
              </w:rPr>
              <w:t>10</w:t>
            </w:r>
            <w:r>
              <w:rPr>
                <w:rFonts w:eastAsia="Times New Roman" w:cs="Arial"/>
                <w:color w:val="000000"/>
                <w:szCs w:val="20"/>
                <w:lang w:eastAsia="pt-BR"/>
              </w:rPr>
              <w:t>.</w:t>
            </w:r>
            <w:r w:rsidRPr="00203032">
              <w:rPr>
                <w:rFonts w:eastAsia="Times New Roman" w:cs="Arial"/>
                <w:color w:val="000000"/>
                <w:szCs w:val="20"/>
                <w:lang w:eastAsia="pt-BR"/>
              </w:rPr>
              <w:t>427</w:t>
            </w:r>
            <w:r>
              <w:rPr>
                <w:rFonts w:eastAsia="Times New Roman" w:cs="Arial"/>
                <w:color w:val="000000"/>
                <w:szCs w:val="20"/>
                <w:lang w:eastAsia="pt-BR"/>
              </w:rPr>
              <w:t>.</w:t>
            </w:r>
            <w:r w:rsidRPr="00203032">
              <w:rPr>
                <w:rFonts w:eastAsia="Times New Roman" w:cs="Arial"/>
                <w:color w:val="000000"/>
                <w:szCs w:val="20"/>
                <w:lang w:eastAsia="pt-BR"/>
              </w:rPr>
              <w:t>443,14</w:t>
            </w:r>
          </w:p>
        </w:tc>
        <w:tc>
          <w:tcPr>
            <w:tcW w:w="2584" w:type="dxa"/>
            <w:tcBorders>
              <w:top w:val="nil"/>
              <w:left w:val="nil"/>
              <w:bottom w:val="nil"/>
              <w:right w:val="nil"/>
            </w:tcBorders>
            <w:shd w:val="clear" w:color="auto" w:fill="auto"/>
            <w:noWrap/>
            <w:vAlign w:val="bottom"/>
            <w:hideMark/>
          </w:tcPr>
          <w:p w14:paraId="713A6812" w14:textId="77777777" w:rsidR="004C19ED" w:rsidRPr="00E819F8" w:rsidRDefault="004C19ED" w:rsidP="003E2CCD">
            <w:pPr>
              <w:jc w:val="right"/>
              <w:rPr>
                <w:rFonts w:eastAsia="Times New Roman" w:cs="Arial"/>
                <w:color w:val="000000"/>
                <w:szCs w:val="20"/>
                <w:lang w:eastAsia="pt-BR"/>
              </w:rPr>
            </w:pPr>
            <w:r w:rsidRPr="00FB3BFF">
              <w:rPr>
                <w:rFonts w:eastAsia="Times New Roman" w:cs="Arial"/>
                <w:color w:val="000000"/>
                <w:szCs w:val="20"/>
                <w:lang w:eastAsia="pt-BR"/>
              </w:rPr>
              <w:t>8.081.562,33</w:t>
            </w:r>
          </w:p>
        </w:tc>
        <w:tc>
          <w:tcPr>
            <w:tcW w:w="1265" w:type="dxa"/>
            <w:tcBorders>
              <w:top w:val="nil"/>
              <w:left w:val="nil"/>
              <w:bottom w:val="nil"/>
              <w:right w:val="nil"/>
            </w:tcBorders>
            <w:shd w:val="clear" w:color="auto" w:fill="auto"/>
            <w:noWrap/>
            <w:vAlign w:val="bottom"/>
            <w:hideMark/>
          </w:tcPr>
          <w:p w14:paraId="68B77D49" w14:textId="77777777" w:rsidR="004C19ED" w:rsidRPr="00E819F8" w:rsidRDefault="004C19ED" w:rsidP="003E2CCD">
            <w:pPr>
              <w:jc w:val="right"/>
              <w:rPr>
                <w:rFonts w:eastAsia="Times New Roman" w:cs="Arial"/>
                <w:color w:val="000000"/>
                <w:szCs w:val="20"/>
                <w:lang w:eastAsia="pt-BR"/>
              </w:rPr>
            </w:pPr>
            <w:r>
              <w:rPr>
                <w:rFonts w:eastAsia="Times New Roman" w:cs="Arial"/>
                <w:color w:val="000000"/>
                <w:szCs w:val="20"/>
                <w:lang w:eastAsia="pt-BR"/>
              </w:rPr>
              <w:t>34,26</w:t>
            </w:r>
          </w:p>
        </w:tc>
      </w:tr>
      <w:tr w:rsidR="004C19ED" w:rsidRPr="00E819F8" w14:paraId="359C96DA" w14:textId="77777777" w:rsidTr="003E2CCD">
        <w:trPr>
          <w:trHeight w:val="299"/>
        </w:trPr>
        <w:tc>
          <w:tcPr>
            <w:tcW w:w="2663" w:type="dxa"/>
            <w:tcBorders>
              <w:top w:val="nil"/>
              <w:left w:val="nil"/>
              <w:bottom w:val="single" w:sz="4" w:space="0" w:color="000000"/>
              <w:right w:val="nil"/>
            </w:tcBorders>
            <w:shd w:val="clear" w:color="D9D9D9" w:fill="D9D9D9"/>
            <w:noWrap/>
            <w:vAlign w:val="bottom"/>
            <w:hideMark/>
          </w:tcPr>
          <w:p w14:paraId="72A12234" w14:textId="77777777" w:rsidR="004C19ED" w:rsidRPr="00E819F8" w:rsidRDefault="004C19ED" w:rsidP="003E2CCD">
            <w:pPr>
              <w:jc w:val="left"/>
              <w:rPr>
                <w:rFonts w:eastAsia="Times New Roman" w:cs="Arial"/>
                <w:b/>
                <w:bCs/>
                <w:color w:val="000000"/>
                <w:szCs w:val="20"/>
                <w:lang w:eastAsia="pt-BR"/>
              </w:rPr>
            </w:pPr>
            <w:r w:rsidRPr="00E819F8">
              <w:rPr>
                <w:rFonts w:eastAsia="Times New Roman" w:cs="Arial"/>
                <w:b/>
                <w:bCs/>
                <w:color w:val="000000"/>
                <w:szCs w:val="20"/>
                <w:lang w:eastAsia="pt-BR"/>
              </w:rPr>
              <w:t>Total</w:t>
            </w:r>
          </w:p>
        </w:tc>
        <w:tc>
          <w:tcPr>
            <w:tcW w:w="2584" w:type="dxa"/>
            <w:tcBorders>
              <w:top w:val="nil"/>
              <w:left w:val="nil"/>
              <w:bottom w:val="single" w:sz="4" w:space="0" w:color="000000"/>
              <w:right w:val="nil"/>
            </w:tcBorders>
            <w:shd w:val="clear" w:color="D9D9D9" w:fill="D9D9D9"/>
            <w:noWrap/>
            <w:vAlign w:val="bottom"/>
          </w:tcPr>
          <w:p w14:paraId="2AAA2219" w14:textId="77777777" w:rsidR="004C19ED" w:rsidRPr="00E819F8" w:rsidRDefault="004C19ED" w:rsidP="003E2CCD">
            <w:pPr>
              <w:jc w:val="right"/>
              <w:rPr>
                <w:rFonts w:eastAsia="Times New Roman" w:cs="Arial"/>
                <w:b/>
                <w:bCs/>
                <w:color w:val="000000"/>
                <w:szCs w:val="20"/>
                <w:lang w:eastAsia="pt-BR"/>
              </w:rPr>
            </w:pPr>
            <w:r w:rsidRPr="00203032">
              <w:rPr>
                <w:rFonts w:eastAsia="Times New Roman" w:cs="Arial"/>
                <w:b/>
                <w:bCs/>
                <w:color w:val="000000"/>
                <w:szCs w:val="20"/>
                <w:lang w:eastAsia="pt-BR"/>
              </w:rPr>
              <w:t>48</w:t>
            </w:r>
            <w:r>
              <w:rPr>
                <w:rFonts w:eastAsia="Times New Roman" w:cs="Arial"/>
                <w:b/>
                <w:bCs/>
                <w:color w:val="000000"/>
                <w:szCs w:val="20"/>
                <w:lang w:eastAsia="pt-BR"/>
              </w:rPr>
              <w:t>.</w:t>
            </w:r>
            <w:r w:rsidRPr="00203032">
              <w:rPr>
                <w:rFonts w:eastAsia="Times New Roman" w:cs="Arial"/>
                <w:b/>
                <w:bCs/>
                <w:color w:val="000000"/>
                <w:szCs w:val="20"/>
                <w:lang w:eastAsia="pt-BR"/>
              </w:rPr>
              <w:t>775</w:t>
            </w:r>
            <w:r>
              <w:rPr>
                <w:rFonts w:eastAsia="Times New Roman" w:cs="Arial"/>
                <w:b/>
                <w:bCs/>
                <w:color w:val="000000"/>
                <w:szCs w:val="20"/>
                <w:lang w:eastAsia="pt-BR"/>
              </w:rPr>
              <w:t>.</w:t>
            </w:r>
            <w:r w:rsidRPr="00203032">
              <w:rPr>
                <w:rFonts w:eastAsia="Times New Roman" w:cs="Arial"/>
                <w:b/>
                <w:bCs/>
                <w:color w:val="000000"/>
                <w:szCs w:val="20"/>
                <w:lang w:eastAsia="pt-BR"/>
              </w:rPr>
              <w:t>040</w:t>
            </w:r>
            <w:r>
              <w:rPr>
                <w:rFonts w:eastAsia="Times New Roman" w:cs="Arial"/>
                <w:b/>
                <w:bCs/>
                <w:color w:val="000000"/>
                <w:szCs w:val="20"/>
                <w:lang w:eastAsia="pt-BR"/>
              </w:rPr>
              <w:t>.</w:t>
            </w:r>
            <w:r w:rsidRPr="00203032">
              <w:rPr>
                <w:rFonts w:eastAsia="Times New Roman" w:cs="Arial"/>
                <w:b/>
                <w:bCs/>
                <w:color w:val="000000"/>
                <w:szCs w:val="20"/>
                <w:lang w:eastAsia="pt-BR"/>
              </w:rPr>
              <w:t>420,69</w:t>
            </w:r>
          </w:p>
        </w:tc>
        <w:tc>
          <w:tcPr>
            <w:tcW w:w="2584" w:type="dxa"/>
            <w:tcBorders>
              <w:top w:val="nil"/>
              <w:left w:val="nil"/>
              <w:bottom w:val="single" w:sz="4" w:space="0" w:color="000000"/>
              <w:right w:val="nil"/>
            </w:tcBorders>
            <w:shd w:val="clear" w:color="D9D9D9" w:fill="D9D9D9"/>
            <w:noWrap/>
            <w:vAlign w:val="bottom"/>
            <w:hideMark/>
          </w:tcPr>
          <w:p w14:paraId="5BEAE0A3" w14:textId="77777777" w:rsidR="004C19ED" w:rsidRPr="00E819F8" w:rsidRDefault="004C19ED" w:rsidP="003E2CCD">
            <w:pPr>
              <w:jc w:val="right"/>
              <w:rPr>
                <w:rFonts w:eastAsia="Times New Roman" w:cs="Arial"/>
                <w:b/>
                <w:bCs/>
                <w:color w:val="000000"/>
                <w:szCs w:val="20"/>
                <w:lang w:eastAsia="pt-BR"/>
              </w:rPr>
            </w:pPr>
            <w:r w:rsidRPr="00FB3BFF">
              <w:rPr>
                <w:rFonts w:eastAsia="Times New Roman" w:cs="Arial"/>
                <w:b/>
                <w:bCs/>
                <w:color w:val="000000"/>
                <w:szCs w:val="20"/>
                <w:lang w:eastAsia="pt-BR"/>
              </w:rPr>
              <w:t>36.093.912.133,16</w:t>
            </w:r>
          </w:p>
        </w:tc>
        <w:tc>
          <w:tcPr>
            <w:tcW w:w="1265" w:type="dxa"/>
            <w:tcBorders>
              <w:top w:val="nil"/>
              <w:left w:val="nil"/>
              <w:bottom w:val="single" w:sz="4" w:space="0" w:color="000000"/>
              <w:right w:val="nil"/>
            </w:tcBorders>
            <w:shd w:val="clear" w:color="D9D9D9" w:fill="D9D9D9"/>
            <w:noWrap/>
            <w:vAlign w:val="bottom"/>
            <w:hideMark/>
          </w:tcPr>
          <w:p w14:paraId="5CB8B8F6" w14:textId="77777777" w:rsidR="004C19ED" w:rsidRPr="00E819F8"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37</w:t>
            </w:r>
            <w:r w:rsidRPr="00E819F8">
              <w:rPr>
                <w:rFonts w:eastAsia="Times New Roman" w:cs="Arial"/>
                <w:b/>
                <w:bCs/>
                <w:color w:val="000000"/>
                <w:szCs w:val="20"/>
                <w:lang w:eastAsia="pt-BR"/>
              </w:rPr>
              <w:t>,</w:t>
            </w:r>
            <w:r>
              <w:rPr>
                <w:rFonts w:eastAsia="Times New Roman" w:cs="Arial"/>
                <w:b/>
                <w:bCs/>
                <w:color w:val="000000"/>
                <w:szCs w:val="20"/>
                <w:lang w:eastAsia="pt-BR"/>
              </w:rPr>
              <w:t>04</w:t>
            </w:r>
          </w:p>
        </w:tc>
      </w:tr>
    </w:tbl>
    <w:p w14:paraId="5353E8BC" w14:textId="77777777" w:rsidR="004C19ED" w:rsidRPr="00351BB7" w:rsidRDefault="004C19ED" w:rsidP="004C19ED">
      <w:pPr>
        <w:rPr>
          <w:rFonts w:cs="Arial"/>
          <w:i/>
          <w:szCs w:val="20"/>
        </w:rPr>
      </w:pPr>
      <w:r w:rsidRPr="00351BB7">
        <w:rPr>
          <w:rFonts w:cs="Arial"/>
          <w:i/>
          <w:szCs w:val="20"/>
        </w:rPr>
        <w:t>Fonte: SIAFI, 20</w:t>
      </w:r>
      <w:r>
        <w:rPr>
          <w:rFonts w:cs="Arial"/>
          <w:i/>
          <w:szCs w:val="20"/>
        </w:rPr>
        <w:t>21</w:t>
      </w:r>
      <w:r w:rsidRPr="00351BB7">
        <w:rPr>
          <w:rFonts w:cs="Arial"/>
          <w:i/>
          <w:szCs w:val="20"/>
        </w:rPr>
        <w:t xml:space="preserve"> e 20</w:t>
      </w:r>
      <w:r>
        <w:rPr>
          <w:rFonts w:cs="Arial"/>
          <w:i/>
          <w:szCs w:val="20"/>
        </w:rPr>
        <w:t>20</w:t>
      </w:r>
      <w:r w:rsidRPr="00351BB7">
        <w:rPr>
          <w:rFonts w:cs="Arial"/>
          <w:i/>
          <w:szCs w:val="20"/>
        </w:rPr>
        <w:t>.</w:t>
      </w:r>
    </w:p>
    <w:p w14:paraId="55144F55" w14:textId="77777777" w:rsidR="004C19ED" w:rsidRPr="00351BB7" w:rsidRDefault="004C19ED" w:rsidP="004C19ED">
      <w:pPr>
        <w:rPr>
          <w:rFonts w:cs="Arial"/>
          <w:sz w:val="22"/>
        </w:rPr>
      </w:pPr>
    </w:p>
    <w:p w14:paraId="07346452" w14:textId="77777777" w:rsidR="004C19ED" w:rsidRPr="00E3075B" w:rsidRDefault="004C19ED" w:rsidP="004C19ED">
      <w:pPr>
        <w:rPr>
          <w:rFonts w:cs="Arial"/>
          <w:bCs/>
          <w:sz w:val="22"/>
        </w:rPr>
      </w:pPr>
      <w:r w:rsidRPr="00E3075B">
        <w:rPr>
          <w:rFonts w:cs="Arial"/>
          <w:sz w:val="22"/>
        </w:rPr>
        <w:t>Os valores empenhados são significativ</w:t>
      </w:r>
      <w:r>
        <w:rPr>
          <w:rFonts w:cs="Arial"/>
          <w:sz w:val="22"/>
        </w:rPr>
        <w:t xml:space="preserve">os </w:t>
      </w:r>
      <w:r w:rsidRPr="00E3075B">
        <w:rPr>
          <w:rFonts w:cs="Arial"/>
          <w:sz w:val="22"/>
        </w:rPr>
        <w:t xml:space="preserve">pois, desde o mês de outubro de 2019, a ANP passou a ser Setorial Orçamentária e Financeira, </w:t>
      </w:r>
      <w:r w:rsidRPr="00E3075B">
        <w:rPr>
          <w:rFonts w:cs="Arial"/>
          <w:bCs/>
          <w:sz w:val="22"/>
        </w:rPr>
        <w:t xml:space="preserve">assim sendo, os fluxos orçamentário e financeiro aumentaram significativamente, refletindo no aumento de Receitas e Despesas, principalmente no condizente da assunção da responsabilidade pela </w:t>
      </w:r>
      <w:r w:rsidRPr="00E3075B">
        <w:rPr>
          <w:rFonts w:cs="Arial"/>
          <w:color w:val="000000"/>
          <w:sz w:val="22"/>
        </w:rPr>
        <w:t>transferência das participações pela produção de petróleo e gás natural aos Estados e aos Municípios</w:t>
      </w:r>
      <w:r w:rsidRPr="00E3075B">
        <w:rPr>
          <w:rFonts w:cs="Arial"/>
          <w:sz w:val="22"/>
        </w:rPr>
        <w:t>, de acordo com o decreto 10.078 de 21/10/2019.</w:t>
      </w:r>
    </w:p>
    <w:p w14:paraId="7FF95B9A" w14:textId="77777777" w:rsidR="004C19ED" w:rsidRDefault="004C19ED" w:rsidP="004C19ED">
      <w:pPr>
        <w:rPr>
          <w:rFonts w:cs="Arial"/>
          <w:sz w:val="22"/>
        </w:rPr>
      </w:pPr>
      <w:r>
        <w:rPr>
          <w:rFonts w:cs="Arial"/>
          <w:sz w:val="22"/>
        </w:rPr>
        <w:t xml:space="preserve">  </w:t>
      </w:r>
    </w:p>
    <w:p w14:paraId="1C3C1D88" w14:textId="77777777" w:rsidR="004C19ED" w:rsidRPr="00240608" w:rsidRDefault="004C19ED" w:rsidP="004C19ED">
      <w:pPr>
        <w:rPr>
          <w:rFonts w:cs="Arial"/>
          <w:sz w:val="22"/>
        </w:rPr>
      </w:pPr>
      <w:r w:rsidRPr="00240608">
        <w:rPr>
          <w:rFonts w:cs="Arial"/>
          <w:sz w:val="22"/>
        </w:rPr>
        <w:t>Do total empenhado, demonstramos os valores liquidados, cujo detalhamento é apresentado na tabela a seguir:</w:t>
      </w:r>
    </w:p>
    <w:p w14:paraId="4945A42D" w14:textId="77777777" w:rsidR="004C19ED" w:rsidRPr="00240608" w:rsidRDefault="004C19ED" w:rsidP="004C19ED">
      <w:pPr>
        <w:rPr>
          <w:rFonts w:cs="Arial"/>
          <w:sz w:val="22"/>
        </w:rPr>
      </w:pPr>
    </w:p>
    <w:p w14:paraId="0FB82DEA" w14:textId="77777777" w:rsidR="004C19ED" w:rsidRPr="00EA242B" w:rsidRDefault="004C19ED" w:rsidP="004C19ED">
      <w:pPr>
        <w:rPr>
          <w:rFonts w:cs="Arial"/>
          <w:sz w:val="22"/>
        </w:rPr>
      </w:pPr>
      <w:r w:rsidRPr="00240608">
        <w:rPr>
          <w:rFonts w:cs="Arial"/>
          <w:b/>
          <w:sz w:val="22"/>
        </w:rPr>
        <w:t xml:space="preserve">Tabela 7 – Execução das Despesas Correntes – </w:t>
      </w:r>
      <w:r>
        <w:rPr>
          <w:rFonts w:cs="Arial"/>
          <w:b/>
          <w:sz w:val="22"/>
        </w:rPr>
        <w:t xml:space="preserve">Principais </w:t>
      </w:r>
      <w:r w:rsidRPr="00240608">
        <w:rPr>
          <w:rFonts w:cs="Arial"/>
          <w:b/>
          <w:sz w:val="22"/>
        </w:rPr>
        <w:t>Itens Liquidados.</w:t>
      </w:r>
    </w:p>
    <w:p w14:paraId="27C61C23" w14:textId="77777777" w:rsidR="004C19ED" w:rsidRDefault="004C19ED" w:rsidP="004C19ED">
      <w:pPr>
        <w:rPr>
          <w:rFonts w:cs="Arial"/>
          <w:sz w:val="22"/>
        </w:rPr>
      </w:pPr>
      <w:r>
        <w:rPr>
          <w:rFonts w:cs="Arial"/>
          <w:sz w:val="22"/>
        </w:rPr>
        <w:t xml:space="preserve">                                                                                                                                               </w:t>
      </w:r>
    </w:p>
    <w:tbl>
      <w:tblPr>
        <w:tblW w:w="7567" w:type="dxa"/>
        <w:tblCellMar>
          <w:left w:w="70" w:type="dxa"/>
          <w:right w:w="70" w:type="dxa"/>
        </w:tblCellMar>
        <w:tblLook w:val="04A0" w:firstRow="1" w:lastRow="0" w:firstColumn="1" w:lastColumn="0" w:noHBand="0" w:noVBand="1"/>
      </w:tblPr>
      <w:tblGrid>
        <w:gridCol w:w="5342"/>
        <w:gridCol w:w="2225"/>
      </w:tblGrid>
      <w:tr w:rsidR="004C19ED" w:rsidRPr="00C92B00" w14:paraId="45EB0B72" w14:textId="77777777" w:rsidTr="003E2CCD">
        <w:trPr>
          <w:trHeight w:val="257"/>
        </w:trPr>
        <w:tc>
          <w:tcPr>
            <w:tcW w:w="5342" w:type="dxa"/>
            <w:tcBorders>
              <w:top w:val="single" w:sz="4" w:space="0" w:color="000000"/>
              <w:left w:val="nil"/>
              <w:bottom w:val="single" w:sz="4" w:space="0" w:color="000000"/>
              <w:right w:val="nil"/>
            </w:tcBorders>
            <w:shd w:val="clear" w:color="000000" w:fill="FFFFFF"/>
            <w:noWrap/>
            <w:vAlign w:val="bottom"/>
            <w:hideMark/>
          </w:tcPr>
          <w:p w14:paraId="7632320B" w14:textId="77777777" w:rsidR="004C19ED" w:rsidRPr="00C92B00" w:rsidRDefault="004C19ED" w:rsidP="003E2CCD">
            <w:pPr>
              <w:jc w:val="left"/>
              <w:rPr>
                <w:rFonts w:eastAsia="Times New Roman" w:cs="Arial"/>
                <w:b/>
                <w:bCs/>
                <w:color w:val="FFFFFF"/>
                <w:szCs w:val="20"/>
                <w:lang w:eastAsia="pt-BR"/>
              </w:rPr>
            </w:pPr>
            <w:r w:rsidRPr="00C92B00">
              <w:rPr>
                <w:rFonts w:eastAsia="Times New Roman" w:cs="Arial"/>
                <w:b/>
                <w:bCs/>
                <w:color w:val="FFFFFF"/>
                <w:szCs w:val="20"/>
                <w:lang w:eastAsia="pt-BR"/>
              </w:rPr>
              <w:t>Colunas1</w:t>
            </w:r>
          </w:p>
        </w:tc>
        <w:tc>
          <w:tcPr>
            <w:tcW w:w="2225" w:type="dxa"/>
            <w:tcBorders>
              <w:top w:val="single" w:sz="4" w:space="0" w:color="000000"/>
              <w:left w:val="nil"/>
              <w:bottom w:val="single" w:sz="4" w:space="0" w:color="000000"/>
              <w:right w:val="nil"/>
            </w:tcBorders>
            <w:shd w:val="clear" w:color="auto" w:fill="auto"/>
            <w:noWrap/>
            <w:vAlign w:val="bottom"/>
            <w:hideMark/>
          </w:tcPr>
          <w:p w14:paraId="7EB6CD33" w14:textId="77777777" w:rsidR="004C19ED" w:rsidRPr="00C92B00" w:rsidRDefault="004C19ED" w:rsidP="003E2CCD">
            <w:pPr>
              <w:jc w:val="right"/>
              <w:rPr>
                <w:rFonts w:eastAsia="Times New Roman" w:cs="Arial"/>
                <w:b/>
                <w:bCs/>
                <w:color w:val="000000"/>
                <w:szCs w:val="20"/>
                <w:lang w:eastAsia="pt-BR"/>
              </w:rPr>
            </w:pPr>
            <w:r w:rsidRPr="00C92B00">
              <w:rPr>
                <w:rFonts w:eastAsia="Times New Roman" w:cs="Arial"/>
                <w:b/>
                <w:bCs/>
                <w:color w:val="000000"/>
                <w:szCs w:val="20"/>
                <w:lang w:eastAsia="pt-BR"/>
              </w:rPr>
              <w:t>3</w:t>
            </w:r>
            <w:r>
              <w:rPr>
                <w:rFonts w:eastAsia="Times New Roman" w:cs="Arial"/>
                <w:b/>
                <w:bCs/>
                <w:color w:val="000000"/>
                <w:szCs w:val="20"/>
                <w:lang w:eastAsia="pt-BR"/>
              </w:rPr>
              <w:t>1</w:t>
            </w:r>
            <w:r w:rsidRPr="00C92B00">
              <w:rPr>
                <w:rFonts w:eastAsia="Times New Roman" w:cs="Arial"/>
                <w:b/>
                <w:bCs/>
                <w:color w:val="000000"/>
                <w:szCs w:val="20"/>
                <w:lang w:eastAsia="pt-BR"/>
              </w:rPr>
              <w:t>/</w:t>
            </w:r>
            <w:r>
              <w:rPr>
                <w:rFonts w:eastAsia="Times New Roman" w:cs="Arial"/>
                <w:b/>
                <w:bCs/>
                <w:color w:val="000000"/>
                <w:szCs w:val="20"/>
                <w:lang w:eastAsia="pt-BR"/>
              </w:rPr>
              <w:t>12</w:t>
            </w:r>
            <w:r w:rsidRPr="00C92B00">
              <w:rPr>
                <w:rFonts w:eastAsia="Times New Roman" w:cs="Arial"/>
                <w:b/>
                <w:bCs/>
                <w:color w:val="000000"/>
                <w:szCs w:val="20"/>
                <w:lang w:eastAsia="pt-BR"/>
              </w:rPr>
              <w:t>/20</w:t>
            </w:r>
            <w:r>
              <w:rPr>
                <w:rFonts w:eastAsia="Times New Roman" w:cs="Arial"/>
                <w:b/>
                <w:bCs/>
                <w:color w:val="000000"/>
                <w:szCs w:val="20"/>
                <w:lang w:eastAsia="pt-BR"/>
              </w:rPr>
              <w:t>21</w:t>
            </w:r>
          </w:p>
        </w:tc>
      </w:tr>
      <w:tr w:rsidR="004C19ED" w:rsidRPr="00C92B00" w14:paraId="71A9E0AA" w14:textId="77777777" w:rsidTr="003E2CCD">
        <w:trPr>
          <w:trHeight w:val="257"/>
        </w:trPr>
        <w:tc>
          <w:tcPr>
            <w:tcW w:w="5342" w:type="dxa"/>
            <w:tcBorders>
              <w:top w:val="nil"/>
              <w:left w:val="nil"/>
              <w:bottom w:val="nil"/>
              <w:right w:val="nil"/>
            </w:tcBorders>
            <w:shd w:val="clear" w:color="D9D9D9" w:fill="D9D9D9"/>
            <w:noWrap/>
            <w:vAlign w:val="bottom"/>
            <w:hideMark/>
          </w:tcPr>
          <w:p w14:paraId="6523003C" w14:textId="77777777" w:rsidR="004C19ED" w:rsidRPr="00C92B00" w:rsidRDefault="004C19ED" w:rsidP="003E2CCD">
            <w:pPr>
              <w:jc w:val="left"/>
              <w:rPr>
                <w:rFonts w:eastAsia="Times New Roman" w:cs="Arial"/>
                <w:color w:val="000000"/>
                <w:szCs w:val="20"/>
                <w:lang w:eastAsia="pt-BR"/>
              </w:rPr>
            </w:pPr>
            <w:proofErr w:type="gramStart"/>
            <w:r>
              <w:rPr>
                <w:rFonts w:eastAsia="Times New Roman" w:cs="Arial"/>
                <w:color w:val="000000"/>
                <w:szCs w:val="20"/>
                <w:lang w:eastAsia="pt-BR"/>
              </w:rPr>
              <w:t>Pessoal</w:t>
            </w:r>
            <w:proofErr w:type="gramEnd"/>
            <w:r>
              <w:rPr>
                <w:rFonts w:eastAsia="Times New Roman" w:cs="Arial"/>
                <w:color w:val="000000"/>
                <w:szCs w:val="20"/>
                <w:lang w:eastAsia="pt-BR"/>
              </w:rPr>
              <w:t xml:space="preserve"> e Encargos Sociais (31)</w:t>
            </w:r>
          </w:p>
        </w:tc>
        <w:tc>
          <w:tcPr>
            <w:tcW w:w="2225" w:type="dxa"/>
            <w:tcBorders>
              <w:top w:val="nil"/>
              <w:left w:val="nil"/>
              <w:bottom w:val="nil"/>
              <w:right w:val="nil"/>
            </w:tcBorders>
            <w:shd w:val="clear" w:color="D9D9D9" w:fill="D9D9D9"/>
            <w:noWrap/>
            <w:vAlign w:val="bottom"/>
          </w:tcPr>
          <w:p w14:paraId="0ACCE640" w14:textId="77777777" w:rsidR="004C19ED" w:rsidRPr="00E819F8" w:rsidRDefault="004C19ED" w:rsidP="003E2CCD">
            <w:pPr>
              <w:jc w:val="right"/>
              <w:rPr>
                <w:rFonts w:eastAsia="Times New Roman" w:cs="Arial"/>
                <w:color w:val="000000"/>
                <w:szCs w:val="20"/>
                <w:lang w:eastAsia="pt-BR"/>
              </w:rPr>
            </w:pPr>
            <w:r w:rsidRPr="00B601D7">
              <w:rPr>
                <w:rFonts w:eastAsia="Times New Roman" w:cs="Arial"/>
                <w:color w:val="000000"/>
                <w:szCs w:val="20"/>
                <w:lang w:eastAsia="pt-BR"/>
              </w:rPr>
              <w:t>246</w:t>
            </w:r>
            <w:r>
              <w:rPr>
                <w:rFonts w:eastAsia="Times New Roman" w:cs="Arial"/>
                <w:color w:val="000000"/>
                <w:szCs w:val="20"/>
                <w:lang w:eastAsia="pt-BR"/>
              </w:rPr>
              <w:t>.</w:t>
            </w:r>
            <w:r w:rsidRPr="00B601D7">
              <w:rPr>
                <w:rFonts w:eastAsia="Times New Roman" w:cs="Arial"/>
                <w:color w:val="000000"/>
                <w:szCs w:val="20"/>
                <w:lang w:eastAsia="pt-BR"/>
              </w:rPr>
              <w:t>048</w:t>
            </w:r>
            <w:r>
              <w:rPr>
                <w:rFonts w:eastAsia="Times New Roman" w:cs="Arial"/>
                <w:color w:val="000000"/>
                <w:szCs w:val="20"/>
                <w:lang w:eastAsia="pt-BR"/>
              </w:rPr>
              <w:t>.</w:t>
            </w:r>
            <w:r w:rsidRPr="00B601D7">
              <w:rPr>
                <w:rFonts w:eastAsia="Times New Roman" w:cs="Arial"/>
                <w:color w:val="000000"/>
                <w:szCs w:val="20"/>
                <w:lang w:eastAsia="pt-BR"/>
              </w:rPr>
              <w:t>670,73</w:t>
            </w:r>
          </w:p>
        </w:tc>
      </w:tr>
      <w:tr w:rsidR="004C19ED" w:rsidRPr="00C53851" w14:paraId="76B6FCB9" w14:textId="77777777" w:rsidTr="003E2CCD">
        <w:trPr>
          <w:trHeight w:val="257"/>
        </w:trPr>
        <w:tc>
          <w:tcPr>
            <w:tcW w:w="5342" w:type="dxa"/>
            <w:tcBorders>
              <w:top w:val="nil"/>
              <w:left w:val="nil"/>
              <w:bottom w:val="nil"/>
              <w:right w:val="nil"/>
            </w:tcBorders>
            <w:shd w:val="clear" w:color="auto" w:fill="auto"/>
            <w:noWrap/>
            <w:vAlign w:val="bottom"/>
            <w:hideMark/>
          </w:tcPr>
          <w:p w14:paraId="1D1CDB89" w14:textId="77777777" w:rsidR="004C19ED" w:rsidRPr="00C53851" w:rsidRDefault="004C19ED" w:rsidP="003E2CCD">
            <w:pPr>
              <w:jc w:val="left"/>
              <w:rPr>
                <w:rFonts w:eastAsia="Times New Roman" w:cs="Arial"/>
                <w:color w:val="000000"/>
                <w:szCs w:val="20"/>
                <w:lang w:eastAsia="pt-BR"/>
              </w:rPr>
            </w:pPr>
            <w:r>
              <w:rPr>
                <w:rFonts w:eastAsia="Times New Roman" w:cs="Arial"/>
                <w:color w:val="000000"/>
                <w:szCs w:val="20"/>
                <w:lang w:eastAsia="pt-BR"/>
              </w:rPr>
              <w:t>Outras Despesas Correntes (33)</w:t>
            </w:r>
          </w:p>
        </w:tc>
        <w:tc>
          <w:tcPr>
            <w:tcW w:w="2225" w:type="dxa"/>
            <w:tcBorders>
              <w:top w:val="nil"/>
              <w:left w:val="nil"/>
              <w:bottom w:val="nil"/>
              <w:right w:val="nil"/>
            </w:tcBorders>
            <w:shd w:val="clear" w:color="auto" w:fill="auto"/>
            <w:noWrap/>
            <w:vAlign w:val="bottom"/>
          </w:tcPr>
          <w:p w14:paraId="771EE152" w14:textId="77777777" w:rsidR="004C19ED" w:rsidRPr="00C53851" w:rsidRDefault="004C19ED" w:rsidP="003E2CCD">
            <w:pPr>
              <w:jc w:val="right"/>
              <w:rPr>
                <w:rFonts w:eastAsia="Times New Roman" w:cs="Arial"/>
                <w:bCs/>
                <w:color w:val="000000"/>
                <w:szCs w:val="20"/>
                <w:lang w:eastAsia="pt-BR"/>
              </w:rPr>
            </w:pPr>
            <w:r w:rsidRPr="00B601D7">
              <w:rPr>
                <w:rFonts w:eastAsia="Times New Roman" w:cs="Arial"/>
                <w:bCs/>
                <w:color w:val="000000"/>
                <w:szCs w:val="20"/>
                <w:lang w:eastAsia="pt-BR"/>
              </w:rPr>
              <w:t>39</w:t>
            </w:r>
            <w:r>
              <w:rPr>
                <w:rFonts w:eastAsia="Times New Roman" w:cs="Arial"/>
                <w:bCs/>
                <w:color w:val="000000"/>
                <w:szCs w:val="20"/>
                <w:lang w:eastAsia="pt-BR"/>
              </w:rPr>
              <w:t>.</w:t>
            </w:r>
            <w:r w:rsidRPr="00B601D7">
              <w:rPr>
                <w:rFonts w:eastAsia="Times New Roman" w:cs="Arial"/>
                <w:bCs/>
                <w:color w:val="000000"/>
                <w:szCs w:val="20"/>
                <w:lang w:eastAsia="pt-BR"/>
              </w:rPr>
              <w:t>675</w:t>
            </w:r>
            <w:r>
              <w:rPr>
                <w:rFonts w:eastAsia="Times New Roman" w:cs="Arial"/>
                <w:bCs/>
                <w:color w:val="000000"/>
                <w:szCs w:val="20"/>
                <w:lang w:eastAsia="pt-BR"/>
              </w:rPr>
              <w:t>.</w:t>
            </w:r>
            <w:r w:rsidRPr="00B601D7">
              <w:rPr>
                <w:rFonts w:eastAsia="Times New Roman" w:cs="Arial"/>
                <w:bCs/>
                <w:color w:val="000000"/>
                <w:szCs w:val="20"/>
                <w:lang w:eastAsia="pt-BR"/>
              </w:rPr>
              <w:t>913</w:t>
            </w:r>
            <w:r>
              <w:rPr>
                <w:rFonts w:eastAsia="Times New Roman" w:cs="Arial"/>
                <w:bCs/>
                <w:color w:val="000000"/>
                <w:szCs w:val="20"/>
                <w:lang w:eastAsia="pt-BR"/>
              </w:rPr>
              <w:t>.</w:t>
            </w:r>
            <w:r w:rsidRPr="00B601D7">
              <w:rPr>
                <w:rFonts w:eastAsia="Times New Roman" w:cs="Arial"/>
                <w:bCs/>
                <w:color w:val="000000"/>
                <w:szCs w:val="20"/>
                <w:lang w:eastAsia="pt-BR"/>
              </w:rPr>
              <w:t>502,66</w:t>
            </w:r>
          </w:p>
        </w:tc>
      </w:tr>
      <w:tr w:rsidR="004C19ED" w:rsidRPr="00C53851" w14:paraId="6949966F" w14:textId="77777777" w:rsidTr="003E2CCD">
        <w:trPr>
          <w:trHeight w:val="257"/>
        </w:trPr>
        <w:tc>
          <w:tcPr>
            <w:tcW w:w="5342" w:type="dxa"/>
            <w:tcBorders>
              <w:top w:val="nil"/>
              <w:left w:val="nil"/>
              <w:bottom w:val="nil"/>
              <w:right w:val="nil"/>
            </w:tcBorders>
            <w:shd w:val="clear" w:color="auto" w:fill="D9D9D9" w:themeFill="background1" w:themeFillShade="D9"/>
            <w:noWrap/>
            <w:vAlign w:val="bottom"/>
          </w:tcPr>
          <w:p w14:paraId="650A41D0"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Despesas de Capital (44)</w:t>
            </w:r>
          </w:p>
        </w:tc>
        <w:tc>
          <w:tcPr>
            <w:tcW w:w="2225" w:type="dxa"/>
            <w:tcBorders>
              <w:top w:val="nil"/>
              <w:left w:val="nil"/>
              <w:bottom w:val="nil"/>
              <w:right w:val="nil"/>
            </w:tcBorders>
            <w:shd w:val="clear" w:color="auto" w:fill="D9D9D9" w:themeFill="background1" w:themeFillShade="D9"/>
            <w:noWrap/>
            <w:vAlign w:val="bottom"/>
          </w:tcPr>
          <w:p w14:paraId="558BA519" w14:textId="77777777" w:rsidR="004C19ED" w:rsidRPr="002C32F6" w:rsidRDefault="004C19ED" w:rsidP="003E2CCD">
            <w:pPr>
              <w:jc w:val="right"/>
              <w:rPr>
                <w:rFonts w:eastAsia="Times New Roman" w:cs="Arial"/>
                <w:bCs/>
                <w:color w:val="000000"/>
                <w:szCs w:val="20"/>
                <w:lang w:eastAsia="pt-BR"/>
              </w:rPr>
            </w:pPr>
            <w:r w:rsidRPr="00B601D7">
              <w:rPr>
                <w:rFonts w:eastAsia="Times New Roman" w:cs="Arial"/>
                <w:bCs/>
                <w:color w:val="000000"/>
                <w:szCs w:val="20"/>
                <w:lang w:eastAsia="pt-BR"/>
              </w:rPr>
              <w:t>4</w:t>
            </w:r>
            <w:r>
              <w:rPr>
                <w:rFonts w:eastAsia="Times New Roman" w:cs="Arial"/>
                <w:bCs/>
                <w:color w:val="000000"/>
                <w:szCs w:val="20"/>
                <w:lang w:eastAsia="pt-BR"/>
              </w:rPr>
              <w:t>.</w:t>
            </w:r>
            <w:r w:rsidRPr="00B601D7">
              <w:rPr>
                <w:rFonts w:eastAsia="Times New Roman" w:cs="Arial"/>
                <w:bCs/>
                <w:color w:val="000000"/>
                <w:szCs w:val="20"/>
                <w:lang w:eastAsia="pt-BR"/>
              </w:rPr>
              <w:t>305</w:t>
            </w:r>
            <w:r>
              <w:rPr>
                <w:rFonts w:eastAsia="Times New Roman" w:cs="Arial"/>
                <w:bCs/>
                <w:color w:val="000000"/>
                <w:szCs w:val="20"/>
                <w:lang w:eastAsia="pt-BR"/>
              </w:rPr>
              <w:t>.</w:t>
            </w:r>
            <w:r w:rsidRPr="00B601D7">
              <w:rPr>
                <w:rFonts w:eastAsia="Times New Roman" w:cs="Arial"/>
                <w:bCs/>
                <w:color w:val="000000"/>
                <w:szCs w:val="20"/>
                <w:lang w:eastAsia="pt-BR"/>
              </w:rPr>
              <w:t>720,14</w:t>
            </w:r>
          </w:p>
        </w:tc>
      </w:tr>
      <w:tr w:rsidR="004C19ED" w:rsidRPr="00C92B00" w14:paraId="3CA99F12" w14:textId="77777777" w:rsidTr="003E2CCD">
        <w:trPr>
          <w:trHeight w:val="257"/>
        </w:trPr>
        <w:tc>
          <w:tcPr>
            <w:tcW w:w="5342" w:type="dxa"/>
            <w:tcBorders>
              <w:top w:val="nil"/>
              <w:left w:val="nil"/>
              <w:bottom w:val="single" w:sz="4" w:space="0" w:color="000000"/>
              <w:right w:val="nil"/>
            </w:tcBorders>
            <w:shd w:val="clear" w:color="auto" w:fill="auto"/>
            <w:noWrap/>
            <w:vAlign w:val="bottom"/>
            <w:hideMark/>
          </w:tcPr>
          <w:p w14:paraId="471CFECF" w14:textId="77777777" w:rsidR="004C19ED" w:rsidRPr="00C92B00" w:rsidRDefault="004C19ED" w:rsidP="003E2CCD">
            <w:pPr>
              <w:jc w:val="left"/>
              <w:rPr>
                <w:rFonts w:eastAsia="Times New Roman" w:cs="Arial"/>
                <w:b/>
                <w:bCs/>
                <w:color w:val="000000"/>
                <w:szCs w:val="20"/>
                <w:lang w:eastAsia="pt-BR"/>
              </w:rPr>
            </w:pPr>
            <w:r w:rsidRPr="00C92B00">
              <w:rPr>
                <w:rFonts w:eastAsia="Times New Roman" w:cs="Arial"/>
                <w:b/>
                <w:bCs/>
                <w:color w:val="000000"/>
                <w:szCs w:val="20"/>
                <w:lang w:eastAsia="pt-BR"/>
              </w:rPr>
              <w:t>Total</w:t>
            </w:r>
          </w:p>
        </w:tc>
        <w:tc>
          <w:tcPr>
            <w:tcW w:w="2225" w:type="dxa"/>
            <w:tcBorders>
              <w:top w:val="nil"/>
              <w:left w:val="nil"/>
              <w:bottom w:val="single" w:sz="4" w:space="0" w:color="000000"/>
              <w:right w:val="nil"/>
            </w:tcBorders>
            <w:shd w:val="clear" w:color="auto" w:fill="auto"/>
            <w:noWrap/>
            <w:vAlign w:val="bottom"/>
          </w:tcPr>
          <w:p w14:paraId="3E6826E9" w14:textId="77777777" w:rsidR="004C19ED" w:rsidRPr="00C92B00" w:rsidRDefault="004C19ED" w:rsidP="003E2CCD">
            <w:pPr>
              <w:jc w:val="right"/>
              <w:rPr>
                <w:rFonts w:eastAsia="Times New Roman" w:cs="Arial"/>
                <w:b/>
                <w:bCs/>
                <w:color w:val="000000"/>
                <w:szCs w:val="20"/>
                <w:lang w:eastAsia="pt-BR"/>
              </w:rPr>
            </w:pPr>
            <w:r w:rsidRPr="00B601D7">
              <w:rPr>
                <w:rFonts w:eastAsia="Times New Roman" w:cs="Arial"/>
                <w:b/>
                <w:bCs/>
                <w:color w:val="000000"/>
                <w:szCs w:val="20"/>
                <w:lang w:eastAsia="pt-BR"/>
              </w:rPr>
              <w:t>39</w:t>
            </w:r>
            <w:r>
              <w:rPr>
                <w:rFonts w:eastAsia="Times New Roman" w:cs="Arial"/>
                <w:b/>
                <w:bCs/>
                <w:color w:val="000000"/>
                <w:szCs w:val="20"/>
                <w:lang w:eastAsia="pt-BR"/>
              </w:rPr>
              <w:t>.</w:t>
            </w:r>
            <w:r w:rsidRPr="00B601D7">
              <w:rPr>
                <w:rFonts w:eastAsia="Times New Roman" w:cs="Arial"/>
                <w:b/>
                <w:bCs/>
                <w:color w:val="000000"/>
                <w:szCs w:val="20"/>
                <w:lang w:eastAsia="pt-BR"/>
              </w:rPr>
              <w:t>926</w:t>
            </w:r>
            <w:r>
              <w:rPr>
                <w:rFonts w:eastAsia="Times New Roman" w:cs="Arial"/>
                <w:b/>
                <w:bCs/>
                <w:color w:val="000000"/>
                <w:szCs w:val="20"/>
                <w:lang w:eastAsia="pt-BR"/>
              </w:rPr>
              <w:t>.</w:t>
            </w:r>
            <w:r w:rsidRPr="00B601D7">
              <w:rPr>
                <w:rFonts w:eastAsia="Times New Roman" w:cs="Arial"/>
                <w:b/>
                <w:bCs/>
                <w:color w:val="000000"/>
                <w:szCs w:val="20"/>
                <w:lang w:eastAsia="pt-BR"/>
              </w:rPr>
              <w:t>267</w:t>
            </w:r>
            <w:r>
              <w:rPr>
                <w:rFonts w:eastAsia="Times New Roman" w:cs="Arial"/>
                <w:b/>
                <w:bCs/>
                <w:color w:val="000000"/>
                <w:szCs w:val="20"/>
                <w:lang w:eastAsia="pt-BR"/>
              </w:rPr>
              <w:t>.</w:t>
            </w:r>
            <w:r w:rsidRPr="00B601D7">
              <w:rPr>
                <w:rFonts w:eastAsia="Times New Roman" w:cs="Arial"/>
                <w:b/>
                <w:bCs/>
                <w:color w:val="000000"/>
                <w:szCs w:val="20"/>
                <w:lang w:eastAsia="pt-BR"/>
              </w:rPr>
              <w:t>893,53</w:t>
            </w:r>
          </w:p>
        </w:tc>
      </w:tr>
    </w:tbl>
    <w:p w14:paraId="52485AFE" w14:textId="77777777" w:rsidR="004C19ED" w:rsidRPr="005857A3" w:rsidRDefault="004C19ED" w:rsidP="004C19ED">
      <w:pPr>
        <w:rPr>
          <w:rFonts w:cs="Arial"/>
          <w:i/>
          <w:szCs w:val="20"/>
        </w:rPr>
      </w:pPr>
      <w:r w:rsidRPr="005857A3">
        <w:rPr>
          <w:rFonts w:cs="Arial"/>
          <w:i/>
          <w:szCs w:val="20"/>
        </w:rPr>
        <w:t xml:space="preserve">Fonte: </w:t>
      </w:r>
      <w:r>
        <w:rPr>
          <w:rFonts w:cs="Arial"/>
          <w:i/>
          <w:szCs w:val="20"/>
        </w:rPr>
        <w:t>Tesouro Gerencial</w:t>
      </w:r>
      <w:r w:rsidRPr="005857A3">
        <w:rPr>
          <w:rFonts w:cs="Arial"/>
          <w:i/>
          <w:szCs w:val="20"/>
        </w:rPr>
        <w:t>, 20</w:t>
      </w:r>
      <w:r>
        <w:rPr>
          <w:rFonts w:cs="Arial"/>
          <w:i/>
          <w:szCs w:val="20"/>
        </w:rPr>
        <w:t>21</w:t>
      </w:r>
      <w:r w:rsidRPr="005857A3">
        <w:rPr>
          <w:rFonts w:cs="Arial"/>
          <w:i/>
          <w:szCs w:val="20"/>
        </w:rPr>
        <w:t>.</w:t>
      </w:r>
    </w:p>
    <w:p w14:paraId="3CD799DD" w14:textId="77777777" w:rsidR="004C19ED" w:rsidRPr="00177927" w:rsidRDefault="004C19ED" w:rsidP="004C19ED">
      <w:pPr>
        <w:rPr>
          <w:rFonts w:cs="Arial"/>
          <w:b/>
          <w:sz w:val="22"/>
        </w:rPr>
      </w:pPr>
    </w:p>
    <w:p w14:paraId="36369A16" w14:textId="77777777" w:rsidR="004C19ED" w:rsidRDefault="004C19ED" w:rsidP="004C19ED">
      <w:pPr>
        <w:rPr>
          <w:rFonts w:cs="Arial"/>
          <w:sz w:val="22"/>
        </w:rPr>
      </w:pPr>
      <w:r>
        <w:rPr>
          <w:rFonts w:cs="Arial"/>
          <w:sz w:val="22"/>
        </w:rPr>
        <w:t>Os gastos com locação de mão-de-obra contemplam, sobretudo, as despesas liquidadas com apoio administrativo (secretárias, recepcionistas, mensageiros, vigilância e limpeza entre outros). Já passagens e locomoção englobam passagens aéreas e/ou rodoviárias e contratos de locação de veículos com motorista para locomoção dos servidores em missão, conforme apresentado na tabela a seguir:</w:t>
      </w:r>
    </w:p>
    <w:p w14:paraId="67C21FEC" w14:textId="77777777" w:rsidR="004C19ED" w:rsidRDefault="004C19ED" w:rsidP="004C19ED">
      <w:pPr>
        <w:rPr>
          <w:rFonts w:cs="Arial"/>
          <w:sz w:val="22"/>
        </w:rPr>
      </w:pPr>
    </w:p>
    <w:p w14:paraId="1D4F8A16" w14:textId="77777777" w:rsidR="004C19ED" w:rsidRDefault="004C19ED" w:rsidP="004C19ED">
      <w:pPr>
        <w:rPr>
          <w:rFonts w:cs="Arial"/>
          <w:b/>
          <w:sz w:val="22"/>
        </w:rPr>
      </w:pPr>
      <w:r>
        <w:rPr>
          <w:rFonts w:cs="Arial"/>
          <w:sz w:val="22"/>
        </w:rPr>
        <w:t xml:space="preserve"> </w:t>
      </w:r>
      <w:r w:rsidRPr="00DB0A50">
        <w:rPr>
          <w:rFonts w:cs="Arial"/>
          <w:b/>
          <w:sz w:val="22"/>
        </w:rPr>
        <w:t>Tabela 8 – Execução – Outras Despesas Correntes – Principais Itens Liquidados.</w:t>
      </w:r>
    </w:p>
    <w:p w14:paraId="0F71304F" w14:textId="77777777" w:rsidR="004C19ED" w:rsidRDefault="004C19ED" w:rsidP="004C19ED">
      <w:pPr>
        <w:rPr>
          <w:rFonts w:cs="Arial"/>
          <w:sz w:val="22"/>
        </w:rPr>
      </w:pPr>
      <w:r>
        <w:rPr>
          <w:rFonts w:cs="Arial"/>
          <w:sz w:val="22"/>
        </w:rPr>
        <w:t xml:space="preserve">                                                                                                                                               R$ </w:t>
      </w:r>
    </w:p>
    <w:tbl>
      <w:tblPr>
        <w:tblW w:w="9169" w:type="dxa"/>
        <w:jc w:val="center"/>
        <w:tblCellMar>
          <w:left w:w="70" w:type="dxa"/>
          <w:right w:w="70" w:type="dxa"/>
        </w:tblCellMar>
        <w:tblLook w:val="04A0" w:firstRow="1" w:lastRow="0" w:firstColumn="1" w:lastColumn="0" w:noHBand="0" w:noVBand="1"/>
      </w:tblPr>
      <w:tblGrid>
        <w:gridCol w:w="4673"/>
        <w:gridCol w:w="2970"/>
        <w:gridCol w:w="1526"/>
      </w:tblGrid>
      <w:tr w:rsidR="004C19ED" w:rsidRPr="00EF49C5" w14:paraId="0B8E7CBB" w14:textId="77777777" w:rsidTr="003E2CCD">
        <w:trPr>
          <w:trHeight w:val="267"/>
          <w:jc w:val="center"/>
        </w:trPr>
        <w:tc>
          <w:tcPr>
            <w:tcW w:w="4673" w:type="dxa"/>
            <w:tcBorders>
              <w:top w:val="single" w:sz="4" w:space="0" w:color="000000"/>
              <w:left w:val="nil"/>
              <w:bottom w:val="single" w:sz="4" w:space="0" w:color="000000"/>
              <w:right w:val="nil"/>
            </w:tcBorders>
            <w:shd w:val="clear" w:color="auto" w:fill="auto"/>
            <w:noWrap/>
            <w:vAlign w:val="bottom"/>
            <w:hideMark/>
          </w:tcPr>
          <w:p w14:paraId="0456F0AA" w14:textId="77777777" w:rsidR="004C19ED" w:rsidRPr="00EF49C5" w:rsidRDefault="004C19ED" w:rsidP="003E2CCD">
            <w:pPr>
              <w:jc w:val="left"/>
              <w:rPr>
                <w:rFonts w:eastAsia="Times New Roman" w:cs="Arial"/>
                <w:b/>
                <w:bCs/>
                <w:color w:val="FFFFFF"/>
                <w:szCs w:val="20"/>
                <w:lang w:eastAsia="pt-BR"/>
              </w:rPr>
            </w:pPr>
            <w:r w:rsidRPr="00EF49C5">
              <w:rPr>
                <w:rFonts w:eastAsia="Times New Roman" w:cs="Arial"/>
                <w:b/>
                <w:bCs/>
                <w:color w:val="FFFFFF"/>
                <w:szCs w:val="20"/>
                <w:lang w:eastAsia="pt-BR"/>
              </w:rPr>
              <w:t>Colunas1</w:t>
            </w:r>
          </w:p>
        </w:tc>
        <w:tc>
          <w:tcPr>
            <w:tcW w:w="2970" w:type="dxa"/>
            <w:tcBorders>
              <w:top w:val="single" w:sz="4" w:space="0" w:color="000000"/>
              <w:left w:val="nil"/>
              <w:bottom w:val="single" w:sz="4" w:space="0" w:color="000000"/>
              <w:right w:val="nil"/>
            </w:tcBorders>
            <w:shd w:val="clear" w:color="auto" w:fill="auto"/>
            <w:noWrap/>
            <w:vAlign w:val="bottom"/>
            <w:hideMark/>
          </w:tcPr>
          <w:p w14:paraId="165B5272" w14:textId="77777777" w:rsidR="004C19ED" w:rsidRPr="00EF49C5" w:rsidRDefault="004C19ED" w:rsidP="003E2CCD">
            <w:pPr>
              <w:jc w:val="right"/>
              <w:rPr>
                <w:rFonts w:eastAsia="Times New Roman" w:cs="Arial"/>
                <w:b/>
                <w:bCs/>
                <w:color w:val="000000"/>
                <w:szCs w:val="20"/>
                <w:lang w:eastAsia="pt-BR"/>
              </w:rPr>
            </w:pPr>
            <w:r w:rsidRPr="00EF49C5">
              <w:rPr>
                <w:rFonts w:eastAsia="Times New Roman" w:cs="Arial"/>
                <w:b/>
                <w:bCs/>
                <w:color w:val="000000"/>
                <w:szCs w:val="20"/>
                <w:lang w:eastAsia="pt-BR"/>
              </w:rPr>
              <w:t>3</w:t>
            </w:r>
            <w:r>
              <w:rPr>
                <w:rFonts w:eastAsia="Times New Roman" w:cs="Arial"/>
                <w:b/>
                <w:bCs/>
                <w:color w:val="000000"/>
                <w:szCs w:val="20"/>
                <w:lang w:eastAsia="pt-BR"/>
              </w:rPr>
              <w:t>1</w:t>
            </w:r>
            <w:r w:rsidRPr="00EF49C5">
              <w:rPr>
                <w:rFonts w:eastAsia="Times New Roman" w:cs="Arial"/>
                <w:b/>
                <w:bCs/>
                <w:color w:val="000000"/>
                <w:szCs w:val="20"/>
                <w:lang w:eastAsia="pt-BR"/>
              </w:rPr>
              <w:t>/</w:t>
            </w:r>
            <w:r>
              <w:rPr>
                <w:rFonts w:eastAsia="Times New Roman" w:cs="Arial"/>
                <w:b/>
                <w:bCs/>
                <w:color w:val="000000"/>
                <w:szCs w:val="20"/>
                <w:lang w:eastAsia="pt-BR"/>
              </w:rPr>
              <w:t>12</w:t>
            </w:r>
            <w:r w:rsidRPr="00EF49C5">
              <w:rPr>
                <w:rFonts w:eastAsia="Times New Roman" w:cs="Arial"/>
                <w:b/>
                <w:bCs/>
                <w:color w:val="000000"/>
                <w:szCs w:val="20"/>
                <w:lang w:eastAsia="pt-BR"/>
              </w:rPr>
              <w:t>/20</w:t>
            </w:r>
            <w:r>
              <w:rPr>
                <w:rFonts w:eastAsia="Times New Roman" w:cs="Arial"/>
                <w:b/>
                <w:bCs/>
                <w:color w:val="000000"/>
                <w:szCs w:val="20"/>
                <w:lang w:eastAsia="pt-BR"/>
              </w:rPr>
              <w:t>21</w:t>
            </w:r>
          </w:p>
        </w:tc>
        <w:tc>
          <w:tcPr>
            <w:tcW w:w="1526" w:type="dxa"/>
            <w:tcBorders>
              <w:top w:val="single" w:sz="4" w:space="0" w:color="000000"/>
              <w:left w:val="nil"/>
              <w:bottom w:val="single" w:sz="4" w:space="0" w:color="000000"/>
              <w:right w:val="nil"/>
            </w:tcBorders>
            <w:vAlign w:val="bottom"/>
          </w:tcPr>
          <w:p w14:paraId="4876AB17" w14:textId="77777777" w:rsidR="004C19ED" w:rsidRPr="00EF49C5" w:rsidRDefault="004C19ED" w:rsidP="003E2CCD">
            <w:pPr>
              <w:jc w:val="right"/>
              <w:rPr>
                <w:rFonts w:eastAsia="Times New Roman" w:cs="Arial"/>
                <w:b/>
                <w:bCs/>
                <w:color w:val="000000"/>
                <w:szCs w:val="20"/>
                <w:lang w:eastAsia="pt-BR"/>
              </w:rPr>
            </w:pPr>
            <w:r w:rsidRPr="0042767B">
              <w:rPr>
                <w:rFonts w:eastAsia="Times New Roman" w:cs="Arial"/>
                <w:b/>
                <w:bCs/>
                <w:color w:val="000000"/>
                <w:szCs w:val="20"/>
                <w:lang w:eastAsia="pt-BR"/>
              </w:rPr>
              <w:t>AV (%)</w:t>
            </w:r>
          </w:p>
        </w:tc>
      </w:tr>
      <w:tr w:rsidR="004C19ED" w:rsidRPr="00EF49C5" w14:paraId="1B02ACBD" w14:textId="77777777" w:rsidTr="003E2CCD">
        <w:trPr>
          <w:trHeight w:val="267"/>
          <w:jc w:val="center"/>
        </w:trPr>
        <w:tc>
          <w:tcPr>
            <w:tcW w:w="4673" w:type="dxa"/>
            <w:tcBorders>
              <w:top w:val="nil"/>
              <w:left w:val="nil"/>
              <w:bottom w:val="nil"/>
              <w:right w:val="nil"/>
            </w:tcBorders>
            <w:shd w:val="clear" w:color="auto" w:fill="D9D9D9" w:themeFill="background1" w:themeFillShade="D9"/>
            <w:noWrap/>
            <w:vAlign w:val="center"/>
            <w:hideMark/>
          </w:tcPr>
          <w:p w14:paraId="7453D092" w14:textId="77777777" w:rsidR="004C19ED" w:rsidRPr="00B1666A" w:rsidRDefault="004C19ED" w:rsidP="003E2CCD">
            <w:pPr>
              <w:jc w:val="left"/>
              <w:rPr>
                <w:rFonts w:eastAsia="Times New Roman" w:cs="Arial"/>
                <w:color w:val="000000"/>
                <w:szCs w:val="20"/>
                <w:highlight w:val="lightGray"/>
                <w:lang w:eastAsia="pt-BR"/>
              </w:rPr>
            </w:pPr>
            <w:r>
              <w:rPr>
                <w:rFonts w:eastAsia="Times New Roman" w:cs="Arial"/>
                <w:color w:val="000000"/>
                <w:szCs w:val="20"/>
                <w:lang w:eastAsia="pt-BR"/>
              </w:rPr>
              <w:t>Locação de mão-de-obra (37)</w:t>
            </w:r>
          </w:p>
        </w:tc>
        <w:tc>
          <w:tcPr>
            <w:tcW w:w="2970" w:type="dxa"/>
            <w:tcBorders>
              <w:top w:val="nil"/>
              <w:left w:val="nil"/>
              <w:bottom w:val="nil"/>
              <w:right w:val="nil"/>
            </w:tcBorders>
            <w:shd w:val="clear" w:color="auto" w:fill="D9D9D9" w:themeFill="background1" w:themeFillShade="D9"/>
            <w:noWrap/>
            <w:vAlign w:val="bottom"/>
          </w:tcPr>
          <w:p w14:paraId="4E756B8C" w14:textId="77777777" w:rsidR="004C19ED" w:rsidRPr="00E61140" w:rsidRDefault="004C19ED" w:rsidP="003E2CCD">
            <w:pPr>
              <w:jc w:val="right"/>
              <w:rPr>
                <w:rFonts w:eastAsia="Times New Roman" w:cs="Arial"/>
                <w:color w:val="000000"/>
                <w:szCs w:val="20"/>
                <w:lang w:eastAsia="pt-BR"/>
              </w:rPr>
            </w:pPr>
            <w:r w:rsidRPr="00F61288">
              <w:rPr>
                <w:rFonts w:eastAsia="Times New Roman" w:cs="Arial"/>
                <w:color w:val="000000"/>
                <w:szCs w:val="20"/>
                <w:lang w:eastAsia="pt-BR"/>
              </w:rPr>
              <w:t>14</w:t>
            </w:r>
            <w:r>
              <w:rPr>
                <w:rFonts w:eastAsia="Times New Roman" w:cs="Arial"/>
                <w:color w:val="000000"/>
                <w:szCs w:val="20"/>
                <w:lang w:eastAsia="pt-BR"/>
              </w:rPr>
              <w:t>.</w:t>
            </w:r>
            <w:r w:rsidRPr="00F61288">
              <w:rPr>
                <w:rFonts w:eastAsia="Times New Roman" w:cs="Arial"/>
                <w:color w:val="000000"/>
                <w:szCs w:val="20"/>
                <w:lang w:eastAsia="pt-BR"/>
              </w:rPr>
              <w:t>874</w:t>
            </w:r>
            <w:r>
              <w:rPr>
                <w:rFonts w:eastAsia="Times New Roman" w:cs="Arial"/>
                <w:color w:val="000000"/>
                <w:szCs w:val="20"/>
                <w:lang w:eastAsia="pt-BR"/>
              </w:rPr>
              <w:t>.</w:t>
            </w:r>
            <w:r w:rsidRPr="00F61288">
              <w:rPr>
                <w:rFonts w:eastAsia="Times New Roman" w:cs="Arial"/>
                <w:color w:val="000000"/>
                <w:szCs w:val="20"/>
                <w:lang w:eastAsia="pt-BR"/>
              </w:rPr>
              <w:t>265,31</w:t>
            </w:r>
          </w:p>
        </w:tc>
        <w:tc>
          <w:tcPr>
            <w:tcW w:w="1526" w:type="dxa"/>
            <w:tcBorders>
              <w:top w:val="nil"/>
              <w:left w:val="nil"/>
              <w:bottom w:val="nil"/>
              <w:right w:val="nil"/>
            </w:tcBorders>
            <w:shd w:val="clear" w:color="auto" w:fill="D9D9D9" w:themeFill="background1" w:themeFillShade="D9"/>
            <w:vAlign w:val="center"/>
          </w:tcPr>
          <w:p w14:paraId="09ABB31A" w14:textId="77777777" w:rsidR="004C19ED" w:rsidRPr="00E61140" w:rsidRDefault="004C19ED" w:rsidP="003E2CCD">
            <w:pPr>
              <w:jc w:val="right"/>
              <w:rPr>
                <w:rFonts w:eastAsia="Times New Roman" w:cs="Arial"/>
                <w:color w:val="000000"/>
                <w:szCs w:val="20"/>
                <w:lang w:eastAsia="pt-BR"/>
              </w:rPr>
            </w:pPr>
            <w:r>
              <w:rPr>
                <w:rFonts w:eastAsia="Times New Roman" w:cs="Arial"/>
                <w:color w:val="000000"/>
                <w:szCs w:val="20"/>
                <w:lang w:eastAsia="pt-BR"/>
              </w:rPr>
              <w:t>12,17</w:t>
            </w:r>
          </w:p>
        </w:tc>
      </w:tr>
      <w:tr w:rsidR="004C19ED" w:rsidRPr="00EF49C5" w14:paraId="3CC0AE78" w14:textId="77777777" w:rsidTr="003E2CCD">
        <w:trPr>
          <w:trHeight w:val="267"/>
          <w:jc w:val="center"/>
        </w:trPr>
        <w:tc>
          <w:tcPr>
            <w:tcW w:w="4673" w:type="dxa"/>
            <w:tcBorders>
              <w:top w:val="nil"/>
              <w:left w:val="nil"/>
              <w:bottom w:val="nil"/>
              <w:right w:val="nil"/>
            </w:tcBorders>
            <w:shd w:val="clear" w:color="auto" w:fill="auto"/>
            <w:noWrap/>
            <w:vAlign w:val="center"/>
            <w:hideMark/>
          </w:tcPr>
          <w:p w14:paraId="50A97C4A" w14:textId="77777777" w:rsidR="004C19ED" w:rsidRPr="00B1666A" w:rsidRDefault="004C19ED" w:rsidP="003E2CCD">
            <w:pPr>
              <w:jc w:val="left"/>
              <w:rPr>
                <w:rFonts w:eastAsia="Times New Roman" w:cs="Arial"/>
                <w:color w:val="000000"/>
                <w:szCs w:val="20"/>
                <w:highlight w:val="lightGray"/>
                <w:lang w:eastAsia="pt-BR"/>
              </w:rPr>
            </w:pPr>
            <w:r w:rsidRPr="00E61140">
              <w:rPr>
                <w:rFonts w:eastAsia="Times New Roman" w:cs="Arial"/>
                <w:color w:val="000000"/>
                <w:szCs w:val="20"/>
                <w:lang w:eastAsia="pt-BR"/>
              </w:rPr>
              <w:t>Passagens</w:t>
            </w:r>
            <w:r>
              <w:rPr>
                <w:rFonts w:eastAsia="Times New Roman" w:cs="Arial"/>
                <w:color w:val="000000"/>
                <w:szCs w:val="20"/>
                <w:lang w:eastAsia="pt-BR"/>
              </w:rPr>
              <w:t>/</w:t>
            </w:r>
            <w:r w:rsidRPr="00E61140">
              <w:rPr>
                <w:rFonts w:eastAsia="Times New Roman" w:cs="Arial"/>
                <w:color w:val="000000"/>
                <w:szCs w:val="20"/>
                <w:lang w:eastAsia="pt-BR"/>
              </w:rPr>
              <w:t>Locomoção (33)</w:t>
            </w:r>
          </w:p>
        </w:tc>
        <w:tc>
          <w:tcPr>
            <w:tcW w:w="2970" w:type="dxa"/>
            <w:tcBorders>
              <w:top w:val="nil"/>
              <w:left w:val="nil"/>
              <w:bottom w:val="nil"/>
              <w:right w:val="nil"/>
            </w:tcBorders>
            <w:shd w:val="clear" w:color="auto" w:fill="auto"/>
            <w:noWrap/>
            <w:vAlign w:val="bottom"/>
          </w:tcPr>
          <w:p w14:paraId="1112147A" w14:textId="77777777" w:rsidR="004C19ED" w:rsidRPr="00E61140" w:rsidRDefault="004C19ED" w:rsidP="003E2CCD">
            <w:pPr>
              <w:jc w:val="right"/>
              <w:rPr>
                <w:rFonts w:eastAsia="Times New Roman" w:cs="Arial"/>
                <w:color w:val="000000"/>
                <w:szCs w:val="20"/>
                <w:lang w:eastAsia="pt-BR"/>
              </w:rPr>
            </w:pPr>
            <w:r w:rsidRPr="00F61288">
              <w:rPr>
                <w:rFonts w:eastAsia="Times New Roman" w:cs="Arial"/>
                <w:color w:val="000000"/>
                <w:szCs w:val="20"/>
                <w:lang w:eastAsia="pt-BR"/>
              </w:rPr>
              <w:t>4</w:t>
            </w:r>
            <w:r>
              <w:rPr>
                <w:rFonts w:eastAsia="Times New Roman" w:cs="Arial"/>
                <w:color w:val="000000"/>
                <w:szCs w:val="20"/>
                <w:lang w:eastAsia="pt-BR"/>
              </w:rPr>
              <w:t>.</w:t>
            </w:r>
            <w:r w:rsidRPr="00F61288">
              <w:rPr>
                <w:rFonts w:eastAsia="Times New Roman" w:cs="Arial"/>
                <w:color w:val="000000"/>
                <w:szCs w:val="20"/>
                <w:lang w:eastAsia="pt-BR"/>
              </w:rPr>
              <w:t>366</w:t>
            </w:r>
            <w:r>
              <w:rPr>
                <w:rFonts w:eastAsia="Times New Roman" w:cs="Arial"/>
                <w:color w:val="000000"/>
                <w:szCs w:val="20"/>
                <w:lang w:eastAsia="pt-BR"/>
              </w:rPr>
              <w:t>.</w:t>
            </w:r>
            <w:r w:rsidRPr="00F61288">
              <w:rPr>
                <w:rFonts w:eastAsia="Times New Roman" w:cs="Arial"/>
                <w:color w:val="000000"/>
                <w:szCs w:val="20"/>
                <w:lang w:eastAsia="pt-BR"/>
              </w:rPr>
              <w:t>985,19</w:t>
            </w:r>
          </w:p>
        </w:tc>
        <w:tc>
          <w:tcPr>
            <w:tcW w:w="1526" w:type="dxa"/>
            <w:tcBorders>
              <w:top w:val="nil"/>
              <w:left w:val="nil"/>
              <w:bottom w:val="nil"/>
              <w:right w:val="nil"/>
            </w:tcBorders>
            <w:vAlign w:val="bottom"/>
          </w:tcPr>
          <w:p w14:paraId="7DA84DE1" w14:textId="77777777" w:rsidR="004C19ED" w:rsidRPr="00E61140" w:rsidRDefault="004C19ED" w:rsidP="003E2CCD">
            <w:pPr>
              <w:jc w:val="right"/>
              <w:rPr>
                <w:rFonts w:eastAsia="Times New Roman" w:cs="Arial"/>
                <w:color w:val="000000"/>
                <w:szCs w:val="20"/>
                <w:lang w:eastAsia="pt-BR"/>
              </w:rPr>
            </w:pPr>
            <w:r>
              <w:rPr>
                <w:rFonts w:eastAsia="Times New Roman" w:cs="Arial"/>
                <w:color w:val="000000"/>
                <w:szCs w:val="20"/>
                <w:lang w:eastAsia="pt-BR"/>
              </w:rPr>
              <w:t>3,57</w:t>
            </w:r>
          </w:p>
        </w:tc>
      </w:tr>
      <w:tr w:rsidR="004C19ED" w:rsidRPr="00EF49C5" w14:paraId="1B5297AF" w14:textId="77777777" w:rsidTr="003E2CCD">
        <w:trPr>
          <w:trHeight w:val="267"/>
          <w:jc w:val="center"/>
        </w:trPr>
        <w:tc>
          <w:tcPr>
            <w:tcW w:w="4673" w:type="dxa"/>
            <w:tcBorders>
              <w:top w:val="nil"/>
              <w:left w:val="nil"/>
              <w:bottom w:val="nil"/>
              <w:right w:val="nil"/>
            </w:tcBorders>
            <w:shd w:val="clear" w:color="auto" w:fill="D9D9D9" w:themeFill="background1" w:themeFillShade="D9"/>
            <w:noWrap/>
            <w:vAlign w:val="center"/>
          </w:tcPr>
          <w:p w14:paraId="46F203A4" w14:textId="77777777" w:rsidR="004C19ED" w:rsidRPr="00E61140" w:rsidRDefault="004C19ED" w:rsidP="003E2CCD">
            <w:pPr>
              <w:jc w:val="left"/>
              <w:rPr>
                <w:rFonts w:eastAsia="Times New Roman" w:cs="Arial"/>
                <w:color w:val="000000"/>
                <w:szCs w:val="20"/>
                <w:lang w:eastAsia="pt-BR"/>
              </w:rPr>
            </w:pPr>
            <w:r>
              <w:rPr>
                <w:rFonts w:eastAsia="Times New Roman" w:cs="Arial"/>
                <w:color w:val="000000"/>
                <w:szCs w:val="20"/>
                <w:lang w:eastAsia="pt-BR"/>
              </w:rPr>
              <w:t>Outros Serviços PF (36)</w:t>
            </w:r>
          </w:p>
        </w:tc>
        <w:tc>
          <w:tcPr>
            <w:tcW w:w="2970" w:type="dxa"/>
            <w:tcBorders>
              <w:top w:val="nil"/>
              <w:left w:val="nil"/>
              <w:bottom w:val="nil"/>
              <w:right w:val="nil"/>
            </w:tcBorders>
            <w:shd w:val="clear" w:color="auto" w:fill="D9D9D9" w:themeFill="background1" w:themeFillShade="D9"/>
            <w:noWrap/>
            <w:vAlign w:val="bottom"/>
          </w:tcPr>
          <w:p w14:paraId="4D828072" w14:textId="77777777" w:rsidR="004C19ED" w:rsidRPr="009651ED" w:rsidRDefault="004C19ED" w:rsidP="003E2CCD">
            <w:pPr>
              <w:jc w:val="right"/>
              <w:rPr>
                <w:rFonts w:eastAsia="Times New Roman" w:cs="Arial"/>
                <w:color w:val="000000"/>
                <w:szCs w:val="20"/>
                <w:lang w:eastAsia="pt-BR"/>
              </w:rPr>
            </w:pPr>
            <w:r w:rsidRPr="00F61288">
              <w:rPr>
                <w:rFonts w:eastAsia="Times New Roman" w:cs="Arial"/>
                <w:color w:val="000000"/>
                <w:szCs w:val="20"/>
                <w:lang w:eastAsia="pt-BR"/>
              </w:rPr>
              <w:t>1</w:t>
            </w:r>
            <w:r>
              <w:rPr>
                <w:rFonts w:eastAsia="Times New Roman" w:cs="Arial"/>
                <w:color w:val="000000"/>
                <w:szCs w:val="20"/>
                <w:lang w:eastAsia="pt-BR"/>
              </w:rPr>
              <w:t>.</w:t>
            </w:r>
            <w:r w:rsidRPr="00F61288">
              <w:rPr>
                <w:rFonts w:eastAsia="Times New Roman" w:cs="Arial"/>
                <w:color w:val="000000"/>
                <w:szCs w:val="20"/>
                <w:lang w:eastAsia="pt-BR"/>
              </w:rPr>
              <w:t>636</w:t>
            </w:r>
            <w:r>
              <w:rPr>
                <w:rFonts w:eastAsia="Times New Roman" w:cs="Arial"/>
                <w:color w:val="000000"/>
                <w:szCs w:val="20"/>
                <w:lang w:eastAsia="pt-BR"/>
              </w:rPr>
              <w:t>.</w:t>
            </w:r>
            <w:r w:rsidRPr="00F61288">
              <w:rPr>
                <w:rFonts w:eastAsia="Times New Roman" w:cs="Arial"/>
                <w:color w:val="000000"/>
                <w:szCs w:val="20"/>
                <w:lang w:eastAsia="pt-BR"/>
              </w:rPr>
              <w:t>411,26</w:t>
            </w:r>
          </w:p>
        </w:tc>
        <w:tc>
          <w:tcPr>
            <w:tcW w:w="1526" w:type="dxa"/>
            <w:tcBorders>
              <w:top w:val="nil"/>
              <w:left w:val="nil"/>
              <w:bottom w:val="nil"/>
              <w:right w:val="nil"/>
            </w:tcBorders>
            <w:shd w:val="clear" w:color="auto" w:fill="D9D9D9" w:themeFill="background1" w:themeFillShade="D9"/>
            <w:vAlign w:val="bottom"/>
          </w:tcPr>
          <w:p w14:paraId="22867566" w14:textId="77777777" w:rsidR="004C19ED" w:rsidRPr="009651ED" w:rsidRDefault="004C19ED" w:rsidP="003E2CCD">
            <w:pPr>
              <w:jc w:val="right"/>
              <w:rPr>
                <w:rFonts w:eastAsia="Times New Roman" w:cs="Arial"/>
                <w:color w:val="000000"/>
                <w:szCs w:val="20"/>
                <w:lang w:eastAsia="pt-BR"/>
              </w:rPr>
            </w:pPr>
            <w:r>
              <w:rPr>
                <w:rFonts w:eastAsia="Times New Roman" w:cs="Arial"/>
                <w:color w:val="000000"/>
                <w:szCs w:val="20"/>
                <w:lang w:eastAsia="pt-BR"/>
              </w:rPr>
              <w:t>1,34</w:t>
            </w:r>
          </w:p>
        </w:tc>
      </w:tr>
      <w:tr w:rsidR="004C19ED" w:rsidRPr="00EF49C5" w14:paraId="5D741E82" w14:textId="77777777" w:rsidTr="003E2CCD">
        <w:trPr>
          <w:trHeight w:val="267"/>
          <w:jc w:val="center"/>
        </w:trPr>
        <w:tc>
          <w:tcPr>
            <w:tcW w:w="4673" w:type="dxa"/>
            <w:tcBorders>
              <w:top w:val="nil"/>
              <w:left w:val="nil"/>
              <w:bottom w:val="nil"/>
              <w:right w:val="nil"/>
            </w:tcBorders>
            <w:shd w:val="clear" w:color="auto" w:fill="auto"/>
            <w:noWrap/>
            <w:vAlign w:val="center"/>
          </w:tcPr>
          <w:p w14:paraId="4A91CEF1" w14:textId="77777777" w:rsidR="004C19ED" w:rsidRPr="00E61140" w:rsidRDefault="004C19ED" w:rsidP="003E2CCD">
            <w:pPr>
              <w:jc w:val="left"/>
              <w:rPr>
                <w:rFonts w:eastAsia="Times New Roman" w:cs="Arial"/>
                <w:color w:val="000000"/>
                <w:szCs w:val="20"/>
                <w:lang w:eastAsia="pt-BR"/>
              </w:rPr>
            </w:pPr>
            <w:r>
              <w:rPr>
                <w:rFonts w:eastAsia="Times New Roman" w:cs="Arial"/>
                <w:color w:val="000000"/>
                <w:szCs w:val="20"/>
                <w:lang w:eastAsia="pt-BR"/>
              </w:rPr>
              <w:t>Outros Serviços PJ (39)</w:t>
            </w:r>
          </w:p>
        </w:tc>
        <w:tc>
          <w:tcPr>
            <w:tcW w:w="2970" w:type="dxa"/>
            <w:tcBorders>
              <w:top w:val="nil"/>
              <w:left w:val="nil"/>
              <w:bottom w:val="nil"/>
              <w:right w:val="nil"/>
            </w:tcBorders>
            <w:shd w:val="clear" w:color="auto" w:fill="auto"/>
            <w:noWrap/>
            <w:vAlign w:val="bottom"/>
          </w:tcPr>
          <w:p w14:paraId="56BCE07F" w14:textId="77777777" w:rsidR="004C19ED" w:rsidRPr="00E61140" w:rsidRDefault="004C19ED" w:rsidP="003E2CCD">
            <w:pPr>
              <w:jc w:val="right"/>
              <w:rPr>
                <w:rFonts w:eastAsia="Times New Roman" w:cs="Arial"/>
                <w:color w:val="000000"/>
                <w:szCs w:val="20"/>
                <w:lang w:eastAsia="pt-BR"/>
              </w:rPr>
            </w:pPr>
            <w:r w:rsidRPr="00F61288">
              <w:rPr>
                <w:rFonts w:eastAsia="Times New Roman" w:cs="Arial"/>
                <w:color w:val="000000"/>
                <w:szCs w:val="20"/>
                <w:lang w:eastAsia="pt-BR"/>
              </w:rPr>
              <w:t>57</w:t>
            </w:r>
            <w:r>
              <w:rPr>
                <w:rFonts w:eastAsia="Times New Roman" w:cs="Arial"/>
                <w:color w:val="000000"/>
                <w:szCs w:val="20"/>
                <w:lang w:eastAsia="pt-BR"/>
              </w:rPr>
              <w:t>.</w:t>
            </w:r>
            <w:r w:rsidRPr="00F61288">
              <w:rPr>
                <w:rFonts w:eastAsia="Times New Roman" w:cs="Arial"/>
                <w:color w:val="000000"/>
                <w:szCs w:val="20"/>
                <w:lang w:eastAsia="pt-BR"/>
              </w:rPr>
              <w:t>772</w:t>
            </w:r>
            <w:r>
              <w:rPr>
                <w:rFonts w:eastAsia="Times New Roman" w:cs="Arial"/>
                <w:color w:val="000000"/>
                <w:szCs w:val="20"/>
                <w:lang w:eastAsia="pt-BR"/>
              </w:rPr>
              <w:t>.</w:t>
            </w:r>
            <w:r w:rsidRPr="00F61288">
              <w:rPr>
                <w:rFonts w:eastAsia="Times New Roman" w:cs="Arial"/>
                <w:color w:val="000000"/>
                <w:szCs w:val="20"/>
                <w:lang w:eastAsia="pt-BR"/>
              </w:rPr>
              <w:t>867,96</w:t>
            </w:r>
          </w:p>
        </w:tc>
        <w:tc>
          <w:tcPr>
            <w:tcW w:w="1526" w:type="dxa"/>
            <w:tcBorders>
              <w:top w:val="nil"/>
              <w:left w:val="nil"/>
              <w:bottom w:val="nil"/>
              <w:right w:val="nil"/>
            </w:tcBorders>
            <w:vAlign w:val="bottom"/>
          </w:tcPr>
          <w:p w14:paraId="26FD4606" w14:textId="77777777" w:rsidR="004C19ED" w:rsidRPr="00E61140" w:rsidRDefault="004C19ED" w:rsidP="003E2CCD">
            <w:pPr>
              <w:jc w:val="right"/>
              <w:rPr>
                <w:rFonts w:eastAsia="Times New Roman" w:cs="Arial"/>
                <w:color w:val="000000"/>
                <w:szCs w:val="20"/>
                <w:lang w:eastAsia="pt-BR"/>
              </w:rPr>
            </w:pPr>
            <w:r>
              <w:rPr>
                <w:rFonts w:eastAsia="Times New Roman" w:cs="Arial"/>
                <w:color w:val="000000"/>
                <w:szCs w:val="20"/>
                <w:lang w:eastAsia="pt-BR"/>
              </w:rPr>
              <w:t>47,28</w:t>
            </w:r>
          </w:p>
        </w:tc>
      </w:tr>
      <w:tr w:rsidR="004C19ED" w:rsidRPr="00EF49C5" w14:paraId="09C3BE67" w14:textId="77777777" w:rsidTr="003E2CCD">
        <w:trPr>
          <w:trHeight w:val="267"/>
          <w:jc w:val="center"/>
        </w:trPr>
        <w:tc>
          <w:tcPr>
            <w:tcW w:w="4673" w:type="dxa"/>
            <w:tcBorders>
              <w:top w:val="nil"/>
              <w:left w:val="nil"/>
              <w:bottom w:val="nil"/>
              <w:right w:val="nil"/>
            </w:tcBorders>
            <w:shd w:val="clear" w:color="auto" w:fill="D9D9D9" w:themeFill="background1" w:themeFillShade="D9"/>
            <w:noWrap/>
            <w:vAlign w:val="center"/>
          </w:tcPr>
          <w:p w14:paraId="4AC34242"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Auxílio Alimentação (46)</w:t>
            </w:r>
          </w:p>
        </w:tc>
        <w:tc>
          <w:tcPr>
            <w:tcW w:w="2970" w:type="dxa"/>
            <w:tcBorders>
              <w:top w:val="nil"/>
              <w:left w:val="nil"/>
              <w:bottom w:val="nil"/>
              <w:right w:val="nil"/>
            </w:tcBorders>
            <w:shd w:val="clear" w:color="auto" w:fill="D9D9D9" w:themeFill="background1" w:themeFillShade="D9"/>
            <w:noWrap/>
            <w:vAlign w:val="bottom"/>
          </w:tcPr>
          <w:p w14:paraId="3FD1C06F" w14:textId="77777777" w:rsidR="004C19ED" w:rsidRPr="009651ED" w:rsidRDefault="004C19ED" w:rsidP="003E2CCD">
            <w:pPr>
              <w:jc w:val="right"/>
              <w:rPr>
                <w:rFonts w:eastAsia="Times New Roman" w:cs="Arial"/>
                <w:color w:val="000000"/>
                <w:szCs w:val="20"/>
                <w:lang w:eastAsia="pt-BR"/>
              </w:rPr>
            </w:pPr>
            <w:r w:rsidRPr="00F61288">
              <w:rPr>
                <w:rFonts w:eastAsia="Times New Roman" w:cs="Arial"/>
                <w:color w:val="000000"/>
                <w:szCs w:val="20"/>
                <w:lang w:eastAsia="pt-BR"/>
              </w:rPr>
              <w:t>4</w:t>
            </w:r>
            <w:r>
              <w:rPr>
                <w:rFonts w:eastAsia="Times New Roman" w:cs="Arial"/>
                <w:color w:val="000000"/>
                <w:szCs w:val="20"/>
                <w:lang w:eastAsia="pt-BR"/>
              </w:rPr>
              <w:t>.</w:t>
            </w:r>
            <w:r w:rsidRPr="00F61288">
              <w:rPr>
                <w:rFonts w:eastAsia="Times New Roman" w:cs="Arial"/>
                <w:color w:val="000000"/>
                <w:szCs w:val="20"/>
                <w:lang w:eastAsia="pt-BR"/>
              </w:rPr>
              <w:t>203</w:t>
            </w:r>
            <w:r>
              <w:rPr>
                <w:rFonts w:eastAsia="Times New Roman" w:cs="Arial"/>
                <w:color w:val="000000"/>
                <w:szCs w:val="20"/>
                <w:lang w:eastAsia="pt-BR"/>
              </w:rPr>
              <w:t>.</w:t>
            </w:r>
            <w:r w:rsidRPr="00F61288">
              <w:rPr>
                <w:rFonts w:eastAsia="Times New Roman" w:cs="Arial"/>
                <w:color w:val="000000"/>
                <w:szCs w:val="20"/>
                <w:lang w:eastAsia="pt-BR"/>
              </w:rPr>
              <w:t>020,24</w:t>
            </w:r>
          </w:p>
        </w:tc>
        <w:tc>
          <w:tcPr>
            <w:tcW w:w="1526" w:type="dxa"/>
            <w:tcBorders>
              <w:top w:val="nil"/>
              <w:left w:val="nil"/>
              <w:bottom w:val="nil"/>
              <w:right w:val="nil"/>
            </w:tcBorders>
            <w:shd w:val="clear" w:color="auto" w:fill="D9D9D9" w:themeFill="background1" w:themeFillShade="D9"/>
          </w:tcPr>
          <w:p w14:paraId="6CD02FB9" w14:textId="77777777" w:rsidR="004C19ED" w:rsidRPr="009651ED" w:rsidRDefault="004C19ED" w:rsidP="003E2CCD">
            <w:pPr>
              <w:jc w:val="right"/>
              <w:rPr>
                <w:rFonts w:eastAsia="Times New Roman" w:cs="Arial"/>
                <w:color w:val="000000"/>
                <w:szCs w:val="20"/>
                <w:lang w:eastAsia="pt-BR"/>
              </w:rPr>
            </w:pPr>
            <w:r>
              <w:rPr>
                <w:rFonts w:eastAsia="Times New Roman" w:cs="Arial"/>
                <w:color w:val="000000"/>
                <w:szCs w:val="20"/>
                <w:lang w:eastAsia="pt-BR"/>
              </w:rPr>
              <w:t>3,44</w:t>
            </w:r>
          </w:p>
        </w:tc>
      </w:tr>
      <w:tr w:rsidR="004C19ED" w:rsidRPr="00EF49C5" w14:paraId="228F1D6C" w14:textId="77777777" w:rsidTr="003E2CCD">
        <w:trPr>
          <w:trHeight w:val="267"/>
          <w:jc w:val="center"/>
        </w:trPr>
        <w:tc>
          <w:tcPr>
            <w:tcW w:w="4673" w:type="dxa"/>
            <w:tcBorders>
              <w:top w:val="nil"/>
              <w:left w:val="nil"/>
              <w:bottom w:val="nil"/>
              <w:right w:val="nil"/>
            </w:tcBorders>
            <w:shd w:val="clear" w:color="auto" w:fill="auto"/>
            <w:noWrap/>
            <w:vAlign w:val="center"/>
          </w:tcPr>
          <w:p w14:paraId="356C2200"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Indenizações e restituições (93)</w:t>
            </w:r>
          </w:p>
        </w:tc>
        <w:tc>
          <w:tcPr>
            <w:tcW w:w="2970" w:type="dxa"/>
            <w:tcBorders>
              <w:top w:val="nil"/>
              <w:left w:val="nil"/>
              <w:bottom w:val="nil"/>
              <w:right w:val="nil"/>
            </w:tcBorders>
            <w:shd w:val="clear" w:color="auto" w:fill="auto"/>
            <w:noWrap/>
            <w:vAlign w:val="bottom"/>
          </w:tcPr>
          <w:p w14:paraId="106136C4" w14:textId="77777777" w:rsidR="004C19ED" w:rsidRPr="009651ED" w:rsidRDefault="004C19ED" w:rsidP="003E2CCD">
            <w:pPr>
              <w:jc w:val="right"/>
              <w:rPr>
                <w:rFonts w:eastAsia="Times New Roman" w:cs="Arial"/>
                <w:color w:val="000000"/>
                <w:szCs w:val="20"/>
                <w:lang w:eastAsia="pt-BR"/>
              </w:rPr>
            </w:pPr>
            <w:r w:rsidRPr="00F61288">
              <w:rPr>
                <w:rFonts w:eastAsia="Times New Roman" w:cs="Arial"/>
                <w:color w:val="000000"/>
                <w:szCs w:val="20"/>
                <w:lang w:eastAsia="pt-BR"/>
              </w:rPr>
              <w:t>2</w:t>
            </w:r>
            <w:r>
              <w:rPr>
                <w:rFonts w:eastAsia="Times New Roman" w:cs="Arial"/>
                <w:color w:val="000000"/>
                <w:szCs w:val="20"/>
                <w:lang w:eastAsia="pt-BR"/>
              </w:rPr>
              <w:t>.</w:t>
            </w:r>
            <w:r w:rsidRPr="00F61288">
              <w:rPr>
                <w:rFonts w:eastAsia="Times New Roman" w:cs="Arial"/>
                <w:color w:val="000000"/>
                <w:szCs w:val="20"/>
                <w:lang w:eastAsia="pt-BR"/>
              </w:rPr>
              <w:t>931</w:t>
            </w:r>
            <w:r>
              <w:rPr>
                <w:rFonts w:eastAsia="Times New Roman" w:cs="Arial"/>
                <w:color w:val="000000"/>
                <w:szCs w:val="20"/>
                <w:lang w:eastAsia="pt-BR"/>
              </w:rPr>
              <w:t>.</w:t>
            </w:r>
            <w:r w:rsidRPr="00F61288">
              <w:rPr>
                <w:rFonts w:eastAsia="Times New Roman" w:cs="Arial"/>
                <w:color w:val="000000"/>
                <w:szCs w:val="20"/>
                <w:lang w:eastAsia="pt-BR"/>
              </w:rPr>
              <w:t>390,15</w:t>
            </w:r>
          </w:p>
        </w:tc>
        <w:tc>
          <w:tcPr>
            <w:tcW w:w="1526" w:type="dxa"/>
            <w:tcBorders>
              <w:top w:val="nil"/>
              <w:left w:val="nil"/>
              <w:bottom w:val="nil"/>
              <w:right w:val="nil"/>
            </w:tcBorders>
          </w:tcPr>
          <w:p w14:paraId="7C7EABBB" w14:textId="77777777" w:rsidR="004C19ED" w:rsidRPr="009651ED" w:rsidRDefault="004C19ED" w:rsidP="003E2CCD">
            <w:pPr>
              <w:jc w:val="right"/>
              <w:rPr>
                <w:rFonts w:eastAsia="Times New Roman" w:cs="Arial"/>
                <w:color w:val="000000"/>
                <w:szCs w:val="20"/>
                <w:lang w:eastAsia="pt-BR"/>
              </w:rPr>
            </w:pPr>
            <w:r>
              <w:rPr>
                <w:rFonts w:eastAsia="Times New Roman" w:cs="Arial"/>
                <w:color w:val="000000"/>
                <w:szCs w:val="20"/>
                <w:lang w:eastAsia="pt-BR"/>
              </w:rPr>
              <w:t>2,40</w:t>
            </w:r>
          </w:p>
        </w:tc>
      </w:tr>
      <w:tr w:rsidR="004C19ED" w:rsidRPr="00E61140" w14:paraId="424C0E44" w14:textId="77777777" w:rsidTr="003E2CCD">
        <w:trPr>
          <w:trHeight w:val="267"/>
          <w:jc w:val="center"/>
        </w:trPr>
        <w:tc>
          <w:tcPr>
            <w:tcW w:w="4673" w:type="dxa"/>
            <w:tcBorders>
              <w:top w:val="nil"/>
              <w:left w:val="nil"/>
              <w:bottom w:val="single" w:sz="4" w:space="0" w:color="000000"/>
              <w:right w:val="nil"/>
            </w:tcBorders>
            <w:shd w:val="clear" w:color="auto" w:fill="D9D9D9" w:themeFill="background1" w:themeFillShade="D9"/>
            <w:noWrap/>
            <w:vAlign w:val="bottom"/>
          </w:tcPr>
          <w:p w14:paraId="67686EB5" w14:textId="77777777" w:rsidR="004C19ED" w:rsidRPr="00E61140" w:rsidRDefault="004C19ED" w:rsidP="003E2CCD">
            <w:pPr>
              <w:jc w:val="left"/>
              <w:rPr>
                <w:rFonts w:eastAsia="Times New Roman" w:cs="Arial"/>
                <w:bCs/>
                <w:color w:val="000000"/>
                <w:szCs w:val="20"/>
                <w:lang w:eastAsia="pt-BR"/>
              </w:rPr>
            </w:pPr>
            <w:r w:rsidRPr="00E61140">
              <w:rPr>
                <w:rFonts w:eastAsia="Times New Roman" w:cs="Arial"/>
                <w:bCs/>
                <w:color w:val="000000"/>
                <w:szCs w:val="20"/>
                <w:lang w:eastAsia="pt-BR"/>
              </w:rPr>
              <w:t>Serviços de TI e Comunicação (40)</w:t>
            </w:r>
          </w:p>
        </w:tc>
        <w:tc>
          <w:tcPr>
            <w:tcW w:w="2970" w:type="dxa"/>
            <w:tcBorders>
              <w:top w:val="nil"/>
              <w:left w:val="nil"/>
              <w:bottom w:val="single" w:sz="4" w:space="0" w:color="000000"/>
              <w:right w:val="nil"/>
            </w:tcBorders>
            <w:shd w:val="clear" w:color="auto" w:fill="D9D9D9" w:themeFill="background1" w:themeFillShade="D9"/>
            <w:noWrap/>
            <w:vAlign w:val="bottom"/>
          </w:tcPr>
          <w:p w14:paraId="2C6BF19E" w14:textId="77777777" w:rsidR="004C19ED" w:rsidRPr="00E61140" w:rsidRDefault="004C19ED" w:rsidP="003E2CCD">
            <w:pPr>
              <w:jc w:val="right"/>
              <w:rPr>
                <w:rFonts w:eastAsia="Times New Roman" w:cs="Arial"/>
                <w:bCs/>
                <w:color w:val="000000"/>
                <w:szCs w:val="20"/>
                <w:lang w:eastAsia="pt-BR"/>
              </w:rPr>
            </w:pPr>
            <w:r w:rsidRPr="00F61288">
              <w:rPr>
                <w:rFonts w:eastAsia="Times New Roman" w:cs="Arial"/>
                <w:bCs/>
                <w:color w:val="000000"/>
                <w:szCs w:val="20"/>
                <w:lang w:eastAsia="pt-BR"/>
              </w:rPr>
              <w:t>33</w:t>
            </w:r>
            <w:r>
              <w:rPr>
                <w:rFonts w:eastAsia="Times New Roman" w:cs="Arial"/>
                <w:bCs/>
                <w:color w:val="000000"/>
                <w:szCs w:val="20"/>
                <w:lang w:eastAsia="pt-BR"/>
              </w:rPr>
              <w:t>.</w:t>
            </w:r>
            <w:r w:rsidRPr="00F61288">
              <w:rPr>
                <w:rFonts w:eastAsia="Times New Roman" w:cs="Arial"/>
                <w:bCs/>
                <w:color w:val="000000"/>
                <w:szCs w:val="20"/>
                <w:lang w:eastAsia="pt-BR"/>
              </w:rPr>
              <w:t>227</w:t>
            </w:r>
            <w:r>
              <w:rPr>
                <w:rFonts w:eastAsia="Times New Roman" w:cs="Arial"/>
                <w:bCs/>
                <w:color w:val="000000"/>
                <w:szCs w:val="20"/>
                <w:lang w:eastAsia="pt-BR"/>
              </w:rPr>
              <w:t>.</w:t>
            </w:r>
            <w:r w:rsidRPr="00F61288">
              <w:rPr>
                <w:rFonts w:eastAsia="Times New Roman" w:cs="Arial"/>
                <w:bCs/>
                <w:color w:val="000000"/>
                <w:szCs w:val="20"/>
                <w:lang w:eastAsia="pt-BR"/>
              </w:rPr>
              <w:t>184,64</w:t>
            </w:r>
          </w:p>
        </w:tc>
        <w:tc>
          <w:tcPr>
            <w:tcW w:w="1526" w:type="dxa"/>
            <w:tcBorders>
              <w:top w:val="nil"/>
              <w:left w:val="nil"/>
              <w:bottom w:val="single" w:sz="4" w:space="0" w:color="000000"/>
              <w:right w:val="nil"/>
            </w:tcBorders>
            <w:shd w:val="clear" w:color="auto" w:fill="D9D9D9" w:themeFill="background1" w:themeFillShade="D9"/>
          </w:tcPr>
          <w:p w14:paraId="44210866" w14:textId="77777777" w:rsidR="004C19ED" w:rsidRPr="00E61140" w:rsidRDefault="004C19ED" w:rsidP="003E2CCD">
            <w:pPr>
              <w:jc w:val="right"/>
              <w:rPr>
                <w:rFonts w:eastAsia="Times New Roman" w:cs="Arial"/>
                <w:bCs/>
                <w:color w:val="000000"/>
                <w:szCs w:val="20"/>
                <w:lang w:eastAsia="pt-BR"/>
              </w:rPr>
            </w:pPr>
            <w:r>
              <w:rPr>
                <w:rFonts w:eastAsia="Times New Roman" w:cs="Arial"/>
                <w:bCs/>
                <w:color w:val="000000"/>
                <w:szCs w:val="20"/>
                <w:lang w:eastAsia="pt-BR"/>
              </w:rPr>
              <w:t>27,19</w:t>
            </w:r>
          </w:p>
        </w:tc>
      </w:tr>
      <w:tr w:rsidR="004C19ED" w:rsidRPr="00E61140" w14:paraId="4A36F200" w14:textId="77777777" w:rsidTr="003E2CCD">
        <w:trPr>
          <w:trHeight w:val="267"/>
          <w:jc w:val="center"/>
        </w:trPr>
        <w:tc>
          <w:tcPr>
            <w:tcW w:w="4673" w:type="dxa"/>
            <w:tcBorders>
              <w:top w:val="nil"/>
              <w:left w:val="nil"/>
              <w:bottom w:val="single" w:sz="4" w:space="0" w:color="000000"/>
              <w:right w:val="nil"/>
            </w:tcBorders>
            <w:shd w:val="clear" w:color="auto" w:fill="auto"/>
            <w:noWrap/>
            <w:vAlign w:val="bottom"/>
          </w:tcPr>
          <w:p w14:paraId="7ACC1F0A" w14:textId="77777777" w:rsidR="004C19ED" w:rsidRPr="00E61140" w:rsidRDefault="004C19ED" w:rsidP="003E2CCD">
            <w:pPr>
              <w:jc w:val="left"/>
              <w:rPr>
                <w:rFonts w:eastAsia="Times New Roman" w:cs="Arial"/>
                <w:bCs/>
                <w:color w:val="000000"/>
                <w:szCs w:val="20"/>
                <w:lang w:eastAsia="pt-BR"/>
              </w:rPr>
            </w:pPr>
            <w:r>
              <w:rPr>
                <w:rFonts w:eastAsia="Times New Roman" w:cs="Arial"/>
                <w:bCs/>
                <w:color w:val="000000"/>
                <w:szCs w:val="20"/>
                <w:lang w:eastAsia="pt-BR"/>
              </w:rPr>
              <w:t>Diárias (14)</w:t>
            </w:r>
          </w:p>
        </w:tc>
        <w:tc>
          <w:tcPr>
            <w:tcW w:w="2970" w:type="dxa"/>
            <w:tcBorders>
              <w:top w:val="nil"/>
              <w:left w:val="nil"/>
              <w:bottom w:val="single" w:sz="4" w:space="0" w:color="000000"/>
              <w:right w:val="nil"/>
            </w:tcBorders>
            <w:shd w:val="clear" w:color="auto" w:fill="auto"/>
            <w:noWrap/>
            <w:vAlign w:val="bottom"/>
          </w:tcPr>
          <w:p w14:paraId="03CFC8C2" w14:textId="77777777" w:rsidR="004C19ED" w:rsidRPr="00F61288" w:rsidRDefault="004C19ED" w:rsidP="003E2CCD">
            <w:pPr>
              <w:jc w:val="right"/>
              <w:rPr>
                <w:rFonts w:eastAsia="Times New Roman" w:cs="Arial"/>
                <w:bCs/>
                <w:color w:val="000000"/>
                <w:szCs w:val="20"/>
                <w:lang w:eastAsia="pt-BR"/>
              </w:rPr>
            </w:pPr>
            <w:r w:rsidRPr="00F61288">
              <w:rPr>
                <w:rFonts w:eastAsia="Times New Roman" w:cs="Arial"/>
                <w:bCs/>
                <w:color w:val="000000"/>
                <w:szCs w:val="20"/>
                <w:lang w:eastAsia="pt-BR"/>
              </w:rPr>
              <w:t>1</w:t>
            </w:r>
            <w:r>
              <w:rPr>
                <w:rFonts w:eastAsia="Times New Roman" w:cs="Arial"/>
                <w:bCs/>
                <w:color w:val="000000"/>
                <w:szCs w:val="20"/>
                <w:lang w:eastAsia="pt-BR"/>
              </w:rPr>
              <w:t>.</w:t>
            </w:r>
            <w:r w:rsidRPr="00F61288">
              <w:rPr>
                <w:rFonts w:eastAsia="Times New Roman" w:cs="Arial"/>
                <w:bCs/>
                <w:color w:val="000000"/>
                <w:szCs w:val="20"/>
                <w:lang w:eastAsia="pt-BR"/>
              </w:rPr>
              <w:t>020</w:t>
            </w:r>
            <w:r>
              <w:rPr>
                <w:rFonts w:eastAsia="Times New Roman" w:cs="Arial"/>
                <w:bCs/>
                <w:color w:val="000000"/>
                <w:szCs w:val="20"/>
                <w:lang w:eastAsia="pt-BR"/>
              </w:rPr>
              <w:t>.</w:t>
            </w:r>
            <w:r w:rsidRPr="00F61288">
              <w:rPr>
                <w:rFonts w:eastAsia="Times New Roman" w:cs="Arial"/>
                <w:bCs/>
                <w:color w:val="000000"/>
                <w:szCs w:val="20"/>
                <w:lang w:eastAsia="pt-BR"/>
              </w:rPr>
              <w:t>064,19</w:t>
            </w:r>
          </w:p>
        </w:tc>
        <w:tc>
          <w:tcPr>
            <w:tcW w:w="1526" w:type="dxa"/>
            <w:tcBorders>
              <w:top w:val="nil"/>
              <w:left w:val="nil"/>
              <w:bottom w:val="single" w:sz="4" w:space="0" w:color="000000"/>
              <w:right w:val="nil"/>
            </w:tcBorders>
            <w:shd w:val="clear" w:color="auto" w:fill="auto"/>
          </w:tcPr>
          <w:p w14:paraId="55557359" w14:textId="77777777" w:rsidR="004C19ED" w:rsidRPr="00E61140" w:rsidRDefault="004C19ED" w:rsidP="003E2CCD">
            <w:pPr>
              <w:jc w:val="right"/>
              <w:rPr>
                <w:rFonts w:eastAsia="Times New Roman" w:cs="Arial"/>
                <w:bCs/>
                <w:color w:val="000000"/>
                <w:szCs w:val="20"/>
                <w:lang w:eastAsia="pt-BR"/>
              </w:rPr>
            </w:pPr>
            <w:r>
              <w:rPr>
                <w:rFonts w:eastAsia="Times New Roman" w:cs="Arial"/>
                <w:bCs/>
                <w:color w:val="000000"/>
                <w:szCs w:val="20"/>
                <w:lang w:eastAsia="pt-BR"/>
              </w:rPr>
              <w:t>0,83</w:t>
            </w:r>
          </w:p>
        </w:tc>
      </w:tr>
      <w:tr w:rsidR="004C19ED" w:rsidRPr="00E61140" w14:paraId="26CCC129" w14:textId="77777777" w:rsidTr="003E2CCD">
        <w:trPr>
          <w:trHeight w:val="267"/>
          <w:jc w:val="center"/>
        </w:trPr>
        <w:tc>
          <w:tcPr>
            <w:tcW w:w="4673" w:type="dxa"/>
            <w:tcBorders>
              <w:top w:val="nil"/>
              <w:left w:val="nil"/>
              <w:bottom w:val="single" w:sz="4" w:space="0" w:color="000000"/>
              <w:right w:val="nil"/>
            </w:tcBorders>
            <w:shd w:val="clear" w:color="auto" w:fill="D9D9D9" w:themeFill="background1" w:themeFillShade="D9"/>
            <w:noWrap/>
            <w:vAlign w:val="bottom"/>
          </w:tcPr>
          <w:p w14:paraId="38EECD95" w14:textId="77777777" w:rsidR="004C19ED" w:rsidRDefault="004C19ED" w:rsidP="003E2CCD">
            <w:pPr>
              <w:jc w:val="left"/>
              <w:rPr>
                <w:rFonts w:eastAsia="Times New Roman" w:cs="Arial"/>
                <w:bCs/>
                <w:color w:val="000000"/>
                <w:szCs w:val="20"/>
                <w:lang w:eastAsia="pt-BR"/>
              </w:rPr>
            </w:pPr>
            <w:r>
              <w:rPr>
                <w:rFonts w:eastAsia="Times New Roman" w:cs="Arial"/>
                <w:bCs/>
                <w:color w:val="000000"/>
                <w:szCs w:val="20"/>
                <w:lang w:eastAsia="pt-BR"/>
              </w:rPr>
              <w:t>Despesas de Exercícios Anteriores DEA (92)</w:t>
            </w:r>
          </w:p>
        </w:tc>
        <w:tc>
          <w:tcPr>
            <w:tcW w:w="2970" w:type="dxa"/>
            <w:tcBorders>
              <w:top w:val="nil"/>
              <w:left w:val="nil"/>
              <w:bottom w:val="single" w:sz="4" w:space="0" w:color="000000"/>
              <w:right w:val="nil"/>
            </w:tcBorders>
            <w:shd w:val="clear" w:color="auto" w:fill="D9D9D9" w:themeFill="background1" w:themeFillShade="D9"/>
            <w:noWrap/>
            <w:vAlign w:val="bottom"/>
          </w:tcPr>
          <w:p w14:paraId="3C518FF7" w14:textId="77777777" w:rsidR="004C19ED" w:rsidRPr="00F61288" w:rsidRDefault="004C19ED" w:rsidP="003E2CCD">
            <w:pPr>
              <w:jc w:val="right"/>
              <w:rPr>
                <w:rFonts w:eastAsia="Times New Roman" w:cs="Arial"/>
                <w:bCs/>
                <w:color w:val="000000"/>
                <w:szCs w:val="20"/>
                <w:lang w:eastAsia="pt-BR"/>
              </w:rPr>
            </w:pPr>
            <w:r w:rsidRPr="00F61288">
              <w:rPr>
                <w:rFonts w:eastAsia="Times New Roman" w:cs="Arial"/>
                <w:bCs/>
                <w:color w:val="000000"/>
                <w:szCs w:val="20"/>
                <w:lang w:eastAsia="pt-BR"/>
              </w:rPr>
              <w:t>307</w:t>
            </w:r>
            <w:r>
              <w:rPr>
                <w:rFonts w:eastAsia="Times New Roman" w:cs="Arial"/>
                <w:bCs/>
                <w:color w:val="000000"/>
                <w:szCs w:val="20"/>
                <w:lang w:eastAsia="pt-BR"/>
              </w:rPr>
              <w:t>.</w:t>
            </w:r>
            <w:r w:rsidRPr="00F61288">
              <w:rPr>
                <w:rFonts w:eastAsia="Times New Roman" w:cs="Arial"/>
                <w:bCs/>
                <w:color w:val="000000"/>
                <w:szCs w:val="20"/>
                <w:lang w:eastAsia="pt-BR"/>
              </w:rPr>
              <w:t>569,53</w:t>
            </w:r>
          </w:p>
        </w:tc>
        <w:tc>
          <w:tcPr>
            <w:tcW w:w="1526" w:type="dxa"/>
            <w:tcBorders>
              <w:top w:val="nil"/>
              <w:left w:val="nil"/>
              <w:bottom w:val="single" w:sz="4" w:space="0" w:color="000000"/>
              <w:right w:val="nil"/>
            </w:tcBorders>
            <w:shd w:val="clear" w:color="auto" w:fill="D9D9D9" w:themeFill="background1" w:themeFillShade="D9"/>
          </w:tcPr>
          <w:p w14:paraId="200CD179" w14:textId="77777777" w:rsidR="004C19ED" w:rsidRPr="00E61140" w:rsidRDefault="004C19ED" w:rsidP="003E2CCD">
            <w:pPr>
              <w:jc w:val="right"/>
              <w:rPr>
                <w:rFonts w:eastAsia="Times New Roman" w:cs="Arial"/>
                <w:bCs/>
                <w:color w:val="000000"/>
                <w:szCs w:val="20"/>
                <w:lang w:eastAsia="pt-BR"/>
              </w:rPr>
            </w:pPr>
            <w:r>
              <w:rPr>
                <w:rFonts w:eastAsia="Times New Roman" w:cs="Arial"/>
                <w:bCs/>
                <w:color w:val="000000"/>
                <w:szCs w:val="20"/>
                <w:lang w:eastAsia="pt-BR"/>
              </w:rPr>
              <w:t>0,25</w:t>
            </w:r>
          </w:p>
        </w:tc>
      </w:tr>
      <w:tr w:rsidR="004C19ED" w:rsidRPr="00E61140" w14:paraId="2C6B670C" w14:textId="77777777" w:rsidTr="003E2CCD">
        <w:trPr>
          <w:trHeight w:val="267"/>
          <w:jc w:val="center"/>
        </w:trPr>
        <w:tc>
          <w:tcPr>
            <w:tcW w:w="4673" w:type="dxa"/>
            <w:tcBorders>
              <w:top w:val="nil"/>
              <w:left w:val="nil"/>
              <w:bottom w:val="single" w:sz="4" w:space="0" w:color="000000"/>
              <w:right w:val="nil"/>
            </w:tcBorders>
            <w:shd w:val="clear" w:color="auto" w:fill="auto"/>
            <w:noWrap/>
            <w:vAlign w:val="bottom"/>
          </w:tcPr>
          <w:p w14:paraId="181B1033" w14:textId="77777777" w:rsidR="004C19ED" w:rsidRDefault="004C19ED" w:rsidP="003E2CCD">
            <w:pPr>
              <w:jc w:val="left"/>
              <w:rPr>
                <w:rFonts w:eastAsia="Times New Roman" w:cs="Arial"/>
                <w:bCs/>
                <w:color w:val="000000"/>
                <w:szCs w:val="20"/>
                <w:lang w:eastAsia="pt-BR"/>
              </w:rPr>
            </w:pPr>
            <w:r>
              <w:rPr>
                <w:rFonts w:eastAsia="Times New Roman" w:cs="Arial"/>
                <w:bCs/>
                <w:color w:val="000000"/>
                <w:szCs w:val="20"/>
                <w:lang w:eastAsia="pt-BR"/>
              </w:rPr>
              <w:lastRenderedPageBreak/>
              <w:t>Material de Consumo (30)</w:t>
            </w:r>
          </w:p>
        </w:tc>
        <w:tc>
          <w:tcPr>
            <w:tcW w:w="2970" w:type="dxa"/>
            <w:tcBorders>
              <w:top w:val="nil"/>
              <w:left w:val="nil"/>
              <w:bottom w:val="single" w:sz="4" w:space="0" w:color="000000"/>
              <w:right w:val="nil"/>
            </w:tcBorders>
            <w:shd w:val="clear" w:color="auto" w:fill="auto"/>
            <w:noWrap/>
            <w:vAlign w:val="bottom"/>
          </w:tcPr>
          <w:p w14:paraId="614920E2" w14:textId="77777777" w:rsidR="004C19ED" w:rsidRPr="00F61288" w:rsidRDefault="004C19ED" w:rsidP="003E2CCD">
            <w:pPr>
              <w:jc w:val="right"/>
              <w:rPr>
                <w:rFonts w:eastAsia="Times New Roman" w:cs="Arial"/>
                <w:bCs/>
                <w:color w:val="000000"/>
                <w:szCs w:val="20"/>
                <w:lang w:eastAsia="pt-BR"/>
              </w:rPr>
            </w:pPr>
            <w:r w:rsidRPr="00E91323">
              <w:rPr>
                <w:rFonts w:eastAsia="Times New Roman" w:cs="Arial"/>
                <w:bCs/>
                <w:color w:val="000000"/>
                <w:szCs w:val="20"/>
                <w:lang w:eastAsia="pt-BR"/>
              </w:rPr>
              <w:t>942</w:t>
            </w:r>
            <w:r>
              <w:rPr>
                <w:rFonts w:eastAsia="Times New Roman" w:cs="Arial"/>
                <w:bCs/>
                <w:color w:val="000000"/>
                <w:szCs w:val="20"/>
                <w:lang w:eastAsia="pt-BR"/>
              </w:rPr>
              <w:t>.</w:t>
            </w:r>
            <w:r w:rsidRPr="00E91323">
              <w:rPr>
                <w:rFonts w:eastAsia="Times New Roman" w:cs="Arial"/>
                <w:bCs/>
                <w:color w:val="000000"/>
                <w:szCs w:val="20"/>
                <w:lang w:eastAsia="pt-BR"/>
              </w:rPr>
              <w:t>887</w:t>
            </w:r>
            <w:r>
              <w:rPr>
                <w:rFonts w:eastAsia="Times New Roman" w:cs="Arial"/>
                <w:bCs/>
                <w:color w:val="000000"/>
                <w:szCs w:val="20"/>
                <w:lang w:eastAsia="pt-BR"/>
              </w:rPr>
              <w:t>,00</w:t>
            </w:r>
          </w:p>
        </w:tc>
        <w:tc>
          <w:tcPr>
            <w:tcW w:w="1526" w:type="dxa"/>
            <w:tcBorders>
              <w:top w:val="nil"/>
              <w:left w:val="nil"/>
              <w:bottom w:val="single" w:sz="4" w:space="0" w:color="000000"/>
              <w:right w:val="nil"/>
            </w:tcBorders>
            <w:shd w:val="clear" w:color="auto" w:fill="auto"/>
          </w:tcPr>
          <w:p w14:paraId="4D7F6C52" w14:textId="77777777" w:rsidR="004C19ED" w:rsidRPr="00E61140" w:rsidRDefault="004C19ED" w:rsidP="003E2CCD">
            <w:pPr>
              <w:jc w:val="right"/>
              <w:rPr>
                <w:rFonts w:eastAsia="Times New Roman" w:cs="Arial"/>
                <w:bCs/>
                <w:color w:val="000000"/>
                <w:szCs w:val="20"/>
                <w:lang w:eastAsia="pt-BR"/>
              </w:rPr>
            </w:pPr>
            <w:r>
              <w:rPr>
                <w:rFonts w:eastAsia="Times New Roman" w:cs="Arial"/>
                <w:bCs/>
                <w:color w:val="000000"/>
                <w:szCs w:val="20"/>
                <w:lang w:eastAsia="pt-BR"/>
              </w:rPr>
              <w:t>0,77</w:t>
            </w:r>
          </w:p>
        </w:tc>
      </w:tr>
      <w:tr w:rsidR="004C19ED" w:rsidRPr="00E61140" w14:paraId="044A71AC" w14:textId="77777777" w:rsidTr="003E2CCD">
        <w:trPr>
          <w:trHeight w:val="267"/>
          <w:jc w:val="center"/>
        </w:trPr>
        <w:tc>
          <w:tcPr>
            <w:tcW w:w="4673" w:type="dxa"/>
            <w:tcBorders>
              <w:top w:val="nil"/>
              <w:left w:val="nil"/>
              <w:bottom w:val="single" w:sz="4" w:space="0" w:color="000000"/>
              <w:right w:val="nil"/>
            </w:tcBorders>
            <w:shd w:val="clear" w:color="auto" w:fill="D9D9D9" w:themeFill="background1" w:themeFillShade="D9"/>
            <w:noWrap/>
            <w:vAlign w:val="bottom"/>
          </w:tcPr>
          <w:p w14:paraId="2F5D085C" w14:textId="77777777" w:rsidR="004C19ED" w:rsidRDefault="004C19ED" w:rsidP="003E2CCD">
            <w:pPr>
              <w:jc w:val="left"/>
              <w:rPr>
                <w:rFonts w:eastAsia="Times New Roman" w:cs="Arial"/>
                <w:bCs/>
                <w:color w:val="000000"/>
                <w:szCs w:val="20"/>
                <w:lang w:eastAsia="pt-BR"/>
              </w:rPr>
            </w:pPr>
            <w:r>
              <w:rPr>
                <w:rFonts w:eastAsia="Times New Roman" w:cs="Arial"/>
                <w:bCs/>
                <w:color w:val="000000"/>
                <w:szCs w:val="20"/>
                <w:lang w:eastAsia="pt-BR"/>
              </w:rPr>
              <w:t>Outros</w:t>
            </w:r>
          </w:p>
        </w:tc>
        <w:tc>
          <w:tcPr>
            <w:tcW w:w="2970" w:type="dxa"/>
            <w:tcBorders>
              <w:top w:val="nil"/>
              <w:left w:val="nil"/>
              <w:bottom w:val="single" w:sz="4" w:space="0" w:color="000000"/>
              <w:right w:val="nil"/>
            </w:tcBorders>
            <w:shd w:val="clear" w:color="auto" w:fill="D9D9D9" w:themeFill="background1" w:themeFillShade="D9"/>
            <w:noWrap/>
            <w:vAlign w:val="bottom"/>
          </w:tcPr>
          <w:p w14:paraId="1F167276" w14:textId="77777777" w:rsidR="004C19ED" w:rsidRPr="00F61288" w:rsidRDefault="004C19ED" w:rsidP="003E2CCD">
            <w:pPr>
              <w:jc w:val="right"/>
              <w:rPr>
                <w:rFonts w:eastAsia="Times New Roman" w:cs="Arial"/>
                <w:bCs/>
                <w:color w:val="000000"/>
                <w:szCs w:val="20"/>
                <w:lang w:eastAsia="pt-BR"/>
              </w:rPr>
            </w:pPr>
            <w:r>
              <w:rPr>
                <w:rFonts w:eastAsia="Times New Roman" w:cs="Arial"/>
                <w:bCs/>
                <w:color w:val="000000"/>
                <w:szCs w:val="20"/>
                <w:lang w:eastAsia="pt-BR"/>
              </w:rPr>
              <w:t>900.499,51</w:t>
            </w:r>
          </w:p>
        </w:tc>
        <w:tc>
          <w:tcPr>
            <w:tcW w:w="1526" w:type="dxa"/>
            <w:tcBorders>
              <w:top w:val="nil"/>
              <w:left w:val="nil"/>
              <w:bottom w:val="single" w:sz="4" w:space="0" w:color="000000"/>
              <w:right w:val="nil"/>
            </w:tcBorders>
            <w:shd w:val="clear" w:color="auto" w:fill="D9D9D9" w:themeFill="background1" w:themeFillShade="D9"/>
          </w:tcPr>
          <w:p w14:paraId="3B31E5D2" w14:textId="77777777" w:rsidR="004C19ED" w:rsidRPr="00E61140" w:rsidRDefault="004C19ED" w:rsidP="003E2CCD">
            <w:pPr>
              <w:jc w:val="right"/>
              <w:rPr>
                <w:rFonts w:eastAsia="Times New Roman" w:cs="Arial"/>
                <w:bCs/>
                <w:color w:val="000000"/>
                <w:szCs w:val="20"/>
                <w:lang w:eastAsia="pt-BR"/>
              </w:rPr>
            </w:pPr>
            <w:r>
              <w:rPr>
                <w:rFonts w:eastAsia="Times New Roman" w:cs="Arial"/>
                <w:bCs/>
                <w:color w:val="000000"/>
                <w:szCs w:val="20"/>
                <w:lang w:eastAsia="pt-BR"/>
              </w:rPr>
              <w:t>0,74</w:t>
            </w:r>
          </w:p>
        </w:tc>
      </w:tr>
      <w:tr w:rsidR="004C19ED" w:rsidRPr="00EF49C5" w14:paraId="20279EAA" w14:textId="77777777" w:rsidTr="003E2CCD">
        <w:trPr>
          <w:trHeight w:val="267"/>
          <w:jc w:val="center"/>
        </w:trPr>
        <w:tc>
          <w:tcPr>
            <w:tcW w:w="4673" w:type="dxa"/>
            <w:tcBorders>
              <w:top w:val="nil"/>
              <w:left w:val="nil"/>
              <w:bottom w:val="single" w:sz="4" w:space="0" w:color="000000"/>
              <w:right w:val="nil"/>
            </w:tcBorders>
            <w:shd w:val="clear" w:color="auto" w:fill="auto"/>
            <w:noWrap/>
            <w:vAlign w:val="bottom"/>
            <w:hideMark/>
          </w:tcPr>
          <w:p w14:paraId="36F798CB" w14:textId="77777777" w:rsidR="004C19ED" w:rsidRPr="00EF49C5" w:rsidRDefault="004C19ED" w:rsidP="003E2CCD">
            <w:pPr>
              <w:jc w:val="left"/>
              <w:rPr>
                <w:rFonts w:eastAsia="Times New Roman" w:cs="Arial"/>
                <w:b/>
                <w:bCs/>
                <w:color w:val="000000"/>
                <w:szCs w:val="20"/>
                <w:lang w:eastAsia="pt-BR"/>
              </w:rPr>
            </w:pPr>
            <w:r w:rsidRPr="00EF49C5">
              <w:rPr>
                <w:rFonts w:eastAsia="Times New Roman" w:cs="Arial"/>
                <w:b/>
                <w:bCs/>
                <w:color w:val="000000"/>
                <w:szCs w:val="20"/>
                <w:lang w:eastAsia="pt-BR"/>
              </w:rPr>
              <w:t>Total</w:t>
            </w:r>
          </w:p>
        </w:tc>
        <w:tc>
          <w:tcPr>
            <w:tcW w:w="2970" w:type="dxa"/>
            <w:tcBorders>
              <w:top w:val="nil"/>
              <w:left w:val="nil"/>
              <w:bottom w:val="single" w:sz="4" w:space="0" w:color="000000"/>
              <w:right w:val="nil"/>
            </w:tcBorders>
            <w:shd w:val="clear" w:color="auto" w:fill="auto"/>
            <w:noWrap/>
            <w:vAlign w:val="bottom"/>
            <w:hideMark/>
          </w:tcPr>
          <w:p w14:paraId="53AD7E42" w14:textId="77777777" w:rsidR="004C19ED" w:rsidRPr="00EF49C5" w:rsidRDefault="004C19ED" w:rsidP="003E2CCD">
            <w:pPr>
              <w:jc w:val="right"/>
              <w:rPr>
                <w:rFonts w:eastAsia="Times New Roman" w:cs="Arial"/>
                <w:b/>
                <w:bCs/>
                <w:color w:val="000000"/>
                <w:szCs w:val="20"/>
                <w:lang w:eastAsia="pt-BR"/>
              </w:rPr>
            </w:pPr>
            <w:r w:rsidRPr="00E91323">
              <w:rPr>
                <w:rFonts w:eastAsia="Times New Roman" w:cs="Arial"/>
                <w:b/>
                <w:bCs/>
                <w:color w:val="000000"/>
                <w:szCs w:val="20"/>
                <w:lang w:eastAsia="pt-BR"/>
              </w:rPr>
              <w:t>122</w:t>
            </w:r>
            <w:r>
              <w:rPr>
                <w:rFonts w:eastAsia="Times New Roman" w:cs="Arial"/>
                <w:b/>
                <w:bCs/>
                <w:color w:val="000000"/>
                <w:szCs w:val="20"/>
                <w:lang w:eastAsia="pt-BR"/>
              </w:rPr>
              <w:t>.</w:t>
            </w:r>
            <w:r w:rsidRPr="00E91323">
              <w:rPr>
                <w:rFonts w:eastAsia="Times New Roman" w:cs="Arial"/>
                <w:b/>
                <w:bCs/>
                <w:color w:val="000000"/>
                <w:szCs w:val="20"/>
                <w:lang w:eastAsia="pt-BR"/>
              </w:rPr>
              <w:t>183</w:t>
            </w:r>
            <w:r>
              <w:rPr>
                <w:rFonts w:eastAsia="Times New Roman" w:cs="Arial"/>
                <w:b/>
                <w:bCs/>
                <w:color w:val="000000"/>
                <w:szCs w:val="20"/>
                <w:lang w:eastAsia="pt-BR"/>
              </w:rPr>
              <w:t>.</w:t>
            </w:r>
            <w:r w:rsidRPr="00E91323">
              <w:rPr>
                <w:rFonts w:eastAsia="Times New Roman" w:cs="Arial"/>
                <w:b/>
                <w:bCs/>
                <w:color w:val="000000"/>
                <w:szCs w:val="20"/>
                <w:lang w:eastAsia="pt-BR"/>
              </w:rPr>
              <w:t>144,98</w:t>
            </w:r>
          </w:p>
        </w:tc>
        <w:tc>
          <w:tcPr>
            <w:tcW w:w="1526" w:type="dxa"/>
            <w:tcBorders>
              <w:top w:val="nil"/>
              <w:left w:val="nil"/>
              <w:bottom w:val="single" w:sz="4" w:space="0" w:color="000000"/>
              <w:right w:val="nil"/>
            </w:tcBorders>
            <w:shd w:val="clear" w:color="auto" w:fill="auto"/>
          </w:tcPr>
          <w:p w14:paraId="41D19400" w14:textId="77777777" w:rsidR="004C19ED" w:rsidRPr="00EF49C5" w:rsidRDefault="004C19ED" w:rsidP="003E2CCD">
            <w:pPr>
              <w:jc w:val="right"/>
              <w:rPr>
                <w:rFonts w:eastAsia="Times New Roman" w:cs="Arial"/>
                <w:b/>
                <w:bCs/>
                <w:color w:val="000000"/>
                <w:szCs w:val="20"/>
                <w:lang w:eastAsia="pt-BR"/>
              </w:rPr>
            </w:pPr>
            <w:r w:rsidRPr="0042767B">
              <w:rPr>
                <w:rFonts w:eastAsia="Times New Roman" w:cs="Arial"/>
                <w:b/>
                <w:bCs/>
                <w:color w:val="000000"/>
                <w:szCs w:val="20"/>
                <w:lang w:eastAsia="pt-BR"/>
              </w:rPr>
              <w:t>100,00</w:t>
            </w:r>
          </w:p>
        </w:tc>
      </w:tr>
    </w:tbl>
    <w:p w14:paraId="2AFEB15B" w14:textId="77777777" w:rsidR="004C19ED" w:rsidRPr="005857A3" w:rsidRDefault="004C19ED" w:rsidP="004C19ED">
      <w:pPr>
        <w:rPr>
          <w:rFonts w:cs="Arial"/>
          <w:i/>
          <w:szCs w:val="20"/>
        </w:rPr>
      </w:pPr>
      <w:r w:rsidRPr="005857A3">
        <w:rPr>
          <w:rFonts w:cs="Arial"/>
          <w:i/>
          <w:szCs w:val="20"/>
        </w:rPr>
        <w:t xml:space="preserve">Fonte: </w:t>
      </w:r>
      <w:r>
        <w:rPr>
          <w:rFonts w:cs="Arial"/>
          <w:i/>
          <w:szCs w:val="20"/>
        </w:rPr>
        <w:t>Tesouro Gerencial</w:t>
      </w:r>
      <w:r w:rsidRPr="005857A3">
        <w:rPr>
          <w:rFonts w:cs="Arial"/>
          <w:i/>
          <w:szCs w:val="20"/>
        </w:rPr>
        <w:t>, 20</w:t>
      </w:r>
      <w:r>
        <w:rPr>
          <w:rFonts w:cs="Arial"/>
          <w:i/>
          <w:szCs w:val="20"/>
        </w:rPr>
        <w:t>21</w:t>
      </w:r>
      <w:r w:rsidRPr="005857A3">
        <w:rPr>
          <w:rFonts w:cs="Arial"/>
          <w:i/>
          <w:szCs w:val="20"/>
        </w:rPr>
        <w:t>.</w:t>
      </w:r>
    </w:p>
    <w:p w14:paraId="07E6C27C" w14:textId="77777777" w:rsidR="004C19ED" w:rsidRDefault="004C19ED" w:rsidP="004C19ED">
      <w:pPr>
        <w:rPr>
          <w:rFonts w:cs="Arial"/>
          <w:sz w:val="22"/>
        </w:rPr>
      </w:pPr>
    </w:p>
    <w:p w14:paraId="3ABFBB08" w14:textId="77777777" w:rsidR="004C19ED" w:rsidRDefault="004C19ED" w:rsidP="004C19ED">
      <w:pPr>
        <w:rPr>
          <w:rFonts w:cs="Arial"/>
          <w:sz w:val="22"/>
        </w:rPr>
      </w:pPr>
    </w:p>
    <w:p w14:paraId="6876ED48" w14:textId="77777777" w:rsidR="004C19ED" w:rsidRDefault="004C19ED" w:rsidP="004C19ED">
      <w:pPr>
        <w:rPr>
          <w:rFonts w:cs="Arial"/>
          <w:sz w:val="22"/>
        </w:rPr>
      </w:pPr>
    </w:p>
    <w:p w14:paraId="3579D905" w14:textId="77777777" w:rsidR="004C19ED" w:rsidRDefault="004C19ED" w:rsidP="004C19ED">
      <w:pPr>
        <w:rPr>
          <w:rFonts w:cs="Arial"/>
          <w:sz w:val="22"/>
        </w:rPr>
      </w:pPr>
      <w:r>
        <w:rPr>
          <w:rFonts w:cs="Arial"/>
          <w:sz w:val="22"/>
        </w:rPr>
        <w:t>Os gastos com despesas de capital estão detalhados na tabela a seguir:</w:t>
      </w:r>
    </w:p>
    <w:p w14:paraId="1E8763F1" w14:textId="77777777" w:rsidR="004C19ED" w:rsidRDefault="004C19ED" w:rsidP="004C19ED">
      <w:pPr>
        <w:rPr>
          <w:rFonts w:cs="Arial"/>
          <w:sz w:val="22"/>
        </w:rPr>
      </w:pPr>
    </w:p>
    <w:p w14:paraId="4B11E732" w14:textId="77777777" w:rsidR="004C19ED" w:rsidRPr="00EA242B" w:rsidRDefault="004C19ED" w:rsidP="004C19ED">
      <w:pPr>
        <w:rPr>
          <w:rFonts w:cs="Arial"/>
          <w:sz w:val="22"/>
        </w:rPr>
      </w:pPr>
      <w:r w:rsidRPr="007007D6">
        <w:rPr>
          <w:rFonts w:cs="Arial"/>
          <w:b/>
          <w:sz w:val="22"/>
        </w:rPr>
        <w:t>Tabela 9 – Execução – Despesas de Capital – Principais Itens Liquidados.</w:t>
      </w:r>
    </w:p>
    <w:p w14:paraId="08DF506B" w14:textId="77777777" w:rsidR="004C19ED" w:rsidRDefault="004C19ED" w:rsidP="004C19ED">
      <w:pPr>
        <w:rPr>
          <w:rFonts w:cs="Arial"/>
          <w:sz w:val="22"/>
        </w:rPr>
      </w:pPr>
      <w:r>
        <w:rPr>
          <w:rFonts w:cs="Arial"/>
          <w:sz w:val="22"/>
        </w:rPr>
        <w:t xml:space="preserve">                                                                                                                                              </w:t>
      </w:r>
      <w:r w:rsidRPr="00414329">
        <w:rPr>
          <w:rFonts w:cs="Arial"/>
          <w:sz w:val="22"/>
        </w:rPr>
        <w:t>R$</w:t>
      </w:r>
    </w:p>
    <w:tbl>
      <w:tblPr>
        <w:tblW w:w="8985" w:type="dxa"/>
        <w:tblCellMar>
          <w:left w:w="70" w:type="dxa"/>
          <w:right w:w="70" w:type="dxa"/>
        </w:tblCellMar>
        <w:tblLook w:val="04A0" w:firstRow="1" w:lastRow="0" w:firstColumn="1" w:lastColumn="0" w:noHBand="0" w:noVBand="1"/>
      </w:tblPr>
      <w:tblGrid>
        <w:gridCol w:w="5624"/>
        <w:gridCol w:w="2090"/>
        <w:gridCol w:w="1271"/>
      </w:tblGrid>
      <w:tr w:rsidR="004C19ED" w:rsidRPr="0042767B" w14:paraId="4DA60090" w14:textId="77777777" w:rsidTr="003E2CCD">
        <w:trPr>
          <w:trHeight w:val="255"/>
        </w:trPr>
        <w:tc>
          <w:tcPr>
            <w:tcW w:w="5624" w:type="dxa"/>
            <w:tcBorders>
              <w:top w:val="single" w:sz="4" w:space="0" w:color="000000"/>
              <w:left w:val="nil"/>
              <w:bottom w:val="single" w:sz="4" w:space="0" w:color="000000"/>
              <w:right w:val="nil"/>
            </w:tcBorders>
            <w:shd w:val="clear" w:color="000000" w:fill="FFFFFF"/>
            <w:noWrap/>
            <w:vAlign w:val="bottom"/>
            <w:hideMark/>
          </w:tcPr>
          <w:p w14:paraId="7A1CD7E2" w14:textId="77777777" w:rsidR="004C19ED" w:rsidRPr="0042767B" w:rsidRDefault="004C19ED" w:rsidP="003E2CCD">
            <w:pPr>
              <w:jc w:val="left"/>
              <w:rPr>
                <w:rFonts w:eastAsia="Times New Roman" w:cs="Arial"/>
                <w:b/>
                <w:bCs/>
                <w:color w:val="FFFFFF"/>
                <w:szCs w:val="20"/>
                <w:lang w:eastAsia="pt-BR"/>
              </w:rPr>
            </w:pPr>
            <w:r w:rsidRPr="0042767B">
              <w:rPr>
                <w:rFonts w:eastAsia="Times New Roman" w:cs="Arial"/>
                <w:b/>
                <w:bCs/>
                <w:color w:val="FFFFFF"/>
                <w:szCs w:val="20"/>
                <w:lang w:eastAsia="pt-BR"/>
              </w:rPr>
              <w:t>Colunas1</w:t>
            </w:r>
          </w:p>
        </w:tc>
        <w:tc>
          <w:tcPr>
            <w:tcW w:w="2090" w:type="dxa"/>
            <w:tcBorders>
              <w:top w:val="single" w:sz="4" w:space="0" w:color="000000"/>
              <w:left w:val="nil"/>
              <w:bottom w:val="single" w:sz="4" w:space="0" w:color="000000"/>
              <w:right w:val="nil"/>
            </w:tcBorders>
            <w:shd w:val="clear" w:color="auto" w:fill="auto"/>
            <w:noWrap/>
            <w:vAlign w:val="bottom"/>
            <w:hideMark/>
          </w:tcPr>
          <w:p w14:paraId="3F92F017" w14:textId="77777777" w:rsidR="004C19ED" w:rsidRPr="0042767B" w:rsidRDefault="004C19ED" w:rsidP="003E2CCD">
            <w:pPr>
              <w:jc w:val="right"/>
              <w:rPr>
                <w:rFonts w:eastAsia="Times New Roman" w:cs="Arial"/>
                <w:b/>
                <w:bCs/>
                <w:color w:val="000000"/>
                <w:szCs w:val="20"/>
                <w:lang w:eastAsia="pt-BR"/>
              </w:rPr>
            </w:pPr>
            <w:r w:rsidRPr="0042767B">
              <w:rPr>
                <w:rFonts w:eastAsia="Times New Roman" w:cs="Arial"/>
                <w:b/>
                <w:bCs/>
                <w:color w:val="000000"/>
                <w:szCs w:val="20"/>
                <w:lang w:eastAsia="pt-BR"/>
              </w:rPr>
              <w:t>3</w:t>
            </w:r>
            <w:r>
              <w:rPr>
                <w:rFonts w:eastAsia="Times New Roman" w:cs="Arial"/>
                <w:b/>
                <w:bCs/>
                <w:color w:val="000000"/>
                <w:szCs w:val="20"/>
                <w:lang w:eastAsia="pt-BR"/>
              </w:rPr>
              <w:t>1</w:t>
            </w:r>
            <w:r w:rsidRPr="0042767B">
              <w:rPr>
                <w:rFonts w:eastAsia="Times New Roman" w:cs="Arial"/>
                <w:b/>
                <w:bCs/>
                <w:color w:val="000000"/>
                <w:szCs w:val="20"/>
                <w:lang w:eastAsia="pt-BR"/>
              </w:rPr>
              <w:t>/</w:t>
            </w:r>
            <w:r>
              <w:rPr>
                <w:rFonts w:eastAsia="Times New Roman" w:cs="Arial"/>
                <w:b/>
                <w:bCs/>
                <w:color w:val="000000"/>
                <w:szCs w:val="20"/>
                <w:lang w:eastAsia="pt-BR"/>
              </w:rPr>
              <w:t>12</w:t>
            </w:r>
            <w:r w:rsidRPr="0042767B">
              <w:rPr>
                <w:rFonts w:eastAsia="Times New Roman" w:cs="Arial"/>
                <w:b/>
                <w:bCs/>
                <w:color w:val="000000"/>
                <w:szCs w:val="20"/>
                <w:lang w:eastAsia="pt-BR"/>
              </w:rPr>
              <w:t>/20</w:t>
            </w:r>
            <w:r>
              <w:rPr>
                <w:rFonts w:eastAsia="Times New Roman" w:cs="Arial"/>
                <w:b/>
                <w:bCs/>
                <w:color w:val="000000"/>
                <w:szCs w:val="20"/>
                <w:lang w:eastAsia="pt-BR"/>
              </w:rPr>
              <w:t>21</w:t>
            </w:r>
          </w:p>
        </w:tc>
        <w:tc>
          <w:tcPr>
            <w:tcW w:w="1271" w:type="dxa"/>
            <w:tcBorders>
              <w:top w:val="single" w:sz="4" w:space="0" w:color="000000"/>
              <w:left w:val="nil"/>
              <w:bottom w:val="single" w:sz="4" w:space="0" w:color="000000"/>
              <w:right w:val="nil"/>
            </w:tcBorders>
            <w:shd w:val="clear" w:color="auto" w:fill="auto"/>
            <w:noWrap/>
            <w:vAlign w:val="bottom"/>
            <w:hideMark/>
          </w:tcPr>
          <w:p w14:paraId="031166EB" w14:textId="77777777" w:rsidR="004C19ED" w:rsidRPr="0042767B" w:rsidRDefault="004C19ED" w:rsidP="003E2CCD">
            <w:pPr>
              <w:jc w:val="right"/>
              <w:rPr>
                <w:rFonts w:eastAsia="Times New Roman" w:cs="Arial"/>
                <w:b/>
                <w:bCs/>
                <w:color w:val="000000"/>
                <w:szCs w:val="20"/>
                <w:lang w:eastAsia="pt-BR"/>
              </w:rPr>
            </w:pPr>
            <w:r w:rsidRPr="0042767B">
              <w:rPr>
                <w:rFonts w:eastAsia="Times New Roman" w:cs="Arial"/>
                <w:b/>
                <w:bCs/>
                <w:color w:val="000000"/>
                <w:szCs w:val="20"/>
                <w:lang w:eastAsia="pt-BR"/>
              </w:rPr>
              <w:t>AV (%)</w:t>
            </w:r>
          </w:p>
        </w:tc>
      </w:tr>
      <w:tr w:rsidR="004C19ED" w:rsidRPr="0042767B" w14:paraId="14BE4A2C" w14:textId="77777777" w:rsidTr="003E2CCD">
        <w:trPr>
          <w:trHeight w:val="255"/>
        </w:trPr>
        <w:tc>
          <w:tcPr>
            <w:tcW w:w="5624" w:type="dxa"/>
            <w:tcBorders>
              <w:top w:val="nil"/>
              <w:left w:val="nil"/>
              <w:bottom w:val="nil"/>
              <w:right w:val="nil"/>
            </w:tcBorders>
            <w:shd w:val="clear" w:color="auto" w:fill="FFFFFF" w:themeFill="background1"/>
            <w:noWrap/>
            <w:vAlign w:val="center"/>
            <w:hideMark/>
          </w:tcPr>
          <w:p w14:paraId="7470812F" w14:textId="77777777" w:rsidR="004C19ED" w:rsidRPr="0042767B" w:rsidRDefault="004C19ED" w:rsidP="003E2CCD">
            <w:pPr>
              <w:jc w:val="left"/>
              <w:rPr>
                <w:rFonts w:eastAsia="Times New Roman" w:cs="Arial"/>
                <w:color w:val="000000"/>
                <w:szCs w:val="20"/>
                <w:lang w:eastAsia="pt-BR"/>
              </w:rPr>
            </w:pPr>
            <w:r>
              <w:rPr>
                <w:rFonts w:cs="Arial"/>
                <w:color w:val="000000"/>
                <w:szCs w:val="20"/>
              </w:rPr>
              <w:t>Serviços de TI (40)</w:t>
            </w:r>
          </w:p>
        </w:tc>
        <w:tc>
          <w:tcPr>
            <w:tcW w:w="2090" w:type="dxa"/>
            <w:tcBorders>
              <w:top w:val="nil"/>
              <w:left w:val="nil"/>
              <w:bottom w:val="nil"/>
              <w:right w:val="nil"/>
            </w:tcBorders>
            <w:shd w:val="clear" w:color="auto" w:fill="FFFFFF" w:themeFill="background1"/>
            <w:noWrap/>
            <w:vAlign w:val="bottom"/>
          </w:tcPr>
          <w:p w14:paraId="1B18D5FF" w14:textId="77777777" w:rsidR="004C19ED" w:rsidRPr="0042767B" w:rsidRDefault="004C19ED" w:rsidP="003E2CCD">
            <w:pPr>
              <w:jc w:val="right"/>
              <w:rPr>
                <w:rFonts w:eastAsia="Times New Roman" w:cs="Arial"/>
                <w:color w:val="000000"/>
                <w:szCs w:val="20"/>
                <w:lang w:eastAsia="pt-BR"/>
              </w:rPr>
            </w:pPr>
            <w:r w:rsidRPr="00DB0A50">
              <w:rPr>
                <w:rFonts w:eastAsia="Times New Roman" w:cs="Arial"/>
                <w:color w:val="000000"/>
                <w:szCs w:val="20"/>
                <w:lang w:eastAsia="pt-BR"/>
              </w:rPr>
              <w:t>2</w:t>
            </w:r>
            <w:r>
              <w:rPr>
                <w:rFonts w:eastAsia="Times New Roman" w:cs="Arial"/>
                <w:color w:val="000000"/>
                <w:szCs w:val="20"/>
                <w:lang w:eastAsia="pt-BR"/>
              </w:rPr>
              <w:t>.</w:t>
            </w:r>
            <w:r w:rsidRPr="00DB0A50">
              <w:rPr>
                <w:rFonts w:eastAsia="Times New Roman" w:cs="Arial"/>
                <w:color w:val="000000"/>
                <w:szCs w:val="20"/>
                <w:lang w:eastAsia="pt-BR"/>
              </w:rPr>
              <w:t>266</w:t>
            </w:r>
            <w:r>
              <w:rPr>
                <w:rFonts w:eastAsia="Times New Roman" w:cs="Arial"/>
                <w:color w:val="000000"/>
                <w:szCs w:val="20"/>
                <w:lang w:eastAsia="pt-BR"/>
              </w:rPr>
              <w:t>.</w:t>
            </w:r>
            <w:r w:rsidRPr="00DB0A50">
              <w:rPr>
                <w:rFonts w:eastAsia="Times New Roman" w:cs="Arial"/>
                <w:color w:val="000000"/>
                <w:szCs w:val="20"/>
                <w:lang w:eastAsia="pt-BR"/>
              </w:rPr>
              <w:t>327,64</w:t>
            </w:r>
          </w:p>
        </w:tc>
        <w:tc>
          <w:tcPr>
            <w:tcW w:w="1271" w:type="dxa"/>
            <w:tcBorders>
              <w:top w:val="nil"/>
              <w:left w:val="nil"/>
              <w:bottom w:val="nil"/>
              <w:right w:val="nil"/>
            </w:tcBorders>
            <w:shd w:val="clear" w:color="auto" w:fill="FFFFFF" w:themeFill="background1"/>
            <w:noWrap/>
            <w:vAlign w:val="center"/>
          </w:tcPr>
          <w:p w14:paraId="22D65D19" w14:textId="77777777" w:rsidR="004C19ED" w:rsidRPr="0042767B" w:rsidRDefault="004C19ED" w:rsidP="003E2CCD">
            <w:pPr>
              <w:jc w:val="right"/>
              <w:rPr>
                <w:rFonts w:eastAsia="Times New Roman" w:cs="Arial"/>
                <w:color w:val="000000"/>
                <w:szCs w:val="20"/>
                <w:lang w:eastAsia="pt-BR"/>
              </w:rPr>
            </w:pPr>
            <w:r>
              <w:rPr>
                <w:rFonts w:eastAsia="Times New Roman" w:cs="Arial"/>
                <w:color w:val="000000"/>
                <w:szCs w:val="20"/>
                <w:lang w:eastAsia="pt-BR"/>
              </w:rPr>
              <w:t>47,36</w:t>
            </w:r>
          </w:p>
        </w:tc>
      </w:tr>
      <w:tr w:rsidR="004C19ED" w:rsidRPr="0042767B" w14:paraId="477D8466" w14:textId="77777777" w:rsidTr="003E2CCD">
        <w:trPr>
          <w:trHeight w:val="255"/>
        </w:trPr>
        <w:tc>
          <w:tcPr>
            <w:tcW w:w="5624" w:type="dxa"/>
            <w:tcBorders>
              <w:top w:val="nil"/>
              <w:left w:val="nil"/>
              <w:bottom w:val="nil"/>
              <w:right w:val="nil"/>
            </w:tcBorders>
            <w:shd w:val="clear" w:color="auto" w:fill="D9D9D9" w:themeFill="background1" w:themeFillShade="D9"/>
            <w:noWrap/>
            <w:vAlign w:val="bottom"/>
            <w:hideMark/>
          </w:tcPr>
          <w:p w14:paraId="63303567" w14:textId="77777777" w:rsidR="004C19ED" w:rsidRPr="0042767B" w:rsidRDefault="004C19ED" w:rsidP="003E2CCD">
            <w:pPr>
              <w:jc w:val="left"/>
              <w:rPr>
                <w:rFonts w:eastAsia="Times New Roman" w:cs="Arial"/>
                <w:color w:val="000000"/>
                <w:szCs w:val="20"/>
                <w:lang w:eastAsia="pt-BR"/>
              </w:rPr>
            </w:pPr>
            <w:r>
              <w:rPr>
                <w:rFonts w:eastAsia="Times New Roman" w:cs="Arial"/>
                <w:color w:val="000000"/>
                <w:szCs w:val="20"/>
                <w:lang w:eastAsia="pt-BR"/>
              </w:rPr>
              <w:t>Equipamentos e Material Permanente (52)</w:t>
            </w:r>
          </w:p>
        </w:tc>
        <w:tc>
          <w:tcPr>
            <w:tcW w:w="2090" w:type="dxa"/>
            <w:tcBorders>
              <w:top w:val="nil"/>
              <w:left w:val="nil"/>
              <w:bottom w:val="nil"/>
              <w:right w:val="nil"/>
            </w:tcBorders>
            <w:shd w:val="clear" w:color="auto" w:fill="D9D9D9" w:themeFill="background1" w:themeFillShade="D9"/>
            <w:noWrap/>
            <w:vAlign w:val="bottom"/>
          </w:tcPr>
          <w:p w14:paraId="4B7D8BD5" w14:textId="77777777" w:rsidR="004C19ED" w:rsidRPr="0042767B" w:rsidRDefault="004C19ED" w:rsidP="003E2CCD">
            <w:pPr>
              <w:jc w:val="right"/>
              <w:rPr>
                <w:rFonts w:eastAsia="Times New Roman" w:cs="Arial"/>
                <w:color w:val="000000"/>
                <w:szCs w:val="20"/>
                <w:lang w:eastAsia="pt-BR"/>
              </w:rPr>
            </w:pPr>
            <w:r w:rsidRPr="00DB0A50">
              <w:rPr>
                <w:rFonts w:eastAsia="Times New Roman" w:cs="Arial"/>
                <w:color w:val="000000"/>
                <w:szCs w:val="20"/>
                <w:lang w:eastAsia="pt-BR"/>
              </w:rPr>
              <w:t>2</w:t>
            </w:r>
            <w:r>
              <w:rPr>
                <w:rFonts w:eastAsia="Times New Roman" w:cs="Arial"/>
                <w:color w:val="000000"/>
                <w:szCs w:val="20"/>
                <w:lang w:eastAsia="pt-BR"/>
              </w:rPr>
              <w:t>.</w:t>
            </w:r>
            <w:r w:rsidRPr="00DB0A50">
              <w:rPr>
                <w:rFonts w:eastAsia="Times New Roman" w:cs="Arial"/>
                <w:color w:val="000000"/>
                <w:szCs w:val="20"/>
                <w:lang w:eastAsia="pt-BR"/>
              </w:rPr>
              <w:t>039</w:t>
            </w:r>
            <w:r>
              <w:rPr>
                <w:rFonts w:eastAsia="Times New Roman" w:cs="Arial"/>
                <w:color w:val="000000"/>
                <w:szCs w:val="20"/>
                <w:lang w:eastAsia="pt-BR"/>
              </w:rPr>
              <w:t>.</w:t>
            </w:r>
            <w:r w:rsidRPr="00DB0A50">
              <w:rPr>
                <w:rFonts w:eastAsia="Times New Roman" w:cs="Arial"/>
                <w:color w:val="000000"/>
                <w:szCs w:val="20"/>
                <w:lang w:eastAsia="pt-BR"/>
              </w:rPr>
              <w:t>392,5</w:t>
            </w:r>
            <w:r>
              <w:rPr>
                <w:rFonts w:eastAsia="Times New Roman" w:cs="Arial"/>
                <w:color w:val="000000"/>
                <w:szCs w:val="20"/>
                <w:lang w:eastAsia="pt-BR"/>
              </w:rPr>
              <w:t>0</w:t>
            </w:r>
          </w:p>
        </w:tc>
        <w:tc>
          <w:tcPr>
            <w:tcW w:w="1271" w:type="dxa"/>
            <w:tcBorders>
              <w:top w:val="nil"/>
              <w:left w:val="nil"/>
              <w:bottom w:val="nil"/>
              <w:right w:val="nil"/>
            </w:tcBorders>
            <w:shd w:val="clear" w:color="auto" w:fill="D9D9D9" w:themeFill="background1" w:themeFillShade="D9"/>
            <w:noWrap/>
            <w:vAlign w:val="bottom"/>
          </w:tcPr>
          <w:p w14:paraId="2A6A34EF" w14:textId="77777777" w:rsidR="004C19ED" w:rsidRPr="0042767B" w:rsidRDefault="004C19ED" w:rsidP="003E2CCD">
            <w:pPr>
              <w:jc w:val="right"/>
              <w:rPr>
                <w:rFonts w:eastAsia="Times New Roman" w:cs="Arial"/>
                <w:color w:val="000000"/>
                <w:szCs w:val="20"/>
                <w:lang w:eastAsia="pt-BR"/>
              </w:rPr>
            </w:pPr>
            <w:r>
              <w:rPr>
                <w:rFonts w:eastAsia="Times New Roman" w:cs="Arial"/>
                <w:color w:val="000000"/>
                <w:szCs w:val="20"/>
                <w:lang w:eastAsia="pt-BR"/>
              </w:rPr>
              <w:t>52,64</w:t>
            </w:r>
          </w:p>
        </w:tc>
      </w:tr>
      <w:tr w:rsidR="004C19ED" w:rsidRPr="0042767B" w14:paraId="1068EBF0" w14:textId="77777777" w:rsidTr="003E2CCD">
        <w:trPr>
          <w:trHeight w:val="255"/>
        </w:trPr>
        <w:tc>
          <w:tcPr>
            <w:tcW w:w="5624" w:type="dxa"/>
            <w:tcBorders>
              <w:top w:val="nil"/>
              <w:left w:val="nil"/>
              <w:bottom w:val="nil"/>
              <w:right w:val="nil"/>
            </w:tcBorders>
            <w:shd w:val="clear" w:color="auto" w:fill="FFFFFF" w:themeFill="background1"/>
            <w:noWrap/>
            <w:vAlign w:val="bottom"/>
          </w:tcPr>
          <w:p w14:paraId="354D1326"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Obras e Instalações (51)</w:t>
            </w:r>
          </w:p>
        </w:tc>
        <w:tc>
          <w:tcPr>
            <w:tcW w:w="2090" w:type="dxa"/>
            <w:tcBorders>
              <w:top w:val="nil"/>
              <w:left w:val="nil"/>
              <w:bottom w:val="nil"/>
              <w:right w:val="nil"/>
            </w:tcBorders>
            <w:shd w:val="clear" w:color="auto" w:fill="FFFFFF" w:themeFill="background1"/>
            <w:noWrap/>
            <w:vAlign w:val="bottom"/>
          </w:tcPr>
          <w:p w14:paraId="68E46754"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c>
          <w:tcPr>
            <w:tcW w:w="1271" w:type="dxa"/>
            <w:tcBorders>
              <w:top w:val="nil"/>
              <w:left w:val="nil"/>
              <w:bottom w:val="nil"/>
              <w:right w:val="nil"/>
            </w:tcBorders>
            <w:shd w:val="clear" w:color="auto" w:fill="FFFFFF" w:themeFill="background1"/>
            <w:noWrap/>
            <w:vAlign w:val="bottom"/>
          </w:tcPr>
          <w:p w14:paraId="1D5CE925" w14:textId="77777777" w:rsidR="004C19ED" w:rsidRPr="0042767B"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r>
      <w:tr w:rsidR="004C19ED" w:rsidRPr="0042767B" w14:paraId="79C3F308" w14:textId="77777777" w:rsidTr="003E2CCD">
        <w:trPr>
          <w:trHeight w:val="255"/>
        </w:trPr>
        <w:tc>
          <w:tcPr>
            <w:tcW w:w="5624" w:type="dxa"/>
            <w:tcBorders>
              <w:top w:val="nil"/>
              <w:left w:val="nil"/>
              <w:bottom w:val="single" w:sz="4" w:space="0" w:color="000000"/>
              <w:right w:val="nil"/>
            </w:tcBorders>
            <w:shd w:val="clear" w:color="D9D9D9" w:fill="D9D9D9"/>
            <w:noWrap/>
            <w:vAlign w:val="bottom"/>
            <w:hideMark/>
          </w:tcPr>
          <w:p w14:paraId="24301235" w14:textId="77777777" w:rsidR="004C19ED" w:rsidRPr="0042767B" w:rsidRDefault="004C19ED" w:rsidP="003E2CCD">
            <w:pPr>
              <w:jc w:val="left"/>
              <w:rPr>
                <w:rFonts w:eastAsia="Times New Roman" w:cs="Arial"/>
                <w:b/>
                <w:bCs/>
                <w:color w:val="000000"/>
                <w:szCs w:val="20"/>
                <w:lang w:eastAsia="pt-BR"/>
              </w:rPr>
            </w:pPr>
            <w:r w:rsidRPr="0042767B">
              <w:rPr>
                <w:rFonts w:eastAsia="Times New Roman" w:cs="Arial"/>
                <w:b/>
                <w:bCs/>
                <w:color w:val="000000"/>
                <w:szCs w:val="20"/>
                <w:lang w:eastAsia="pt-BR"/>
              </w:rPr>
              <w:t>Total</w:t>
            </w:r>
          </w:p>
        </w:tc>
        <w:tc>
          <w:tcPr>
            <w:tcW w:w="2090" w:type="dxa"/>
            <w:tcBorders>
              <w:top w:val="nil"/>
              <w:left w:val="nil"/>
              <w:bottom w:val="single" w:sz="4" w:space="0" w:color="000000"/>
              <w:right w:val="nil"/>
            </w:tcBorders>
            <w:shd w:val="clear" w:color="D9D9D9" w:fill="D9D9D9"/>
            <w:noWrap/>
            <w:vAlign w:val="bottom"/>
          </w:tcPr>
          <w:p w14:paraId="633741AF" w14:textId="77777777" w:rsidR="004C19ED" w:rsidRPr="0042767B" w:rsidRDefault="004C19ED" w:rsidP="003E2CCD">
            <w:pPr>
              <w:jc w:val="right"/>
              <w:rPr>
                <w:rFonts w:eastAsia="Times New Roman" w:cs="Arial"/>
                <w:b/>
                <w:bCs/>
                <w:color w:val="000000"/>
                <w:szCs w:val="20"/>
                <w:lang w:eastAsia="pt-BR"/>
              </w:rPr>
            </w:pPr>
            <w:r w:rsidRPr="007007D6">
              <w:rPr>
                <w:rFonts w:eastAsia="Times New Roman" w:cs="Arial"/>
                <w:b/>
                <w:bCs/>
                <w:color w:val="000000"/>
                <w:szCs w:val="20"/>
                <w:lang w:eastAsia="pt-BR"/>
              </w:rPr>
              <w:t>4</w:t>
            </w:r>
            <w:r>
              <w:rPr>
                <w:rFonts w:eastAsia="Times New Roman" w:cs="Arial"/>
                <w:b/>
                <w:bCs/>
                <w:color w:val="000000"/>
                <w:szCs w:val="20"/>
                <w:lang w:eastAsia="pt-BR"/>
              </w:rPr>
              <w:t>.</w:t>
            </w:r>
            <w:r w:rsidRPr="007007D6">
              <w:rPr>
                <w:rFonts w:eastAsia="Times New Roman" w:cs="Arial"/>
                <w:b/>
                <w:bCs/>
                <w:color w:val="000000"/>
                <w:szCs w:val="20"/>
                <w:lang w:eastAsia="pt-BR"/>
              </w:rPr>
              <w:t>305</w:t>
            </w:r>
            <w:r>
              <w:rPr>
                <w:rFonts w:eastAsia="Times New Roman" w:cs="Arial"/>
                <w:b/>
                <w:bCs/>
                <w:color w:val="000000"/>
                <w:szCs w:val="20"/>
                <w:lang w:eastAsia="pt-BR"/>
              </w:rPr>
              <w:t>.</w:t>
            </w:r>
            <w:r w:rsidRPr="007007D6">
              <w:rPr>
                <w:rFonts w:eastAsia="Times New Roman" w:cs="Arial"/>
                <w:b/>
                <w:bCs/>
                <w:color w:val="000000"/>
                <w:szCs w:val="20"/>
                <w:lang w:eastAsia="pt-BR"/>
              </w:rPr>
              <w:t>720,14</w:t>
            </w:r>
          </w:p>
        </w:tc>
        <w:tc>
          <w:tcPr>
            <w:tcW w:w="1271" w:type="dxa"/>
            <w:tcBorders>
              <w:top w:val="nil"/>
              <w:left w:val="nil"/>
              <w:bottom w:val="single" w:sz="4" w:space="0" w:color="000000"/>
              <w:right w:val="nil"/>
            </w:tcBorders>
            <w:shd w:val="clear" w:color="D9D9D9" w:fill="D9D9D9"/>
            <w:noWrap/>
            <w:vAlign w:val="bottom"/>
            <w:hideMark/>
          </w:tcPr>
          <w:p w14:paraId="59DFCCE2" w14:textId="77777777" w:rsidR="004C19ED" w:rsidRPr="0042767B" w:rsidRDefault="004C19ED" w:rsidP="003E2CCD">
            <w:pPr>
              <w:jc w:val="right"/>
              <w:rPr>
                <w:rFonts w:eastAsia="Times New Roman" w:cs="Arial"/>
                <w:b/>
                <w:bCs/>
                <w:color w:val="000000"/>
                <w:szCs w:val="20"/>
                <w:lang w:eastAsia="pt-BR"/>
              </w:rPr>
            </w:pPr>
            <w:r w:rsidRPr="0042767B">
              <w:rPr>
                <w:rFonts w:eastAsia="Times New Roman" w:cs="Arial"/>
                <w:b/>
                <w:bCs/>
                <w:color w:val="000000"/>
                <w:szCs w:val="20"/>
                <w:lang w:eastAsia="pt-BR"/>
              </w:rPr>
              <w:t>100,00</w:t>
            </w:r>
          </w:p>
        </w:tc>
      </w:tr>
    </w:tbl>
    <w:p w14:paraId="6D4F808D" w14:textId="77777777" w:rsidR="004C19ED" w:rsidRDefault="004C19ED" w:rsidP="004C19ED">
      <w:pPr>
        <w:rPr>
          <w:rFonts w:cs="Arial"/>
          <w:i/>
          <w:szCs w:val="20"/>
        </w:rPr>
      </w:pPr>
      <w:r w:rsidRPr="005857A3">
        <w:rPr>
          <w:rFonts w:cs="Arial"/>
          <w:i/>
          <w:szCs w:val="20"/>
        </w:rPr>
        <w:t xml:space="preserve">Fonte: </w:t>
      </w:r>
      <w:r>
        <w:rPr>
          <w:rFonts w:cs="Arial"/>
          <w:i/>
          <w:szCs w:val="20"/>
        </w:rPr>
        <w:t>Tesouro Gerencial</w:t>
      </w:r>
      <w:r w:rsidRPr="005857A3">
        <w:rPr>
          <w:rFonts w:cs="Arial"/>
          <w:i/>
          <w:szCs w:val="20"/>
        </w:rPr>
        <w:t>, 20</w:t>
      </w:r>
      <w:r>
        <w:rPr>
          <w:rFonts w:cs="Arial"/>
          <w:i/>
          <w:szCs w:val="20"/>
        </w:rPr>
        <w:t>21</w:t>
      </w:r>
      <w:r w:rsidRPr="005857A3">
        <w:rPr>
          <w:rFonts w:cs="Arial"/>
          <w:i/>
          <w:szCs w:val="20"/>
        </w:rPr>
        <w:t>.</w:t>
      </w:r>
    </w:p>
    <w:p w14:paraId="6DFC8335" w14:textId="0F20B959" w:rsidR="004C19ED" w:rsidRDefault="004C19ED" w:rsidP="004C19ED">
      <w:pPr>
        <w:rPr>
          <w:rFonts w:cs="Arial"/>
          <w:sz w:val="22"/>
        </w:rPr>
      </w:pPr>
    </w:p>
    <w:p w14:paraId="75735762" w14:textId="67848EBB" w:rsidR="004C19ED" w:rsidRDefault="004C19ED">
      <w:pPr>
        <w:spacing w:after="160" w:line="259" w:lineRule="auto"/>
        <w:jc w:val="left"/>
        <w:rPr>
          <w:rFonts w:cs="Arial"/>
          <w:sz w:val="22"/>
        </w:rPr>
      </w:pPr>
      <w:r>
        <w:rPr>
          <w:rFonts w:cs="Arial"/>
          <w:sz w:val="22"/>
        </w:rPr>
        <w:br w:type="page"/>
      </w:r>
    </w:p>
    <w:p w14:paraId="63647E76" w14:textId="21546F9A" w:rsidR="004C19ED" w:rsidRDefault="004C19ED" w:rsidP="004C19ED">
      <w:pPr>
        <w:rPr>
          <w:rFonts w:cs="Arial"/>
          <w:sz w:val="22"/>
        </w:rPr>
      </w:pPr>
    </w:p>
    <w:p w14:paraId="1BEC8FFE" w14:textId="77777777" w:rsidR="004C19ED" w:rsidRDefault="004C19ED" w:rsidP="004C19ED">
      <w:pPr>
        <w:rPr>
          <w:rFonts w:cs="Arial"/>
          <w:b/>
          <w:sz w:val="22"/>
        </w:rPr>
      </w:pPr>
    </w:p>
    <w:p w14:paraId="5D5CB626" w14:textId="77777777" w:rsidR="004C19ED" w:rsidRPr="00C0371B" w:rsidRDefault="004C19ED" w:rsidP="004C19ED">
      <w:pPr>
        <w:rPr>
          <w:rFonts w:cs="Arial"/>
          <w:b/>
          <w:sz w:val="22"/>
        </w:rPr>
      </w:pPr>
      <w:r w:rsidRPr="00C0371B">
        <w:rPr>
          <w:rFonts w:cs="Arial"/>
          <w:b/>
          <w:sz w:val="22"/>
        </w:rPr>
        <w:t>Nota 0</w:t>
      </w:r>
      <w:r>
        <w:rPr>
          <w:rFonts w:cs="Arial"/>
          <w:b/>
          <w:sz w:val="22"/>
        </w:rPr>
        <w:t>0</w:t>
      </w:r>
      <w:r w:rsidRPr="00C0371B">
        <w:rPr>
          <w:rFonts w:cs="Arial"/>
          <w:b/>
          <w:sz w:val="22"/>
        </w:rPr>
        <w:t xml:space="preserve"> – </w:t>
      </w:r>
      <w:r>
        <w:rPr>
          <w:rFonts w:cs="Arial"/>
          <w:b/>
          <w:sz w:val="22"/>
        </w:rPr>
        <w:t>Resultado Patrimonial</w:t>
      </w:r>
    </w:p>
    <w:p w14:paraId="48C4B675" w14:textId="77777777" w:rsidR="004C19ED" w:rsidRPr="00C0371B" w:rsidRDefault="004C19ED" w:rsidP="004C19ED">
      <w:pPr>
        <w:rPr>
          <w:rFonts w:cs="Arial"/>
          <w:sz w:val="22"/>
        </w:rPr>
      </w:pPr>
    </w:p>
    <w:p w14:paraId="3D987A80" w14:textId="77777777" w:rsidR="004C19ED" w:rsidRDefault="004C19ED" w:rsidP="004C19ED">
      <w:pPr>
        <w:rPr>
          <w:rFonts w:cs="Arial"/>
          <w:sz w:val="22"/>
        </w:rPr>
      </w:pPr>
      <w:r>
        <w:rPr>
          <w:rFonts w:cs="Arial"/>
          <w:sz w:val="22"/>
        </w:rPr>
        <w:t xml:space="preserve">A apuração do resultado patrimonial implica na confrontação das variações patrimoniais aumentativas (VPA) e das variações patrimoniais diminutivas (VPD) e se dá pelo encerramento das contas de VPA e VPD, apresentado na Demonstração das Variações Patrimoniais (DVP). Após a apuração, o resultado é transferido para conta de Superávit/Déficit do Exercício.  </w:t>
      </w:r>
    </w:p>
    <w:p w14:paraId="1DA04BBB" w14:textId="77777777" w:rsidR="004C19ED" w:rsidRDefault="004C19ED" w:rsidP="004C19ED">
      <w:pPr>
        <w:rPr>
          <w:rFonts w:cs="Arial"/>
          <w:sz w:val="22"/>
        </w:rPr>
      </w:pPr>
    </w:p>
    <w:p w14:paraId="2986067F" w14:textId="77777777" w:rsidR="004C19ED" w:rsidRDefault="004C19ED" w:rsidP="004C19ED">
      <w:pPr>
        <w:rPr>
          <w:rFonts w:cs="Arial"/>
          <w:sz w:val="22"/>
        </w:rPr>
      </w:pPr>
      <w:r>
        <w:rPr>
          <w:rFonts w:cs="Arial"/>
          <w:sz w:val="22"/>
        </w:rPr>
        <w:t>O Resultado Patrimonial apurado em 2021 foi superavitário em pouco mais de R$ 367,1 milhões e está demonstrado na tabela abaixo:</w:t>
      </w:r>
    </w:p>
    <w:p w14:paraId="15B40D82" w14:textId="77777777" w:rsidR="004C19ED" w:rsidRDefault="004C19ED" w:rsidP="004C19ED">
      <w:pPr>
        <w:rPr>
          <w:rFonts w:cs="Arial"/>
          <w:sz w:val="22"/>
        </w:rPr>
      </w:pPr>
    </w:p>
    <w:p w14:paraId="3776DFC3" w14:textId="77777777" w:rsidR="004C19ED" w:rsidRDefault="004C19ED" w:rsidP="004C19ED">
      <w:pPr>
        <w:rPr>
          <w:rFonts w:cs="Arial"/>
          <w:b/>
          <w:sz w:val="22"/>
        </w:rPr>
      </w:pPr>
      <w:r w:rsidRPr="00C0371B">
        <w:rPr>
          <w:rFonts w:cs="Arial"/>
          <w:b/>
          <w:sz w:val="22"/>
        </w:rPr>
        <w:t xml:space="preserve">Tabela – </w:t>
      </w:r>
      <w:r>
        <w:rPr>
          <w:rFonts w:cs="Arial"/>
          <w:b/>
          <w:sz w:val="22"/>
        </w:rPr>
        <w:t>Variações Patrimoniais Aumentativas x Variações Patrimoniais Diminutivas.</w:t>
      </w:r>
    </w:p>
    <w:p w14:paraId="667303C5" w14:textId="77777777" w:rsidR="004C19ED" w:rsidRPr="006A1E1A" w:rsidRDefault="004C19ED" w:rsidP="004C19ED">
      <w:pPr>
        <w:ind w:left="7788" w:firstLine="708"/>
        <w:jc w:val="center"/>
        <w:rPr>
          <w:rFonts w:cs="Arial"/>
          <w:sz w:val="22"/>
        </w:rPr>
      </w:pPr>
      <w:r>
        <w:rPr>
          <w:rFonts w:cs="Arial"/>
          <w:sz w:val="22"/>
        </w:rPr>
        <w:t xml:space="preserve">  </w:t>
      </w:r>
      <w:r w:rsidRPr="006A1E1A">
        <w:rPr>
          <w:rFonts w:cs="Arial"/>
          <w:sz w:val="22"/>
        </w:rPr>
        <w:t>R$</w:t>
      </w:r>
    </w:p>
    <w:tbl>
      <w:tblPr>
        <w:tblW w:w="9206" w:type="dxa"/>
        <w:tblCellMar>
          <w:left w:w="70" w:type="dxa"/>
          <w:right w:w="70" w:type="dxa"/>
        </w:tblCellMar>
        <w:tblLook w:val="04A0" w:firstRow="1" w:lastRow="0" w:firstColumn="1" w:lastColumn="0" w:noHBand="0" w:noVBand="1"/>
      </w:tblPr>
      <w:tblGrid>
        <w:gridCol w:w="1166"/>
        <w:gridCol w:w="2662"/>
        <w:gridCol w:w="1920"/>
        <w:gridCol w:w="2079"/>
        <w:gridCol w:w="1379"/>
      </w:tblGrid>
      <w:tr w:rsidR="004C19ED" w:rsidRPr="003F63FC" w14:paraId="31B42153" w14:textId="77777777" w:rsidTr="003E2CCD">
        <w:trPr>
          <w:trHeight w:val="302"/>
        </w:trPr>
        <w:tc>
          <w:tcPr>
            <w:tcW w:w="1166" w:type="dxa"/>
            <w:tcBorders>
              <w:top w:val="single" w:sz="8" w:space="0" w:color="000000"/>
              <w:left w:val="nil"/>
              <w:bottom w:val="single" w:sz="8" w:space="0" w:color="000000"/>
              <w:right w:val="nil"/>
            </w:tcBorders>
            <w:shd w:val="clear" w:color="auto" w:fill="auto"/>
            <w:vAlign w:val="center"/>
            <w:hideMark/>
          </w:tcPr>
          <w:p w14:paraId="656484CA" w14:textId="77777777" w:rsidR="004C19ED" w:rsidRPr="003F63FC" w:rsidRDefault="004C19ED" w:rsidP="003E2CCD">
            <w:pPr>
              <w:jc w:val="center"/>
              <w:rPr>
                <w:rFonts w:eastAsia="Times New Roman" w:cs="Arial"/>
                <w:b/>
                <w:bCs/>
                <w:color w:val="FFFFFF"/>
                <w:szCs w:val="20"/>
                <w:lang w:eastAsia="pt-BR"/>
              </w:rPr>
            </w:pPr>
            <w:r w:rsidRPr="003F63FC">
              <w:rPr>
                <w:rFonts w:eastAsia="Times New Roman" w:cs="Arial"/>
                <w:b/>
                <w:bCs/>
                <w:color w:val="FFFFFF"/>
                <w:szCs w:val="20"/>
                <w:lang w:eastAsia="pt-BR"/>
              </w:rPr>
              <w:t>Colunas1</w:t>
            </w:r>
          </w:p>
        </w:tc>
        <w:tc>
          <w:tcPr>
            <w:tcW w:w="2662" w:type="dxa"/>
            <w:tcBorders>
              <w:top w:val="single" w:sz="8" w:space="0" w:color="000000"/>
              <w:left w:val="nil"/>
              <w:bottom w:val="single" w:sz="8" w:space="0" w:color="000000"/>
              <w:right w:val="nil"/>
            </w:tcBorders>
            <w:shd w:val="clear" w:color="auto" w:fill="auto"/>
            <w:vAlign w:val="center"/>
            <w:hideMark/>
          </w:tcPr>
          <w:p w14:paraId="5C472C9F" w14:textId="77777777" w:rsidR="004C19ED" w:rsidRPr="003F63FC" w:rsidRDefault="004C19ED" w:rsidP="003E2CCD">
            <w:pPr>
              <w:jc w:val="center"/>
              <w:rPr>
                <w:rFonts w:eastAsia="Times New Roman" w:cs="Arial"/>
                <w:b/>
                <w:bCs/>
                <w:color w:val="FFFFFF"/>
                <w:szCs w:val="20"/>
                <w:lang w:eastAsia="pt-BR"/>
              </w:rPr>
            </w:pPr>
            <w:r w:rsidRPr="003F63FC">
              <w:rPr>
                <w:rFonts w:eastAsia="Times New Roman" w:cs="Arial"/>
                <w:b/>
                <w:bCs/>
                <w:color w:val="FFFFFF"/>
                <w:szCs w:val="20"/>
                <w:lang w:eastAsia="pt-BR"/>
              </w:rPr>
              <w:t>Colunas2</w:t>
            </w:r>
          </w:p>
        </w:tc>
        <w:tc>
          <w:tcPr>
            <w:tcW w:w="1920" w:type="dxa"/>
            <w:tcBorders>
              <w:top w:val="single" w:sz="8" w:space="0" w:color="000000"/>
              <w:left w:val="nil"/>
              <w:bottom w:val="single" w:sz="8" w:space="0" w:color="000000"/>
              <w:right w:val="nil"/>
            </w:tcBorders>
            <w:shd w:val="clear" w:color="auto" w:fill="auto"/>
            <w:vAlign w:val="center"/>
            <w:hideMark/>
          </w:tcPr>
          <w:p w14:paraId="3187B78A" w14:textId="77777777" w:rsidR="004C19ED" w:rsidRPr="003F63FC" w:rsidRDefault="004C19ED" w:rsidP="003E2CCD">
            <w:pPr>
              <w:jc w:val="right"/>
              <w:rPr>
                <w:rFonts w:eastAsia="Times New Roman" w:cs="Arial"/>
                <w:b/>
                <w:bCs/>
                <w:color w:val="000000"/>
                <w:szCs w:val="20"/>
                <w:lang w:eastAsia="pt-BR"/>
              </w:rPr>
            </w:pPr>
            <w:r w:rsidRPr="003F63FC">
              <w:rPr>
                <w:rFonts w:eastAsia="Times New Roman" w:cs="Arial"/>
                <w:b/>
                <w:bCs/>
                <w:color w:val="000000"/>
                <w:szCs w:val="20"/>
                <w:lang w:eastAsia="pt-BR"/>
              </w:rPr>
              <w:t>3</w:t>
            </w:r>
            <w:r>
              <w:rPr>
                <w:rFonts w:eastAsia="Times New Roman" w:cs="Arial"/>
                <w:b/>
                <w:bCs/>
                <w:color w:val="000000"/>
                <w:szCs w:val="20"/>
                <w:lang w:eastAsia="pt-BR"/>
              </w:rPr>
              <w:t>1</w:t>
            </w:r>
            <w:r w:rsidRPr="003F63FC">
              <w:rPr>
                <w:rFonts w:eastAsia="Times New Roman" w:cs="Arial"/>
                <w:b/>
                <w:bCs/>
                <w:color w:val="000000"/>
                <w:szCs w:val="20"/>
                <w:lang w:eastAsia="pt-BR"/>
              </w:rPr>
              <w:t>/</w:t>
            </w:r>
            <w:r>
              <w:rPr>
                <w:rFonts w:eastAsia="Times New Roman" w:cs="Arial"/>
                <w:b/>
                <w:bCs/>
                <w:color w:val="000000"/>
                <w:szCs w:val="20"/>
                <w:lang w:eastAsia="pt-BR"/>
              </w:rPr>
              <w:t>12</w:t>
            </w:r>
            <w:r w:rsidRPr="003F63FC">
              <w:rPr>
                <w:rFonts w:eastAsia="Times New Roman" w:cs="Arial"/>
                <w:b/>
                <w:bCs/>
                <w:color w:val="000000"/>
                <w:szCs w:val="20"/>
                <w:lang w:eastAsia="pt-BR"/>
              </w:rPr>
              <w:t>/20</w:t>
            </w:r>
            <w:r>
              <w:rPr>
                <w:rFonts w:eastAsia="Times New Roman" w:cs="Arial"/>
                <w:b/>
                <w:bCs/>
                <w:color w:val="000000"/>
                <w:szCs w:val="20"/>
                <w:lang w:eastAsia="pt-BR"/>
              </w:rPr>
              <w:t>21</w:t>
            </w:r>
          </w:p>
        </w:tc>
        <w:tc>
          <w:tcPr>
            <w:tcW w:w="2079" w:type="dxa"/>
            <w:tcBorders>
              <w:top w:val="single" w:sz="8" w:space="0" w:color="000000"/>
              <w:left w:val="nil"/>
              <w:bottom w:val="single" w:sz="8" w:space="0" w:color="000000"/>
              <w:right w:val="nil"/>
            </w:tcBorders>
            <w:shd w:val="clear" w:color="auto" w:fill="auto"/>
            <w:vAlign w:val="center"/>
            <w:hideMark/>
          </w:tcPr>
          <w:p w14:paraId="3E98F290" w14:textId="77777777" w:rsidR="004C19ED" w:rsidRPr="003F63FC" w:rsidRDefault="004C19ED" w:rsidP="003E2CCD">
            <w:pPr>
              <w:jc w:val="right"/>
              <w:rPr>
                <w:rFonts w:eastAsia="Times New Roman" w:cs="Arial"/>
                <w:b/>
                <w:bCs/>
                <w:color w:val="000000"/>
                <w:szCs w:val="20"/>
                <w:lang w:eastAsia="pt-BR"/>
              </w:rPr>
            </w:pPr>
            <w:r w:rsidRPr="003F63FC">
              <w:rPr>
                <w:rFonts w:eastAsia="Times New Roman" w:cs="Arial"/>
                <w:b/>
                <w:bCs/>
                <w:color w:val="000000"/>
                <w:szCs w:val="20"/>
                <w:lang w:eastAsia="pt-BR"/>
              </w:rPr>
              <w:t>3</w:t>
            </w:r>
            <w:r>
              <w:rPr>
                <w:rFonts w:eastAsia="Times New Roman" w:cs="Arial"/>
                <w:b/>
                <w:bCs/>
                <w:color w:val="000000"/>
                <w:szCs w:val="20"/>
                <w:lang w:eastAsia="pt-BR"/>
              </w:rPr>
              <w:t>1</w:t>
            </w:r>
            <w:r w:rsidRPr="003F63FC">
              <w:rPr>
                <w:rFonts w:eastAsia="Times New Roman" w:cs="Arial"/>
                <w:b/>
                <w:bCs/>
                <w:color w:val="000000"/>
                <w:szCs w:val="20"/>
                <w:lang w:eastAsia="pt-BR"/>
              </w:rPr>
              <w:t>/</w:t>
            </w:r>
            <w:r>
              <w:rPr>
                <w:rFonts w:eastAsia="Times New Roman" w:cs="Arial"/>
                <w:b/>
                <w:bCs/>
                <w:color w:val="000000"/>
                <w:szCs w:val="20"/>
                <w:lang w:eastAsia="pt-BR"/>
              </w:rPr>
              <w:t>12</w:t>
            </w:r>
            <w:r w:rsidRPr="003F63FC">
              <w:rPr>
                <w:rFonts w:eastAsia="Times New Roman" w:cs="Arial"/>
                <w:b/>
                <w:bCs/>
                <w:color w:val="000000"/>
                <w:szCs w:val="20"/>
                <w:lang w:eastAsia="pt-BR"/>
              </w:rPr>
              <w:t>/20</w:t>
            </w:r>
            <w:r>
              <w:rPr>
                <w:rFonts w:eastAsia="Times New Roman" w:cs="Arial"/>
                <w:b/>
                <w:bCs/>
                <w:color w:val="000000"/>
                <w:szCs w:val="20"/>
                <w:lang w:eastAsia="pt-BR"/>
              </w:rPr>
              <w:t>20</w:t>
            </w:r>
          </w:p>
        </w:tc>
        <w:tc>
          <w:tcPr>
            <w:tcW w:w="1379" w:type="dxa"/>
            <w:tcBorders>
              <w:top w:val="single" w:sz="8" w:space="0" w:color="000000"/>
              <w:left w:val="nil"/>
              <w:bottom w:val="single" w:sz="8" w:space="0" w:color="000000"/>
              <w:right w:val="nil"/>
            </w:tcBorders>
            <w:shd w:val="clear" w:color="auto" w:fill="auto"/>
            <w:vAlign w:val="center"/>
            <w:hideMark/>
          </w:tcPr>
          <w:p w14:paraId="0C9E5874" w14:textId="77777777" w:rsidR="004C19ED" w:rsidRPr="003F63FC" w:rsidRDefault="004C19ED" w:rsidP="003E2CCD">
            <w:pPr>
              <w:jc w:val="right"/>
              <w:rPr>
                <w:rFonts w:eastAsia="Times New Roman" w:cs="Arial"/>
                <w:b/>
                <w:bCs/>
                <w:color w:val="000000"/>
                <w:szCs w:val="20"/>
                <w:lang w:eastAsia="pt-BR"/>
              </w:rPr>
            </w:pPr>
            <w:r w:rsidRPr="003F63FC">
              <w:rPr>
                <w:rFonts w:eastAsia="Times New Roman" w:cs="Arial"/>
                <w:b/>
                <w:bCs/>
                <w:color w:val="000000"/>
                <w:szCs w:val="20"/>
                <w:lang w:eastAsia="pt-BR"/>
              </w:rPr>
              <w:t>AH (%)</w:t>
            </w:r>
          </w:p>
        </w:tc>
      </w:tr>
      <w:tr w:rsidR="004C19ED" w:rsidRPr="003F63FC" w14:paraId="5B7F54D2" w14:textId="77777777" w:rsidTr="003E2CCD">
        <w:trPr>
          <w:trHeight w:val="285"/>
        </w:trPr>
        <w:tc>
          <w:tcPr>
            <w:tcW w:w="3828" w:type="dxa"/>
            <w:gridSpan w:val="2"/>
            <w:tcBorders>
              <w:top w:val="single" w:sz="8" w:space="0" w:color="000000"/>
              <w:left w:val="nil"/>
              <w:bottom w:val="nil"/>
              <w:right w:val="nil"/>
            </w:tcBorders>
            <w:shd w:val="clear" w:color="000000" w:fill="D9D9D9"/>
            <w:noWrap/>
            <w:vAlign w:val="center"/>
            <w:hideMark/>
          </w:tcPr>
          <w:p w14:paraId="666F360E" w14:textId="77777777" w:rsidR="004C19ED" w:rsidRPr="003F63FC" w:rsidRDefault="004C19ED" w:rsidP="003E2CCD">
            <w:pPr>
              <w:jc w:val="left"/>
              <w:rPr>
                <w:rFonts w:eastAsia="Times New Roman" w:cs="Arial"/>
                <w:color w:val="000000"/>
                <w:szCs w:val="20"/>
                <w:lang w:eastAsia="pt-BR"/>
              </w:rPr>
            </w:pPr>
            <w:r w:rsidRPr="003F63FC">
              <w:rPr>
                <w:rFonts w:eastAsia="Times New Roman" w:cs="Arial"/>
                <w:color w:val="000000"/>
                <w:szCs w:val="20"/>
                <w:lang w:eastAsia="pt-BR"/>
              </w:rPr>
              <w:t>Variações Patrimoniais Aumentativas (I)</w:t>
            </w:r>
          </w:p>
        </w:tc>
        <w:tc>
          <w:tcPr>
            <w:tcW w:w="1920" w:type="dxa"/>
            <w:tcBorders>
              <w:top w:val="single" w:sz="8" w:space="0" w:color="000000"/>
              <w:left w:val="single" w:sz="4" w:space="0" w:color="C0C0C0"/>
              <w:bottom w:val="nil"/>
              <w:right w:val="nil"/>
            </w:tcBorders>
            <w:shd w:val="clear" w:color="D9D9D9" w:fill="D9D9D9"/>
            <w:noWrap/>
            <w:vAlign w:val="center"/>
          </w:tcPr>
          <w:p w14:paraId="5379AD2C" w14:textId="77777777" w:rsidR="004C19ED" w:rsidRPr="003F63FC" w:rsidRDefault="004C19ED" w:rsidP="003E2CCD">
            <w:pPr>
              <w:jc w:val="right"/>
              <w:rPr>
                <w:rFonts w:eastAsia="Times New Roman" w:cs="Arial"/>
                <w:color w:val="000000"/>
                <w:szCs w:val="20"/>
                <w:lang w:eastAsia="pt-BR"/>
              </w:rPr>
            </w:pPr>
            <w:r w:rsidRPr="00F254D5">
              <w:rPr>
                <w:rFonts w:eastAsia="Times New Roman" w:cs="Arial"/>
                <w:color w:val="000000"/>
                <w:szCs w:val="20"/>
                <w:lang w:eastAsia="pt-BR"/>
              </w:rPr>
              <w:t>92</w:t>
            </w:r>
            <w:r>
              <w:rPr>
                <w:rFonts w:eastAsia="Times New Roman" w:cs="Arial"/>
                <w:color w:val="000000"/>
                <w:szCs w:val="20"/>
                <w:lang w:eastAsia="pt-BR"/>
              </w:rPr>
              <w:t>.</w:t>
            </w:r>
            <w:r w:rsidRPr="00F254D5">
              <w:rPr>
                <w:rFonts w:eastAsia="Times New Roman" w:cs="Arial"/>
                <w:color w:val="000000"/>
                <w:szCs w:val="20"/>
                <w:lang w:eastAsia="pt-BR"/>
              </w:rPr>
              <w:t>530</w:t>
            </w:r>
            <w:r>
              <w:rPr>
                <w:rFonts w:eastAsia="Times New Roman" w:cs="Arial"/>
                <w:color w:val="000000"/>
                <w:szCs w:val="20"/>
                <w:lang w:eastAsia="pt-BR"/>
              </w:rPr>
              <w:t>.</w:t>
            </w:r>
            <w:r w:rsidRPr="00F254D5">
              <w:rPr>
                <w:rFonts w:eastAsia="Times New Roman" w:cs="Arial"/>
                <w:color w:val="000000"/>
                <w:szCs w:val="20"/>
                <w:lang w:eastAsia="pt-BR"/>
              </w:rPr>
              <w:t>918</w:t>
            </w:r>
            <w:r>
              <w:rPr>
                <w:rFonts w:eastAsia="Times New Roman" w:cs="Arial"/>
                <w:color w:val="000000"/>
                <w:szCs w:val="20"/>
                <w:lang w:eastAsia="pt-BR"/>
              </w:rPr>
              <w:t>.</w:t>
            </w:r>
            <w:r w:rsidRPr="00F254D5">
              <w:rPr>
                <w:rFonts w:eastAsia="Times New Roman" w:cs="Arial"/>
                <w:color w:val="000000"/>
                <w:szCs w:val="20"/>
                <w:lang w:eastAsia="pt-BR"/>
              </w:rPr>
              <w:t>080,39</w:t>
            </w:r>
          </w:p>
        </w:tc>
        <w:tc>
          <w:tcPr>
            <w:tcW w:w="2079" w:type="dxa"/>
            <w:tcBorders>
              <w:top w:val="single" w:sz="8" w:space="0" w:color="000000"/>
              <w:left w:val="nil"/>
              <w:bottom w:val="nil"/>
              <w:right w:val="nil"/>
            </w:tcBorders>
            <w:shd w:val="clear" w:color="D9D9D9" w:fill="D9D9D9"/>
            <w:noWrap/>
            <w:vAlign w:val="center"/>
            <w:hideMark/>
          </w:tcPr>
          <w:p w14:paraId="7DF55503" w14:textId="77777777" w:rsidR="004C19ED" w:rsidRPr="003F63FC" w:rsidRDefault="004C19ED" w:rsidP="003E2CCD">
            <w:pPr>
              <w:jc w:val="right"/>
              <w:rPr>
                <w:rFonts w:eastAsia="Times New Roman" w:cs="Arial"/>
                <w:color w:val="000000"/>
                <w:szCs w:val="20"/>
                <w:lang w:eastAsia="pt-BR"/>
              </w:rPr>
            </w:pPr>
            <w:r w:rsidRPr="009305C5">
              <w:rPr>
                <w:rFonts w:eastAsia="Times New Roman" w:cs="Arial"/>
                <w:color w:val="000000"/>
                <w:szCs w:val="20"/>
                <w:lang w:eastAsia="pt-BR"/>
              </w:rPr>
              <w:t>56.444.592.459,00</w:t>
            </w:r>
          </w:p>
        </w:tc>
        <w:tc>
          <w:tcPr>
            <w:tcW w:w="1379" w:type="dxa"/>
            <w:tcBorders>
              <w:top w:val="nil"/>
              <w:left w:val="nil"/>
              <w:bottom w:val="nil"/>
              <w:right w:val="nil"/>
            </w:tcBorders>
            <w:shd w:val="clear" w:color="000000" w:fill="D9D9D9"/>
            <w:noWrap/>
            <w:vAlign w:val="center"/>
            <w:hideMark/>
          </w:tcPr>
          <w:p w14:paraId="47CB40BC" w14:textId="77777777" w:rsidR="004C19ED" w:rsidRPr="003F63FC" w:rsidRDefault="004C19ED" w:rsidP="003E2CCD">
            <w:pPr>
              <w:jc w:val="right"/>
              <w:rPr>
                <w:rFonts w:eastAsia="Times New Roman" w:cs="Arial"/>
                <w:color w:val="000000"/>
                <w:szCs w:val="20"/>
                <w:lang w:eastAsia="pt-BR"/>
              </w:rPr>
            </w:pPr>
            <w:r>
              <w:rPr>
                <w:rFonts w:eastAsia="Times New Roman" w:cs="Arial"/>
                <w:color w:val="000000"/>
                <w:szCs w:val="20"/>
                <w:lang w:eastAsia="pt-BR"/>
              </w:rPr>
              <w:t>63,93</w:t>
            </w:r>
          </w:p>
        </w:tc>
      </w:tr>
      <w:tr w:rsidR="004C19ED" w:rsidRPr="003F63FC" w14:paraId="06C6D113" w14:textId="77777777" w:rsidTr="003E2CCD">
        <w:trPr>
          <w:trHeight w:val="285"/>
        </w:trPr>
        <w:tc>
          <w:tcPr>
            <w:tcW w:w="3828" w:type="dxa"/>
            <w:gridSpan w:val="2"/>
            <w:tcBorders>
              <w:top w:val="nil"/>
              <w:left w:val="nil"/>
              <w:bottom w:val="nil"/>
              <w:right w:val="nil"/>
            </w:tcBorders>
            <w:shd w:val="clear" w:color="auto" w:fill="auto"/>
            <w:noWrap/>
            <w:vAlign w:val="center"/>
            <w:hideMark/>
          </w:tcPr>
          <w:p w14:paraId="3EE5E50A" w14:textId="77777777" w:rsidR="004C19ED" w:rsidRPr="003F63FC" w:rsidRDefault="004C19ED" w:rsidP="003E2CCD">
            <w:pPr>
              <w:jc w:val="left"/>
              <w:rPr>
                <w:rFonts w:eastAsia="Times New Roman" w:cs="Arial"/>
                <w:color w:val="000000"/>
                <w:szCs w:val="20"/>
                <w:lang w:eastAsia="pt-BR"/>
              </w:rPr>
            </w:pPr>
            <w:r w:rsidRPr="003F63FC">
              <w:rPr>
                <w:rFonts w:eastAsia="Times New Roman" w:cs="Arial"/>
                <w:color w:val="000000"/>
                <w:szCs w:val="20"/>
                <w:lang w:eastAsia="pt-BR"/>
              </w:rPr>
              <w:t>Variações Patrimoniais Diminutivas (II)</w:t>
            </w:r>
          </w:p>
        </w:tc>
        <w:tc>
          <w:tcPr>
            <w:tcW w:w="1920" w:type="dxa"/>
            <w:tcBorders>
              <w:top w:val="nil"/>
              <w:left w:val="nil"/>
              <w:bottom w:val="nil"/>
              <w:right w:val="nil"/>
            </w:tcBorders>
            <w:shd w:val="clear" w:color="auto" w:fill="auto"/>
            <w:noWrap/>
            <w:vAlign w:val="center"/>
          </w:tcPr>
          <w:p w14:paraId="149087ED" w14:textId="77777777" w:rsidR="004C19ED" w:rsidRPr="009305C5" w:rsidRDefault="004C19ED" w:rsidP="003E2CCD">
            <w:pPr>
              <w:jc w:val="right"/>
              <w:rPr>
                <w:rFonts w:eastAsia="Times New Roman" w:cs="Arial"/>
                <w:color w:val="FF0000"/>
                <w:szCs w:val="20"/>
                <w:lang w:eastAsia="pt-BR"/>
              </w:rPr>
            </w:pPr>
            <w:r>
              <w:rPr>
                <w:rFonts w:eastAsia="Times New Roman" w:cs="Arial"/>
                <w:color w:val="FF0000"/>
                <w:szCs w:val="20"/>
                <w:lang w:eastAsia="pt-BR"/>
              </w:rPr>
              <w:t>-</w:t>
            </w:r>
            <w:r w:rsidRPr="00F254D5">
              <w:rPr>
                <w:rFonts w:eastAsia="Times New Roman" w:cs="Arial"/>
                <w:color w:val="FF0000"/>
                <w:szCs w:val="20"/>
                <w:lang w:eastAsia="pt-BR"/>
              </w:rPr>
              <w:t>92</w:t>
            </w:r>
            <w:r>
              <w:rPr>
                <w:rFonts w:eastAsia="Times New Roman" w:cs="Arial"/>
                <w:color w:val="FF0000"/>
                <w:szCs w:val="20"/>
                <w:lang w:eastAsia="pt-BR"/>
              </w:rPr>
              <w:t>.</w:t>
            </w:r>
            <w:r w:rsidRPr="00F254D5">
              <w:rPr>
                <w:rFonts w:eastAsia="Times New Roman" w:cs="Arial"/>
                <w:color w:val="FF0000"/>
                <w:szCs w:val="20"/>
                <w:lang w:eastAsia="pt-BR"/>
              </w:rPr>
              <w:t>163</w:t>
            </w:r>
            <w:r>
              <w:rPr>
                <w:rFonts w:eastAsia="Times New Roman" w:cs="Arial"/>
                <w:color w:val="FF0000"/>
                <w:szCs w:val="20"/>
                <w:lang w:eastAsia="pt-BR"/>
              </w:rPr>
              <w:t>.</w:t>
            </w:r>
            <w:r w:rsidRPr="00F254D5">
              <w:rPr>
                <w:rFonts w:eastAsia="Times New Roman" w:cs="Arial"/>
                <w:color w:val="FF0000"/>
                <w:szCs w:val="20"/>
                <w:lang w:eastAsia="pt-BR"/>
              </w:rPr>
              <w:t>734</w:t>
            </w:r>
            <w:r>
              <w:rPr>
                <w:rFonts w:eastAsia="Times New Roman" w:cs="Arial"/>
                <w:color w:val="FF0000"/>
                <w:szCs w:val="20"/>
                <w:lang w:eastAsia="pt-BR"/>
              </w:rPr>
              <w:t>.</w:t>
            </w:r>
            <w:r w:rsidRPr="00F254D5">
              <w:rPr>
                <w:rFonts w:eastAsia="Times New Roman" w:cs="Arial"/>
                <w:color w:val="FF0000"/>
                <w:szCs w:val="20"/>
                <w:lang w:eastAsia="pt-BR"/>
              </w:rPr>
              <w:t>261,95</w:t>
            </w:r>
          </w:p>
        </w:tc>
        <w:tc>
          <w:tcPr>
            <w:tcW w:w="2079" w:type="dxa"/>
            <w:tcBorders>
              <w:top w:val="nil"/>
              <w:left w:val="nil"/>
              <w:bottom w:val="nil"/>
              <w:right w:val="nil"/>
            </w:tcBorders>
            <w:shd w:val="clear" w:color="auto" w:fill="auto"/>
            <w:noWrap/>
            <w:vAlign w:val="center"/>
            <w:hideMark/>
          </w:tcPr>
          <w:p w14:paraId="07BB5A08" w14:textId="77777777" w:rsidR="004C19ED" w:rsidRPr="009305C5" w:rsidRDefault="004C19ED" w:rsidP="003E2CCD">
            <w:pPr>
              <w:jc w:val="right"/>
              <w:rPr>
                <w:rFonts w:eastAsia="Times New Roman" w:cs="Arial"/>
                <w:color w:val="FF0000"/>
                <w:szCs w:val="20"/>
                <w:lang w:eastAsia="pt-BR"/>
              </w:rPr>
            </w:pPr>
            <w:r w:rsidRPr="009305C5">
              <w:rPr>
                <w:rFonts w:eastAsia="Times New Roman" w:cs="Arial"/>
                <w:color w:val="FF0000"/>
                <w:szCs w:val="20"/>
                <w:lang w:eastAsia="pt-BR"/>
              </w:rPr>
              <w:t>-56.514.415.094,70</w:t>
            </w:r>
          </w:p>
        </w:tc>
        <w:tc>
          <w:tcPr>
            <w:tcW w:w="1379" w:type="dxa"/>
            <w:tcBorders>
              <w:top w:val="nil"/>
              <w:left w:val="nil"/>
              <w:bottom w:val="nil"/>
              <w:right w:val="nil"/>
            </w:tcBorders>
            <w:shd w:val="clear" w:color="auto" w:fill="auto"/>
            <w:noWrap/>
            <w:vAlign w:val="center"/>
            <w:hideMark/>
          </w:tcPr>
          <w:p w14:paraId="39798A99" w14:textId="77777777" w:rsidR="004C19ED" w:rsidRPr="003F63FC" w:rsidRDefault="004C19ED" w:rsidP="003E2CCD">
            <w:pPr>
              <w:jc w:val="right"/>
              <w:rPr>
                <w:rFonts w:eastAsia="Times New Roman" w:cs="Arial"/>
                <w:color w:val="000000"/>
                <w:szCs w:val="20"/>
                <w:lang w:eastAsia="pt-BR"/>
              </w:rPr>
            </w:pPr>
            <w:r>
              <w:rPr>
                <w:rFonts w:eastAsia="Times New Roman" w:cs="Arial"/>
                <w:color w:val="000000"/>
                <w:szCs w:val="20"/>
                <w:lang w:eastAsia="pt-BR"/>
              </w:rPr>
              <w:t>-63,40</w:t>
            </w:r>
          </w:p>
        </w:tc>
      </w:tr>
      <w:tr w:rsidR="004C19ED" w:rsidRPr="003F63FC" w14:paraId="60826D65" w14:textId="77777777" w:rsidTr="003E2CCD">
        <w:trPr>
          <w:trHeight w:val="285"/>
        </w:trPr>
        <w:tc>
          <w:tcPr>
            <w:tcW w:w="3828" w:type="dxa"/>
            <w:gridSpan w:val="2"/>
            <w:tcBorders>
              <w:top w:val="nil"/>
              <w:left w:val="nil"/>
              <w:bottom w:val="single" w:sz="8" w:space="0" w:color="000000"/>
              <w:right w:val="nil"/>
            </w:tcBorders>
            <w:shd w:val="clear" w:color="000000" w:fill="D9D9D9"/>
            <w:noWrap/>
            <w:vAlign w:val="center"/>
            <w:hideMark/>
          </w:tcPr>
          <w:p w14:paraId="144F6FF1" w14:textId="77777777" w:rsidR="004C19ED" w:rsidRPr="003F63FC" w:rsidRDefault="004C19ED" w:rsidP="003E2CCD">
            <w:pPr>
              <w:jc w:val="left"/>
              <w:rPr>
                <w:rFonts w:eastAsia="Times New Roman" w:cs="Arial"/>
                <w:b/>
                <w:bCs/>
                <w:color w:val="000000"/>
                <w:szCs w:val="20"/>
                <w:lang w:eastAsia="pt-BR"/>
              </w:rPr>
            </w:pPr>
            <w:r w:rsidRPr="003F63FC">
              <w:rPr>
                <w:rFonts w:eastAsia="Times New Roman" w:cs="Arial"/>
                <w:b/>
                <w:bCs/>
                <w:color w:val="000000"/>
                <w:szCs w:val="20"/>
                <w:lang w:eastAsia="pt-BR"/>
              </w:rPr>
              <w:t>Resultado Patrimonial</w:t>
            </w:r>
          </w:p>
        </w:tc>
        <w:tc>
          <w:tcPr>
            <w:tcW w:w="1920" w:type="dxa"/>
            <w:tcBorders>
              <w:top w:val="nil"/>
              <w:left w:val="nil"/>
              <w:bottom w:val="single" w:sz="8" w:space="0" w:color="000000"/>
              <w:right w:val="nil"/>
            </w:tcBorders>
            <w:shd w:val="clear" w:color="000000" w:fill="D9D9D9"/>
            <w:noWrap/>
            <w:vAlign w:val="center"/>
          </w:tcPr>
          <w:p w14:paraId="46862035" w14:textId="77777777" w:rsidR="004C19ED" w:rsidRPr="003F63FC" w:rsidRDefault="004C19ED" w:rsidP="003E2CCD">
            <w:pPr>
              <w:jc w:val="right"/>
              <w:rPr>
                <w:rFonts w:eastAsia="Times New Roman" w:cs="Arial"/>
                <w:b/>
                <w:bCs/>
                <w:color w:val="000000"/>
                <w:szCs w:val="20"/>
                <w:lang w:eastAsia="pt-BR"/>
              </w:rPr>
            </w:pPr>
            <w:r w:rsidRPr="00F254D5">
              <w:rPr>
                <w:rFonts w:eastAsia="Times New Roman" w:cs="Arial"/>
                <w:b/>
                <w:bCs/>
                <w:color w:val="000000"/>
                <w:szCs w:val="20"/>
                <w:lang w:eastAsia="pt-BR"/>
              </w:rPr>
              <w:t>367</w:t>
            </w:r>
            <w:r>
              <w:rPr>
                <w:rFonts w:eastAsia="Times New Roman" w:cs="Arial"/>
                <w:b/>
                <w:bCs/>
                <w:color w:val="000000"/>
                <w:szCs w:val="20"/>
                <w:lang w:eastAsia="pt-BR"/>
              </w:rPr>
              <w:t>.</w:t>
            </w:r>
            <w:r w:rsidRPr="00F254D5">
              <w:rPr>
                <w:rFonts w:eastAsia="Times New Roman" w:cs="Arial"/>
                <w:b/>
                <w:bCs/>
                <w:color w:val="000000"/>
                <w:szCs w:val="20"/>
                <w:lang w:eastAsia="pt-BR"/>
              </w:rPr>
              <w:t>183</w:t>
            </w:r>
            <w:r>
              <w:rPr>
                <w:rFonts w:eastAsia="Times New Roman" w:cs="Arial"/>
                <w:b/>
                <w:bCs/>
                <w:color w:val="000000"/>
                <w:szCs w:val="20"/>
                <w:lang w:eastAsia="pt-BR"/>
              </w:rPr>
              <w:t>.</w:t>
            </w:r>
            <w:r w:rsidRPr="00F254D5">
              <w:rPr>
                <w:rFonts w:eastAsia="Times New Roman" w:cs="Arial"/>
                <w:b/>
                <w:bCs/>
                <w:color w:val="000000"/>
                <w:szCs w:val="20"/>
                <w:lang w:eastAsia="pt-BR"/>
              </w:rPr>
              <w:t>818,44</w:t>
            </w:r>
          </w:p>
        </w:tc>
        <w:tc>
          <w:tcPr>
            <w:tcW w:w="2079" w:type="dxa"/>
            <w:tcBorders>
              <w:top w:val="nil"/>
              <w:left w:val="nil"/>
              <w:bottom w:val="single" w:sz="8" w:space="0" w:color="000000"/>
              <w:right w:val="nil"/>
            </w:tcBorders>
            <w:shd w:val="clear" w:color="000000" w:fill="D9D9D9"/>
            <w:noWrap/>
            <w:vAlign w:val="center"/>
            <w:hideMark/>
          </w:tcPr>
          <w:p w14:paraId="228E58D0" w14:textId="77777777" w:rsidR="004C19ED" w:rsidRPr="003F63FC" w:rsidRDefault="004C19ED" w:rsidP="003E2CCD">
            <w:pPr>
              <w:jc w:val="right"/>
              <w:rPr>
                <w:rFonts w:eastAsia="Times New Roman" w:cs="Arial"/>
                <w:b/>
                <w:bCs/>
                <w:color w:val="000000"/>
                <w:szCs w:val="20"/>
                <w:lang w:eastAsia="pt-BR"/>
              </w:rPr>
            </w:pPr>
            <w:r w:rsidRPr="009305C5">
              <w:rPr>
                <w:rFonts w:eastAsia="Times New Roman" w:cs="Arial"/>
                <w:b/>
                <w:bCs/>
                <w:color w:val="FF0000"/>
                <w:szCs w:val="20"/>
                <w:lang w:eastAsia="pt-BR"/>
              </w:rPr>
              <w:t>-69.822.635,70</w:t>
            </w:r>
          </w:p>
        </w:tc>
        <w:tc>
          <w:tcPr>
            <w:tcW w:w="1379" w:type="dxa"/>
            <w:tcBorders>
              <w:top w:val="nil"/>
              <w:left w:val="nil"/>
              <w:bottom w:val="single" w:sz="8" w:space="0" w:color="000000"/>
              <w:right w:val="nil"/>
            </w:tcBorders>
            <w:shd w:val="clear" w:color="000000" w:fill="D9D9D9"/>
            <w:noWrap/>
            <w:vAlign w:val="center"/>
            <w:hideMark/>
          </w:tcPr>
          <w:p w14:paraId="49F1E8F2" w14:textId="77777777" w:rsidR="004C19ED" w:rsidRPr="003F63FC"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625,88%</w:t>
            </w:r>
          </w:p>
        </w:tc>
      </w:tr>
    </w:tbl>
    <w:p w14:paraId="06ABA199" w14:textId="77777777" w:rsidR="004C19ED" w:rsidRPr="004C42D3" w:rsidRDefault="004C19ED" w:rsidP="004C19ED">
      <w:pPr>
        <w:rPr>
          <w:rFonts w:cs="Arial"/>
          <w:i/>
          <w:szCs w:val="20"/>
        </w:rPr>
      </w:pPr>
      <w:r w:rsidRPr="004C42D3">
        <w:rPr>
          <w:rFonts w:cs="Arial"/>
          <w:i/>
          <w:szCs w:val="20"/>
        </w:rPr>
        <w:t>Fonte: SIAFI, 20</w:t>
      </w:r>
      <w:r>
        <w:rPr>
          <w:rFonts w:cs="Arial"/>
          <w:i/>
          <w:szCs w:val="20"/>
        </w:rPr>
        <w:t>21</w:t>
      </w:r>
      <w:r w:rsidRPr="004C42D3">
        <w:rPr>
          <w:rFonts w:cs="Arial"/>
          <w:i/>
          <w:szCs w:val="20"/>
        </w:rPr>
        <w:t xml:space="preserve"> e 20</w:t>
      </w:r>
      <w:r>
        <w:rPr>
          <w:rFonts w:cs="Arial"/>
          <w:i/>
          <w:szCs w:val="20"/>
        </w:rPr>
        <w:t>20</w:t>
      </w:r>
      <w:r w:rsidRPr="004C42D3">
        <w:rPr>
          <w:rFonts w:cs="Arial"/>
          <w:i/>
          <w:szCs w:val="20"/>
        </w:rPr>
        <w:t>.</w:t>
      </w:r>
    </w:p>
    <w:p w14:paraId="01631F43" w14:textId="77777777" w:rsidR="004C19ED" w:rsidRPr="00C0371B" w:rsidRDefault="004C19ED" w:rsidP="004C19ED">
      <w:pPr>
        <w:rPr>
          <w:rFonts w:cs="Arial"/>
          <w:sz w:val="22"/>
        </w:rPr>
      </w:pPr>
    </w:p>
    <w:p w14:paraId="52B2F50D" w14:textId="229FDB2E" w:rsidR="004C19ED" w:rsidRDefault="004C19ED" w:rsidP="004C19ED">
      <w:pPr>
        <w:rPr>
          <w:rFonts w:cs="Arial"/>
          <w:sz w:val="22"/>
        </w:rPr>
      </w:pPr>
      <w:r>
        <w:rPr>
          <w:rFonts w:cs="Arial"/>
          <w:sz w:val="22"/>
        </w:rPr>
        <w:t>O resultado do ano de 2021 reflete contabilmente os aspectos financeiro e patrimonial decorrentes da aplicação, junto às empresas que realizam exploração de óleo e gás, das penalidades contratuais pelo não cumprimento das cláusulas previstas no Programa Exploratório Mínimo – PEM. Contudo, sob o ponto de vista econômico, o resultado não é o esperado, visto que, essa penalidade contratual quando aplicada, traduz o não cumprimento das metas estabelecidas para a exploração de óleo e gás e a devolução da área concedida</w:t>
      </w:r>
      <w:r w:rsidR="00A6055D">
        <w:rPr>
          <w:rFonts w:cs="Arial"/>
          <w:sz w:val="22"/>
        </w:rPr>
        <w:t xml:space="preserve">. </w:t>
      </w:r>
      <w:bookmarkStart w:id="1" w:name="_Hlk94523216"/>
      <w:r w:rsidR="00A6055D">
        <w:rPr>
          <w:rFonts w:cs="Arial"/>
          <w:sz w:val="22"/>
        </w:rPr>
        <w:t>Sendo assim, esse</w:t>
      </w:r>
      <w:r>
        <w:rPr>
          <w:rFonts w:cs="Arial"/>
          <w:sz w:val="22"/>
        </w:rPr>
        <w:t xml:space="preserve"> fato </w:t>
      </w:r>
      <w:r w:rsidR="00A6055D">
        <w:rPr>
          <w:rFonts w:cs="Arial"/>
          <w:sz w:val="22"/>
        </w:rPr>
        <w:t>será objeto de acompanhamento da área responsável no exercício de 2022</w:t>
      </w:r>
      <w:r>
        <w:rPr>
          <w:rFonts w:cs="Arial"/>
          <w:sz w:val="22"/>
        </w:rPr>
        <w:t>.</w:t>
      </w:r>
    </w:p>
    <w:bookmarkEnd w:id="1"/>
    <w:p w14:paraId="366FD7E7" w14:textId="77777777" w:rsidR="004C19ED" w:rsidRDefault="004C19ED" w:rsidP="004C19ED">
      <w:pPr>
        <w:rPr>
          <w:rFonts w:cs="Arial"/>
          <w:sz w:val="22"/>
        </w:rPr>
      </w:pPr>
    </w:p>
    <w:p w14:paraId="7BBA9899" w14:textId="77777777" w:rsidR="004C19ED" w:rsidRDefault="004C19ED" w:rsidP="004C19ED">
      <w:pPr>
        <w:rPr>
          <w:rFonts w:cs="Arial"/>
          <w:sz w:val="22"/>
        </w:rPr>
      </w:pPr>
      <w:r>
        <w:rPr>
          <w:rFonts w:cs="Arial"/>
          <w:sz w:val="22"/>
        </w:rPr>
        <w:t>Em relação à realização da receita quando da entrada na Conta Única do Tesouro dos valores constantes na conta corrente que a ANP possui junto ao Banco do Brasil, esse foram classificados, em sua maior parte, como despesas de exercício anteriores, pois derivam da fatos geradores dos anos de 2009 até 2020, não afetando o resultado na DVP, mas sim, diretamente o patrimônio líquido.</w:t>
      </w:r>
    </w:p>
    <w:p w14:paraId="407D2410" w14:textId="77777777" w:rsidR="004C19ED" w:rsidRPr="00E3075B" w:rsidRDefault="004C19ED" w:rsidP="004C19ED">
      <w:pPr>
        <w:rPr>
          <w:rFonts w:cs="Arial"/>
          <w:bCs/>
          <w:sz w:val="22"/>
        </w:rPr>
      </w:pPr>
    </w:p>
    <w:p w14:paraId="4360A34B" w14:textId="77777777" w:rsidR="004C19ED" w:rsidRPr="00C0371B" w:rsidRDefault="004C19ED" w:rsidP="004C19ED">
      <w:pPr>
        <w:rPr>
          <w:rFonts w:cs="Arial"/>
          <w:b/>
          <w:sz w:val="22"/>
        </w:rPr>
      </w:pPr>
      <w:r w:rsidRPr="00C0371B">
        <w:rPr>
          <w:rFonts w:cs="Arial"/>
          <w:b/>
          <w:sz w:val="22"/>
        </w:rPr>
        <w:t>Nota 0</w:t>
      </w:r>
      <w:r>
        <w:rPr>
          <w:rFonts w:cs="Arial"/>
          <w:b/>
          <w:sz w:val="22"/>
        </w:rPr>
        <w:t>1</w:t>
      </w:r>
      <w:r w:rsidRPr="00C0371B">
        <w:rPr>
          <w:rFonts w:cs="Arial"/>
          <w:b/>
          <w:sz w:val="22"/>
        </w:rPr>
        <w:t xml:space="preserve"> – Caixa e Equivalentes de Caixa</w:t>
      </w:r>
    </w:p>
    <w:p w14:paraId="6D653D73" w14:textId="77777777" w:rsidR="004C19ED" w:rsidRPr="00C0371B" w:rsidRDefault="004C19ED" w:rsidP="004C19ED">
      <w:pPr>
        <w:rPr>
          <w:rFonts w:cs="Arial"/>
          <w:sz w:val="22"/>
        </w:rPr>
      </w:pPr>
    </w:p>
    <w:p w14:paraId="5FF3505F" w14:textId="77777777" w:rsidR="004C19ED" w:rsidRPr="00C0371B" w:rsidRDefault="004C19ED" w:rsidP="004C19ED">
      <w:pPr>
        <w:rPr>
          <w:rFonts w:cs="Arial"/>
          <w:sz w:val="22"/>
        </w:rPr>
      </w:pPr>
      <w:r w:rsidRPr="00C0371B">
        <w:rPr>
          <w:rFonts w:cs="Arial"/>
          <w:sz w:val="22"/>
        </w:rPr>
        <w:t xml:space="preserve">Este item contempla o numerário e outros bens e direitos conversíveis </w:t>
      </w:r>
      <w:r>
        <w:rPr>
          <w:rFonts w:cs="Arial"/>
          <w:sz w:val="22"/>
        </w:rPr>
        <w:t>e</w:t>
      </w:r>
      <w:r w:rsidRPr="00C0371B">
        <w:rPr>
          <w:rFonts w:cs="Arial"/>
          <w:sz w:val="22"/>
        </w:rPr>
        <w:t xml:space="preserve"> evidenciados em moeda nacional. Em 3</w:t>
      </w:r>
      <w:r>
        <w:rPr>
          <w:rFonts w:cs="Arial"/>
          <w:sz w:val="22"/>
        </w:rPr>
        <w:t>1</w:t>
      </w:r>
      <w:r w:rsidRPr="00C0371B">
        <w:rPr>
          <w:rFonts w:cs="Arial"/>
          <w:sz w:val="22"/>
        </w:rPr>
        <w:t>/</w:t>
      </w:r>
      <w:r>
        <w:rPr>
          <w:rFonts w:cs="Arial"/>
          <w:sz w:val="22"/>
        </w:rPr>
        <w:t>12</w:t>
      </w:r>
      <w:r w:rsidRPr="00C0371B">
        <w:rPr>
          <w:rFonts w:cs="Arial"/>
          <w:sz w:val="22"/>
        </w:rPr>
        <w:t>/20</w:t>
      </w:r>
      <w:r>
        <w:rPr>
          <w:rFonts w:cs="Arial"/>
          <w:sz w:val="22"/>
        </w:rPr>
        <w:t>21</w:t>
      </w:r>
      <w:r w:rsidRPr="00C0371B">
        <w:rPr>
          <w:rFonts w:cs="Arial"/>
          <w:sz w:val="22"/>
        </w:rPr>
        <w:t>, a A</w:t>
      </w:r>
      <w:r>
        <w:rPr>
          <w:rFonts w:cs="Arial"/>
          <w:sz w:val="22"/>
        </w:rPr>
        <w:t>NP</w:t>
      </w:r>
      <w:r w:rsidRPr="00C0371B">
        <w:rPr>
          <w:rFonts w:cs="Arial"/>
          <w:sz w:val="22"/>
        </w:rPr>
        <w:t xml:space="preserve"> possuía um saldo superior a </w:t>
      </w:r>
      <w:r w:rsidRPr="00D017EE">
        <w:rPr>
          <w:rFonts w:cs="Arial"/>
          <w:sz w:val="22"/>
        </w:rPr>
        <w:t xml:space="preserve">R$ </w:t>
      </w:r>
      <w:r>
        <w:rPr>
          <w:rFonts w:cs="Arial"/>
          <w:sz w:val="22"/>
        </w:rPr>
        <w:t>1,4 b</w:t>
      </w:r>
      <w:r w:rsidRPr="00D017EE">
        <w:rPr>
          <w:rFonts w:cs="Arial"/>
          <w:sz w:val="22"/>
        </w:rPr>
        <w:t>ilhões</w:t>
      </w:r>
      <w:r>
        <w:rPr>
          <w:rFonts w:cs="Arial"/>
          <w:sz w:val="22"/>
        </w:rPr>
        <w:t xml:space="preserve">, </w:t>
      </w:r>
      <w:r w:rsidRPr="00C0371B">
        <w:rPr>
          <w:rFonts w:cs="Arial"/>
          <w:sz w:val="22"/>
        </w:rPr>
        <w:t>relacionado</w:t>
      </w:r>
      <w:r>
        <w:rPr>
          <w:rFonts w:cs="Arial"/>
          <w:sz w:val="22"/>
        </w:rPr>
        <w:t>s</w:t>
      </w:r>
      <w:r w:rsidRPr="00C0371B">
        <w:rPr>
          <w:rFonts w:cs="Arial"/>
          <w:sz w:val="22"/>
        </w:rPr>
        <w:t xml:space="preserve"> a Caixa e Equivalentes de Caixa. </w:t>
      </w:r>
      <w:r>
        <w:rPr>
          <w:rFonts w:cs="Arial"/>
          <w:sz w:val="22"/>
        </w:rPr>
        <w:t>O detalhamento destes saldos segue:</w:t>
      </w:r>
    </w:p>
    <w:p w14:paraId="145F466C" w14:textId="77777777" w:rsidR="004C19ED" w:rsidRPr="00C0371B" w:rsidRDefault="004C19ED" w:rsidP="004C19ED">
      <w:pPr>
        <w:rPr>
          <w:rFonts w:cs="Arial"/>
          <w:sz w:val="22"/>
        </w:rPr>
      </w:pPr>
    </w:p>
    <w:p w14:paraId="261D6505" w14:textId="77777777" w:rsidR="004C19ED" w:rsidRDefault="004C19ED" w:rsidP="004C19ED">
      <w:pPr>
        <w:rPr>
          <w:rFonts w:cs="Arial"/>
          <w:b/>
          <w:sz w:val="22"/>
        </w:rPr>
      </w:pPr>
      <w:r w:rsidRPr="00C0371B">
        <w:rPr>
          <w:rFonts w:cs="Arial"/>
          <w:b/>
          <w:sz w:val="22"/>
        </w:rPr>
        <w:t xml:space="preserve">Tabela 1 – </w:t>
      </w:r>
      <w:r>
        <w:rPr>
          <w:rFonts w:cs="Arial"/>
          <w:b/>
          <w:sz w:val="22"/>
        </w:rPr>
        <w:t>Recursos Disponíveis</w:t>
      </w:r>
      <w:r w:rsidRPr="00C0371B">
        <w:rPr>
          <w:rFonts w:cs="Arial"/>
          <w:b/>
          <w:sz w:val="22"/>
        </w:rPr>
        <w:t xml:space="preserve"> Conta Única – Variação</w:t>
      </w:r>
      <w:r>
        <w:rPr>
          <w:rFonts w:cs="Arial"/>
          <w:b/>
          <w:sz w:val="22"/>
        </w:rPr>
        <w:t>.</w:t>
      </w:r>
    </w:p>
    <w:p w14:paraId="50B924BE" w14:textId="77777777" w:rsidR="004C19ED" w:rsidRDefault="004C19ED" w:rsidP="004C19ED">
      <w:pPr>
        <w:jc w:val="right"/>
        <w:rPr>
          <w:rFonts w:cs="Arial"/>
          <w:sz w:val="22"/>
        </w:rPr>
      </w:pPr>
      <w:r>
        <w:rPr>
          <w:rFonts w:cs="Arial"/>
          <w:sz w:val="22"/>
        </w:rPr>
        <w:t xml:space="preserve">          </w:t>
      </w:r>
      <w:r w:rsidRPr="006A1E1A">
        <w:rPr>
          <w:rFonts w:cs="Arial"/>
          <w:sz w:val="22"/>
        </w:rPr>
        <w:t>R$</w:t>
      </w:r>
    </w:p>
    <w:tbl>
      <w:tblPr>
        <w:tblW w:w="9365" w:type="dxa"/>
        <w:tblCellMar>
          <w:left w:w="70" w:type="dxa"/>
          <w:right w:w="70" w:type="dxa"/>
        </w:tblCellMar>
        <w:tblLook w:val="04A0" w:firstRow="1" w:lastRow="0" w:firstColumn="1" w:lastColumn="0" w:noHBand="0" w:noVBand="1"/>
      </w:tblPr>
      <w:tblGrid>
        <w:gridCol w:w="1418"/>
        <w:gridCol w:w="2917"/>
        <w:gridCol w:w="1913"/>
        <w:gridCol w:w="1956"/>
        <w:gridCol w:w="1161"/>
      </w:tblGrid>
      <w:tr w:rsidR="004C19ED" w:rsidRPr="00EC6F3A" w14:paraId="7CD8047E" w14:textId="77777777" w:rsidTr="003E2CCD">
        <w:trPr>
          <w:trHeight w:val="517"/>
        </w:trPr>
        <w:tc>
          <w:tcPr>
            <w:tcW w:w="1418" w:type="dxa"/>
            <w:tcBorders>
              <w:top w:val="single" w:sz="4" w:space="0" w:color="000000"/>
              <w:left w:val="nil"/>
              <w:bottom w:val="single" w:sz="4" w:space="0" w:color="000000"/>
              <w:right w:val="nil"/>
            </w:tcBorders>
            <w:shd w:val="clear" w:color="auto" w:fill="auto"/>
            <w:vAlign w:val="bottom"/>
            <w:hideMark/>
          </w:tcPr>
          <w:p w14:paraId="69C36224" w14:textId="77777777" w:rsidR="004C19ED" w:rsidRPr="00EC6F3A" w:rsidRDefault="004C19ED" w:rsidP="003E2CCD">
            <w:pPr>
              <w:jc w:val="center"/>
              <w:rPr>
                <w:rFonts w:eastAsia="Times New Roman" w:cs="Arial"/>
                <w:b/>
                <w:bCs/>
                <w:color w:val="000000"/>
                <w:szCs w:val="20"/>
                <w:lang w:eastAsia="pt-BR"/>
              </w:rPr>
            </w:pPr>
            <w:r w:rsidRPr="00EC6F3A">
              <w:rPr>
                <w:rFonts w:eastAsia="Times New Roman" w:cs="Arial"/>
                <w:b/>
                <w:bCs/>
                <w:color w:val="000000"/>
                <w:szCs w:val="20"/>
                <w:lang w:eastAsia="pt-BR"/>
              </w:rPr>
              <w:t xml:space="preserve">Fonte Recursos </w:t>
            </w:r>
          </w:p>
        </w:tc>
        <w:tc>
          <w:tcPr>
            <w:tcW w:w="2917" w:type="dxa"/>
            <w:tcBorders>
              <w:top w:val="single" w:sz="4" w:space="0" w:color="000000"/>
              <w:left w:val="nil"/>
              <w:bottom w:val="single" w:sz="4" w:space="0" w:color="000000"/>
              <w:right w:val="nil"/>
            </w:tcBorders>
            <w:shd w:val="clear" w:color="auto" w:fill="auto"/>
            <w:vAlign w:val="bottom"/>
            <w:hideMark/>
          </w:tcPr>
          <w:p w14:paraId="0798E61C" w14:textId="77777777" w:rsidR="004C19ED" w:rsidRPr="00EC6F3A" w:rsidRDefault="004C19ED" w:rsidP="003E2CCD">
            <w:pPr>
              <w:jc w:val="center"/>
              <w:rPr>
                <w:rFonts w:eastAsia="Times New Roman" w:cs="Arial"/>
                <w:b/>
                <w:bCs/>
                <w:color w:val="000000"/>
                <w:szCs w:val="20"/>
                <w:lang w:eastAsia="pt-BR"/>
              </w:rPr>
            </w:pPr>
            <w:r w:rsidRPr="00EC6F3A">
              <w:rPr>
                <w:rFonts w:eastAsia="Times New Roman" w:cs="Arial"/>
                <w:b/>
                <w:bCs/>
                <w:color w:val="000000"/>
                <w:szCs w:val="20"/>
                <w:lang w:eastAsia="pt-BR"/>
              </w:rPr>
              <w:t>Descrição da Fonte</w:t>
            </w:r>
          </w:p>
        </w:tc>
        <w:tc>
          <w:tcPr>
            <w:tcW w:w="1913" w:type="dxa"/>
            <w:tcBorders>
              <w:top w:val="single" w:sz="4" w:space="0" w:color="000000"/>
              <w:left w:val="nil"/>
              <w:bottom w:val="single" w:sz="4" w:space="0" w:color="000000"/>
              <w:right w:val="nil"/>
            </w:tcBorders>
            <w:shd w:val="clear" w:color="auto" w:fill="auto"/>
            <w:vAlign w:val="bottom"/>
            <w:hideMark/>
          </w:tcPr>
          <w:p w14:paraId="0FC06A49" w14:textId="77777777" w:rsidR="004C19ED" w:rsidRPr="002C39B9" w:rsidRDefault="004C19ED" w:rsidP="003E2CCD">
            <w:pPr>
              <w:jc w:val="center"/>
              <w:rPr>
                <w:rFonts w:eastAsia="Times New Roman" w:cs="Arial"/>
                <w:b/>
                <w:bCs/>
                <w:color w:val="000000"/>
                <w:szCs w:val="20"/>
                <w:lang w:eastAsia="pt-BR"/>
              </w:rPr>
            </w:pPr>
            <w:r w:rsidRPr="002C39B9">
              <w:rPr>
                <w:rFonts w:eastAsia="Times New Roman" w:cs="Arial"/>
                <w:b/>
                <w:bCs/>
                <w:color w:val="000000"/>
                <w:szCs w:val="20"/>
                <w:lang w:eastAsia="pt-BR"/>
              </w:rPr>
              <w:t>31/12/2021</w:t>
            </w:r>
          </w:p>
        </w:tc>
        <w:tc>
          <w:tcPr>
            <w:tcW w:w="1956" w:type="dxa"/>
            <w:tcBorders>
              <w:top w:val="single" w:sz="4" w:space="0" w:color="000000"/>
              <w:left w:val="nil"/>
              <w:bottom w:val="single" w:sz="4" w:space="0" w:color="000000"/>
              <w:right w:val="nil"/>
            </w:tcBorders>
            <w:vAlign w:val="bottom"/>
          </w:tcPr>
          <w:p w14:paraId="63BA2924" w14:textId="77777777" w:rsidR="004C19ED" w:rsidRPr="00EC6F3A" w:rsidRDefault="004C19ED" w:rsidP="003E2CCD">
            <w:pPr>
              <w:jc w:val="center"/>
              <w:rPr>
                <w:rFonts w:eastAsia="Times New Roman" w:cs="Arial"/>
                <w:b/>
                <w:bCs/>
                <w:color w:val="000000"/>
                <w:szCs w:val="20"/>
                <w:lang w:eastAsia="pt-BR"/>
              </w:rPr>
            </w:pPr>
            <w:r w:rsidRPr="00EC6F3A">
              <w:rPr>
                <w:rFonts w:eastAsia="Times New Roman" w:cs="Arial"/>
                <w:b/>
                <w:bCs/>
                <w:color w:val="000000"/>
                <w:szCs w:val="20"/>
                <w:lang w:eastAsia="pt-BR"/>
              </w:rPr>
              <w:t>3</w:t>
            </w:r>
            <w:r>
              <w:rPr>
                <w:rFonts w:eastAsia="Times New Roman" w:cs="Arial"/>
                <w:b/>
                <w:bCs/>
                <w:color w:val="000000"/>
                <w:szCs w:val="20"/>
                <w:lang w:eastAsia="pt-BR"/>
              </w:rPr>
              <w:t>1</w:t>
            </w:r>
            <w:r w:rsidRPr="00EC6F3A">
              <w:rPr>
                <w:rFonts w:eastAsia="Times New Roman" w:cs="Arial"/>
                <w:b/>
                <w:bCs/>
                <w:color w:val="000000"/>
                <w:szCs w:val="20"/>
                <w:lang w:eastAsia="pt-BR"/>
              </w:rPr>
              <w:t>/</w:t>
            </w:r>
            <w:r>
              <w:rPr>
                <w:rFonts w:eastAsia="Times New Roman" w:cs="Arial"/>
                <w:b/>
                <w:bCs/>
                <w:color w:val="000000"/>
                <w:szCs w:val="20"/>
                <w:lang w:eastAsia="pt-BR"/>
              </w:rPr>
              <w:t>12</w:t>
            </w:r>
            <w:r w:rsidRPr="00EC6F3A">
              <w:rPr>
                <w:rFonts w:eastAsia="Times New Roman" w:cs="Arial"/>
                <w:b/>
                <w:bCs/>
                <w:color w:val="000000"/>
                <w:szCs w:val="20"/>
                <w:lang w:eastAsia="pt-BR"/>
              </w:rPr>
              <w:t>/20</w:t>
            </w:r>
            <w:r>
              <w:rPr>
                <w:rFonts w:eastAsia="Times New Roman" w:cs="Arial"/>
                <w:b/>
                <w:bCs/>
                <w:color w:val="000000"/>
                <w:szCs w:val="20"/>
                <w:lang w:eastAsia="pt-BR"/>
              </w:rPr>
              <w:t>20</w:t>
            </w:r>
          </w:p>
        </w:tc>
        <w:tc>
          <w:tcPr>
            <w:tcW w:w="1161" w:type="dxa"/>
            <w:tcBorders>
              <w:top w:val="single" w:sz="4" w:space="0" w:color="000000"/>
              <w:left w:val="nil"/>
              <w:bottom w:val="single" w:sz="4" w:space="0" w:color="000000"/>
              <w:right w:val="nil"/>
            </w:tcBorders>
            <w:shd w:val="clear" w:color="auto" w:fill="auto"/>
            <w:vAlign w:val="bottom"/>
            <w:hideMark/>
          </w:tcPr>
          <w:p w14:paraId="77C933E0" w14:textId="77777777" w:rsidR="004C19ED" w:rsidRPr="00EC6F3A" w:rsidRDefault="004C19ED" w:rsidP="003E2CCD">
            <w:pPr>
              <w:jc w:val="center"/>
              <w:rPr>
                <w:rFonts w:eastAsia="Times New Roman" w:cs="Arial"/>
                <w:b/>
                <w:bCs/>
                <w:color w:val="000000"/>
                <w:szCs w:val="20"/>
                <w:lang w:eastAsia="pt-BR"/>
              </w:rPr>
            </w:pPr>
            <w:r w:rsidRPr="00EC6F3A">
              <w:rPr>
                <w:rFonts w:eastAsia="Times New Roman" w:cs="Arial"/>
                <w:b/>
                <w:bCs/>
                <w:color w:val="000000"/>
                <w:szCs w:val="20"/>
                <w:lang w:eastAsia="pt-BR"/>
              </w:rPr>
              <w:t>AH (%)</w:t>
            </w:r>
          </w:p>
        </w:tc>
      </w:tr>
      <w:tr w:rsidR="004C19ED" w:rsidRPr="00EC6F3A" w14:paraId="1B179F95" w14:textId="77777777" w:rsidTr="003E2CCD">
        <w:trPr>
          <w:trHeight w:val="258"/>
        </w:trPr>
        <w:tc>
          <w:tcPr>
            <w:tcW w:w="1418" w:type="dxa"/>
            <w:tcBorders>
              <w:top w:val="nil"/>
              <w:left w:val="nil"/>
              <w:bottom w:val="nil"/>
              <w:right w:val="nil"/>
            </w:tcBorders>
            <w:shd w:val="clear" w:color="D9D9D9" w:fill="D9D9D9"/>
            <w:noWrap/>
            <w:vAlign w:val="bottom"/>
          </w:tcPr>
          <w:p w14:paraId="06315A2D" w14:textId="77777777" w:rsidR="004C19ED" w:rsidRPr="004520B0" w:rsidRDefault="004C19ED" w:rsidP="003E2CCD">
            <w:pPr>
              <w:jc w:val="left"/>
              <w:rPr>
                <w:rFonts w:eastAsia="Times New Roman" w:cs="Arial"/>
                <w:color w:val="000000"/>
                <w:szCs w:val="20"/>
                <w:lang w:eastAsia="pt-BR"/>
              </w:rPr>
            </w:pPr>
            <w:r>
              <w:rPr>
                <w:rFonts w:eastAsia="Times New Roman" w:cs="Arial"/>
                <w:color w:val="000000"/>
                <w:szCs w:val="20"/>
                <w:lang w:eastAsia="pt-BR"/>
              </w:rPr>
              <w:t>0100000000</w:t>
            </w:r>
          </w:p>
        </w:tc>
        <w:tc>
          <w:tcPr>
            <w:tcW w:w="2917" w:type="dxa"/>
            <w:tcBorders>
              <w:top w:val="nil"/>
              <w:left w:val="nil"/>
              <w:bottom w:val="nil"/>
              <w:right w:val="nil"/>
            </w:tcBorders>
            <w:shd w:val="clear" w:color="000000" w:fill="D9D9D9"/>
            <w:vAlign w:val="center"/>
          </w:tcPr>
          <w:p w14:paraId="2E5D2254" w14:textId="77777777" w:rsidR="004C19ED" w:rsidRPr="004520B0" w:rsidRDefault="004C19ED" w:rsidP="003E2CCD">
            <w:pPr>
              <w:jc w:val="left"/>
              <w:rPr>
                <w:rFonts w:eastAsia="Times New Roman" w:cs="Arial"/>
                <w:color w:val="000000"/>
                <w:szCs w:val="20"/>
                <w:lang w:eastAsia="pt-BR"/>
              </w:rPr>
            </w:pPr>
            <w:r>
              <w:rPr>
                <w:rFonts w:eastAsia="Times New Roman" w:cs="Arial"/>
                <w:color w:val="000000"/>
                <w:szCs w:val="20"/>
                <w:lang w:eastAsia="pt-BR"/>
              </w:rPr>
              <w:t>Recursos Ordinários</w:t>
            </w:r>
          </w:p>
        </w:tc>
        <w:tc>
          <w:tcPr>
            <w:tcW w:w="1913" w:type="dxa"/>
            <w:tcBorders>
              <w:top w:val="nil"/>
              <w:left w:val="nil"/>
              <w:bottom w:val="nil"/>
              <w:right w:val="nil"/>
            </w:tcBorders>
            <w:shd w:val="clear" w:color="D9D9D9" w:fill="D9D9D9"/>
            <w:noWrap/>
            <w:vAlign w:val="bottom"/>
          </w:tcPr>
          <w:p w14:paraId="45FAA9E9" w14:textId="77777777" w:rsidR="004C19ED" w:rsidRPr="002C39B9" w:rsidRDefault="004C19ED" w:rsidP="003E2CCD">
            <w:pPr>
              <w:jc w:val="right"/>
              <w:rPr>
                <w:rFonts w:cs="Arial"/>
                <w:szCs w:val="20"/>
              </w:rPr>
            </w:pPr>
            <w:r w:rsidRPr="00666AEC">
              <w:rPr>
                <w:rFonts w:cs="Arial"/>
                <w:szCs w:val="20"/>
              </w:rPr>
              <w:t>235.114,97</w:t>
            </w:r>
          </w:p>
        </w:tc>
        <w:tc>
          <w:tcPr>
            <w:tcW w:w="1956" w:type="dxa"/>
            <w:tcBorders>
              <w:top w:val="nil"/>
              <w:left w:val="nil"/>
              <w:bottom w:val="nil"/>
              <w:right w:val="nil"/>
            </w:tcBorders>
            <w:shd w:val="clear" w:color="D9D9D9" w:fill="D9D9D9"/>
            <w:vAlign w:val="bottom"/>
          </w:tcPr>
          <w:p w14:paraId="3C552EBB" w14:textId="77777777" w:rsidR="004C19ED" w:rsidRPr="004520B0" w:rsidRDefault="004C19ED" w:rsidP="003E2CCD">
            <w:pPr>
              <w:jc w:val="right"/>
              <w:rPr>
                <w:rFonts w:eastAsia="Times New Roman" w:cs="Arial"/>
                <w:color w:val="000000"/>
                <w:szCs w:val="20"/>
                <w:lang w:eastAsia="pt-BR"/>
              </w:rPr>
            </w:pPr>
            <w:r>
              <w:rPr>
                <w:rFonts w:cs="Arial"/>
                <w:szCs w:val="20"/>
              </w:rPr>
              <w:t xml:space="preserve">        </w:t>
            </w:r>
            <w:r w:rsidRPr="008D75ED">
              <w:rPr>
                <w:rFonts w:cs="Arial"/>
                <w:szCs w:val="20"/>
              </w:rPr>
              <w:t>308.266,64</w:t>
            </w:r>
          </w:p>
        </w:tc>
        <w:tc>
          <w:tcPr>
            <w:tcW w:w="1161" w:type="dxa"/>
            <w:tcBorders>
              <w:top w:val="nil"/>
              <w:left w:val="nil"/>
              <w:bottom w:val="nil"/>
              <w:right w:val="nil"/>
            </w:tcBorders>
            <w:shd w:val="clear" w:color="D9D9D9" w:fill="D9D9D9"/>
            <w:noWrap/>
            <w:vAlign w:val="bottom"/>
          </w:tcPr>
          <w:p w14:paraId="2AEE82AB" w14:textId="77777777" w:rsidR="004C19ED" w:rsidRPr="00EC6F3A" w:rsidRDefault="004C19ED" w:rsidP="003E2CCD">
            <w:pPr>
              <w:jc w:val="right"/>
              <w:rPr>
                <w:rFonts w:eastAsia="Times New Roman" w:cs="Arial"/>
                <w:color w:val="000000"/>
                <w:szCs w:val="20"/>
                <w:lang w:eastAsia="pt-BR"/>
              </w:rPr>
            </w:pPr>
            <w:r>
              <w:rPr>
                <w:rFonts w:eastAsia="Times New Roman" w:cs="Arial"/>
                <w:color w:val="000000"/>
                <w:szCs w:val="20"/>
                <w:lang w:eastAsia="pt-BR"/>
              </w:rPr>
              <w:t>-23,73</w:t>
            </w:r>
          </w:p>
        </w:tc>
      </w:tr>
      <w:tr w:rsidR="004C19ED" w:rsidRPr="00EC6F3A" w14:paraId="5ADC19C1" w14:textId="77777777" w:rsidTr="003E2CCD">
        <w:trPr>
          <w:trHeight w:val="517"/>
        </w:trPr>
        <w:tc>
          <w:tcPr>
            <w:tcW w:w="1418" w:type="dxa"/>
            <w:tcBorders>
              <w:top w:val="nil"/>
              <w:left w:val="nil"/>
              <w:bottom w:val="nil"/>
              <w:right w:val="nil"/>
            </w:tcBorders>
            <w:shd w:val="clear" w:color="auto" w:fill="auto"/>
            <w:noWrap/>
            <w:vAlign w:val="bottom"/>
            <w:hideMark/>
          </w:tcPr>
          <w:p w14:paraId="7451D936" w14:textId="77777777" w:rsidR="004C19ED" w:rsidRPr="00EC6F3A" w:rsidRDefault="004C19ED" w:rsidP="003E2CCD">
            <w:pPr>
              <w:jc w:val="left"/>
              <w:rPr>
                <w:rFonts w:eastAsia="Times New Roman" w:cs="Arial"/>
                <w:color w:val="000000"/>
                <w:szCs w:val="20"/>
                <w:lang w:eastAsia="pt-BR"/>
              </w:rPr>
            </w:pPr>
            <w:r>
              <w:rPr>
                <w:rFonts w:eastAsia="Times New Roman" w:cs="Arial"/>
                <w:color w:val="000000"/>
                <w:szCs w:val="20"/>
                <w:lang w:eastAsia="pt-BR"/>
              </w:rPr>
              <w:t>0150022064</w:t>
            </w:r>
          </w:p>
        </w:tc>
        <w:tc>
          <w:tcPr>
            <w:tcW w:w="2917" w:type="dxa"/>
            <w:tcBorders>
              <w:top w:val="nil"/>
              <w:left w:val="nil"/>
              <w:bottom w:val="nil"/>
              <w:right w:val="nil"/>
            </w:tcBorders>
            <w:shd w:val="clear" w:color="auto" w:fill="auto"/>
            <w:vAlign w:val="center"/>
            <w:hideMark/>
          </w:tcPr>
          <w:p w14:paraId="0306F4C4" w14:textId="77777777" w:rsidR="004C19ED" w:rsidRPr="00EC6F3A" w:rsidRDefault="004C19ED" w:rsidP="003E2CCD">
            <w:pPr>
              <w:jc w:val="left"/>
              <w:rPr>
                <w:rFonts w:eastAsia="Times New Roman" w:cs="Arial"/>
                <w:color w:val="000000"/>
                <w:szCs w:val="20"/>
                <w:lang w:eastAsia="pt-BR"/>
              </w:rPr>
            </w:pPr>
            <w:r>
              <w:rPr>
                <w:rFonts w:eastAsia="Times New Roman" w:cs="Arial"/>
                <w:color w:val="000000"/>
                <w:szCs w:val="20"/>
                <w:lang w:eastAsia="pt-BR"/>
              </w:rPr>
              <w:t>Multas do CNP/ANP</w:t>
            </w:r>
          </w:p>
        </w:tc>
        <w:tc>
          <w:tcPr>
            <w:tcW w:w="1913" w:type="dxa"/>
            <w:tcBorders>
              <w:top w:val="nil"/>
              <w:left w:val="nil"/>
              <w:bottom w:val="nil"/>
              <w:right w:val="nil"/>
            </w:tcBorders>
            <w:shd w:val="clear" w:color="auto" w:fill="auto"/>
            <w:noWrap/>
            <w:vAlign w:val="bottom"/>
            <w:hideMark/>
          </w:tcPr>
          <w:p w14:paraId="3CE8B854" w14:textId="77777777" w:rsidR="004C19ED" w:rsidRPr="006F47F1" w:rsidRDefault="004C19ED" w:rsidP="003E2CCD">
            <w:pPr>
              <w:jc w:val="right"/>
              <w:rPr>
                <w:rFonts w:cs="Arial"/>
                <w:szCs w:val="20"/>
              </w:rPr>
            </w:pPr>
            <w:r>
              <w:rPr>
                <w:rFonts w:cs="Arial"/>
                <w:szCs w:val="20"/>
              </w:rPr>
              <w:t>11.843.157,97</w:t>
            </w:r>
          </w:p>
        </w:tc>
        <w:tc>
          <w:tcPr>
            <w:tcW w:w="1956" w:type="dxa"/>
            <w:tcBorders>
              <w:top w:val="nil"/>
              <w:left w:val="nil"/>
              <w:bottom w:val="nil"/>
              <w:right w:val="nil"/>
            </w:tcBorders>
            <w:vAlign w:val="bottom"/>
          </w:tcPr>
          <w:p w14:paraId="46F4400A" w14:textId="77777777" w:rsidR="004C19ED" w:rsidRPr="00EC6F3A" w:rsidRDefault="004C19ED" w:rsidP="003E2CCD">
            <w:pPr>
              <w:jc w:val="right"/>
              <w:rPr>
                <w:rFonts w:eastAsia="Times New Roman" w:cs="Arial"/>
                <w:color w:val="000000"/>
                <w:szCs w:val="20"/>
                <w:lang w:eastAsia="pt-BR"/>
              </w:rPr>
            </w:pPr>
            <w:r>
              <w:rPr>
                <w:rFonts w:eastAsia="Times New Roman" w:cs="Arial"/>
                <w:color w:val="000000"/>
                <w:szCs w:val="20"/>
                <w:lang w:eastAsia="pt-BR"/>
              </w:rPr>
              <w:t>11.843.157,97</w:t>
            </w:r>
          </w:p>
        </w:tc>
        <w:tc>
          <w:tcPr>
            <w:tcW w:w="1161" w:type="dxa"/>
            <w:tcBorders>
              <w:top w:val="nil"/>
              <w:left w:val="nil"/>
              <w:bottom w:val="nil"/>
              <w:right w:val="nil"/>
            </w:tcBorders>
            <w:shd w:val="clear" w:color="auto" w:fill="auto"/>
            <w:noWrap/>
            <w:vAlign w:val="bottom"/>
          </w:tcPr>
          <w:p w14:paraId="2349A217" w14:textId="77777777" w:rsidR="004C19ED" w:rsidRPr="00EC6F3A"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r>
      <w:tr w:rsidR="004C19ED" w:rsidRPr="00EC6F3A" w14:paraId="4AE0C97D" w14:textId="77777777" w:rsidTr="003E2CCD">
        <w:trPr>
          <w:trHeight w:val="258"/>
        </w:trPr>
        <w:tc>
          <w:tcPr>
            <w:tcW w:w="1418" w:type="dxa"/>
            <w:tcBorders>
              <w:top w:val="nil"/>
              <w:left w:val="nil"/>
              <w:bottom w:val="nil"/>
              <w:right w:val="nil"/>
            </w:tcBorders>
            <w:shd w:val="clear" w:color="D9D9D9" w:fill="D9D9D9"/>
            <w:noWrap/>
            <w:vAlign w:val="bottom"/>
          </w:tcPr>
          <w:p w14:paraId="48D4F34E"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0150322051</w:t>
            </w:r>
          </w:p>
        </w:tc>
        <w:tc>
          <w:tcPr>
            <w:tcW w:w="2917" w:type="dxa"/>
            <w:tcBorders>
              <w:top w:val="nil"/>
              <w:left w:val="nil"/>
              <w:bottom w:val="nil"/>
              <w:right w:val="nil"/>
            </w:tcBorders>
            <w:shd w:val="clear" w:color="000000" w:fill="D9D9D9"/>
            <w:vAlign w:val="center"/>
          </w:tcPr>
          <w:p w14:paraId="2C86CA48" w14:textId="77777777" w:rsidR="004C19ED" w:rsidRDefault="004C19ED" w:rsidP="003E2CCD">
            <w:pPr>
              <w:jc w:val="left"/>
              <w:rPr>
                <w:rFonts w:eastAsia="Times New Roman" w:cs="Arial"/>
                <w:color w:val="000000"/>
                <w:szCs w:val="20"/>
                <w:lang w:eastAsia="pt-BR"/>
              </w:rPr>
            </w:pPr>
          </w:p>
        </w:tc>
        <w:tc>
          <w:tcPr>
            <w:tcW w:w="1913" w:type="dxa"/>
            <w:tcBorders>
              <w:top w:val="nil"/>
              <w:left w:val="nil"/>
              <w:bottom w:val="nil"/>
              <w:right w:val="nil"/>
            </w:tcBorders>
            <w:shd w:val="clear" w:color="D9D9D9" w:fill="D9D9D9"/>
            <w:noWrap/>
            <w:vAlign w:val="bottom"/>
          </w:tcPr>
          <w:p w14:paraId="4A0B08EB" w14:textId="77777777" w:rsidR="004C19ED" w:rsidRPr="004F5601" w:rsidRDefault="004C19ED" w:rsidP="003E2CCD">
            <w:pPr>
              <w:jc w:val="right"/>
              <w:rPr>
                <w:rFonts w:cs="Arial"/>
                <w:szCs w:val="20"/>
              </w:rPr>
            </w:pPr>
            <w:r>
              <w:rPr>
                <w:rFonts w:cs="Arial"/>
                <w:szCs w:val="20"/>
              </w:rPr>
              <w:t>624.501.084,18</w:t>
            </w:r>
          </w:p>
        </w:tc>
        <w:tc>
          <w:tcPr>
            <w:tcW w:w="1956" w:type="dxa"/>
            <w:tcBorders>
              <w:top w:val="nil"/>
              <w:left w:val="nil"/>
              <w:bottom w:val="nil"/>
              <w:right w:val="nil"/>
            </w:tcBorders>
            <w:shd w:val="clear" w:color="D9D9D9" w:fill="D9D9D9"/>
            <w:vAlign w:val="bottom"/>
          </w:tcPr>
          <w:p w14:paraId="2461F444"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1161" w:type="dxa"/>
            <w:tcBorders>
              <w:top w:val="nil"/>
              <w:left w:val="nil"/>
              <w:bottom w:val="nil"/>
              <w:right w:val="nil"/>
            </w:tcBorders>
            <w:shd w:val="clear" w:color="D9D9D9" w:fill="D9D9D9"/>
            <w:noWrap/>
            <w:vAlign w:val="bottom"/>
          </w:tcPr>
          <w:p w14:paraId="5CE4A6D3"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100,00</w:t>
            </w:r>
          </w:p>
        </w:tc>
      </w:tr>
      <w:tr w:rsidR="004C19ED" w:rsidRPr="00EC6F3A" w14:paraId="5FC3B099" w14:textId="77777777" w:rsidTr="003E2CCD">
        <w:trPr>
          <w:trHeight w:val="258"/>
        </w:trPr>
        <w:tc>
          <w:tcPr>
            <w:tcW w:w="1418" w:type="dxa"/>
            <w:tcBorders>
              <w:top w:val="nil"/>
              <w:left w:val="nil"/>
              <w:bottom w:val="nil"/>
              <w:right w:val="nil"/>
            </w:tcBorders>
            <w:shd w:val="clear" w:color="auto" w:fill="auto"/>
            <w:noWrap/>
            <w:vAlign w:val="bottom"/>
          </w:tcPr>
          <w:p w14:paraId="2C9E9C46" w14:textId="77777777" w:rsidR="004C19ED" w:rsidRPr="004F5601" w:rsidRDefault="004C19ED" w:rsidP="003E2CCD">
            <w:pPr>
              <w:jc w:val="left"/>
              <w:rPr>
                <w:rFonts w:eastAsia="Times New Roman" w:cs="Arial"/>
                <w:color w:val="000000"/>
                <w:szCs w:val="20"/>
                <w:lang w:eastAsia="pt-BR"/>
              </w:rPr>
            </w:pPr>
            <w:r w:rsidRPr="004F5601">
              <w:rPr>
                <w:rFonts w:eastAsia="Times New Roman" w:cs="Arial"/>
                <w:color w:val="000000"/>
                <w:szCs w:val="20"/>
                <w:lang w:eastAsia="pt-BR"/>
              </w:rPr>
              <w:t>0180322650</w:t>
            </w:r>
          </w:p>
        </w:tc>
        <w:tc>
          <w:tcPr>
            <w:tcW w:w="2917" w:type="dxa"/>
            <w:tcBorders>
              <w:top w:val="nil"/>
              <w:left w:val="nil"/>
              <w:bottom w:val="nil"/>
              <w:right w:val="nil"/>
            </w:tcBorders>
            <w:shd w:val="clear" w:color="auto" w:fill="auto"/>
            <w:vAlign w:val="center"/>
          </w:tcPr>
          <w:p w14:paraId="5BDDF76E" w14:textId="77777777" w:rsidR="004C19ED" w:rsidRPr="004F5601" w:rsidRDefault="004C19ED" w:rsidP="003E2CCD">
            <w:pPr>
              <w:jc w:val="left"/>
              <w:rPr>
                <w:rFonts w:eastAsia="Times New Roman" w:cs="Arial"/>
                <w:color w:val="000000"/>
                <w:szCs w:val="20"/>
                <w:lang w:eastAsia="pt-BR"/>
              </w:rPr>
            </w:pPr>
            <w:r w:rsidRPr="004F5601">
              <w:rPr>
                <w:rFonts w:eastAsia="Times New Roman" w:cs="Arial"/>
                <w:color w:val="000000"/>
                <w:szCs w:val="20"/>
                <w:lang w:eastAsia="pt-BR"/>
              </w:rPr>
              <w:t>Rem de Depósitos</w:t>
            </w:r>
          </w:p>
        </w:tc>
        <w:tc>
          <w:tcPr>
            <w:tcW w:w="1913" w:type="dxa"/>
            <w:tcBorders>
              <w:top w:val="nil"/>
              <w:left w:val="nil"/>
              <w:bottom w:val="nil"/>
              <w:right w:val="nil"/>
            </w:tcBorders>
            <w:shd w:val="clear" w:color="auto" w:fill="auto"/>
            <w:noWrap/>
            <w:vAlign w:val="bottom"/>
          </w:tcPr>
          <w:p w14:paraId="6D6A142B" w14:textId="77777777" w:rsidR="004C19ED" w:rsidRPr="004F5601" w:rsidRDefault="004C19ED" w:rsidP="003E2CCD">
            <w:pPr>
              <w:jc w:val="right"/>
              <w:rPr>
                <w:rFonts w:cs="Arial"/>
                <w:szCs w:val="20"/>
              </w:rPr>
            </w:pPr>
            <w:r w:rsidRPr="004F5601">
              <w:rPr>
                <w:rFonts w:cs="Arial"/>
                <w:szCs w:val="20"/>
              </w:rPr>
              <w:t>74.187.889,20</w:t>
            </w:r>
          </w:p>
        </w:tc>
        <w:tc>
          <w:tcPr>
            <w:tcW w:w="1956" w:type="dxa"/>
            <w:tcBorders>
              <w:top w:val="nil"/>
              <w:left w:val="nil"/>
              <w:bottom w:val="nil"/>
              <w:right w:val="nil"/>
            </w:tcBorders>
            <w:shd w:val="clear" w:color="auto" w:fill="auto"/>
            <w:vAlign w:val="bottom"/>
          </w:tcPr>
          <w:p w14:paraId="1994B454" w14:textId="77777777" w:rsidR="004C19ED" w:rsidRPr="004F5601" w:rsidRDefault="004C19ED" w:rsidP="003E2CCD">
            <w:pPr>
              <w:jc w:val="right"/>
              <w:rPr>
                <w:rFonts w:eastAsia="Times New Roman" w:cs="Arial"/>
                <w:color w:val="000000"/>
                <w:szCs w:val="20"/>
                <w:lang w:eastAsia="pt-BR"/>
              </w:rPr>
            </w:pPr>
            <w:r w:rsidRPr="004F5601">
              <w:rPr>
                <w:rFonts w:eastAsia="Times New Roman" w:cs="Arial"/>
                <w:color w:val="000000"/>
                <w:szCs w:val="20"/>
                <w:lang w:eastAsia="pt-BR"/>
              </w:rPr>
              <w:t>0</w:t>
            </w:r>
          </w:p>
        </w:tc>
        <w:tc>
          <w:tcPr>
            <w:tcW w:w="1161" w:type="dxa"/>
            <w:tcBorders>
              <w:top w:val="nil"/>
              <w:left w:val="nil"/>
              <w:bottom w:val="nil"/>
              <w:right w:val="nil"/>
            </w:tcBorders>
            <w:shd w:val="clear" w:color="auto" w:fill="auto"/>
            <w:noWrap/>
            <w:vAlign w:val="bottom"/>
          </w:tcPr>
          <w:p w14:paraId="78D6B3FC" w14:textId="77777777" w:rsidR="004C19ED" w:rsidRPr="00EC6F3A" w:rsidRDefault="004C19ED" w:rsidP="003E2CCD">
            <w:pPr>
              <w:jc w:val="right"/>
              <w:rPr>
                <w:rFonts w:eastAsia="Times New Roman" w:cs="Arial"/>
                <w:color w:val="000000"/>
                <w:szCs w:val="20"/>
                <w:lang w:eastAsia="pt-BR"/>
              </w:rPr>
            </w:pPr>
            <w:r w:rsidRPr="004F5601">
              <w:rPr>
                <w:rFonts w:eastAsia="Times New Roman" w:cs="Arial"/>
                <w:color w:val="000000"/>
                <w:szCs w:val="20"/>
                <w:lang w:eastAsia="pt-BR"/>
              </w:rPr>
              <w:t>100,00</w:t>
            </w:r>
          </w:p>
        </w:tc>
      </w:tr>
      <w:tr w:rsidR="004C19ED" w:rsidRPr="00EC6F3A" w14:paraId="3C89054F" w14:textId="77777777" w:rsidTr="003E2CCD">
        <w:trPr>
          <w:trHeight w:val="258"/>
        </w:trPr>
        <w:tc>
          <w:tcPr>
            <w:tcW w:w="1418" w:type="dxa"/>
            <w:tcBorders>
              <w:top w:val="nil"/>
              <w:left w:val="nil"/>
              <w:bottom w:val="nil"/>
              <w:right w:val="nil"/>
            </w:tcBorders>
            <w:shd w:val="clear" w:color="auto" w:fill="D9D9D9" w:themeFill="background1" w:themeFillShade="D9"/>
            <w:noWrap/>
            <w:vAlign w:val="bottom"/>
            <w:hideMark/>
          </w:tcPr>
          <w:p w14:paraId="715AC6B4" w14:textId="77777777" w:rsidR="004C19ED" w:rsidRPr="00EC6F3A" w:rsidRDefault="004C19ED" w:rsidP="003E2CCD">
            <w:pPr>
              <w:jc w:val="left"/>
              <w:rPr>
                <w:rFonts w:eastAsia="Times New Roman" w:cs="Arial"/>
                <w:color w:val="000000"/>
                <w:szCs w:val="20"/>
                <w:lang w:eastAsia="pt-BR"/>
              </w:rPr>
            </w:pPr>
            <w:r w:rsidRPr="00EC6F3A">
              <w:rPr>
                <w:rFonts w:eastAsia="Times New Roman" w:cs="Arial"/>
                <w:color w:val="000000"/>
                <w:szCs w:val="20"/>
                <w:lang w:eastAsia="pt-BR"/>
              </w:rPr>
              <w:t>0250</w:t>
            </w:r>
            <w:r>
              <w:rPr>
                <w:rFonts w:eastAsia="Times New Roman" w:cs="Arial"/>
                <w:color w:val="000000"/>
                <w:szCs w:val="20"/>
                <w:lang w:eastAsia="pt-BR"/>
              </w:rPr>
              <w:t>322051</w:t>
            </w:r>
          </w:p>
        </w:tc>
        <w:tc>
          <w:tcPr>
            <w:tcW w:w="2917" w:type="dxa"/>
            <w:tcBorders>
              <w:top w:val="nil"/>
              <w:left w:val="nil"/>
              <w:bottom w:val="nil"/>
              <w:right w:val="nil"/>
            </w:tcBorders>
            <w:shd w:val="clear" w:color="auto" w:fill="D9D9D9" w:themeFill="background1" w:themeFillShade="D9"/>
            <w:vAlign w:val="center"/>
            <w:hideMark/>
          </w:tcPr>
          <w:p w14:paraId="4285E186" w14:textId="77777777" w:rsidR="004C19ED" w:rsidRPr="00EC6F3A" w:rsidRDefault="004C19ED" w:rsidP="003E2CCD">
            <w:pPr>
              <w:jc w:val="left"/>
              <w:rPr>
                <w:rFonts w:eastAsia="Times New Roman" w:cs="Arial"/>
                <w:color w:val="000000"/>
                <w:szCs w:val="20"/>
                <w:lang w:eastAsia="pt-BR"/>
              </w:rPr>
            </w:pPr>
            <w:proofErr w:type="spellStart"/>
            <w:r>
              <w:rPr>
                <w:rFonts w:eastAsia="Times New Roman" w:cs="Arial"/>
                <w:color w:val="000000"/>
                <w:szCs w:val="20"/>
                <w:lang w:eastAsia="pt-BR"/>
              </w:rPr>
              <w:t>Serv</w:t>
            </w:r>
            <w:proofErr w:type="spellEnd"/>
            <w:r>
              <w:rPr>
                <w:rFonts w:eastAsia="Times New Roman" w:cs="Arial"/>
                <w:color w:val="000000"/>
                <w:szCs w:val="20"/>
                <w:lang w:eastAsia="pt-BR"/>
              </w:rPr>
              <w:t xml:space="preserve"> de </w:t>
            </w:r>
            <w:proofErr w:type="spellStart"/>
            <w:r>
              <w:rPr>
                <w:rFonts w:eastAsia="Times New Roman" w:cs="Arial"/>
                <w:color w:val="000000"/>
                <w:szCs w:val="20"/>
                <w:lang w:eastAsia="pt-BR"/>
              </w:rPr>
              <w:t>Inform</w:t>
            </w:r>
            <w:proofErr w:type="spellEnd"/>
            <w:r>
              <w:rPr>
                <w:rFonts w:eastAsia="Times New Roman" w:cs="Arial"/>
                <w:color w:val="000000"/>
                <w:szCs w:val="20"/>
                <w:lang w:eastAsia="pt-BR"/>
              </w:rPr>
              <w:t xml:space="preserve"> Técnicas ANP</w:t>
            </w:r>
          </w:p>
        </w:tc>
        <w:tc>
          <w:tcPr>
            <w:tcW w:w="1913" w:type="dxa"/>
            <w:tcBorders>
              <w:top w:val="nil"/>
              <w:left w:val="nil"/>
              <w:bottom w:val="nil"/>
              <w:right w:val="nil"/>
            </w:tcBorders>
            <w:shd w:val="clear" w:color="auto" w:fill="D9D9D9" w:themeFill="background1" w:themeFillShade="D9"/>
            <w:noWrap/>
            <w:vAlign w:val="bottom"/>
          </w:tcPr>
          <w:p w14:paraId="2529AE85" w14:textId="77777777" w:rsidR="004C19ED" w:rsidRPr="004F5601" w:rsidRDefault="004C19ED" w:rsidP="003E2CCD">
            <w:pPr>
              <w:jc w:val="right"/>
              <w:rPr>
                <w:rFonts w:cs="Arial"/>
                <w:szCs w:val="20"/>
              </w:rPr>
            </w:pPr>
            <w:r>
              <w:rPr>
                <w:rFonts w:cs="Arial"/>
                <w:szCs w:val="20"/>
              </w:rPr>
              <w:t>731.422.426,9</w:t>
            </w:r>
          </w:p>
        </w:tc>
        <w:tc>
          <w:tcPr>
            <w:tcW w:w="1956" w:type="dxa"/>
            <w:tcBorders>
              <w:top w:val="nil"/>
              <w:left w:val="nil"/>
              <w:bottom w:val="nil"/>
              <w:right w:val="nil"/>
            </w:tcBorders>
            <w:shd w:val="clear" w:color="auto" w:fill="D9D9D9" w:themeFill="background1" w:themeFillShade="D9"/>
            <w:vAlign w:val="bottom"/>
          </w:tcPr>
          <w:p w14:paraId="4B18D9D1" w14:textId="77777777" w:rsidR="004C19ED" w:rsidRPr="00EC6F3A" w:rsidRDefault="004C19ED" w:rsidP="003E2CCD">
            <w:pPr>
              <w:jc w:val="right"/>
              <w:rPr>
                <w:rFonts w:eastAsia="Times New Roman" w:cs="Arial"/>
                <w:color w:val="000000"/>
                <w:szCs w:val="20"/>
                <w:lang w:eastAsia="pt-BR"/>
              </w:rPr>
            </w:pPr>
            <w:r w:rsidRPr="008D242C">
              <w:rPr>
                <w:rFonts w:eastAsia="Times New Roman" w:cs="Arial"/>
                <w:color w:val="000000"/>
                <w:szCs w:val="20"/>
                <w:lang w:eastAsia="pt-BR"/>
              </w:rPr>
              <w:t>810.149.202,74</w:t>
            </w:r>
          </w:p>
        </w:tc>
        <w:tc>
          <w:tcPr>
            <w:tcW w:w="1161" w:type="dxa"/>
            <w:tcBorders>
              <w:top w:val="nil"/>
              <w:left w:val="nil"/>
              <w:bottom w:val="nil"/>
              <w:right w:val="nil"/>
            </w:tcBorders>
            <w:shd w:val="clear" w:color="auto" w:fill="D9D9D9" w:themeFill="background1" w:themeFillShade="D9"/>
            <w:noWrap/>
            <w:vAlign w:val="bottom"/>
          </w:tcPr>
          <w:p w14:paraId="1368F4EE" w14:textId="77777777" w:rsidR="004C19ED" w:rsidRPr="00EC6F3A" w:rsidRDefault="004C19ED" w:rsidP="003E2CCD">
            <w:pPr>
              <w:jc w:val="right"/>
              <w:rPr>
                <w:rFonts w:eastAsia="Times New Roman" w:cs="Arial"/>
                <w:color w:val="000000"/>
                <w:szCs w:val="20"/>
                <w:lang w:eastAsia="pt-BR"/>
              </w:rPr>
            </w:pPr>
            <w:r>
              <w:rPr>
                <w:rFonts w:eastAsia="Times New Roman" w:cs="Arial"/>
                <w:color w:val="000000"/>
                <w:szCs w:val="20"/>
                <w:lang w:eastAsia="pt-BR"/>
              </w:rPr>
              <w:t>-9,72</w:t>
            </w:r>
          </w:p>
        </w:tc>
      </w:tr>
      <w:tr w:rsidR="004C19ED" w:rsidRPr="00EC6F3A" w14:paraId="51BB5FC8" w14:textId="77777777" w:rsidTr="003E2CCD">
        <w:trPr>
          <w:trHeight w:val="258"/>
        </w:trPr>
        <w:tc>
          <w:tcPr>
            <w:tcW w:w="1418" w:type="dxa"/>
            <w:tcBorders>
              <w:top w:val="nil"/>
              <w:left w:val="nil"/>
              <w:bottom w:val="nil"/>
              <w:right w:val="nil"/>
            </w:tcBorders>
            <w:shd w:val="clear" w:color="auto" w:fill="auto"/>
            <w:noWrap/>
            <w:vAlign w:val="bottom"/>
          </w:tcPr>
          <w:p w14:paraId="6F9D8009" w14:textId="77777777" w:rsidR="004C19ED" w:rsidRPr="00EC6F3A" w:rsidRDefault="004C19ED" w:rsidP="003E2CCD">
            <w:pPr>
              <w:jc w:val="left"/>
              <w:rPr>
                <w:rFonts w:eastAsia="Times New Roman" w:cs="Arial"/>
                <w:color w:val="000000"/>
                <w:szCs w:val="20"/>
                <w:lang w:eastAsia="pt-BR"/>
              </w:rPr>
            </w:pPr>
            <w:r>
              <w:rPr>
                <w:rFonts w:eastAsia="Times New Roman" w:cs="Arial"/>
                <w:color w:val="000000"/>
                <w:szCs w:val="20"/>
                <w:lang w:eastAsia="pt-BR"/>
              </w:rPr>
              <w:lastRenderedPageBreak/>
              <w:t>0250322064</w:t>
            </w:r>
          </w:p>
        </w:tc>
        <w:tc>
          <w:tcPr>
            <w:tcW w:w="2917" w:type="dxa"/>
            <w:tcBorders>
              <w:top w:val="nil"/>
              <w:left w:val="nil"/>
              <w:bottom w:val="nil"/>
              <w:right w:val="nil"/>
            </w:tcBorders>
            <w:shd w:val="clear" w:color="auto" w:fill="auto"/>
            <w:vAlign w:val="center"/>
          </w:tcPr>
          <w:p w14:paraId="0845DF65" w14:textId="77777777" w:rsidR="004C19ED" w:rsidRDefault="004C19ED" w:rsidP="003E2CCD">
            <w:pPr>
              <w:jc w:val="left"/>
              <w:rPr>
                <w:rFonts w:eastAsia="Times New Roman" w:cs="Arial"/>
                <w:color w:val="000000"/>
                <w:szCs w:val="20"/>
                <w:lang w:eastAsia="pt-BR"/>
              </w:rPr>
            </w:pPr>
          </w:p>
        </w:tc>
        <w:tc>
          <w:tcPr>
            <w:tcW w:w="1913" w:type="dxa"/>
            <w:tcBorders>
              <w:top w:val="nil"/>
              <w:left w:val="nil"/>
              <w:bottom w:val="nil"/>
              <w:right w:val="nil"/>
            </w:tcBorders>
            <w:shd w:val="clear" w:color="auto" w:fill="auto"/>
            <w:noWrap/>
            <w:vAlign w:val="bottom"/>
          </w:tcPr>
          <w:p w14:paraId="7B97DE8F" w14:textId="77777777" w:rsidR="004C19ED" w:rsidRPr="002C39B9" w:rsidRDefault="004C19ED" w:rsidP="003E2CCD">
            <w:pPr>
              <w:jc w:val="right"/>
              <w:rPr>
                <w:rFonts w:eastAsia="Times New Roman" w:cs="Arial"/>
                <w:color w:val="000000"/>
                <w:szCs w:val="20"/>
                <w:lang w:eastAsia="pt-BR"/>
              </w:rPr>
            </w:pPr>
            <w:r>
              <w:rPr>
                <w:rFonts w:eastAsia="Times New Roman" w:cs="Arial"/>
                <w:color w:val="000000"/>
                <w:szCs w:val="20"/>
                <w:lang w:eastAsia="pt-BR"/>
              </w:rPr>
              <w:t>37.000.000,00</w:t>
            </w:r>
          </w:p>
        </w:tc>
        <w:tc>
          <w:tcPr>
            <w:tcW w:w="1956" w:type="dxa"/>
            <w:tcBorders>
              <w:top w:val="nil"/>
              <w:left w:val="nil"/>
              <w:bottom w:val="nil"/>
              <w:right w:val="nil"/>
            </w:tcBorders>
            <w:shd w:val="clear" w:color="auto" w:fill="auto"/>
            <w:vAlign w:val="bottom"/>
          </w:tcPr>
          <w:p w14:paraId="0C420EFC" w14:textId="77777777" w:rsidR="004C19ED" w:rsidRPr="008D242C"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1161" w:type="dxa"/>
            <w:tcBorders>
              <w:top w:val="nil"/>
              <w:left w:val="nil"/>
              <w:bottom w:val="nil"/>
              <w:right w:val="nil"/>
            </w:tcBorders>
            <w:shd w:val="clear" w:color="auto" w:fill="auto"/>
            <w:noWrap/>
            <w:vAlign w:val="bottom"/>
          </w:tcPr>
          <w:p w14:paraId="5D4596E9"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100,00</w:t>
            </w:r>
          </w:p>
        </w:tc>
      </w:tr>
      <w:tr w:rsidR="004C19ED" w:rsidRPr="00EC6F3A" w14:paraId="243EC2D3" w14:textId="77777777" w:rsidTr="003E2CCD">
        <w:trPr>
          <w:trHeight w:val="258"/>
        </w:trPr>
        <w:tc>
          <w:tcPr>
            <w:tcW w:w="1418" w:type="dxa"/>
            <w:tcBorders>
              <w:top w:val="nil"/>
              <w:left w:val="nil"/>
              <w:bottom w:val="nil"/>
              <w:right w:val="nil"/>
            </w:tcBorders>
            <w:shd w:val="clear" w:color="auto" w:fill="D9D9D9" w:themeFill="background1" w:themeFillShade="D9"/>
            <w:noWrap/>
            <w:vAlign w:val="bottom"/>
            <w:hideMark/>
          </w:tcPr>
          <w:p w14:paraId="1C564E28" w14:textId="77777777" w:rsidR="004C19ED" w:rsidRPr="00EC6F3A" w:rsidRDefault="004C19ED" w:rsidP="003E2CCD">
            <w:pPr>
              <w:jc w:val="left"/>
              <w:rPr>
                <w:rFonts w:eastAsia="Times New Roman" w:cs="Arial"/>
                <w:color w:val="000000"/>
                <w:szCs w:val="20"/>
                <w:lang w:eastAsia="pt-BR"/>
              </w:rPr>
            </w:pPr>
            <w:r w:rsidRPr="00EC6F3A">
              <w:rPr>
                <w:rFonts w:eastAsia="Times New Roman" w:cs="Arial"/>
                <w:color w:val="000000"/>
                <w:szCs w:val="20"/>
                <w:lang w:eastAsia="pt-BR"/>
              </w:rPr>
              <w:t>0</w:t>
            </w:r>
            <w:r>
              <w:rPr>
                <w:rFonts w:eastAsia="Times New Roman" w:cs="Arial"/>
                <w:color w:val="000000"/>
                <w:szCs w:val="20"/>
                <w:lang w:eastAsia="pt-BR"/>
              </w:rPr>
              <w:t>650322051</w:t>
            </w:r>
          </w:p>
        </w:tc>
        <w:tc>
          <w:tcPr>
            <w:tcW w:w="2917" w:type="dxa"/>
            <w:tcBorders>
              <w:top w:val="nil"/>
              <w:left w:val="nil"/>
              <w:bottom w:val="nil"/>
              <w:right w:val="nil"/>
            </w:tcBorders>
            <w:shd w:val="clear" w:color="auto" w:fill="D9D9D9" w:themeFill="background1" w:themeFillShade="D9"/>
            <w:vAlign w:val="center"/>
            <w:hideMark/>
          </w:tcPr>
          <w:p w14:paraId="3601077C" w14:textId="77777777" w:rsidR="004C19ED" w:rsidRPr="00EC6F3A" w:rsidRDefault="004C19ED" w:rsidP="003E2CCD">
            <w:pPr>
              <w:jc w:val="left"/>
              <w:rPr>
                <w:rFonts w:eastAsia="Times New Roman" w:cs="Arial"/>
                <w:color w:val="000000"/>
                <w:szCs w:val="20"/>
                <w:lang w:eastAsia="pt-BR"/>
              </w:rPr>
            </w:pPr>
            <w:proofErr w:type="spellStart"/>
            <w:r>
              <w:rPr>
                <w:rFonts w:eastAsia="Times New Roman" w:cs="Arial"/>
                <w:color w:val="000000"/>
                <w:szCs w:val="20"/>
                <w:lang w:eastAsia="pt-BR"/>
              </w:rPr>
              <w:t>Serv</w:t>
            </w:r>
            <w:proofErr w:type="spellEnd"/>
            <w:r>
              <w:rPr>
                <w:rFonts w:eastAsia="Times New Roman" w:cs="Arial"/>
                <w:color w:val="000000"/>
                <w:szCs w:val="20"/>
                <w:lang w:eastAsia="pt-BR"/>
              </w:rPr>
              <w:t xml:space="preserve"> </w:t>
            </w:r>
            <w:proofErr w:type="spellStart"/>
            <w:r>
              <w:rPr>
                <w:rFonts w:eastAsia="Times New Roman" w:cs="Arial"/>
                <w:color w:val="000000"/>
                <w:szCs w:val="20"/>
                <w:lang w:eastAsia="pt-BR"/>
              </w:rPr>
              <w:t>Inf</w:t>
            </w:r>
            <w:proofErr w:type="spellEnd"/>
            <w:r>
              <w:rPr>
                <w:rFonts w:eastAsia="Times New Roman" w:cs="Arial"/>
                <w:color w:val="000000"/>
                <w:szCs w:val="20"/>
                <w:lang w:eastAsia="pt-BR"/>
              </w:rPr>
              <w:t xml:space="preserve"> </w:t>
            </w:r>
            <w:proofErr w:type="spellStart"/>
            <w:r>
              <w:rPr>
                <w:rFonts w:eastAsia="Times New Roman" w:cs="Arial"/>
                <w:color w:val="000000"/>
                <w:szCs w:val="20"/>
                <w:lang w:eastAsia="pt-BR"/>
              </w:rPr>
              <w:t>Téc</w:t>
            </w:r>
            <w:proofErr w:type="spellEnd"/>
            <w:r>
              <w:rPr>
                <w:rFonts w:eastAsia="Times New Roman" w:cs="Arial"/>
                <w:color w:val="000000"/>
                <w:szCs w:val="20"/>
                <w:lang w:eastAsia="pt-BR"/>
              </w:rPr>
              <w:t xml:space="preserve"> ANP </w:t>
            </w:r>
            <w:proofErr w:type="spellStart"/>
            <w:r>
              <w:rPr>
                <w:rFonts w:eastAsia="Times New Roman" w:cs="Arial"/>
                <w:color w:val="000000"/>
                <w:szCs w:val="20"/>
                <w:lang w:eastAsia="pt-BR"/>
              </w:rPr>
              <w:t>ExerAnterior</w:t>
            </w:r>
            <w:proofErr w:type="spellEnd"/>
          </w:p>
        </w:tc>
        <w:tc>
          <w:tcPr>
            <w:tcW w:w="1913" w:type="dxa"/>
            <w:tcBorders>
              <w:top w:val="nil"/>
              <w:left w:val="nil"/>
              <w:bottom w:val="nil"/>
              <w:right w:val="nil"/>
            </w:tcBorders>
            <w:shd w:val="clear" w:color="auto" w:fill="D9D9D9" w:themeFill="background1" w:themeFillShade="D9"/>
            <w:noWrap/>
            <w:vAlign w:val="bottom"/>
          </w:tcPr>
          <w:p w14:paraId="6088E74D" w14:textId="77777777" w:rsidR="004C19ED" w:rsidRPr="004F5601" w:rsidRDefault="004C19ED" w:rsidP="003E2CCD">
            <w:pPr>
              <w:jc w:val="right"/>
              <w:rPr>
                <w:rFonts w:cs="Arial"/>
                <w:szCs w:val="20"/>
              </w:rPr>
            </w:pPr>
            <w:r>
              <w:rPr>
                <w:rFonts w:cs="Arial"/>
                <w:szCs w:val="20"/>
              </w:rPr>
              <w:t>1.486.764,15</w:t>
            </w:r>
          </w:p>
        </w:tc>
        <w:tc>
          <w:tcPr>
            <w:tcW w:w="1956" w:type="dxa"/>
            <w:tcBorders>
              <w:top w:val="nil"/>
              <w:left w:val="nil"/>
              <w:bottom w:val="nil"/>
              <w:right w:val="nil"/>
            </w:tcBorders>
            <w:shd w:val="clear" w:color="auto" w:fill="D9D9D9" w:themeFill="background1" w:themeFillShade="D9"/>
            <w:vAlign w:val="bottom"/>
          </w:tcPr>
          <w:p w14:paraId="7F1E6B35" w14:textId="77777777" w:rsidR="004C19ED" w:rsidRPr="00EC6F3A" w:rsidRDefault="004C19ED" w:rsidP="003E2CCD">
            <w:pPr>
              <w:jc w:val="right"/>
              <w:rPr>
                <w:rFonts w:eastAsia="Times New Roman" w:cs="Arial"/>
                <w:color w:val="000000"/>
                <w:szCs w:val="20"/>
                <w:lang w:eastAsia="pt-BR"/>
              </w:rPr>
            </w:pPr>
            <w:r w:rsidRPr="008D242C">
              <w:rPr>
                <w:rFonts w:eastAsia="Times New Roman" w:cs="Arial"/>
                <w:color w:val="000000"/>
                <w:szCs w:val="20"/>
                <w:lang w:eastAsia="pt-BR"/>
              </w:rPr>
              <w:t>3.661.878,87</w:t>
            </w:r>
          </w:p>
        </w:tc>
        <w:tc>
          <w:tcPr>
            <w:tcW w:w="1161" w:type="dxa"/>
            <w:tcBorders>
              <w:top w:val="nil"/>
              <w:left w:val="nil"/>
              <w:bottom w:val="nil"/>
              <w:right w:val="nil"/>
            </w:tcBorders>
            <w:shd w:val="clear" w:color="auto" w:fill="D9D9D9" w:themeFill="background1" w:themeFillShade="D9"/>
            <w:noWrap/>
            <w:vAlign w:val="bottom"/>
          </w:tcPr>
          <w:p w14:paraId="4D03C238" w14:textId="77777777" w:rsidR="004C19ED" w:rsidRPr="00EC6F3A" w:rsidRDefault="004C19ED" w:rsidP="003E2CCD">
            <w:pPr>
              <w:jc w:val="right"/>
              <w:rPr>
                <w:rFonts w:eastAsia="Times New Roman" w:cs="Arial"/>
                <w:color w:val="000000"/>
                <w:szCs w:val="20"/>
                <w:lang w:eastAsia="pt-BR"/>
              </w:rPr>
            </w:pPr>
            <w:r>
              <w:rPr>
                <w:rFonts w:eastAsia="Times New Roman" w:cs="Arial"/>
                <w:color w:val="000000"/>
                <w:szCs w:val="20"/>
                <w:lang w:eastAsia="pt-BR"/>
              </w:rPr>
              <w:t>-59,40</w:t>
            </w:r>
          </w:p>
        </w:tc>
      </w:tr>
      <w:tr w:rsidR="004C19ED" w:rsidRPr="00EC6F3A" w14:paraId="1586CAC5" w14:textId="77777777" w:rsidTr="003E2CCD">
        <w:trPr>
          <w:trHeight w:val="258"/>
        </w:trPr>
        <w:tc>
          <w:tcPr>
            <w:tcW w:w="1418" w:type="dxa"/>
            <w:tcBorders>
              <w:top w:val="nil"/>
              <w:left w:val="nil"/>
              <w:bottom w:val="nil"/>
              <w:right w:val="nil"/>
            </w:tcBorders>
            <w:shd w:val="clear" w:color="auto" w:fill="auto"/>
            <w:noWrap/>
            <w:vAlign w:val="bottom"/>
          </w:tcPr>
          <w:p w14:paraId="16C4E262" w14:textId="77777777" w:rsidR="004C19ED" w:rsidRPr="00EC6F3A" w:rsidRDefault="004C19ED" w:rsidP="003E2CCD">
            <w:pPr>
              <w:jc w:val="left"/>
              <w:rPr>
                <w:rFonts w:eastAsia="Times New Roman" w:cs="Arial"/>
                <w:color w:val="000000"/>
                <w:szCs w:val="20"/>
                <w:lang w:eastAsia="pt-BR"/>
              </w:rPr>
            </w:pPr>
            <w:r>
              <w:rPr>
                <w:rFonts w:eastAsia="Times New Roman" w:cs="Arial"/>
                <w:color w:val="000000"/>
                <w:szCs w:val="20"/>
                <w:lang w:eastAsia="pt-BR"/>
              </w:rPr>
              <w:t>Outras fontes</w:t>
            </w:r>
          </w:p>
        </w:tc>
        <w:tc>
          <w:tcPr>
            <w:tcW w:w="2917" w:type="dxa"/>
            <w:tcBorders>
              <w:top w:val="nil"/>
              <w:left w:val="nil"/>
              <w:bottom w:val="nil"/>
              <w:right w:val="nil"/>
            </w:tcBorders>
            <w:shd w:val="clear" w:color="auto" w:fill="auto"/>
            <w:vAlign w:val="center"/>
          </w:tcPr>
          <w:p w14:paraId="1A2D9941" w14:textId="77777777" w:rsidR="004C19ED" w:rsidRDefault="004C19ED" w:rsidP="003E2CCD">
            <w:pPr>
              <w:jc w:val="left"/>
              <w:rPr>
                <w:rFonts w:eastAsia="Times New Roman" w:cs="Arial"/>
                <w:color w:val="000000"/>
                <w:szCs w:val="20"/>
                <w:lang w:eastAsia="pt-BR"/>
              </w:rPr>
            </w:pPr>
          </w:p>
        </w:tc>
        <w:tc>
          <w:tcPr>
            <w:tcW w:w="1913" w:type="dxa"/>
            <w:tcBorders>
              <w:top w:val="nil"/>
              <w:left w:val="nil"/>
              <w:bottom w:val="nil"/>
              <w:right w:val="nil"/>
            </w:tcBorders>
            <w:shd w:val="clear" w:color="auto" w:fill="auto"/>
            <w:noWrap/>
            <w:vAlign w:val="bottom"/>
          </w:tcPr>
          <w:p w14:paraId="625D094F" w14:textId="77777777" w:rsidR="004C19ED" w:rsidRPr="004F5601" w:rsidRDefault="004C19ED" w:rsidP="003E2CCD">
            <w:pPr>
              <w:jc w:val="right"/>
              <w:rPr>
                <w:rFonts w:cs="Arial"/>
                <w:szCs w:val="20"/>
              </w:rPr>
            </w:pPr>
            <w:r>
              <w:rPr>
                <w:rFonts w:cs="Arial"/>
                <w:szCs w:val="20"/>
              </w:rPr>
              <w:t>759.846,10</w:t>
            </w:r>
          </w:p>
        </w:tc>
        <w:tc>
          <w:tcPr>
            <w:tcW w:w="1956" w:type="dxa"/>
            <w:tcBorders>
              <w:top w:val="nil"/>
              <w:left w:val="nil"/>
              <w:bottom w:val="nil"/>
              <w:right w:val="nil"/>
            </w:tcBorders>
            <w:shd w:val="clear" w:color="auto" w:fill="auto"/>
            <w:vAlign w:val="bottom"/>
          </w:tcPr>
          <w:p w14:paraId="263B0C78" w14:textId="77777777" w:rsidR="004C19ED" w:rsidRPr="008D242C"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1161" w:type="dxa"/>
            <w:tcBorders>
              <w:top w:val="nil"/>
              <w:left w:val="nil"/>
              <w:bottom w:val="nil"/>
              <w:right w:val="nil"/>
            </w:tcBorders>
            <w:shd w:val="clear" w:color="auto" w:fill="auto"/>
            <w:noWrap/>
            <w:vAlign w:val="bottom"/>
          </w:tcPr>
          <w:p w14:paraId="425A193B"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100,00</w:t>
            </w:r>
          </w:p>
        </w:tc>
      </w:tr>
      <w:tr w:rsidR="004C19ED" w:rsidRPr="00EC6F3A" w14:paraId="6D9C9EA0" w14:textId="77777777" w:rsidTr="003E2CCD">
        <w:trPr>
          <w:trHeight w:val="258"/>
        </w:trPr>
        <w:tc>
          <w:tcPr>
            <w:tcW w:w="1418" w:type="dxa"/>
            <w:tcBorders>
              <w:top w:val="nil"/>
              <w:left w:val="nil"/>
              <w:bottom w:val="single" w:sz="4" w:space="0" w:color="000000"/>
              <w:right w:val="nil"/>
            </w:tcBorders>
            <w:shd w:val="clear" w:color="D9D9D9" w:fill="D9D9D9"/>
            <w:noWrap/>
            <w:vAlign w:val="bottom"/>
            <w:hideMark/>
          </w:tcPr>
          <w:p w14:paraId="6F1DB557" w14:textId="77777777" w:rsidR="004C19ED" w:rsidRPr="00EC6F3A" w:rsidRDefault="004C19ED" w:rsidP="003E2CCD">
            <w:pPr>
              <w:jc w:val="left"/>
              <w:rPr>
                <w:rFonts w:eastAsia="Times New Roman" w:cs="Arial"/>
                <w:b/>
                <w:bCs/>
                <w:color w:val="000000"/>
                <w:szCs w:val="20"/>
                <w:lang w:eastAsia="pt-BR"/>
              </w:rPr>
            </w:pPr>
            <w:r w:rsidRPr="00EC6F3A">
              <w:rPr>
                <w:rFonts w:eastAsia="Times New Roman" w:cs="Arial"/>
                <w:b/>
                <w:bCs/>
                <w:color w:val="000000"/>
                <w:szCs w:val="20"/>
                <w:lang w:eastAsia="pt-BR"/>
              </w:rPr>
              <w:t>Total</w:t>
            </w:r>
          </w:p>
        </w:tc>
        <w:tc>
          <w:tcPr>
            <w:tcW w:w="2917" w:type="dxa"/>
            <w:tcBorders>
              <w:top w:val="nil"/>
              <w:left w:val="nil"/>
              <w:bottom w:val="single" w:sz="4" w:space="0" w:color="000000"/>
              <w:right w:val="nil"/>
            </w:tcBorders>
            <w:shd w:val="clear" w:color="D9D9D9" w:fill="D9D9D9"/>
            <w:noWrap/>
            <w:vAlign w:val="bottom"/>
            <w:hideMark/>
          </w:tcPr>
          <w:p w14:paraId="61C2B946" w14:textId="77777777" w:rsidR="004C19ED" w:rsidRPr="00EC6F3A" w:rsidRDefault="004C19ED" w:rsidP="003E2CCD">
            <w:pPr>
              <w:jc w:val="left"/>
              <w:rPr>
                <w:rFonts w:eastAsia="Times New Roman" w:cs="Arial"/>
                <w:b/>
                <w:bCs/>
                <w:color w:val="000000"/>
                <w:szCs w:val="20"/>
                <w:lang w:eastAsia="pt-BR"/>
              </w:rPr>
            </w:pPr>
          </w:p>
        </w:tc>
        <w:tc>
          <w:tcPr>
            <w:tcW w:w="1913" w:type="dxa"/>
            <w:tcBorders>
              <w:top w:val="nil"/>
              <w:left w:val="nil"/>
              <w:bottom w:val="single" w:sz="4" w:space="0" w:color="000000"/>
              <w:right w:val="nil"/>
            </w:tcBorders>
            <w:shd w:val="clear" w:color="D9D9D9" w:fill="D9D9D9"/>
            <w:noWrap/>
            <w:vAlign w:val="bottom"/>
            <w:hideMark/>
          </w:tcPr>
          <w:p w14:paraId="064A9736" w14:textId="77777777" w:rsidR="004C19ED" w:rsidRPr="004F5601" w:rsidRDefault="004C19ED" w:rsidP="003E2CCD">
            <w:pPr>
              <w:jc w:val="right"/>
              <w:rPr>
                <w:rFonts w:eastAsia="Times New Roman" w:cs="Arial"/>
                <w:b/>
                <w:bCs/>
                <w:color w:val="000000"/>
                <w:szCs w:val="20"/>
                <w:lang w:eastAsia="pt-BR"/>
              </w:rPr>
            </w:pPr>
            <w:r w:rsidRPr="006F47F1">
              <w:rPr>
                <w:rFonts w:eastAsia="Times New Roman" w:cs="Arial"/>
                <w:b/>
                <w:bCs/>
                <w:color w:val="000000"/>
                <w:szCs w:val="20"/>
                <w:lang w:eastAsia="pt-BR"/>
              </w:rPr>
              <w:t xml:space="preserve">     </w:t>
            </w:r>
            <w:r w:rsidRPr="006F47F1">
              <w:rPr>
                <w:rFonts w:cs="Arial"/>
                <w:b/>
                <w:bCs/>
                <w:szCs w:val="20"/>
              </w:rPr>
              <w:t>1.481.436.283,47</w:t>
            </w:r>
          </w:p>
        </w:tc>
        <w:tc>
          <w:tcPr>
            <w:tcW w:w="1956" w:type="dxa"/>
            <w:tcBorders>
              <w:top w:val="nil"/>
              <w:left w:val="nil"/>
              <w:bottom w:val="single" w:sz="4" w:space="0" w:color="000000"/>
              <w:right w:val="nil"/>
            </w:tcBorders>
            <w:shd w:val="clear" w:color="D9D9D9" w:fill="D9D9D9"/>
            <w:vAlign w:val="bottom"/>
          </w:tcPr>
          <w:p w14:paraId="7697B1DB" w14:textId="77777777" w:rsidR="004C19ED" w:rsidRPr="00EC6F3A" w:rsidRDefault="004C19ED" w:rsidP="003E2CCD">
            <w:pPr>
              <w:jc w:val="right"/>
              <w:rPr>
                <w:rFonts w:eastAsia="Times New Roman" w:cs="Arial"/>
                <w:b/>
                <w:bCs/>
                <w:color w:val="000000"/>
                <w:szCs w:val="20"/>
                <w:lang w:eastAsia="pt-BR"/>
              </w:rPr>
            </w:pPr>
            <w:r w:rsidRPr="00EC6F3A">
              <w:rPr>
                <w:rFonts w:eastAsia="Times New Roman" w:cs="Arial"/>
                <w:b/>
                <w:bCs/>
                <w:color w:val="000000"/>
                <w:szCs w:val="20"/>
                <w:lang w:eastAsia="pt-BR"/>
              </w:rPr>
              <w:t xml:space="preserve"> </w:t>
            </w:r>
            <w:r>
              <w:rPr>
                <w:rFonts w:eastAsia="Times New Roman" w:cs="Arial"/>
                <w:b/>
                <w:bCs/>
                <w:color w:val="000000"/>
                <w:szCs w:val="20"/>
                <w:lang w:eastAsia="pt-BR"/>
              </w:rPr>
              <w:t xml:space="preserve">     </w:t>
            </w:r>
            <w:r w:rsidRPr="008D242C">
              <w:rPr>
                <w:rFonts w:eastAsia="Times New Roman" w:cs="Arial"/>
                <w:b/>
                <w:bCs/>
                <w:color w:val="000000"/>
                <w:szCs w:val="20"/>
                <w:lang w:eastAsia="pt-BR"/>
              </w:rPr>
              <w:t>825.987.909,69</w:t>
            </w:r>
          </w:p>
        </w:tc>
        <w:tc>
          <w:tcPr>
            <w:tcW w:w="1161" w:type="dxa"/>
            <w:tcBorders>
              <w:top w:val="nil"/>
              <w:left w:val="nil"/>
              <w:bottom w:val="single" w:sz="4" w:space="0" w:color="000000"/>
              <w:right w:val="nil"/>
            </w:tcBorders>
            <w:shd w:val="clear" w:color="D9D9D9" w:fill="D9D9D9"/>
            <w:noWrap/>
            <w:vAlign w:val="bottom"/>
            <w:hideMark/>
          </w:tcPr>
          <w:p w14:paraId="348F0416" w14:textId="77777777" w:rsidR="004C19ED" w:rsidRPr="00EC6F3A"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55,76</w:t>
            </w:r>
          </w:p>
        </w:tc>
      </w:tr>
    </w:tbl>
    <w:p w14:paraId="2C7E49C7" w14:textId="77777777" w:rsidR="004C19ED" w:rsidRPr="00EC6F3A" w:rsidRDefault="004C19ED" w:rsidP="004C19ED">
      <w:pPr>
        <w:rPr>
          <w:rFonts w:cs="Arial"/>
          <w:i/>
          <w:szCs w:val="20"/>
        </w:rPr>
      </w:pPr>
      <w:r w:rsidRPr="00EC6F3A">
        <w:rPr>
          <w:rFonts w:cs="Arial"/>
          <w:i/>
          <w:szCs w:val="20"/>
        </w:rPr>
        <w:t>Fonte: SIAFI, 20</w:t>
      </w:r>
      <w:r>
        <w:rPr>
          <w:rFonts w:cs="Arial"/>
          <w:i/>
          <w:szCs w:val="20"/>
        </w:rPr>
        <w:t>21</w:t>
      </w:r>
      <w:r w:rsidRPr="00EC6F3A">
        <w:rPr>
          <w:rFonts w:cs="Arial"/>
          <w:i/>
          <w:szCs w:val="20"/>
        </w:rPr>
        <w:t xml:space="preserve"> e 20</w:t>
      </w:r>
      <w:r>
        <w:rPr>
          <w:rFonts w:cs="Arial"/>
          <w:i/>
          <w:szCs w:val="20"/>
        </w:rPr>
        <w:t>20</w:t>
      </w:r>
      <w:r w:rsidRPr="00EC6F3A">
        <w:rPr>
          <w:rFonts w:cs="Arial"/>
          <w:i/>
          <w:szCs w:val="20"/>
        </w:rPr>
        <w:t>.</w:t>
      </w:r>
    </w:p>
    <w:p w14:paraId="03E10F45" w14:textId="77777777" w:rsidR="004C19ED" w:rsidRPr="00C0371B" w:rsidRDefault="004C19ED" w:rsidP="004C19ED">
      <w:pPr>
        <w:rPr>
          <w:rFonts w:cs="Arial"/>
          <w:sz w:val="22"/>
        </w:rPr>
      </w:pPr>
    </w:p>
    <w:p w14:paraId="6C13717A" w14:textId="77777777" w:rsidR="004C19ED" w:rsidRDefault="004C19ED" w:rsidP="004C19ED">
      <w:pPr>
        <w:rPr>
          <w:rFonts w:cs="Arial"/>
          <w:sz w:val="22"/>
        </w:rPr>
      </w:pPr>
      <w:r>
        <w:rPr>
          <w:rFonts w:cs="Arial"/>
          <w:sz w:val="22"/>
        </w:rPr>
        <w:t>Em suma, o</w:t>
      </w:r>
      <w:r w:rsidRPr="00C0371B">
        <w:rPr>
          <w:rFonts w:cs="Arial"/>
          <w:sz w:val="22"/>
        </w:rPr>
        <w:t xml:space="preserve">s recursos </w:t>
      </w:r>
      <w:r>
        <w:rPr>
          <w:rFonts w:cs="Arial"/>
          <w:sz w:val="22"/>
        </w:rPr>
        <w:t>disponíveis correspondem</w:t>
      </w:r>
      <w:r w:rsidRPr="00C0371B">
        <w:rPr>
          <w:rFonts w:cs="Arial"/>
          <w:sz w:val="22"/>
        </w:rPr>
        <w:t xml:space="preserve"> às Taxas de Fiscalização, às Multas aplicadas aos agentes regulados</w:t>
      </w:r>
      <w:r>
        <w:rPr>
          <w:rFonts w:cs="Arial"/>
          <w:sz w:val="22"/>
        </w:rPr>
        <w:t>, Royalties do Petróleo e Serviços de Informações Técnica de dados prestados pela agência ao público em geral.</w:t>
      </w:r>
    </w:p>
    <w:p w14:paraId="40F543FD" w14:textId="77777777" w:rsidR="004C19ED" w:rsidRDefault="004C19ED" w:rsidP="004C19ED">
      <w:pPr>
        <w:rPr>
          <w:rFonts w:cs="Arial"/>
          <w:sz w:val="22"/>
        </w:rPr>
      </w:pPr>
    </w:p>
    <w:p w14:paraId="1C3E25B1" w14:textId="77777777" w:rsidR="004C19ED" w:rsidRDefault="004C19ED" w:rsidP="004C19ED">
      <w:pPr>
        <w:rPr>
          <w:rFonts w:cs="Arial"/>
          <w:sz w:val="22"/>
        </w:rPr>
      </w:pPr>
      <w:r>
        <w:rPr>
          <w:rFonts w:cs="Arial"/>
          <w:sz w:val="22"/>
        </w:rPr>
        <w:t xml:space="preserve">Durante o exercício de 2021, foi incorporado  o saldo da conta corrente que havia em nome da ANP junto ao Banco do Brasil para recebimentos das taxas de participação nos leilões e Serviços de Informações Técnica de dados, eminentemente oriundos do exterior. Dessa forma, esses valores foram recolhidos à Conta Única, gerando entradas expressivas na fonte </w:t>
      </w:r>
      <w:r w:rsidRPr="00E82AE7">
        <w:rPr>
          <w:rFonts w:cs="Arial"/>
          <w:sz w:val="22"/>
        </w:rPr>
        <w:t>0150322051 e 0180322650 e contribuindo para o aumento das disponibilidades.</w:t>
      </w:r>
      <w:r>
        <w:rPr>
          <w:rFonts w:cs="Arial"/>
          <w:sz w:val="22"/>
        </w:rPr>
        <w:t xml:space="preserve"> </w:t>
      </w:r>
    </w:p>
    <w:p w14:paraId="1738B68B" w14:textId="77777777" w:rsidR="004C19ED" w:rsidRDefault="004C19ED" w:rsidP="004C19ED">
      <w:pPr>
        <w:rPr>
          <w:rFonts w:cs="Arial"/>
          <w:sz w:val="22"/>
        </w:rPr>
      </w:pPr>
    </w:p>
    <w:p w14:paraId="75BFB1A8" w14:textId="77777777" w:rsidR="004C19ED" w:rsidRPr="00514A8E" w:rsidRDefault="004C19ED" w:rsidP="004C19ED">
      <w:pPr>
        <w:rPr>
          <w:rFonts w:cs="Arial"/>
          <w:sz w:val="22"/>
        </w:rPr>
      </w:pPr>
      <w:r w:rsidRPr="00514A8E">
        <w:rPr>
          <w:rFonts w:cs="Arial"/>
          <w:sz w:val="22"/>
        </w:rPr>
        <w:t xml:space="preserve">Ainda integram o Caixa e Equivalentes de Caixa, os saldos relativos a numerários em outros bancos. Estes referem-se às Garantias Contratuais, na modalidade caução em dinheiro, depositadas em contas abertas junto à Caixa Econômica Federal, por empresas contratadas pela ANP para fornecimento de bens e serviços. O saldo das cauções em dinheiro referentes às concessões de áreas de exploração de óleo e gás, apesar de constarem nas contas de controle,  ainda necessitam de ajuste na contas de ativo e passivo para refletirem adequadamente seus registros, fato esse que está sendo providenciado no primeiro trimestre de 2021. </w:t>
      </w:r>
    </w:p>
    <w:p w14:paraId="560F7EF4" w14:textId="77777777" w:rsidR="004C19ED" w:rsidRPr="008B7F61" w:rsidRDefault="004C19ED" w:rsidP="004C19ED">
      <w:pPr>
        <w:rPr>
          <w:rFonts w:cs="Arial"/>
          <w:sz w:val="22"/>
          <w:highlight w:val="yellow"/>
        </w:rPr>
      </w:pPr>
    </w:p>
    <w:p w14:paraId="2B863979" w14:textId="77777777" w:rsidR="004C19ED" w:rsidRDefault="004C19ED" w:rsidP="004C19ED">
      <w:pPr>
        <w:rPr>
          <w:rFonts w:cs="Arial"/>
          <w:sz w:val="22"/>
        </w:rPr>
      </w:pPr>
      <w:r w:rsidRPr="00514A8E">
        <w:rPr>
          <w:rFonts w:cs="Arial"/>
          <w:sz w:val="22"/>
        </w:rPr>
        <w:t>Os valores a seguir mostram essa composição e referem-se a contratos vigentes</w:t>
      </w:r>
      <w:r>
        <w:rPr>
          <w:rFonts w:cs="Arial"/>
          <w:sz w:val="22"/>
        </w:rPr>
        <w:t xml:space="preserve"> das </w:t>
      </w:r>
      <w:r w:rsidRPr="00514A8E">
        <w:rPr>
          <w:rFonts w:cs="Arial"/>
          <w:sz w:val="22"/>
        </w:rPr>
        <w:t>por empresas contratadas pela ANP para fornecimento de bens e serviços. Ressalte-se que, os saldos não contemplam atualização monetária, em razão da dificuldade na obtenção dos extratos junto às respectivas agências bancárias onde os recursos estão depositados.</w:t>
      </w:r>
    </w:p>
    <w:p w14:paraId="5757A0D6" w14:textId="77777777" w:rsidR="004C19ED" w:rsidRDefault="004C19ED" w:rsidP="004C19ED">
      <w:pPr>
        <w:rPr>
          <w:rFonts w:cs="Arial"/>
          <w:sz w:val="22"/>
        </w:rPr>
      </w:pPr>
    </w:p>
    <w:p w14:paraId="57C20F54" w14:textId="77777777" w:rsidR="004C19ED" w:rsidRPr="00957BE7" w:rsidRDefault="004C19ED" w:rsidP="004C19ED">
      <w:pPr>
        <w:rPr>
          <w:rFonts w:cs="Arial"/>
          <w:b/>
          <w:sz w:val="22"/>
        </w:rPr>
      </w:pPr>
      <w:r w:rsidRPr="00957BE7">
        <w:rPr>
          <w:rFonts w:cs="Arial"/>
          <w:b/>
          <w:sz w:val="22"/>
        </w:rPr>
        <w:t xml:space="preserve">Tabela </w:t>
      </w:r>
      <w:r>
        <w:rPr>
          <w:rFonts w:cs="Arial"/>
          <w:b/>
          <w:sz w:val="22"/>
        </w:rPr>
        <w:t>2</w:t>
      </w:r>
      <w:r w:rsidRPr="00957BE7">
        <w:rPr>
          <w:rFonts w:cs="Arial"/>
          <w:b/>
          <w:sz w:val="22"/>
        </w:rPr>
        <w:t xml:space="preserve"> – Recursos em outros Bancos – C</w:t>
      </w:r>
      <w:r>
        <w:rPr>
          <w:rFonts w:cs="Arial"/>
          <w:b/>
          <w:sz w:val="22"/>
        </w:rPr>
        <w:t>aixa Econômica Federal</w:t>
      </w:r>
    </w:p>
    <w:p w14:paraId="4AD2DE56" w14:textId="77777777" w:rsidR="004C19ED" w:rsidRPr="00957BE7" w:rsidRDefault="004C19ED" w:rsidP="004C19ED">
      <w:pPr>
        <w:rPr>
          <w:rFonts w:cs="Arial"/>
          <w:sz w:val="22"/>
        </w:rPr>
      </w:pP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sz w:val="22"/>
        </w:rPr>
        <w:t>R$</w:t>
      </w:r>
    </w:p>
    <w:tbl>
      <w:tblPr>
        <w:tblW w:w="9209" w:type="dxa"/>
        <w:tblCellMar>
          <w:left w:w="70" w:type="dxa"/>
          <w:right w:w="70" w:type="dxa"/>
        </w:tblCellMar>
        <w:tblLook w:val="04A0" w:firstRow="1" w:lastRow="0" w:firstColumn="1" w:lastColumn="0" w:noHBand="0" w:noVBand="1"/>
      </w:tblPr>
      <w:tblGrid>
        <w:gridCol w:w="1683"/>
        <w:gridCol w:w="2806"/>
        <w:gridCol w:w="1995"/>
        <w:gridCol w:w="1420"/>
        <w:gridCol w:w="1305"/>
      </w:tblGrid>
      <w:tr w:rsidR="004C19ED" w:rsidRPr="009D62DC" w14:paraId="3EFDE1DC" w14:textId="77777777" w:rsidTr="003E2CCD">
        <w:trPr>
          <w:trHeight w:val="245"/>
        </w:trPr>
        <w:tc>
          <w:tcPr>
            <w:tcW w:w="1683" w:type="dxa"/>
            <w:tcBorders>
              <w:top w:val="single" w:sz="4" w:space="0" w:color="000000"/>
              <w:left w:val="nil"/>
              <w:bottom w:val="single" w:sz="4" w:space="0" w:color="000000"/>
              <w:right w:val="nil"/>
            </w:tcBorders>
            <w:shd w:val="clear" w:color="auto" w:fill="auto"/>
            <w:noWrap/>
            <w:vAlign w:val="bottom"/>
            <w:hideMark/>
          </w:tcPr>
          <w:p w14:paraId="16A85466" w14:textId="77777777" w:rsidR="004C19ED" w:rsidRPr="009352A2" w:rsidRDefault="004C19ED" w:rsidP="003E2CCD">
            <w:pPr>
              <w:jc w:val="left"/>
              <w:rPr>
                <w:rFonts w:eastAsia="Times New Roman" w:cs="Arial"/>
                <w:b/>
                <w:bCs/>
                <w:color w:val="000000"/>
                <w:szCs w:val="20"/>
                <w:lang w:eastAsia="pt-BR"/>
              </w:rPr>
            </w:pPr>
            <w:r w:rsidRPr="009352A2">
              <w:rPr>
                <w:rFonts w:eastAsia="Times New Roman" w:cs="Arial"/>
                <w:b/>
                <w:bCs/>
                <w:color w:val="000000"/>
                <w:szCs w:val="20"/>
                <w:lang w:eastAsia="pt-BR"/>
              </w:rPr>
              <w:t xml:space="preserve">Fonte Recursos </w:t>
            </w:r>
          </w:p>
        </w:tc>
        <w:tc>
          <w:tcPr>
            <w:tcW w:w="2806" w:type="dxa"/>
            <w:tcBorders>
              <w:top w:val="single" w:sz="4" w:space="0" w:color="000000"/>
              <w:left w:val="nil"/>
              <w:bottom w:val="single" w:sz="4" w:space="0" w:color="000000"/>
              <w:right w:val="nil"/>
            </w:tcBorders>
            <w:shd w:val="clear" w:color="auto" w:fill="auto"/>
            <w:noWrap/>
            <w:vAlign w:val="bottom"/>
            <w:hideMark/>
          </w:tcPr>
          <w:p w14:paraId="52BA87A6" w14:textId="77777777" w:rsidR="004C19ED" w:rsidRPr="009352A2" w:rsidRDefault="004C19ED" w:rsidP="003E2CCD">
            <w:pPr>
              <w:jc w:val="left"/>
              <w:rPr>
                <w:rFonts w:eastAsia="Times New Roman" w:cs="Arial"/>
                <w:b/>
                <w:bCs/>
                <w:color w:val="000000"/>
                <w:szCs w:val="20"/>
                <w:lang w:eastAsia="pt-BR"/>
              </w:rPr>
            </w:pPr>
            <w:r w:rsidRPr="009352A2">
              <w:rPr>
                <w:rFonts w:eastAsia="Times New Roman" w:cs="Arial"/>
                <w:b/>
                <w:bCs/>
                <w:color w:val="000000"/>
                <w:szCs w:val="20"/>
                <w:lang w:eastAsia="pt-BR"/>
              </w:rPr>
              <w:t>Descrição</w:t>
            </w:r>
          </w:p>
        </w:tc>
        <w:tc>
          <w:tcPr>
            <w:tcW w:w="1995" w:type="dxa"/>
            <w:tcBorders>
              <w:top w:val="single" w:sz="4" w:space="0" w:color="000000"/>
              <w:left w:val="nil"/>
              <w:bottom w:val="single" w:sz="4" w:space="0" w:color="000000"/>
              <w:right w:val="nil"/>
            </w:tcBorders>
            <w:shd w:val="clear" w:color="auto" w:fill="auto"/>
            <w:noWrap/>
            <w:vAlign w:val="bottom"/>
            <w:hideMark/>
          </w:tcPr>
          <w:p w14:paraId="58F2C6CA" w14:textId="77777777" w:rsidR="004C19ED" w:rsidRPr="00E82AE7" w:rsidRDefault="004C19ED" w:rsidP="003E2CCD">
            <w:pPr>
              <w:jc w:val="right"/>
              <w:rPr>
                <w:rFonts w:eastAsia="Times New Roman" w:cs="Arial"/>
                <w:b/>
                <w:bCs/>
                <w:color w:val="000000"/>
                <w:szCs w:val="20"/>
                <w:lang w:eastAsia="pt-BR"/>
              </w:rPr>
            </w:pPr>
            <w:r w:rsidRPr="00E82AE7">
              <w:rPr>
                <w:rFonts w:eastAsia="Times New Roman" w:cs="Arial"/>
                <w:b/>
                <w:bCs/>
                <w:color w:val="000000"/>
                <w:szCs w:val="20"/>
                <w:lang w:eastAsia="pt-BR"/>
              </w:rPr>
              <w:t>31/12/2021</w:t>
            </w:r>
          </w:p>
        </w:tc>
        <w:tc>
          <w:tcPr>
            <w:tcW w:w="1420" w:type="dxa"/>
            <w:tcBorders>
              <w:top w:val="single" w:sz="4" w:space="0" w:color="000000"/>
              <w:left w:val="nil"/>
              <w:bottom w:val="single" w:sz="4" w:space="0" w:color="000000"/>
              <w:right w:val="nil"/>
            </w:tcBorders>
            <w:vAlign w:val="bottom"/>
          </w:tcPr>
          <w:p w14:paraId="74C12B44" w14:textId="77777777" w:rsidR="004C19ED" w:rsidRPr="00E82AE7" w:rsidRDefault="004C19ED" w:rsidP="003E2CCD">
            <w:pPr>
              <w:jc w:val="right"/>
              <w:rPr>
                <w:rFonts w:eastAsia="Times New Roman" w:cs="Arial"/>
                <w:b/>
                <w:bCs/>
                <w:color w:val="000000"/>
                <w:szCs w:val="20"/>
                <w:lang w:eastAsia="pt-BR"/>
              </w:rPr>
            </w:pPr>
            <w:r w:rsidRPr="00E82AE7">
              <w:rPr>
                <w:rFonts w:eastAsia="Times New Roman" w:cs="Arial"/>
                <w:b/>
                <w:bCs/>
                <w:color w:val="000000"/>
                <w:szCs w:val="20"/>
                <w:lang w:eastAsia="pt-BR"/>
              </w:rPr>
              <w:t>31/12/2020</w:t>
            </w:r>
          </w:p>
        </w:tc>
        <w:tc>
          <w:tcPr>
            <w:tcW w:w="1305" w:type="dxa"/>
            <w:tcBorders>
              <w:top w:val="single" w:sz="4" w:space="0" w:color="000000"/>
              <w:left w:val="nil"/>
              <w:bottom w:val="single" w:sz="4" w:space="0" w:color="000000"/>
              <w:right w:val="nil"/>
            </w:tcBorders>
            <w:shd w:val="clear" w:color="auto" w:fill="auto"/>
            <w:noWrap/>
            <w:vAlign w:val="bottom"/>
            <w:hideMark/>
          </w:tcPr>
          <w:p w14:paraId="31A5C185" w14:textId="77777777" w:rsidR="004C19ED" w:rsidRPr="00E82AE7" w:rsidRDefault="004C19ED" w:rsidP="003E2CCD">
            <w:pPr>
              <w:jc w:val="center"/>
              <w:rPr>
                <w:rFonts w:eastAsia="Times New Roman" w:cs="Arial"/>
                <w:b/>
                <w:bCs/>
                <w:color w:val="000000"/>
                <w:szCs w:val="20"/>
                <w:lang w:eastAsia="pt-BR"/>
              </w:rPr>
            </w:pPr>
            <w:r w:rsidRPr="00E82AE7">
              <w:rPr>
                <w:rFonts w:eastAsia="Times New Roman" w:cs="Arial"/>
                <w:b/>
                <w:bCs/>
                <w:color w:val="000000"/>
                <w:szCs w:val="20"/>
                <w:lang w:eastAsia="pt-BR"/>
              </w:rPr>
              <w:t>AH (%)</w:t>
            </w:r>
          </w:p>
        </w:tc>
      </w:tr>
      <w:tr w:rsidR="004C19ED" w:rsidRPr="00445460" w14:paraId="6305E25B" w14:textId="77777777" w:rsidTr="003E2CCD">
        <w:trPr>
          <w:trHeight w:val="245"/>
        </w:trPr>
        <w:tc>
          <w:tcPr>
            <w:tcW w:w="1683" w:type="dxa"/>
            <w:tcBorders>
              <w:top w:val="nil"/>
              <w:left w:val="nil"/>
              <w:right w:val="nil"/>
            </w:tcBorders>
            <w:shd w:val="clear" w:color="auto" w:fill="FFFFFF" w:themeFill="background1"/>
            <w:noWrap/>
            <w:vAlign w:val="bottom"/>
            <w:hideMark/>
          </w:tcPr>
          <w:p w14:paraId="2CCE86E5" w14:textId="77777777" w:rsidR="004C19ED" w:rsidRPr="009352A2" w:rsidRDefault="004C19ED" w:rsidP="003E2CCD">
            <w:pPr>
              <w:rPr>
                <w:rFonts w:eastAsia="Times New Roman" w:cs="Arial"/>
                <w:color w:val="000000"/>
                <w:szCs w:val="20"/>
                <w:lang w:eastAsia="pt-BR"/>
              </w:rPr>
            </w:pPr>
            <w:r w:rsidRPr="009352A2">
              <w:rPr>
                <w:rFonts w:eastAsia="Times New Roman" w:cs="Arial"/>
                <w:color w:val="000000"/>
                <w:szCs w:val="20"/>
                <w:lang w:eastAsia="pt-BR"/>
              </w:rPr>
              <w:t>0190000000</w:t>
            </w:r>
          </w:p>
        </w:tc>
        <w:tc>
          <w:tcPr>
            <w:tcW w:w="2806" w:type="dxa"/>
            <w:tcBorders>
              <w:top w:val="nil"/>
              <w:left w:val="nil"/>
              <w:right w:val="nil"/>
            </w:tcBorders>
            <w:shd w:val="clear" w:color="auto" w:fill="FFFFFF" w:themeFill="background1"/>
            <w:vAlign w:val="bottom"/>
            <w:hideMark/>
          </w:tcPr>
          <w:p w14:paraId="0A19CE18" w14:textId="77777777" w:rsidR="004C19ED" w:rsidRPr="009352A2" w:rsidRDefault="004C19ED" w:rsidP="003E2CCD">
            <w:pPr>
              <w:rPr>
                <w:rFonts w:eastAsia="Times New Roman" w:cs="Arial"/>
                <w:color w:val="000000"/>
                <w:szCs w:val="20"/>
                <w:lang w:eastAsia="pt-BR"/>
              </w:rPr>
            </w:pPr>
            <w:r w:rsidRPr="009352A2">
              <w:rPr>
                <w:rFonts w:eastAsia="Times New Roman" w:cs="Arial"/>
                <w:color w:val="000000"/>
                <w:szCs w:val="20"/>
                <w:lang w:eastAsia="pt-BR"/>
              </w:rPr>
              <w:t>Recursos Diversos</w:t>
            </w:r>
          </w:p>
        </w:tc>
        <w:tc>
          <w:tcPr>
            <w:tcW w:w="1995" w:type="dxa"/>
            <w:tcBorders>
              <w:top w:val="nil"/>
              <w:left w:val="nil"/>
              <w:right w:val="nil"/>
            </w:tcBorders>
            <w:shd w:val="clear" w:color="auto" w:fill="FFFFFF" w:themeFill="background1"/>
            <w:noWrap/>
            <w:vAlign w:val="bottom"/>
          </w:tcPr>
          <w:p w14:paraId="1B042C76" w14:textId="77777777" w:rsidR="004C19ED" w:rsidRPr="009352A2" w:rsidRDefault="004C19ED" w:rsidP="003E2CCD">
            <w:pPr>
              <w:jc w:val="right"/>
              <w:rPr>
                <w:rFonts w:eastAsia="Times New Roman" w:cs="Arial"/>
                <w:color w:val="000000"/>
                <w:szCs w:val="20"/>
                <w:lang w:eastAsia="pt-BR"/>
              </w:rPr>
            </w:pPr>
            <w:r w:rsidRPr="00E82AE7">
              <w:rPr>
                <w:rFonts w:eastAsia="Times New Roman" w:cs="Arial"/>
                <w:color w:val="000000"/>
                <w:szCs w:val="20"/>
                <w:lang w:eastAsia="pt-BR"/>
              </w:rPr>
              <w:t>1.511.621,29</w:t>
            </w:r>
          </w:p>
        </w:tc>
        <w:tc>
          <w:tcPr>
            <w:tcW w:w="1420" w:type="dxa"/>
            <w:tcBorders>
              <w:top w:val="nil"/>
              <w:left w:val="nil"/>
              <w:right w:val="nil"/>
            </w:tcBorders>
            <w:shd w:val="clear" w:color="auto" w:fill="FFFFFF" w:themeFill="background1"/>
            <w:vAlign w:val="bottom"/>
          </w:tcPr>
          <w:p w14:paraId="0A2A781F" w14:textId="77777777" w:rsidR="004C19ED" w:rsidRPr="009352A2" w:rsidRDefault="004C19ED" w:rsidP="003E2CCD">
            <w:pPr>
              <w:jc w:val="right"/>
              <w:rPr>
                <w:rFonts w:eastAsia="Times New Roman" w:cs="Arial"/>
                <w:color w:val="000000"/>
                <w:szCs w:val="20"/>
                <w:lang w:eastAsia="pt-BR"/>
              </w:rPr>
            </w:pPr>
            <w:r w:rsidRPr="009352A2">
              <w:rPr>
                <w:rFonts w:eastAsia="Times New Roman" w:cs="Arial"/>
                <w:color w:val="000000"/>
                <w:szCs w:val="20"/>
                <w:lang w:eastAsia="pt-BR"/>
              </w:rPr>
              <w:t xml:space="preserve">             5.383.999,42 </w:t>
            </w:r>
          </w:p>
        </w:tc>
        <w:tc>
          <w:tcPr>
            <w:tcW w:w="1305" w:type="dxa"/>
            <w:tcBorders>
              <w:top w:val="nil"/>
              <w:left w:val="nil"/>
              <w:right w:val="nil"/>
            </w:tcBorders>
            <w:shd w:val="clear" w:color="auto" w:fill="FFFFFF" w:themeFill="background1"/>
            <w:noWrap/>
            <w:vAlign w:val="bottom"/>
            <w:hideMark/>
          </w:tcPr>
          <w:p w14:paraId="1A4EFB28" w14:textId="77777777" w:rsidR="004C19ED" w:rsidRPr="009352A2" w:rsidRDefault="004C19ED" w:rsidP="003E2CCD">
            <w:pPr>
              <w:jc w:val="right"/>
              <w:rPr>
                <w:rFonts w:eastAsia="Times New Roman" w:cs="Arial"/>
                <w:color w:val="000000"/>
                <w:szCs w:val="20"/>
                <w:lang w:eastAsia="pt-BR"/>
              </w:rPr>
            </w:pPr>
            <w:r>
              <w:rPr>
                <w:rFonts w:eastAsia="Times New Roman" w:cs="Arial"/>
                <w:color w:val="000000"/>
                <w:szCs w:val="20"/>
                <w:lang w:eastAsia="pt-BR"/>
              </w:rPr>
              <w:t>-71,92</w:t>
            </w:r>
          </w:p>
        </w:tc>
      </w:tr>
      <w:tr w:rsidR="004C19ED" w:rsidRPr="001C0A9B" w14:paraId="4703746C" w14:textId="77777777" w:rsidTr="003E2CCD">
        <w:trPr>
          <w:trHeight w:val="260"/>
        </w:trPr>
        <w:tc>
          <w:tcPr>
            <w:tcW w:w="1683" w:type="dxa"/>
            <w:tcBorders>
              <w:top w:val="nil"/>
              <w:left w:val="nil"/>
              <w:bottom w:val="single" w:sz="4" w:space="0" w:color="auto"/>
              <w:right w:val="nil"/>
            </w:tcBorders>
            <w:shd w:val="clear" w:color="auto" w:fill="D9D9D9" w:themeFill="background1" w:themeFillShade="D9"/>
            <w:noWrap/>
            <w:vAlign w:val="bottom"/>
            <w:hideMark/>
          </w:tcPr>
          <w:p w14:paraId="73C99911" w14:textId="77777777" w:rsidR="004C19ED" w:rsidRPr="009352A2" w:rsidRDefault="004C19ED" w:rsidP="003E2CCD">
            <w:pPr>
              <w:jc w:val="left"/>
              <w:rPr>
                <w:rFonts w:eastAsia="Times New Roman" w:cs="Arial"/>
                <w:b/>
                <w:bCs/>
                <w:color w:val="000000"/>
                <w:szCs w:val="20"/>
                <w:lang w:eastAsia="pt-BR"/>
              </w:rPr>
            </w:pPr>
            <w:r w:rsidRPr="009352A2">
              <w:rPr>
                <w:rFonts w:eastAsia="Times New Roman" w:cs="Arial"/>
                <w:b/>
                <w:bCs/>
                <w:color w:val="000000"/>
                <w:szCs w:val="20"/>
                <w:lang w:eastAsia="pt-BR"/>
              </w:rPr>
              <w:t>Total</w:t>
            </w:r>
          </w:p>
        </w:tc>
        <w:tc>
          <w:tcPr>
            <w:tcW w:w="2806" w:type="dxa"/>
            <w:tcBorders>
              <w:top w:val="nil"/>
              <w:left w:val="nil"/>
              <w:bottom w:val="single" w:sz="4" w:space="0" w:color="auto"/>
              <w:right w:val="nil"/>
            </w:tcBorders>
            <w:shd w:val="clear" w:color="auto" w:fill="D9D9D9" w:themeFill="background1" w:themeFillShade="D9"/>
            <w:noWrap/>
            <w:vAlign w:val="bottom"/>
            <w:hideMark/>
          </w:tcPr>
          <w:p w14:paraId="1802237B" w14:textId="77777777" w:rsidR="004C19ED" w:rsidRPr="009352A2" w:rsidRDefault="004C19ED" w:rsidP="003E2CCD">
            <w:pPr>
              <w:jc w:val="left"/>
              <w:rPr>
                <w:rFonts w:eastAsia="Times New Roman" w:cs="Arial"/>
                <w:b/>
                <w:bCs/>
                <w:color w:val="000000"/>
                <w:szCs w:val="20"/>
                <w:lang w:eastAsia="pt-BR"/>
              </w:rPr>
            </w:pPr>
          </w:p>
        </w:tc>
        <w:tc>
          <w:tcPr>
            <w:tcW w:w="1995" w:type="dxa"/>
            <w:tcBorders>
              <w:top w:val="nil"/>
              <w:left w:val="nil"/>
              <w:bottom w:val="single" w:sz="4" w:space="0" w:color="auto"/>
              <w:right w:val="nil"/>
            </w:tcBorders>
            <w:shd w:val="clear" w:color="auto" w:fill="D9D9D9" w:themeFill="background1" w:themeFillShade="D9"/>
            <w:noWrap/>
            <w:vAlign w:val="center"/>
          </w:tcPr>
          <w:p w14:paraId="2517D45E" w14:textId="77777777" w:rsidR="004C19ED" w:rsidRPr="009352A2" w:rsidRDefault="004C19ED" w:rsidP="003E2CCD">
            <w:pPr>
              <w:jc w:val="right"/>
              <w:rPr>
                <w:rFonts w:eastAsia="Times New Roman" w:cs="Arial"/>
                <w:b/>
                <w:bCs/>
                <w:color w:val="000000"/>
                <w:szCs w:val="20"/>
                <w:lang w:eastAsia="pt-BR"/>
              </w:rPr>
            </w:pPr>
            <w:r w:rsidRPr="00E82AE7">
              <w:rPr>
                <w:rFonts w:eastAsia="Times New Roman" w:cs="Arial"/>
                <w:color w:val="000000"/>
                <w:szCs w:val="20"/>
                <w:lang w:eastAsia="pt-BR"/>
              </w:rPr>
              <w:t>1.511.621,29</w:t>
            </w:r>
          </w:p>
        </w:tc>
        <w:tc>
          <w:tcPr>
            <w:tcW w:w="1420" w:type="dxa"/>
            <w:tcBorders>
              <w:top w:val="nil"/>
              <w:left w:val="nil"/>
              <w:bottom w:val="single" w:sz="4" w:space="0" w:color="auto"/>
              <w:right w:val="nil"/>
            </w:tcBorders>
            <w:shd w:val="clear" w:color="auto" w:fill="D9D9D9" w:themeFill="background1" w:themeFillShade="D9"/>
            <w:vAlign w:val="center"/>
          </w:tcPr>
          <w:p w14:paraId="1E3AD3D8" w14:textId="77777777" w:rsidR="004C19ED" w:rsidRPr="009352A2" w:rsidRDefault="004C19ED" w:rsidP="003E2CCD">
            <w:pPr>
              <w:jc w:val="right"/>
              <w:rPr>
                <w:rFonts w:eastAsia="Times New Roman" w:cs="Arial"/>
                <w:b/>
                <w:bCs/>
                <w:color w:val="000000"/>
                <w:szCs w:val="20"/>
                <w:lang w:eastAsia="pt-BR"/>
              </w:rPr>
            </w:pPr>
            <w:r w:rsidRPr="009352A2">
              <w:rPr>
                <w:rFonts w:eastAsia="Times New Roman" w:cs="Arial"/>
                <w:b/>
                <w:bCs/>
                <w:color w:val="000000"/>
                <w:szCs w:val="20"/>
                <w:lang w:eastAsia="pt-BR"/>
              </w:rPr>
              <w:t xml:space="preserve">           </w:t>
            </w:r>
            <w:r w:rsidRPr="009352A2">
              <w:rPr>
                <w:rFonts w:eastAsia="Times New Roman" w:cs="Arial"/>
                <w:b/>
                <w:color w:val="000000"/>
                <w:szCs w:val="20"/>
                <w:lang w:eastAsia="pt-BR"/>
              </w:rPr>
              <w:t>5.383.999,42</w:t>
            </w:r>
          </w:p>
        </w:tc>
        <w:tc>
          <w:tcPr>
            <w:tcW w:w="1305" w:type="dxa"/>
            <w:tcBorders>
              <w:top w:val="nil"/>
              <w:left w:val="nil"/>
              <w:bottom w:val="single" w:sz="4" w:space="0" w:color="auto"/>
              <w:right w:val="nil"/>
            </w:tcBorders>
            <w:shd w:val="clear" w:color="auto" w:fill="D9D9D9" w:themeFill="background1" w:themeFillShade="D9"/>
            <w:noWrap/>
            <w:vAlign w:val="bottom"/>
            <w:hideMark/>
          </w:tcPr>
          <w:p w14:paraId="51DDDA10" w14:textId="77777777" w:rsidR="004C19ED" w:rsidRPr="001C0A9B"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-71,92</w:t>
            </w:r>
          </w:p>
        </w:tc>
      </w:tr>
    </w:tbl>
    <w:p w14:paraId="6A96408D" w14:textId="77777777" w:rsidR="004C19ED" w:rsidRDefault="004C19ED" w:rsidP="004C19ED">
      <w:pPr>
        <w:rPr>
          <w:rFonts w:cs="Arial"/>
          <w:i/>
          <w:szCs w:val="20"/>
        </w:rPr>
      </w:pPr>
      <w:r w:rsidRPr="00500772">
        <w:rPr>
          <w:rFonts w:cs="Arial"/>
          <w:i/>
          <w:szCs w:val="20"/>
        </w:rPr>
        <w:t>Fonte: SIAFI, 20</w:t>
      </w:r>
      <w:r>
        <w:rPr>
          <w:rFonts w:cs="Arial"/>
          <w:i/>
          <w:szCs w:val="20"/>
        </w:rPr>
        <w:t>21</w:t>
      </w:r>
      <w:r w:rsidRPr="00500772">
        <w:rPr>
          <w:rFonts w:cs="Arial"/>
          <w:i/>
          <w:szCs w:val="20"/>
        </w:rPr>
        <w:t xml:space="preserve"> e</w:t>
      </w:r>
      <w:r>
        <w:rPr>
          <w:rFonts w:cs="Arial"/>
          <w:i/>
          <w:szCs w:val="20"/>
        </w:rPr>
        <w:t xml:space="preserve"> 2020</w:t>
      </w:r>
    </w:p>
    <w:p w14:paraId="213761F4" w14:textId="77777777" w:rsidR="004C19ED" w:rsidRDefault="004C19ED" w:rsidP="004C19ED">
      <w:pPr>
        <w:rPr>
          <w:rFonts w:cs="Arial"/>
          <w:szCs w:val="20"/>
        </w:rPr>
      </w:pPr>
    </w:p>
    <w:p w14:paraId="64B5835D" w14:textId="77777777" w:rsidR="004C19ED" w:rsidRDefault="004C19ED" w:rsidP="004C19ED">
      <w:pPr>
        <w:rPr>
          <w:rFonts w:cs="Arial"/>
          <w:szCs w:val="20"/>
        </w:rPr>
      </w:pPr>
    </w:p>
    <w:p w14:paraId="2240A0E9" w14:textId="77777777" w:rsidR="004C19ED" w:rsidRDefault="004C19ED" w:rsidP="004C19ED">
      <w:pPr>
        <w:rPr>
          <w:rFonts w:cs="Arial"/>
          <w:b/>
          <w:sz w:val="22"/>
        </w:rPr>
      </w:pPr>
      <w:r w:rsidRPr="001F3255">
        <w:rPr>
          <w:rFonts w:cs="Arial"/>
          <w:b/>
          <w:sz w:val="22"/>
        </w:rPr>
        <w:t xml:space="preserve">Nota 02 </w:t>
      </w:r>
      <w:r w:rsidRPr="004028B5">
        <w:rPr>
          <w:rFonts w:cs="Arial"/>
          <w:b/>
          <w:sz w:val="22"/>
        </w:rPr>
        <w:t>– Créditos a Receber</w:t>
      </w:r>
    </w:p>
    <w:p w14:paraId="2469DC3E" w14:textId="77777777" w:rsidR="004C19ED" w:rsidRDefault="004C19ED" w:rsidP="004C19ED">
      <w:pPr>
        <w:rPr>
          <w:rFonts w:cs="Arial"/>
          <w:b/>
          <w:sz w:val="22"/>
        </w:rPr>
      </w:pPr>
    </w:p>
    <w:p w14:paraId="0C3308F3" w14:textId="77777777" w:rsidR="004C19ED" w:rsidRDefault="004C19ED" w:rsidP="004C19ED">
      <w:pPr>
        <w:rPr>
          <w:rFonts w:cs="Arial"/>
          <w:b/>
          <w:sz w:val="22"/>
        </w:rPr>
      </w:pPr>
      <w:r>
        <w:rPr>
          <w:rFonts w:cs="Arial"/>
          <w:b/>
          <w:sz w:val="22"/>
        </w:rPr>
        <w:t xml:space="preserve">2.1 </w:t>
      </w:r>
      <w:r w:rsidRPr="004028B5">
        <w:rPr>
          <w:rFonts w:cs="Arial"/>
          <w:b/>
          <w:sz w:val="22"/>
        </w:rPr>
        <w:t>Créditos a Curto Prazo</w:t>
      </w:r>
    </w:p>
    <w:p w14:paraId="1CEAFE43" w14:textId="77777777" w:rsidR="004C19ED" w:rsidRDefault="004C19ED" w:rsidP="004C19ED">
      <w:pPr>
        <w:rPr>
          <w:rFonts w:cs="Arial"/>
          <w:b/>
          <w:sz w:val="22"/>
        </w:rPr>
      </w:pPr>
    </w:p>
    <w:p w14:paraId="7E291BB7" w14:textId="77777777" w:rsidR="004C19ED" w:rsidRDefault="004C19ED" w:rsidP="004C19ED">
      <w:pPr>
        <w:rPr>
          <w:rFonts w:cs="Arial"/>
          <w:sz w:val="22"/>
        </w:rPr>
      </w:pPr>
      <w:r w:rsidRPr="007E5D8D">
        <w:rPr>
          <w:rFonts w:cs="Arial"/>
          <w:sz w:val="22"/>
        </w:rPr>
        <w:t>Em 31/12/20</w:t>
      </w:r>
      <w:r>
        <w:rPr>
          <w:rFonts w:cs="Arial"/>
          <w:sz w:val="22"/>
        </w:rPr>
        <w:t>21</w:t>
      </w:r>
      <w:r w:rsidRPr="007E5D8D">
        <w:rPr>
          <w:rFonts w:cs="Arial"/>
          <w:sz w:val="22"/>
        </w:rPr>
        <w:t>, a ANP tinha a receber em C</w:t>
      </w:r>
      <w:r>
        <w:rPr>
          <w:rFonts w:cs="Arial"/>
          <w:sz w:val="22"/>
        </w:rPr>
        <w:t xml:space="preserve">urto </w:t>
      </w:r>
      <w:r w:rsidRPr="007E5D8D">
        <w:rPr>
          <w:rFonts w:cs="Arial"/>
          <w:sz w:val="22"/>
        </w:rPr>
        <w:t>P</w:t>
      </w:r>
      <w:r>
        <w:rPr>
          <w:rFonts w:cs="Arial"/>
          <w:sz w:val="22"/>
        </w:rPr>
        <w:t>razo</w:t>
      </w:r>
      <w:r w:rsidRPr="007E5D8D">
        <w:rPr>
          <w:rFonts w:cs="Arial"/>
          <w:sz w:val="22"/>
        </w:rPr>
        <w:t xml:space="preserve">, mais </w:t>
      </w:r>
      <w:r w:rsidRPr="00CA00EB">
        <w:rPr>
          <w:rFonts w:cs="Arial"/>
          <w:sz w:val="22"/>
        </w:rPr>
        <w:t>de R$ 123 milhões</w:t>
      </w:r>
      <w:r w:rsidRPr="007E5D8D">
        <w:rPr>
          <w:rFonts w:cs="Arial"/>
          <w:sz w:val="22"/>
        </w:rPr>
        <w:t>, referente a adiantamentos concedidos (remuneração, 13º salário) e créditos por cessão de pessoal</w:t>
      </w:r>
      <w:r>
        <w:rPr>
          <w:rFonts w:cs="Arial"/>
          <w:sz w:val="22"/>
        </w:rPr>
        <w:t>, além dos adiantamentos que envolvem Termo de Execução Descentralizada – TED adiantados e ainda não comprovados</w:t>
      </w:r>
      <w:r w:rsidRPr="007E5D8D">
        <w:rPr>
          <w:rFonts w:cs="Arial"/>
          <w:sz w:val="22"/>
        </w:rPr>
        <w:t>.</w:t>
      </w:r>
    </w:p>
    <w:p w14:paraId="0A193159" w14:textId="77777777" w:rsidR="004C19ED" w:rsidRDefault="004C19ED" w:rsidP="004C19ED">
      <w:pPr>
        <w:rPr>
          <w:rFonts w:cs="Arial"/>
          <w:sz w:val="22"/>
        </w:rPr>
      </w:pPr>
    </w:p>
    <w:p w14:paraId="0386CC2C" w14:textId="77777777" w:rsidR="004C19ED" w:rsidRDefault="004C19ED" w:rsidP="004C19ED">
      <w:pPr>
        <w:rPr>
          <w:rFonts w:cs="Arial"/>
          <w:sz w:val="22"/>
        </w:rPr>
      </w:pPr>
      <w:r w:rsidRPr="005C45E1">
        <w:rPr>
          <w:rFonts w:cs="Arial"/>
          <w:sz w:val="22"/>
        </w:rPr>
        <w:t xml:space="preserve">Não estão </w:t>
      </w:r>
      <w:r>
        <w:rPr>
          <w:rFonts w:cs="Arial"/>
          <w:sz w:val="22"/>
        </w:rPr>
        <w:t>reconhecidos</w:t>
      </w:r>
      <w:r w:rsidRPr="005C45E1">
        <w:rPr>
          <w:rFonts w:cs="Arial"/>
          <w:sz w:val="22"/>
        </w:rPr>
        <w:t xml:space="preserve"> no Balanço Patrimonial</w:t>
      </w:r>
      <w:r>
        <w:rPr>
          <w:rFonts w:cs="Arial"/>
          <w:sz w:val="22"/>
        </w:rPr>
        <w:t xml:space="preserve"> e na DVP, de acordo com o período da competência, </w:t>
      </w:r>
      <w:r w:rsidRPr="005C45E1">
        <w:rPr>
          <w:rFonts w:cs="Arial"/>
          <w:sz w:val="22"/>
        </w:rPr>
        <w:t xml:space="preserve">os créditos de curto prazo relativos às multas aplicadas aos entes regulados. </w:t>
      </w:r>
      <w:r w:rsidRPr="00B4789D">
        <w:rPr>
          <w:rFonts w:cs="Arial"/>
          <w:sz w:val="22"/>
        </w:rPr>
        <w:t xml:space="preserve">Os créditos a receber são gerenciados internamente por meio de uma ferramenta denominada </w:t>
      </w:r>
      <w:r w:rsidRPr="00B4789D">
        <w:rPr>
          <w:rFonts w:cs="Arial"/>
          <w:sz w:val="22"/>
        </w:rPr>
        <w:lastRenderedPageBreak/>
        <w:t xml:space="preserve">Sistema </w:t>
      </w:r>
      <w:r>
        <w:rPr>
          <w:rFonts w:cs="Arial"/>
          <w:sz w:val="22"/>
        </w:rPr>
        <w:t xml:space="preserve">de Comunicação de Multas </w:t>
      </w:r>
      <w:r w:rsidRPr="00B4789D">
        <w:rPr>
          <w:rFonts w:cs="Arial"/>
          <w:sz w:val="22"/>
        </w:rPr>
        <w:t>SICOM e GPC – Gestão e Parcelamento de Créditos.</w:t>
      </w:r>
      <w:r>
        <w:rPr>
          <w:rFonts w:cs="Arial"/>
          <w:sz w:val="22"/>
        </w:rPr>
        <w:t xml:space="preserve"> Somente no início do exercício de 2022 é que se finalizou a elaboração de uma sistemática básica apta a fornecer informações fidedignas para alimentar o SIAFI. Em paralelo, o Núcleo de Gestão de Créditos - NGC, junto com a Superintendência de Tecnologia da Informação – STI, estão desenvolvendo um novo sistema </w:t>
      </w:r>
      <w:r w:rsidRPr="005C45E1">
        <w:rPr>
          <w:rFonts w:cs="Arial"/>
          <w:sz w:val="22"/>
        </w:rPr>
        <w:t>de gestão de créditos</w:t>
      </w:r>
      <w:r>
        <w:rPr>
          <w:rFonts w:cs="Arial"/>
          <w:sz w:val="22"/>
        </w:rPr>
        <w:t>,  mais confiável e que será capaz de atender a todos os requisitos de contabilização.</w:t>
      </w:r>
    </w:p>
    <w:p w14:paraId="6553673C" w14:textId="77777777" w:rsidR="004C19ED" w:rsidRDefault="004C19ED" w:rsidP="004C19ED">
      <w:pPr>
        <w:rPr>
          <w:rFonts w:cs="Arial"/>
          <w:sz w:val="22"/>
        </w:rPr>
      </w:pPr>
    </w:p>
    <w:p w14:paraId="4BAC4BED" w14:textId="77777777" w:rsidR="004C19ED" w:rsidRDefault="004C19ED" w:rsidP="004C19ED">
      <w:pPr>
        <w:rPr>
          <w:rFonts w:cs="Arial"/>
          <w:b/>
          <w:sz w:val="22"/>
        </w:rPr>
      </w:pPr>
      <w:r>
        <w:rPr>
          <w:rFonts w:cs="Arial"/>
          <w:b/>
          <w:sz w:val="22"/>
        </w:rPr>
        <w:t>Tabela 3 – Demais Créditos e Valores CP</w:t>
      </w:r>
    </w:p>
    <w:p w14:paraId="2BE9A8DA" w14:textId="77777777" w:rsidR="004C19ED" w:rsidRDefault="004C19ED" w:rsidP="004C19ED">
      <w:pPr>
        <w:rPr>
          <w:rFonts w:cs="Arial"/>
          <w:b/>
          <w:sz w:val="22"/>
        </w:rPr>
      </w:pPr>
    </w:p>
    <w:tbl>
      <w:tblPr>
        <w:tblW w:w="9214" w:type="dxa"/>
        <w:tblCellMar>
          <w:left w:w="70" w:type="dxa"/>
          <w:right w:w="70" w:type="dxa"/>
        </w:tblCellMar>
        <w:tblLook w:val="04A0" w:firstRow="1" w:lastRow="0" w:firstColumn="1" w:lastColumn="0" w:noHBand="0" w:noVBand="1"/>
      </w:tblPr>
      <w:tblGrid>
        <w:gridCol w:w="2694"/>
        <w:gridCol w:w="1970"/>
        <w:gridCol w:w="1732"/>
        <w:gridCol w:w="2818"/>
      </w:tblGrid>
      <w:tr w:rsidR="004C19ED" w:rsidRPr="00484C19" w14:paraId="26860D51" w14:textId="77777777" w:rsidTr="003E2CCD">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14:paraId="3DFF804C" w14:textId="77777777" w:rsidR="004C19ED" w:rsidRPr="00484C19" w:rsidRDefault="004C19ED" w:rsidP="003E2CCD">
            <w:pPr>
              <w:jc w:val="left"/>
              <w:rPr>
                <w:rFonts w:eastAsia="Times New Roman" w:cs="Arial"/>
                <w:b/>
                <w:bCs/>
                <w:color w:val="FFFFFF"/>
                <w:szCs w:val="20"/>
                <w:lang w:eastAsia="pt-BR"/>
              </w:rPr>
            </w:pPr>
            <w:r w:rsidRPr="00484C19">
              <w:rPr>
                <w:rFonts w:eastAsia="Times New Roman" w:cs="Arial"/>
                <w:b/>
                <w:bCs/>
                <w:color w:val="FFFFFF"/>
                <w:szCs w:val="20"/>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14:paraId="0DE9B9EE"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3</w:t>
            </w:r>
            <w:r>
              <w:rPr>
                <w:rFonts w:eastAsia="Times New Roman" w:cs="Arial"/>
                <w:b/>
                <w:bCs/>
                <w:color w:val="000000"/>
                <w:szCs w:val="20"/>
                <w:lang w:eastAsia="pt-BR"/>
              </w:rPr>
              <w:t>1</w:t>
            </w:r>
            <w:r w:rsidRPr="00484C19">
              <w:rPr>
                <w:rFonts w:eastAsia="Times New Roman" w:cs="Arial"/>
                <w:b/>
                <w:bCs/>
                <w:color w:val="000000"/>
                <w:szCs w:val="20"/>
                <w:lang w:eastAsia="pt-BR"/>
              </w:rPr>
              <w:t>/</w:t>
            </w:r>
            <w:r>
              <w:rPr>
                <w:rFonts w:eastAsia="Times New Roman" w:cs="Arial"/>
                <w:b/>
                <w:bCs/>
                <w:color w:val="000000"/>
                <w:szCs w:val="20"/>
                <w:lang w:eastAsia="pt-BR"/>
              </w:rPr>
              <w:t>12</w:t>
            </w:r>
            <w:r w:rsidRPr="00484C19">
              <w:rPr>
                <w:rFonts w:eastAsia="Times New Roman" w:cs="Arial"/>
                <w:b/>
                <w:bCs/>
                <w:color w:val="000000"/>
                <w:szCs w:val="20"/>
                <w:lang w:eastAsia="pt-BR"/>
              </w:rPr>
              <w:t>/20</w:t>
            </w:r>
            <w:r>
              <w:rPr>
                <w:rFonts w:eastAsia="Times New Roman" w:cs="Arial"/>
                <w:b/>
                <w:bCs/>
                <w:color w:val="000000"/>
                <w:szCs w:val="20"/>
                <w:lang w:eastAsia="pt-BR"/>
              </w:rPr>
              <w:t>21</w:t>
            </w:r>
          </w:p>
        </w:tc>
        <w:tc>
          <w:tcPr>
            <w:tcW w:w="1732" w:type="dxa"/>
            <w:tcBorders>
              <w:top w:val="single" w:sz="4" w:space="0" w:color="000000"/>
              <w:left w:val="nil"/>
              <w:bottom w:val="single" w:sz="4" w:space="0" w:color="000000"/>
              <w:right w:val="nil"/>
            </w:tcBorders>
            <w:shd w:val="clear" w:color="auto" w:fill="auto"/>
            <w:noWrap/>
            <w:vAlign w:val="bottom"/>
            <w:hideMark/>
          </w:tcPr>
          <w:p w14:paraId="5A8E9C87"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31/12/20</w:t>
            </w:r>
            <w:r>
              <w:rPr>
                <w:rFonts w:eastAsia="Times New Roman" w:cs="Arial"/>
                <w:b/>
                <w:bCs/>
                <w:color w:val="000000"/>
                <w:szCs w:val="20"/>
                <w:lang w:eastAsia="pt-BR"/>
              </w:rPr>
              <w:t>20</w:t>
            </w:r>
          </w:p>
        </w:tc>
        <w:tc>
          <w:tcPr>
            <w:tcW w:w="2818" w:type="dxa"/>
            <w:tcBorders>
              <w:top w:val="single" w:sz="4" w:space="0" w:color="000000"/>
              <w:left w:val="nil"/>
              <w:bottom w:val="single" w:sz="4" w:space="0" w:color="000000"/>
              <w:right w:val="nil"/>
            </w:tcBorders>
            <w:shd w:val="clear" w:color="auto" w:fill="auto"/>
            <w:noWrap/>
            <w:vAlign w:val="bottom"/>
            <w:hideMark/>
          </w:tcPr>
          <w:p w14:paraId="2C17C24F" w14:textId="77777777" w:rsidR="004C19ED" w:rsidRPr="00484C19"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 xml:space="preserve">AH </w:t>
            </w:r>
            <w:r w:rsidRPr="00484C19">
              <w:rPr>
                <w:rFonts w:eastAsia="Times New Roman" w:cs="Arial"/>
                <w:b/>
                <w:bCs/>
                <w:color w:val="000000"/>
                <w:szCs w:val="20"/>
                <w:lang w:eastAsia="pt-BR"/>
              </w:rPr>
              <w:t>%</w:t>
            </w:r>
          </w:p>
        </w:tc>
      </w:tr>
      <w:tr w:rsidR="004C19ED" w:rsidRPr="00484C19" w14:paraId="25172B25" w14:textId="77777777" w:rsidTr="003E2CCD">
        <w:trPr>
          <w:trHeight w:val="229"/>
        </w:trPr>
        <w:tc>
          <w:tcPr>
            <w:tcW w:w="2694" w:type="dxa"/>
            <w:tcBorders>
              <w:top w:val="nil"/>
              <w:left w:val="nil"/>
              <w:bottom w:val="nil"/>
              <w:right w:val="nil"/>
            </w:tcBorders>
            <w:shd w:val="clear" w:color="D9D9D9" w:fill="D9D9D9"/>
            <w:noWrap/>
            <w:vAlign w:val="bottom"/>
            <w:hideMark/>
          </w:tcPr>
          <w:p w14:paraId="7FB9B43D" w14:textId="77777777" w:rsidR="004C19ED" w:rsidRPr="00484C19" w:rsidRDefault="004C19ED" w:rsidP="003E2CCD">
            <w:pPr>
              <w:jc w:val="left"/>
              <w:rPr>
                <w:rFonts w:eastAsia="Times New Roman" w:cs="Arial"/>
                <w:color w:val="000000"/>
                <w:szCs w:val="20"/>
                <w:lang w:eastAsia="pt-BR"/>
              </w:rPr>
            </w:pPr>
            <w:r>
              <w:rPr>
                <w:rFonts w:eastAsia="Times New Roman" w:cs="Arial"/>
                <w:color w:val="000000"/>
                <w:szCs w:val="20"/>
                <w:lang w:eastAsia="pt-BR"/>
              </w:rPr>
              <w:t>Créditos a Receber CP - Pessoal</w:t>
            </w:r>
          </w:p>
        </w:tc>
        <w:tc>
          <w:tcPr>
            <w:tcW w:w="1970" w:type="dxa"/>
            <w:tcBorders>
              <w:top w:val="nil"/>
              <w:left w:val="nil"/>
              <w:bottom w:val="nil"/>
              <w:right w:val="nil"/>
            </w:tcBorders>
            <w:shd w:val="clear" w:color="D9D9D9" w:fill="D9D9D9"/>
            <w:noWrap/>
            <w:vAlign w:val="bottom"/>
          </w:tcPr>
          <w:p w14:paraId="124483DF" w14:textId="77777777" w:rsidR="004C19ED" w:rsidRPr="00484C19" w:rsidRDefault="004C19ED" w:rsidP="003E2CCD">
            <w:pPr>
              <w:jc w:val="right"/>
              <w:rPr>
                <w:rFonts w:eastAsia="Times New Roman" w:cs="Arial"/>
                <w:color w:val="000000"/>
                <w:szCs w:val="20"/>
                <w:lang w:eastAsia="pt-BR"/>
              </w:rPr>
            </w:pPr>
            <w:r>
              <w:rPr>
                <w:rFonts w:cs="Arial"/>
                <w:szCs w:val="20"/>
              </w:rPr>
              <w:t>4.258.466,85</w:t>
            </w:r>
          </w:p>
        </w:tc>
        <w:tc>
          <w:tcPr>
            <w:tcW w:w="1732" w:type="dxa"/>
            <w:tcBorders>
              <w:top w:val="nil"/>
              <w:left w:val="nil"/>
              <w:bottom w:val="nil"/>
              <w:right w:val="nil"/>
            </w:tcBorders>
            <w:shd w:val="clear" w:color="D9D9D9" w:fill="D9D9D9"/>
            <w:noWrap/>
            <w:vAlign w:val="bottom"/>
            <w:hideMark/>
          </w:tcPr>
          <w:p w14:paraId="6983B14A" w14:textId="77777777" w:rsidR="004C19ED" w:rsidRPr="00484C19" w:rsidRDefault="004C19ED" w:rsidP="003E2CCD">
            <w:pPr>
              <w:jc w:val="right"/>
              <w:rPr>
                <w:rFonts w:eastAsia="Times New Roman" w:cs="Arial"/>
                <w:color w:val="000000"/>
                <w:szCs w:val="20"/>
                <w:lang w:eastAsia="pt-BR"/>
              </w:rPr>
            </w:pPr>
            <w:r>
              <w:rPr>
                <w:rFonts w:cs="Arial"/>
                <w:szCs w:val="20"/>
              </w:rPr>
              <w:t xml:space="preserve">              </w:t>
            </w:r>
            <w:r w:rsidRPr="005955E1">
              <w:rPr>
                <w:rFonts w:eastAsia="Times New Roman" w:cs="Arial"/>
                <w:color w:val="000000"/>
                <w:szCs w:val="20"/>
                <w:lang w:eastAsia="pt-BR"/>
              </w:rPr>
              <w:t>3.012.997,79</w:t>
            </w:r>
          </w:p>
        </w:tc>
        <w:tc>
          <w:tcPr>
            <w:tcW w:w="2818" w:type="dxa"/>
            <w:tcBorders>
              <w:top w:val="nil"/>
              <w:left w:val="nil"/>
              <w:bottom w:val="nil"/>
              <w:right w:val="nil"/>
            </w:tcBorders>
            <w:shd w:val="clear" w:color="D9D9D9" w:fill="D9D9D9"/>
            <w:noWrap/>
            <w:vAlign w:val="bottom"/>
            <w:hideMark/>
          </w:tcPr>
          <w:p w14:paraId="7C355552"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41,34</w:t>
            </w:r>
          </w:p>
        </w:tc>
      </w:tr>
      <w:tr w:rsidR="004C19ED" w:rsidRPr="00484C19" w14:paraId="05758749" w14:textId="77777777" w:rsidTr="003E2CCD">
        <w:trPr>
          <w:trHeight w:val="229"/>
        </w:trPr>
        <w:tc>
          <w:tcPr>
            <w:tcW w:w="2694" w:type="dxa"/>
            <w:tcBorders>
              <w:top w:val="nil"/>
              <w:left w:val="nil"/>
              <w:bottom w:val="nil"/>
              <w:right w:val="nil"/>
            </w:tcBorders>
            <w:shd w:val="clear" w:color="auto" w:fill="auto"/>
            <w:noWrap/>
            <w:vAlign w:val="bottom"/>
          </w:tcPr>
          <w:p w14:paraId="04DEE3C4"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Adiantamento de TED</w:t>
            </w:r>
          </w:p>
        </w:tc>
        <w:tc>
          <w:tcPr>
            <w:tcW w:w="1970" w:type="dxa"/>
            <w:tcBorders>
              <w:top w:val="nil"/>
              <w:left w:val="nil"/>
              <w:bottom w:val="nil"/>
              <w:right w:val="nil"/>
            </w:tcBorders>
            <w:shd w:val="clear" w:color="auto" w:fill="auto"/>
            <w:noWrap/>
            <w:vAlign w:val="bottom"/>
          </w:tcPr>
          <w:p w14:paraId="75D487F4" w14:textId="77777777" w:rsidR="004C19ED" w:rsidRPr="00803A43" w:rsidRDefault="004C19ED" w:rsidP="003E2CCD">
            <w:pPr>
              <w:jc w:val="right"/>
              <w:rPr>
                <w:rFonts w:eastAsia="Times New Roman" w:cs="Arial"/>
                <w:color w:val="000000"/>
                <w:szCs w:val="20"/>
                <w:lang w:eastAsia="pt-BR"/>
              </w:rPr>
            </w:pPr>
            <w:r w:rsidRPr="00CA00EB">
              <w:rPr>
                <w:rFonts w:eastAsia="Times New Roman" w:cs="Arial"/>
                <w:color w:val="000000"/>
                <w:szCs w:val="20"/>
                <w:lang w:eastAsia="pt-BR"/>
              </w:rPr>
              <w:t>119</w:t>
            </w:r>
            <w:r>
              <w:rPr>
                <w:rFonts w:eastAsia="Times New Roman" w:cs="Arial"/>
                <w:color w:val="000000"/>
                <w:szCs w:val="20"/>
                <w:lang w:eastAsia="pt-BR"/>
              </w:rPr>
              <w:t>.</w:t>
            </w:r>
            <w:r w:rsidRPr="00CA00EB">
              <w:rPr>
                <w:rFonts w:eastAsia="Times New Roman" w:cs="Arial"/>
                <w:color w:val="000000"/>
                <w:szCs w:val="20"/>
                <w:lang w:eastAsia="pt-BR"/>
              </w:rPr>
              <w:t>579</w:t>
            </w:r>
            <w:r>
              <w:rPr>
                <w:rFonts w:eastAsia="Times New Roman" w:cs="Arial"/>
                <w:color w:val="000000"/>
                <w:szCs w:val="20"/>
                <w:lang w:eastAsia="pt-BR"/>
              </w:rPr>
              <w:t>.</w:t>
            </w:r>
            <w:r w:rsidRPr="00CA00EB">
              <w:rPr>
                <w:rFonts w:eastAsia="Times New Roman" w:cs="Arial"/>
                <w:color w:val="000000"/>
                <w:szCs w:val="20"/>
                <w:lang w:eastAsia="pt-BR"/>
              </w:rPr>
              <w:t>916,15</w:t>
            </w:r>
          </w:p>
        </w:tc>
        <w:tc>
          <w:tcPr>
            <w:tcW w:w="1732" w:type="dxa"/>
            <w:tcBorders>
              <w:top w:val="nil"/>
              <w:left w:val="nil"/>
              <w:bottom w:val="nil"/>
              <w:right w:val="nil"/>
            </w:tcBorders>
            <w:shd w:val="clear" w:color="auto" w:fill="auto"/>
            <w:noWrap/>
            <w:vAlign w:val="bottom"/>
          </w:tcPr>
          <w:p w14:paraId="75708CDB" w14:textId="77777777" w:rsidR="004C19ED" w:rsidRPr="007E5D8D" w:rsidRDefault="004C19ED" w:rsidP="003E2CCD">
            <w:pPr>
              <w:jc w:val="right"/>
              <w:rPr>
                <w:rFonts w:eastAsia="Times New Roman" w:cs="Arial"/>
                <w:color w:val="000000"/>
                <w:szCs w:val="20"/>
                <w:lang w:eastAsia="pt-BR"/>
              </w:rPr>
            </w:pPr>
            <w:r w:rsidRPr="003C5EC8">
              <w:rPr>
                <w:rFonts w:eastAsia="Times New Roman" w:cs="Arial"/>
                <w:color w:val="000000"/>
                <w:szCs w:val="20"/>
                <w:lang w:eastAsia="pt-BR"/>
              </w:rPr>
              <w:t>148.692.219,16</w:t>
            </w:r>
          </w:p>
        </w:tc>
        <w:tc>
          <w:tcPr>
            <w:tcW w:w="2818" w:type="dxa"/>
            <w:tcBorders>
              <w:top w:val="nil"/>
              <w:left w:val="nil"/>
              <w:bottom w:val="nil"/>
              <w:right w:val="nil"/>
            </w:tcBorders>
            <w:shd w:val="clear" w:color="auto" w:fill="auto"/>
            <w:noWrap/>
            <w:vAlign w:val="bottom"/>
          </w:tcPr>
          <w:p w14:paraId="79D89914"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-19,58</w:t>
            </w:r>
          </w:p>
        </w:tc>
      </w:tr>
      <w:tr w:rsidR="004C19ED" w:rsidRPr="00484C19" w14:paraId="66215FEF" w14:textId="77777777" w:rsidTr="003E2CCD">
        <w:trPr>
          <w:trHeight w:val="229"/>
        </w:trPr>
        <w:tc>
          <w:tcPr>
            <w:tcW w:w="2694" w:type="dxa"/>
            <w:tcBorders>
              <w:top w:val="nil"/>
              <w:left w:val="nil"/>
              <w:bottom w:val="single" w:sz="4" w:space="0" w:color="000000"/>
              <w:right w:val="nil"/>
            </w:tcBorders>
            <w:shd w:val="clear" w:color="auto" w:fill="D9D9D9" w:themeFill="background1" w:themeFillShade="D9"/>
            <w:noWrap/>
            <w:vAlign w:val="bottom"/>
            <w:hideMark/>
          </w:tcPr>
          <w:p w14:paraId="08D3A81B" w14:textId="77777777" w:rsidR="004C19ED" w:rsidRPr="00484C19" w:rsidRDefault="004C19ED" w:rsidP="003E2CCD">
            <w:pPr>
              <w:jc w:val="left"/>
              <w:rPr>
                <w:rFonts w:eastAsia="Times New Roman" w:cs="Arial"/>
                <w:b/>
                <w:bCs/>
                <w:color w:val="000000"/>
                <w:szCs w:val="20"/>
                <w:lang w:eastAsia="pt-BR"/>
              </w:rPr>
            </w:pPr>
            <w:r w:rsidRPr="00484C19">
              <w:rPr>
                <w:rFonts w:eastAsia="Times New Roman" w:cs="Arial"/>
                <w:b/>
                <w:bCs/>
                <w:color w:val="000000"/>
                <w:szCs w:val="20"/>
                <w:lang w:eastAsia="pt-BR"/>
              </w:rPr>
              <w:t>Total</w:t>
            </w:r>
          </w:p>
        </w:tc>
        <w:tc>
          <w:tcPr>
            <w:tcW w:w="1970" w:type="dxa"/>
            <w:tcBorders>
              <w:top w:val="nil"/>
              <w:left w:val="nil"/>
              <w:bottom w:val="single" w:sz="4" w:space="0" w:color="000000"/>
              <w:right w:val="nil"/>
            </w:tcBorders>
            <w:shd w:val="clear" w:color="auto" w:fill="D9D9D9" w:themeFill="background1" w:themeFillShade="D9"/>
            <w:noWrap/>
            <w:vAlign w:val="bottom"/>
          </w:tcPr>
          <w:p w14:paraId="3AE4CA35" w14:textId="77777777" w:rsidR="004C19ED" w:rsidRPr="00803A43" w:rsidRDefault="004C19ED" w:rsidP="003E2CCD">
            <w:pPr>
              <w:jc w:val="right"/>
              <w:rPr>
                <w:rFonts w:eastAsia="Times New Roman" w:cs="Arial"/>
                <w:b/>
                <w:color w:val="000000"/>
                <w:szCs w:val="20"/>
                <w:lang w:eastAsia="pt-BR"/>
              </w:rPr>
            </w:pPr>
            <w:r w:rsidRPr="00CA00EB">
              <w:rPr>
                <w:rFonts w:cs="Arial"/>
                <w:b/>
                <w:bCs/>
                <w:color w:val="000000"/>
                <w:szCs w:val="20"/>
              </w:rPr>
              <w:t>123.838.383,00</w:t>
            </w:r>
          </w:p>
        </w:tc>
        <w:tc>
          <w:tcPr>
            <w:tcW w:w="1732" w:type="dxa"/>
            <w:tcBorders>
              <w:top w:val="nil"/>
              <w:left w:val="nil"/>
              <w:bottom w:val="single" w:sz="4" w:space="0" w:color="000000"/>
              <w:right w:val="nil"/>
            </w:tcBorders>
            <w:shd w:val="clear" w:color="auto" w:fill="D9D9D9" w:themeFill="background1" w:themeFillShade="D9"/>
            <w:noWrap/>
            <w:vAlign w:val="bottom"/>
            <w:hideMark/>
          </w:tcPr>
          <w:p w14:paraId="762E2825" w14:textId="77777777" w:rsidR="004C19ED" w:rsidRPr="007E5D8D" w:rsidRDefault="004C19ED" w:rsidP="003E2CCD">
            <w:pPr>
              <w:jc w:val="right"/>
              <w:rPr>
                <w:rFonts w:eastAsia="Times New Roman" w:cs="Arial"/>
                <w:b/>
                <w:color w:val="000000"/>
                <w:szCs w:val="20"/>
                <w:lang w:eastAsia="pt-BR"/>
              </w:rPr>
            </w:pPr>
            <w:r w:rsidRPr="005955E1">
              <w:rPr>
                <w:rFonts w:eastAsia="Times New Roman" w:cs="Arial"/>
                <w:b/>
                <w:color w:val="000000"/>
                <w:szCs w:val="20"/>
                <w:lang w:eastAsia="pt-BR"/>
              </w:rPr>
              <w:t>151</w:t>
            </w:r>
            <w:r>
              <w:rPr>
                <w:rFonts w:eastAsia="Times New Roman" w:cs="Arial"/>
                <w:b/>
                <w:color w:val="000000"/>
                <w:szCs w:val="20"/>
                <w:lang w:eastAsia="pt-BR"/>
              </w:rPr>
              <w:t>.</w:t>
            </w:r>
            <w:r w:rsidRPr="005955E1">
              <w:rPr>
                <w:rFonts w:eastAsia="Times New Roman" w:cs="Arial"/>
                <w:b/>
                <w:color w:val="000000"/>
                <w:szCs w:val="20"/>
                <w:lang w:eastAsia="pt-BR"/>
              </w:rPr>
              <w:t>705</w:t>
            </w:r>
            <w:r>
              <w:rPr>
                <w:rFonts w:eastAsia="Times New Roman" w:cs="Arial"/>
                <w:b/>
                <w:color w:val="000000"/>
                <w:szCs w:val="20"/>
                <w:lang w:eastAsia="pt-BR"/>
              </w:rPr>
              <w:t>.</w:t>
            </w:r>
            <w:r w:rsidRPr="005955E1">
              <w:rPr>
                <w:rFonts w:eastAsia="Times New Roman" w:cs="Arial"/>
                <w:b/>
                <w:color w:val="000000"/>
                <w:szCs w:val="20"/>
                <w:lang w:eastAsia="pt-BR"/>
              </w:rPr>
              <w:t>216,95</w:t>
            </w:r>
          </w:p>
        </w:tc>
        <w:tc>
          <w:tcPr>
            <w:tcW w:w="2818" w:type="dxa"/>
            <w:tcBorders>
              <w:top w:val="nil"/>
              <w:left w:val="nil"/>
              <w:bottom w:val="single" w:sz="4" w:space="0" w:color="000000"/>
              <w:right w:val="nil"/>
            </w:tcBorders>
            <w:shd w:val="clear" w:color="auto" w:fill="D9D9D9" w:themeFill="background1" w:themeFillShade="D9"/>
            <w:noWrap/>
            <w:vAlign w:val="bottom"/>
            <w:hideMark/>
          </w:tcPr>
          <w:p w14:paraId="63C70BED" w14:textId="77777777" w:rsidR="004C19ED" w:rsidRPr="00484C19"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-18,37</w:t>
            </w:r>
          </w:p>
        </w:tc>
      </w:tr>
    </w:tbl>
    <w:p w14:paraId="296A2FB0" w14:textId="77777777" w:rsidR="004C19ED" w:rsidRPr="00484C19" w:rsidRDefault="004C19ED" w:rsidP="004C19ED">
      <w:pPr>
        <w:rPr>
          <w:rFonts w:cs="Arial"/>
          <w:i/>
          <w:szCs w:val="20"/>
        </w:rPr>
      </w:pPr>
      <w:r w:rsidRPr="00484C19">
        <w:rPr>
          <w:rFonts w:cs="Arial"/>
          <w:i/>
          <w:szCs w:val="20"/>
        </w:rPr>
        <w:t>Fonte: SIAFI, 20</w:t>
      </w:r>
      <w:r>
        <w:rPr>
          <w:rFonts w:cs="Arial"/>
          <w:i/>
          <w:szCs w:val="20"/>
        </w:rPr>
        <w:t>21</w:t>
      </w:r>
      <w:r w:rsidRPr="00484C19">
        <w:rPr>
          <w:rFonts w:cs="Arial"/>
          <w:i/>
          <w:szCs w:val="20"/>
        </w:rPr>
        <w:t xml:space="preserve"> e 20</w:t>
      </w:r>
      <w:r>
        <w:rPr>
          <w:rFonts w:cs="Arial"/>
          <w:i/>
          <w:szCs w:val="20"/>
        </w:rPr>
        <w:t>20</w:t>
      </w:r>
      <w:r w:rsidRPr="00484C19">
        <w:rPr>
          <w:rFonts w:cs="Arial"/>
          <w:i/>
          <w:szCs w:val="20"/>
        </w:rPr>
        <w:t>.</w:t>
      </w:r>
    </w:p>
    <w:p w14:paraId="69B440F0" w14:textId="77777777" w:rsidR="004C19ED" w:rsidRPr="005C45E1" w:rsidRDefault="004C19ED" w:rsidP="004C19ED">
      <w:pPr>
        <w:rPr>
          <w:rFonts w:cs="Arial"/>
          <w:sz w:val="22"/>
        </w:rPr>
      </w:pPr>
    </w:p>
    <w:p w14:paraId="432C1466" w14:textId="77777777" w:rsidR="004C19ED" w:rsidRDefault="004C19ED" w:rsidP="004C19ED">
      <w:pPr>
        <w:rPr>
          <w:rFonts w:cs="Arial"/>
          <w:b/>
          <w:bCs/>
          <w:szCs w:val="20"/>
        </w:rPr>
      </w:pPr>
      <w:r w:rsidRPr="00F4045A">
        <w:rPr>
          <w:rFonts w:cs="Arial"/>
          <w:b/>
          <w:bCs/>
          <w:szCs w:val="20"/>
        </w:rPr>
        <w:t>Estoques e VPD pagas antecipadamente</w:t>
      </w:r>
    </w:p>
    <w:p w14:paraId="0D176566" w14:textId="77777777" w:rsidR="004C19ED" w:rsidRPr="00F4045A" w:rsidRDefault="004C19ED" w:rsidP="004C19ED">
      <w:pPr>
        <w:rPr>
          <w:rFonts w:cs="Arial"/>
          <w:b/>
          <w:bCs/>
          <w:szCs w:val="20"/>
        </w:rPr>
      </w:pPr>
    </w:p>
    <w:p w14:paraId="5599B373" w14:textId="77777777" w:rsidR="004C19ED" w:rsidRDefault="004C19ED" w:rsidP="004C19ED">
      <w:pPr>
        <w:rPr>
          <w:rFonts w:cs="Arial"/>
          <w:szCs w:val="20"/>
        </w:rPr>
      </w:pPr>
      <w:r>
        <w:rPr>
          <w:rFonts w:cs="Arial"/>
          <w:szCs w:val="20"/>
        </w:rPr>
        <w:t>Os valores em estoques permaneceram constantes na relação 2021 x 2020. Quanto aos valores presentes em VPD pagas antecipadamente, o significativo aumento dessa conta refere-se à liquidação e registro contábil das atividades manutenção referentes ao condomínio do edifício onde se encontra o Escritório Central da ANP, no Rio de Janeiro.</w:t>
      </w:r>
    </w:p>
    <w:p w14:paraId="048621DE" w14:textId="77777777" w:rsidR="004C19ED" w:rsidRDefault="004C19ED" w:rsidP="004C19ED">
      <w:pPr>
        <w:rPr>
          <w:rFonts w:cs="Arial"/>
          <w:b/>
          <w:sz w:val="22"/>
        </w:rPr>
      </w:pPr>
    </w:p>
    <w:p w14:paraId="28CDE205" w14:textId="77777777" w:rsidR="004C19ED" w:rsidRPr="004028B5" w:rsidRDefault="004C19ED" w:rsidP="004C19ED">
      <w:pPr>
        <w:rPr>
          <w:rFonts w:cs="Arial"/>
          <w:b/>
          <w:sz w:val="22"/>
        </w:rPr>
      </w:pPr>
      <w:r>
        <w:rPr>
          <w:rFonts w:cs="Arial"/>
          <w:b/>
          <w:sz w:val="22"/>
        </w:rPr>
        <w:t xml:space="preserve">2.2 </w:t>
      </w:r>
      <w:r w:rsidRPr="004028B5">
        <w:rPr>
          <w:rFonts w:cs="Arial"/>
          <w:b/>
          <w:sz w:val="22"/>
        </w:rPr>
        <w:t>Créditos a Longo Prazo</w:t>
      </w:r>
    </w:p>
    <w:p w14:paraId="7D649F46" w14:textId="77777777" w:rsidR="004C19ED" w:rsidRPr="004028B5" w:rsidRDefault="004C19ED" w:rsidP="004C19ED">
      <w:pPr>
        <w:rPr>
          <w:rFonts w:cs="Arial"/>
          <w:b/>
          <w:sz w:val="22"/>
        </w:rPr>
      </w:pPr>
    </w:p>
    <w:p w14:paraId="183F28E2" w14:textId="77777777" w:rsidR="004C19ED" w:rsidRDefault="004C19ED" w:rsidP="004C19ED">
      <w:pPr>
        <w:rPr>
          <w:rFonts w:cs="Arial"/>
          <w:sz w:val="22"/>
        </w:rPr>
      </w:pPr>
      <w:r w:rsidRPr="004028B5">
        <w:rPr>
          <w:rFonts w:cs="Arial"/>
          <w:sz w:val="22"/>
        </w:rPr>
        <w:t xml:space="preserve">Este item contempla os Créditos a Receber vencidos e não pagos, com inscrição em Dívida Ativa. Os créditos estão </w:t>
      </w:r>
      <w:r>
        <w:rPr>
          <w:rFonts w:cs="Arial"/>
          <w:sz w:val="22"/>
        </w:rPr>
        <w:t>reconhecidos</w:t>
      </w:r>
      <w:r w:rsidRPr="004028B5">
        <w:rPr>
          <w:rFonts w:cs="Arial"/>
          <w:sz w:val="22"/>
        </w:rPr>
        <w:t xml:space="preserve"> conforme tabela a seguir:</w:t>
      </w:r>
    </w:p>
    <w:p w14:paraId="4A1021AB" w14:textId="77777777" w:rsidR="004C19ED" w:rsidRDefault="004C19ED" w:rsidP="004C19ED">
      <w:pPr>
        <w:rPr>
          <w:rFonts w:cs="Arial"/>
          <w:sz w:val="22"/>
        </w:rPr>
      </w:pPr>
    </w:p>
    <w:p w14:paraId="67E88678" w14:textId="77777777" w:rsidR="004C19ED" w:rsidRPr="00791AED" w:rsidRDefault="004C19ED" w:rsidP="004C19ED">
      <w:pPr>
        <w:rPr>
          <w:rFonts w:cs="Arial"/>
          <w:b/>
          <w:sz w:val="22"/>
        </w:rPr>
      </w:pPr>
      <w:r w:rsidRPr="00791AED">
        <w:rPr>
          <w:rFonts w:cs="Arial"/>
          <w:b/>
          <w:sz w:val="22"/>
        </w:rPr>
        <w:t xml:space="preserve">Tabela </w:t>
      </w:r>
      <w:r>
        <w:rPr>
          <w:rFonts w:cs="Arial"/>
          <w:b/>
          <w:sz w:val="22"/>
        </w:rPr>
        <w:t>4</w:t>
      </w:r>
      <w:r w:rsidRPr="00791AED">
        <w:rPr>
          <w:rFonts w:cs="Arial"/>
          <w:b/>
          <w:sz w:val="22"/>
        </w:rPr>
        <w:t xml:space="preserve"> – Créditos a Longo Prazo - Composição</w:t>
      </w:r>
    </w:p>
    <w:p w14:paraId="5E7B9244" w14:textId="77777777" w:rsidR="004C19ED" w:rsidRDefault="004C19ED" w:rsidP="004C19ED">
      <w:pPr>
        <w:jc w:val="center"/>
        <w:rPr>
          <w:rFonts w:cs="Arial"/>
          <w:sz w:val="22"/>
        </w:rPr>
      </w:pPr>
      <w:r>
        <w:rPr>
          <w:rFonts w:cs="Arial"/>
          <w:sz w:val="22"/>
        </w:rPr>
        <w:t xml:space="preserve">                                                                                                                                   R$</w:t>
      </w:r>
    </w:p>
    <w:tbl>
      <w:tblPr>
        <w:tblW w:w="9083" w:type="dxa"/>
        <w:tblCellMar>
          <w:left w:w="70" w:type="dxa"/>
          <w:right w:w="70" w:type="dxa"/>
        </w:tblCellMar>
        <w:tblLook w:val="04A0" w:firstRow="1" w:lastRow="0" w:firstColumn="1" w:lastColumn="0" w:noHBand="0" w:noVBand="1"/>
      </w:tblPr>
      <w:tblGrid>
        <w:gridCol w:w="3908"/>
        <w:gridCol w:w="1725"/>
        <w:gridCol w:w="1725"/>
        <w:gridCol w:w="1725"/>
      </w:tblGrid>
      <w:tr w:rsidR="004C19ED" w:rsidRPr="00204D59" w14:paraId="0DC3E63F" w14:textId="77777777" w:rsidTr="003E2CCD">
        <w:trPr>
          <w:trHeight w:val="269"/>
        </w:trPr>
        <w:tc>
          <w:tcPr>
            <w:tcW w:w="3908" w:type="dxa"/>
            <w:tcBorders>
              <w:top w:val="single" w:sz="4" w:space="0" w:color="000000"/>
              <w:left w:val="nil"/>
              <w:bottom w:val="single" w:sz="4" w:space="0" w:color="000000"/>
              <w:right w:val="nil"/>
            </w:tcBorders>
            <w:shd w:val="clear" w:color="auto" w:fill="auto"/>
            <w:noWrap/>
            <w:vAlign w:val="bottom"/>
            <w:hideMark/>
          </w:tcPr>
          <w:p w14:paraId="45A73164" w14:textId="77777777" w:rsidR="004C19ED" w:rsidRPr="00204D59" w:rsidRDefault="004C19ED" w:rsidP="003E2CCD">
            <w:pPr>
              <w:jc w:val="left"/>
              <w:rPr>
                <w:rFonts w:eastAsia="Times New Roman" w:cs="Arial"/>
                <w:b/>
                <w:bCs/>
                <w:color w:val="FFFFFF"/>
                <w:szCs w:val="20"/>
                <w:lang w:eastAsia="pt-BR"/>
              </w:rPr>
            </w:pPr>
            <w:r w:rsidRPr="00204D59">
              <w:rPr>
                <w:rFonts w:eastAsia="Times New Roman" w:cs="Arial"/>
                <w:b/>
                <w:bCs/>
                <w:color w:val="FFFFFF"/>
                <w:szCs w:val="20"/>
                <w:lang w:eastAsia="pt-BR"/>
              </w:rPr>
              <w:t>Colunas1</w:t>
            </w:r>
          </w:p>
        </w:tc>
        <w:tc>
          <w:tcPr>
            <w:tcW w:w="1725" w:type="dxa"/>
            <w:tcBorders>
              <w:top w:val="single" w:sz="4" w:space="0" w:color="000000"/>
              <w:left w:val="nil"/>
              <w:bottom w:val="single" w:sz="4" w:space="0" w:color="000000"/>
              <w:right w:val="nil"/>
            </w:tcBorders>
            <w:shd w:val="clear" w:color="auto" w:fill="auto"/>
            <w:noWrap/>
            <w:vAlign w:val="bottom"/>
            <w:hideMark/>
          </w:tcPr>
          <w:p w14:paraId="3A1E9861" w14:textId="77777777" w:rsidR="004C19ED" w:rsidRPr="00204D59" w:rsidRDefault="004C19ED" w:rsidP="003E2CCD">
            <w:pPr>
              <w:jc w:val="right"/>
              <w:rPr>
                <w:rFonts w:eastAsia="Times New Roman" w:cs="Arial"/>
                <w:b/>
                <w:bCs/>
                <w:color w:val="000000"/>
                <w:szCs w:val="20"/>
                <w:lang w:eastAsia="pt-BR"/>
              </w:rPr>
            </w:pPr>
            <w:r w:rsidRPr="00204D59">
              <w:rPr>
                <w:rFonts w:eastAsia="Times New Roman" w:cs="Arial"/>
                <w:b/>
                <w:bCs/>
                <w:color w:val="000000"/>
                <w:szCs w:val="20"/>
                <w:lang w:eastAsia="pt-BR"/>
              </w:rPr>
              <w:t>3</w:t>
            </w:r>
            <w:r>
              <w:rPr>
                <w:rFonts w:eastAsia="Times New Roman" w:cs="Arial"/>
                <w:b/>
                <w:bCs/>
                <w:color w:val="000000"/>
                <w:szCs w:val="20"/>
                <w:lang w:eastAsia="pt-BR"/>
              </w:rPr>
              <w:t>1</w:t>
            </w:r>
            <w:r w:rsidRPr="00204D59">
              <w:rPr>
                <w:rFonts w:eastAsia="Times New Roman" w:cs="Arial"/>
                <w:b/>
                <w:bCs/>
                <w:color w:val="000000"/>
                <w:szCs w:val="20"/>
                <w:lang w:eastAsia="pt-BR"/>
              </w:rPr>
              <w:t>/</w:t>
            </w:r>
            <w:r>
              <w:rPr>
                <w:rFonts w:eastAsia="Times New Roman" w:cs="Arial"/>
                <w:b/>
                <w:bCs/>
                <w:color w:val="000000"/>
                <w:szCs w:val="20"/>
                <w:lang w:eastAsia="pt-BR"/>
              </w:rPr>
              <w:t>12</w:t>
            </w:r>
            <w:r w:rsidRPr="00204D59">
              <w:rPr>
                <w:rFonts w:eastAsia="Times New Roman" w:cs="Arial"/>
                <w:b/>
                <w:bCs/>
                <w:color w:val="000000"/>
                <w:szCs w:val="20"/>
                <w:lang w:eastAsia="pt-BR"/>
              </w:rPr>
              <w:t>/20</w:t>
            </w:r>
            <w:r>
              <w:rPr>
                <w:rFonts w:eastAsia="Times New Roman" w:cs="Arial"/>
                <w:b/>
                <w:bCs/>
                <w:color w:val="000000"/>
                <w:szCs w:val="20"/>
                <w:lang w:eastAsia="pt-BR"/>
              </w:rPr>
              <w:t>21</w:t>
            </w:r>
          </w:p>
        </w:tc>
        <w:tc>
          <w:tcPr>
            <w:tcW w:w="1725" w:type="dxa"/>
            <w:tcBorders>
              <w:top w:val="single" w:sz="4" w:space="0" w:color="000000"/>
              <w:left w:val="nil"/>
              <w:bottom w:val="single" w:sz="4" w:space="0" w:color="000000"/>
              <w:right w:val="nil"/>
            </w:tcBorders>
            <w:shd w:val="clear" w:color="auto" w:fill="auto"/>
            <w:noWrap/>
            <w:vAlign w:val="bottom"/>
            <w:hideMark/>
          </w:tcPr>
          <w:p w14:paraId="42C88CEA" w14:textId="77777777" w:rsidR="004C19ED" w:rsidRPr="00204D59" w:rsidRDefault="004C19ED" w:rsidP="003E2CCD">
            <w:pPr>
              <w:jc w:val="right"/>
              <w:rPr>
                <w:rFonts w:eastAsia="Times New Roman" w:cs="Arial"/>
                <w:b/>
                <w:bCs/>
                <w:color w:val="000000"/>
                <w:szCs w:val="20"/>
                <w:lang w:eastAsia="pt-BR"/>
              </w:rPr>
            </w:pPr>
            <w:r w:rsidRPr="00204D59">
              <w:rPr>
                <w:rFonts w:eastAsia="Times New Roman" w:cs="Arial"/>
                <w:b/>
                <w:bCs/>
                <w:color w:val="000000"/>
                <w:szCs w:val="20"/>
                <w:lang w:eastAsia="pt-BR"/>
              </w:rPr>
              <w:t>31/12/20</w:t>
            </w:r>
            <w:r>
              <w:rPr>
                <w:rFonts w:eastAsia="Times New Roman" w:cs="Arial"/>
                <w:b/>
                <w:bCs/>
                <w:color w:val="000000"/>
                <w:szCs w:val="20"/>
                <w:lang w:eastAsia="pt-BR"/>
              </w:rPr>
              <w:t>20</w:t>
            </w:r>
          </w:p>
        </w:tc>
        <w:tc>
          <w:tcPr>
            <w:tcW w:w="1725" w:type="dxa"/>
            <w:tcBorders>
              <w:top w:val="single" w:sz="4" w:space="0" w:color="000000"/>
              <w:left w:val="nil"/>
              <w:bottom w:val="single" w:sz="4" w:space="0" w:color="000000"/>
              <w:right w:val="nil"/>
            </w:tcBorders>
            <w:shd w:val="clear" w:color="auto" w:fill="auto"/>
            <w:noWrap/>
            <w:vAlign w:val="bottom"/>
            <w:hideMark/>
          </w:tcPr>
          <w:p w14:paraId="22D2D862" w14:textId="77777777" w:rsidR="004C19ED" w:rsidRPr="00204D59" w:rsidRDefault="004C19ED" w:rsidP="003E2CCD">
            <w:pPr>
              <w:jc w:val="right"/>
              <w:rPr>
                <w:rFonts w:eastAsia="Times New Roman" w:cs="Arial"/>
                <w:b/>
                <w:bCs/>
                <w:color w:val="000000"/>
                <w:szCs w:val="20"/>
                <w:lang w:eastAsia="pt-BR"/>
              </w:rPr>
            </w:pPr>
            <w:r w:rsidRPr="00204D59">
              <w:rPr>
                <w:rFonts w:eastAsia="Times New Roman" w:cs="Arial"/>
                <w:b/>
                <w:bCs/>
                <w:color w:val="000000"/>
                <w:szCs w:val="20"/>
                <w:lang w:eastAsia="pt-BR"/>
              </w:rPr>
              <w:t>AH (%)</w:t>
            </w:r>
          </w:p>
        </w:tc>
      </w:tr>
      <w:tr w:rsidR="004C19ED" w:rsidRPr="00204D59" w14:paraId="0A6B8437" w14:textId="77777777" w:rsidTr="003E2CCD">
        <w:trPr>
          <w:trHeight w:val="269"/>
        </w:trPr>
        <w:tc>
          <w:tcPr>
            <w:tcW w:w="3908" w:type="dxa"/>
            <w:tcBorders>
              <w:top w:val="nil"/>
              <w:left w:val="nil"/>
              <w:bottom w:val="nil"/>
              <w:right w:val="nil"/>
            </w:tcBorders>
            <w:shd w:val="clear" w:color="D9D9D9" w:fill="D9D9D9"/>
            <w:vAlign w:val="bottom"/>
            <w:hideMark/>
          </w:tcPr>
          <w:p w14:paraId="2F64ACAB" w14:textId="77777777" w:rsidR="004C19ED" w:rsidRPr="00204D59" w:rsidRDefault="004C19ED" w:rsidP="003E2CCD">
            <w:pPr>
              <w:jc w:val="left"/>
              <w:rPr>
                <w:rFonts w:eastAsia="Times New Roman" w:cs="Arial"/>
                <w:color w:val="000000"/>
                <w:szCs w:val="20"/>
                <w:lang w:eastAsia="pt-BR"/>
              </w:rPr>
            </w:pPr>
            <w:r w:rsidRPr="00204D59">
              <w:rPr>
                <w:rFonts w:eastAsia="Times New Roman" w:cs="Arial"/>
                <w:color w:val="000000"/>
                <w:szCs w:val="20"/>
                <w:lang w:eastAsia="pt-BR"/>
              </w:rPr>
              <w:t>Dívida Ativa Não Tributária</w:t>
            </w:r>
          </w:p>
        </w:tc>
        <w:tc>
          <w:tcPr>
            <w:tcW w:w="1725" w:type="dxa"/>
            <w:tcBorders>
              <w:top w:val="nil"/>
              <w:left w:val="nil"/>
              <w:bottom w:val="nil"/>
              <w:right w:val="nil"/>
            </w:tcBorders>
            <w:shd w:val="clear" w:color="D9D9D9" w:fill="D9D9D9"/>
            <w:noWrap/>
            <w:vAlign w:val="bottom"/>
            <w:hideMark/>
          </w:tcPr>
          <w:p w14:paraId="4440F549" w14:textId="77777777" w:rsidR="004C19ED" w:rsidRPr="00FD256C" w:rsidRDefault="004C19ED" w:rsidP="003E2CCD">
            <w:pPr>
              <w:jc w:val="right"/>
              <w:rPr>
                <w:rFonts w:cs="Arial"/>
                <w:color w:val="000000"/>
                <w:szCs w:val="20"/>
              </w:rPr>
            </w:pPr>
            <w:r w:rsidRPr="00FD256C">
              <w:rPr>
                <w:rFonts w:cs="Arial"/>
                <w:color w:val="000000"/>
                <w:szCs w:val="20"/>
              </w:rPr>
              <w:t>1.832.239.861,67</w:t>
            </w:r>
          </w:p>
          <w:p w14:paraId="0B0ED135" w14:textId="77777777" w:rsidR="004C19ED" w:rsidRPr="00204D59" w:rsidRDefault="004C19ED" w:rsidP="003E2CCD">
            <w:pPr>
              <w:jc w:val="right"/>
              <w:rPr>
                <w:rFonts w:eastAsia="Times New Roman" w:cs="Arial"/>
                <w:color w:val="000000"/>
                <w:szCs w:val="20"/>
                <w:lang w:eastAsia="pt-BR"/>
              </w:rPr>
            </w:pPr>
          </w:p>
        </w:tc>
        <w:tc>
          <w:tcPr>
            <w:tcW w:w="1725" w:type="dxa"/>
            <w:tcBorders>
              <w:top w:val="nil"/>
              <w:left w:val="nil"/>
              <w:bottom w:val="nil"/>
              <w:right w:val="nil"/>
            </w:tcBorders>
            <w:shd w:val="clear" w:color="D9D9D9" w:fill="D9D9D9"/>
            <w:noWrap/>
            <w:vAlign w:val="bottom"/>
            <w:hideMark/>
          </w:tcPr>
          <w:p w14:paraId="527C9001" w14:textId="77777777" w:rsidR="004C19ED" w:rsidRPr="00204D59" w:rsidRDefault="004C19ED" w:rsidP="003E2CCD">
            <w:pPr>
              <w:jc w:val="right"/>
              <w:rPr>
                <w:rFonts w:eastAsia="Times New Roman" w:cs="Arial"/>
                <w:color w:val="000000"/>
                <w:szCs w:val="20"/>
                <w:lang w:eastAsia="pt-BR"/>
              </w:rPr>
            </w:pPr>
            <w:r w:rsidRPr="00CC1BB7">
              <w:rPr>
                <w:rFonts w:eastAsia="Times New Roman" w:cs="Arial"/>
                <w:color w:val="000000"/>
                <w:szCs w:val="20"/>
                <w:lang w:eastAsia="pt-BR"/>
              </w:rPr>
              <w:t>1.855.289.239,55</w:t>
            </w:r>
          </w:p>
        </w:tc>
        <w:tc>
          <w:tcPr>
            <w:tcW w:w="1725" w:type="dxa"/>
            <w:tcBorders>
              <w:top w:val="nil"/>
              <w:left w:val="nil"/>
              <w:bottom w:val="nil"/>
              <w:right w:val="nil"/>
            </w:tcBorders>
            <w:shd w:val="clear" w:color="D9D9D9" w:fill="D9D9D9"/>
            <w:noWrap/>
            <w:vAlign w:val="bottom"/>
            <w:hideMark/>
          </w:tcPr>
          <w:p w14:paraId="0FAD6795" w14:textId="77777777" w:rsidR="004C19ED" w:rsidRPr="00204D59" w:rsidRDefault="004C19ED" w:rsidP="003E2CCD">
            <w:pPr>
              <w:jc w:val="right"/>
              <w:rPr>
                <w:rFonts w:eastAsia="Times New Roman" w:cs="Arial"/>
                <w:color w:val="000000"/>
                <w:szCs w:val="20"/>
                <w:lang w:eastAsia="pt-BR"/>
              </w:rPr>
            </w:pPr>
            <w:r>
              <w:rPr>
                <w:rFonts w:eastAsia="Times New Roman" w:cs="Arial"/>
                <w:color w:val="000000"/>
                <w:szCs w:val="20"/>
                <w:lang w:eastAsia="pt-BR"/>
              </w:rPr>
              <w:t>-1,24</w:t>
            </w:r>
          </w:p>
        </w:tc>
      </w:tr>
      <w:tr w:rsidR="004C19ED" w:rsidRPr="00204D59" w14:paraId="21384D84" w14:textId="77777777" w:rsidTr="003E2CCD">
        <w:trPr>
          <w:trHeight w:val="539"/>
        </w:trPr>
        <w:tc>
          <w:tcPr>
            <w:tcW w:w="3908" w:type="dxa"/>
            <w:tcBorders>
              <w:top w:val="nil"/>
              <w:left w:val="nil"/>
              <w:bottom w:val="nil"/>
              <w:right w:val="nil"/>
            </w:tcBorders>
            <w:shd w:val="clear" w:color="auto" w:fill="auto"/>
            <w:vAlign w:val="bottom"/>
            <w:hideMark/>
          </w:tcPr>
          <w:p w14:paraId="59BBF796" w14:textId="77777777" w:rsidR="004C19ED" w:rsidRPr="00204D59" w:rsidRDefault="004C19ED" w:rsidP="003E2CCD">
            <w:pPr>
              <w:jc w:val="left"/>
              <w:rPr>
                <w:rFonts w:eastAsia="Times New Roman" w:cs="Arial"/>
                <w:color w:val="000000"/>
                <w:szCs w:val="20"/>
                <w:lang w:eastAsia="pt-BR"/>
              </w:rPr>
            </w:pPr>
            <w:r w:rsidRPr="00204D59">
              <w:rPr>
                <w:rFonts w:eastAsia="Times New Roman" w:cs="Arial"/>
                <w:color w:val="000000"/>
                <w:szCs w:val="20"/>
                <w:lang w:eastAsia="pt-BR"/>
              </w:rPr>
              <w:t>Ajuste de Perdas de Dívida Ativa Não Tributária</w:t>
            </w:r>
          </w:p>
        </w:tc>
        <w:tc>
          <w:tcPr>
            <w:tcW w:w="1725" w:type="dxa"/>
            <w:tcBorders>
              <w:top w:val="nil"/>
              <w:left w:val="nil"/>
              <w:bottom w:val="nil"/>
              <w:right w:val="nil"/>
            </w:tcBorders>
            <w:shd w:val="clear" w:color="auto" w:fill="auto"/>
            <w:noWrap/>
            <w:vAlign w:val="bottom"/>
            <w:hideMark/>
          </w:tcPr>
          <w:p w14:paraId="1B162BE2" w14:textId="77777777" w:rsidR="004C19ED" w:rsidRPr="00204D59"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r w:rsidRPr="00204D59">
              <w:rPr>
                <w:rFonts w:eastAsia="Times New Roman" w:cs="Arial"/>
                <w:color w:val="000000"/>
                <w:szCs w:val="20"/>
                <w:lang w:eastAsia="pt-BR"/>
              </w:rPr>
              <w:t>)</w:t>
            </w:r>
          </w:p>
        </w:tc>
        <w:tc>
          <w:tcPr>
            <w:tcW w:w="1725" w:type="dxa"/>
            <w:tcBorders>
              <w:top w:val="nil"/>
              <w:left w:val="nil"/>
              <w:bottom w:val="nil"/>
              <w:right w:val="nil"/>
            </w:tcBorders>
            <w:shd w:val="clear" w:color="auto" w:fill="auto"/>
            <w:noWrap/>
            <w:vAlign w:val="bottom"/>
            <w:hideMark/>
          </w:tcPr>
          <w:p w14:paraId="3C9E3047" w14:textId="77777777" w:rsidR="004C19ED" w:rsidRPr="00204D59"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r w:rsidRPr="00204D59">
              <w:rPr>
                <w:rFonts w:eastAsia="Times New Roman" w:cs="Arial"/>
                <w:color w:val="000000"/>
                <w:szCs w:val="20"/>
                <w:lang w:eastAsia="pt-BR"/>
              </w:rPr>
              <w:t>)</w:t>
            </w:r>
          </w:p>
        </w:tc>
        <w:tc>
          <w:tcPr>
            <w:tcW w:w="1725" w:type="dxa"/>
            <w:tcBorders>
              <w:top w:val="nil"/>
              <w:left w:val="nil"/>
              <w:bottom w:val="nil"/>
              <w:right w:val="nil"/>
            </w:tcBorders>
            <w:shd w:val="clear" w:color="auto" w:fill="auto"/>
            <w:noWrap/>
            <w:vAlign w:val="bottom"/>
            <w:hideMark/>
          </w:tcPr>
          <w:p w14:paraId="1BAEEFF5" w14:textId="77777777" w:rsidR="004C19ED" w:rsidRPr="00204D59" w:rsidRDefault="004C19ED" w:rsidP="003E2CCD">
            <w:pPr>
              <w:jc w:val="right"/>
              <w:rPr>
                <w:rFonts w:eastAsia="Times New Roman" w:cs="Arial"/>
                <w:color w:val="000000"/>
                <w:szCs w:val="20"/>
                <w:lang w:eastAsia="pt-BR"/>
              </w:rPr>
            </w:pPr>
            <w:r w:rsidRPr="00204D59">
              <w:rPr>
                <w:rFonts w:eastAsia="Times New Roman" w:cs="Arial"/>
                <w:color w:val="000000"/>
                <w:szCs w:val="20"/>
                <w:lang w:eastAsia="pt-BR"/>
              </w:rPr>
              <w:t>0,00</w:t>
            </w:r>
          </w:p>
        </w:tc>
      </w:tr>
      <w:tr w:rsidR="004C19ED" w:rsidRPr="00204D59" w14:paraId="74849A4F" w14:textId="77777777" w:rsidTr="003E2CCD">
        <w:trPr>
          <w:trHeight w:val="269"/>
        </w:trPr>
        <w:tc>
          <w:tcPr>
            <w:tcW w:w="3908" w:type="dxa"/>
            <w:tcBorders>
              <w:top w:val="nil"/>
              <w:left w:val="nil"/>
              <w:bottom w:val="single" w:sz="4" w:space="0" w:color="000000"/>
              <w:right w:val="nil"/>
            </w:tcBorders>
            <w:shd w:val="clear" w:color="D9D9D9" w:fill="D9D9D9"/>
            <w:noWrap/>
            <w:vAlign w:val="bottom"/>
            <w:hideMark/>
          </w:tcPr>
          <w:p w14:paraId="08028DAF" w14:textId="77777777" w:rsidR="004C19ED" w:rsidRPr="00204D59" w:rsidRDefault="004C19ED" w:rsidP="003E2CCD">
            <w:pPr>
              <w:jc w:val="left"/>
              <w:rPr>
                <w:rFonts w:eastAsia="Times New Roman" w:cs="Arial"/>
                <w:b/>
                <w:bCs/>
                <w:color w:val="000000"/>
                <w:szCs w:val="20"/>
                <w:lang w:eastAsia="pt-BR"/>
              </w:rPr>
            </w:pPr>
            <w:r w:rsidRPr="00204D59">
              <w:rPr>
                <w:rFonts w:eastAsia="Times New Roman" w:cs="Arial"/>
                <w:b/>
                <w:bCs/>
                <w:color w:val="000000"/>
                <w:szCs w:val="20"/>
                <w:lang w:eastAsia="pt-BR"/>
              </w:rPr>
              <w:t>Total</w:t>
            </w:r>
          </w:p>
        </w:tc>
        <w:tc>
          <w:tcPr>
            <w:tcW w:w="1725" w:type="dxa"/>
            <w:tcBorders>
              <w:top w:val="nil"/>
              <w:left w:val="nil"/>
              <w:bottom w:val="single" w:sz="4" w:space="0" w:color="000000"/>
              <w:right w:val="nil"/>
            </w:tcBorders>
            <w:shd w:val="clear" w:color="D9D9D9" w:fill="D9D9D9"/>
            <w:noWrap/>
            <w:vAlign w:val="bottom"/>
            <w:hideMark/>
          </w:tcPr>
          <w:p w14:paraId="6502260C" w14:textId="77777777" w:rsidR="004C19ED" w:rsidRPr="00FD256C" w:rsidRDefault="004C19ED" w:rsidP="003E2CCD">
            <w:pPr>
              <w:jc w:val="right"/>
              <w:rPr>
                <w:rFonts w:cs="Arial"/>
                <w:b/>
                <w:bCs/>
                <w:color w:val="000000"/>
                <w:szCs w:val="20"/>
              </w:rPr>
            </w:pPr>
            <w:r w:rsidRPr="00FD256C">
              <w:rPr>
                <w:rFonts w:cs="Arial"/>
                <w:b/>
                <w:bCs/>
                <w:color w:val="000000"/>
                <w:szCs w:val="20"/>
              </w:rPr>
              <w:t>1.832.239.861,67</w:t>
            </w:r>
          </w:p>
          <w:p w14:paraId="1E7A9266" w14:textId="77777777" w:rsidR="004C19ED" w:rsidRPr="00624E0A" w:rsidRDefault="004C19ED" w:rsidP="003E2CCD">
            <w:pPr>
              <w:jc w:val="right"/>
              <w:rPr>
                <w:rFonts w:eastAsia="Times New Roman" w:cs="Arial"/>
                <w:b/>
                <w:bCs/>
                <w:color w:val="000000"/>
                <w:szCs w:val="20"/>
                <w:lang w:eastAsia="pt-BR"/>
              </w:rPr>
            </w:pPr>
          </w:p>
        </w:tc>
        <w:tc>
          <w:tcPr>
            <w:tcW w:w="1725" w:type="dxa"/>
            <w:tcBorders>
              <w:top w:val="nil"/>
              <w:left w:val="nil"/>
              <w:bottom w:val="single" w:sz="4" w:space="0" w:color="000000"/>
              <w:right w:val="nil"/>
            </w:tcBorders>
            <w:shd w:val="clear" w:color="D9D9D9" w:fill="D9D9D9"/>
            <w:noWrap/>
            <w:vAlign w:val="bottom"/>
            <w:hideMark/>
          </w:tcPr>
          <w:p w14:paraId="5F4F0614" w14:textId="77777777" w:rsidR="004C19ED" w:rsidRPr="00204D59" w:rsidRDefault="004C19ED" w:rsidP="003E2CCD">
            <w:pPr>
              <w:jc w:val="right"/>
              <w:rPr>
                <w:rFonts w:eastAsia="Times New Roman" w:cs="Arial"/>
                <w:b/>
                <w:bCs/>
                <w:color w:val="000000"/>
                <w:szCs w:val="20"/>
                <w:lang w:eastAsia="pt-BR"/>
              </w:rPr>
            </w:pPr>
            <w:r w:rsidRPr="00624E0A">
              <w:rPr>
                <w:rFonts w:eastAsia="Times New Roman" w:cs="Arial"/>
                <w:b/>
                <w:color w:val="000000"/>
                <w:szCs w:val="20"/>
                <w:lang w:eastAsia="pt-BR"/>
              </w:rPr>
              <w:t>1.8</w:t>
            </w:r>
            <w:r>
              <w:rPr>
                <w:rFonts w:eastAsia="Times New Roman" w:cs="Arial"/>
                <w:b/>
                <w:color w:val="000000"/>
                <w:szCs w:val="20"/>
                <w:lang w:eastAsia="pt-BR"/>
              </w:rPr>
              <w:t>5</w:t>
            </w:r>
            <w:r w:rsidRPr="00624E0A">
              <w:rPr>
                <w:rFonts w:eastAsia="Times New Roman" w:cs="Arial"/>
                <w:b/>
                <w:color w:val="000000"/>
                <w:szCs w:val="20"/>
                <w:lang w:eastAsia="pt-BR"/>
              </w:rPr>
              <w:t>5.104.857,90</w:t>
            </w:r>
          </w:p>
        </w:tc>
        <w:tc>
          <w:tcPr>
            <w:tcW w:w="1725" w:type="dxa"/>
            <w:tcBorders>
              <w:top w:val="nil"/>
              <w:left w:val="nil"/>
              <w:bottom w:val="single" w:sz="4" w:space="0" w:color="000000"/>
              <w:right w:val="nil"/>
            </w:tcBorders>
            <w:shd w:val="clear" w:color="D9D9D9" w:fill="D9D9D9"/>
            <w:noWrap/>
            <w:vAlign w:val="bottom"/>
            <w:hideMark/>
          </w:tcPr>
          <w:p w14:paraId="75A921DA" w14:textId="77777777" w:rsidR="004C19ED" w:rsidRPr="00204D59"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-1,24</w:t>
            </w:r>
          </w:p>
        </w:tc>
      </w:tr>
    </w:tbl>
    <w:p w14:paraId="1E20BB1E" w14:textId="77777777" w:rsidR="004C19ED" w:rsidRPr="00204D59" w:rsidRDefault="004C19ED" w:rsidP="004C19ED">
      <w:pPr>
        <w:rPr>
          <w:rFonts w:cs="Arial"/>
          <w:i/>
          <w:szCs w:val="20"/>
        </w:rPr>
      </w:pPr>
      <w:r w:rsidRPr="00204D59">
        <w:rPr>
          <w:rFonts w:cs="Arial"/>
          <w:i/>
          <w:szCs w:val="20"/>
        </w:rPr>
        <w:t>Fonte: SIAFI</w:t>
      </w:r>
      <w:r>
        <w:rPr>
          <w:rFonts w:cs="Arial"/>
          <w:i/>
          <w:szCs w:val="20"/>
        </w:rPr>
        <w:t xml:space="preserve"> 2021</w:t>
      </w:r>
      <w:r w:rsidRPr="00204D59">
        <w:rPr>
          <w:rFonts w:cs="Arial"/>
          <w:i/>
          <w:szCs w:val="20"/>
        </w:rPr>
        <w:t>, 20</w:t>
      </w:r>
      <w:r>
        <w:rPr>
          <w:rFonts w:cs="Arial"/>
          <w:i/>
          <w:szCs w:val="20"/>
        </w:rPr>
        <w:t>20.</w:t>
      </w:r>
    </w:p>
    <w:p w14:paraId="68B72F75" w14:textId="77777777" w:rsidR="004C19ED" w:rsidRPr="004028B5" w:rsidRDefault="004C19ED" w:rsidP="004C19ED">
      <w:pPr>
        <w:rPr>
          <w:rFonts w:cs="Arial"/>
          <w:sz w:val="22"/>
        </w:rPr>
      </w:pPr>
    </w:p>
    <w:p w14:paraId="56A4993C" w14:textId="77777777" w:rsidR="004C19ED" w:rsidRDefault="004C19ED" w:rsidP="004C19ED">
      <w:pPr>
        <w:rPr>
          <w:rFonts w:eastAsia="Times New Roman" w:cs="Arial"/>
          <w:sz w:val="22"/>
        </w:rPr>
      </w:pPr>
      <w:r w:rsidRPr="00B4789D">
        <w:rPr>
          <w:rFonts w:cs="Arial"/>
          <w:sz w:val="22"/>
        </w:rPr>
        <w:t>Em 31/12/20</w:t>
      </w:r>
      <w:r>
        <w:rPr>
          <w:rFonts w:cs="Arial"/>
          <w:sz w:val="22"/>
        </w:rPr>
        <w:t>21</w:t>
      </w:r>
      <w:r w:rsidRPr="00B4789D">
        <w:rPr>
          <w:rFonts w:cs="Arial"/>
          <w:sz w:val="22"/>
        </w:rPr>
        <w:t xml:space="preserve">, a ANP possuía um saldo superior </w:t>
      </w:r>
      <w:r w:rsidRPr="00FD256C">
        <w:rPr>
          <w:rFonts w:cs="Arial"/>
          <w:sz w:val="22"/>
        </w:rPr>
        <w:t>a R$ 1,8 bilhões de créditos a receber. Conforme Portaria N. 954/2009/AGU, compete aos Serviços ou</w:t>
      </w:r>
      <w:r>
        <w:rPr>
          <w:rFonts w:cs="Arial"/>
          <w:sz w:val="22"/>
        </w:rPr>
        <w:t xml:space="preserve"> Seções de Cobrança e Recuperação de Créditos das</w:t>
      </w:r>
      <w:r w:rsidRPr="004028B5">
        <w:rPr>
          <w:rFonts w:eastAsia="Times New Roman" w:cs="Arial"/>
          <w:sz w:val="22"/>
        </w:rPr>
        <w:t xml:space="preserve"> Procuradorias Regionais Federais, Procuradorias Federais nos Estados, Procuradorias Seccionais Federais e Escritórios de Representação</w:t>
      </w:r>
      <w:r>
        <w:rPr>
          <w:rFonts w:eastAsia="Times New Roman" w:cs="Arial"/>
          <w:sz w:val="22"/>
        </w:rPr>
        <w:t xml:space="preserve"> processarem os pedidos de parcelamento de créditos inscritos em dívida ativa das autarquias e fundações públicas federais, por meio do sistema SAPIENS</w:t>
      </w:r>
      <w:r w:rsidRPr="004028B5">
        <w:rPr>
          <w:rFonts w:eastAsia="Times New Roman" w:cs="Arial"/>
          <w:sz w:val="22"/>
        </w:rPr>
        <w:t>. Segundo este normativo, ao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p>
    <w:p w14:paraId="039764B3" w14:textId="77777777" w:rsidR="004C19ED" w:rsidRDefault="004C19ED" w:rsidP="004C19ED">
      <w:pPr>
        <w:rPr>
          <w:rFonts w:eastAsia="Times New Roman" w:cs="Arial"/>
          <w:sz w:val="22"/>
        </w:rPr>
      </w:pPr>
    </w:p>
    <w:p w14:paraId="61FEC898" w14:textId="77777777" w:rsidR="004C19ED" w:rsidRDefault="004C19ED" w:rsidP="004C19ED">
      <w:pPr>
        <w:rPr>
          <w:rFonts w:cs="Arial"/>
          <w:sz w:val="22"/>
        </w:rPr>
      </w:pPr>
      <w:r>
        <w:rPr>
          <w:sz w:val="22"/>
        </w:rPr>
        <w:t xml:space="preserve">Contudo, por conta do excessivo volume de inscrições e baixas e por não haver sistemática para contabilização automática, os valores presentes nessa conta não se encontram atualizados. </w:t>
      </w:r>
      <w:r>
        <w:rPr>
          <w:rFonts w:cs="Arial"/>
          <w:sz w:val="22"/>
        </w:rPr>
        <w:t xml:space="preserve">Somente no início do exercício de 2022 é que se finalizou a elaboração de uma sistemática básica apta a fornecer informações fidedignas para alimentar o SIAFI. Em </w:t>
      </w:r>
      <w:r>
        <w:rPr>
          <w:rFonts w:cs="Arial"/>
          <w:sz w:val="22"/>
        </w:rPr>
        <w:lastRenderedPageBreak/>
        <w:t xml:space="preserve">paralelo, o Núcleo de Gestão de Créditos - NGC, junto com a Superintendência de Tecnologia da Informação – STI, estão desenvolvendo um novo sistema </w:t>
      </w:r>
      <w:r w:rsidRPr="005C45E1">
        <w:rPr>
          <w:rFonts w:cs="Arial"/>
          <w:sz w:val="22"/>
        </w:rPr>
        <w:t>de gestão de créditos</w:t>
      </w:r>
      <w:r>
        <w:rPr>
          <w:rFonts w:cs="Arial"/>
          <w:sz w:val="22"/>
        </w:rPr>
        <w:t>,  mais confiável e que será capaz de atender a todos os requisitos de contabilização.</w:t>
      </w:r>
    </w:p>
    <w:p w14:paraId="06625773" w14:textId="77777777" w:rsidR="004C19ED" w:rsidRPr="000F090C" w:rsidRDefault="004C19ED" w:rsidP="004C19ED">
      <w:pPr>
        <w:rPr>
          <w:sz w:val="22"/>
        </w:rPr>
      </w:pPr>
      <w:r>
        <w:rPr>
          <w:sz w:val="22"/>
        </w:rPr>
        <w:t xml:space="preserve"> </w:t>
      </w:r>
      <w:r w:rsidRPr="000F090C">
        <w:rPr>
          <w:sz w:val="22"/>
        </w:rPr>
        <w:t xml:space="preserve"> </w:t>
      </w:r>
    </w:p>
    <w:p w14:paraId="5512780B" w14:textId="77777777" w:rsidR="004C19ED" w:rsidRPr="0037110A" w:rsidRDefault="004C19ED" w:rsidP="004C19ED">
      <w:pPr>
        <w:rPr>
          <w:rFonts w:cs="Arial"/>
          <w:b/>
          <w:sz w:val="22"/>
        </w:rPr>
      </w:pPr>
      <w:bookmarkStart w:id="2" w:name="_Hlk31288737"/>
      <w:r w:rsidRPr="0037110A">
        <w:rPr>
          <w:rFonts w:cs="Arial"/>
          <w:b/>
          <w:sz w:val="22"/>
        </w:rPr>
        <w:t>Nota 03 – Imobilizado</w:t>
      </w:r>
    </w:p>
    <w:p w14:paraId="40940F98" w14:textId="77777777" w:rsidR="004C19ED" w:rsidRPr="0037110A" w:rsidRDefault="004C19ED" w:rsidP="004C19ED">
      <w:pPr>
        <w:rPr>
          <w:rFonts w:cs="Arial"/>
          <w:sz w:val="22"/>
        </w:rPr>
      </w:pPr>
    </w:p>
    <w:p w14:paraId="0B270CA5" w14:textId="77777777" w:rsidR="004C19ED" w:rsidRPr="0037110A" w:rsidRDefault="004C19ED" w:rsidP="004C19ED">
      <w:pPr>
        <w:rPr>
          <w:rFonts w:cs="Arial"/>
          <w:sz w:val="22"/>
        </w:rPr>
      </w:pPr>
      <w:r w:rsidRPr="0037110A">
        <w:rPr>
          <w:rFonts w:cs="Arial"/>
          <w:sz w:val="22"/>
        </w:rPr>
        <w:t xml:space="preserve">O </w:t>
      </w:r>
      <w:r>
        <w:rPr>
          <w:rFonts w:cs="Arial"/>
          <w:sz w:val="22"/>
        </w:rPr>
        <w:t>I</w:t>
      </w:r>
      <w:r w:rsidRPr="0037110A">
        <w:rPr>
          <w:rFonts w:cs="Arial"/>
          <w:sz w:val="22"/>
        </w:rPr>
        <w:t>mobilizado da AN</w:t>
      </w:r>
      <w:r>
        <w:rPr>
          <w:rFonts w:cs="Arial"/>
          <w:sz w:val="22"/>
        </w:rPr>
        <w:t>P</w:t>
      </w:r>
      <w:r w:rsidRPr="0037110A">
        <w:rPr>
          <w:rFonts w:cs="Arial"/>
          <w:sz w:val="22"/>
        </w:rPr>
        <w:t xml:space="preserve"> é segregado em dois grupos: (i) bens móveis; e (</w:t>
      </w:r>
      <w:proofErr w:type="spellStart"/>
      <w:r w:rsidRPr="0037110A">
        <w:rPr>
          <w:rFonts w:cs="Arial"/>
          <w:sz w:val="22"/>
        </w:rPr>
        <w:t>ii</w:t>
      </w:r>
      <w:proofErr w:type="spellEnd"/>
      <w:r w:rsidRPr="0037110A">
        <w:rPr>
          <w:rFonts w:cs="Arial"/>
          <w:sz w:val="22"/>
        </w:rPr>
        <w:t>) bens imóveis. Na tabela a seguir, é apresentada a composição do item imobilizado:</w:t>
      </w:r>
    </w:p>
    <w:p w14:paraId="741CC1EC" w14:textId="77777777" w:rsidR="004C19ED" w:rsidRPr="0037110A" w:rsidRDefault="004C19ED" w:rsidP="004C19ED">
      <w:pPr>
        <w:rPr>
          <w:rFonts w:cs="Arial"/>
          <w:sz w:val="22"/>
        </w:rPr>
      </w:pPr>
    </w:p>
    <w:p w14:paraId="0E486C7B" w14:textId="77777777" w:rsidR="004C19ED" w:rsidRPr="0037110A" w:rsidRDefault="004C19ED" w:rsidP="004C19ED">
      <w:pPr>
        <w:rPr>
          <w:rFonts w:cs="Arial"/>
          <w:b/>
          <w:sz w:val="22"/>
        </w:rPr>
      </w:pPr>
      <w:r w:rsidRPr="0037110A">
        <w:rPr>
          <w:rFonts w:cs="Arial"/>
          <w:b/>
          <w:sz w:val="22"/>
        </w:rPr>
        <w:t>Tabela</w:t>
      </w:r>
      <w:r>
        <w:rPr>
          <w:rFonts w:cs="Arial"/>
          <w:b/>
          <w:sz w:val="22"/>
        </w:rPr>
        <w:t xml:space="preserve"> 5</w:t>
      </w:r>
      <w:r w:rsidRPr="0037110A">
        <w:rPr>
          <w:rFonts w:cs="Arial"/>
          <w:b/>
          <w:sz w:val="22"/>
        </w:rPr>
        <w:t xml:space="preserve"> – Imobilizado - Composição.</w:t>
      </w:r>
    </w:p>
    <w:p w14:paraId="0B7653F9" w14:textId="77777777" w:rsidR="004C19ED" w:rsidRDefault="004C19ED" w:rsidP="004C19ED">
      <w:pPr>
        <w:jc w:val="right"/>
        <w:rPr>
          <w:rFonts w:cs="Arial"/>
          <w:sz w:val="22"/>
        </w:rPr>
      </w:pPr>
      <w:r w:rsidRPr="0037110A">
        <w:rPr>
          <w:rFonts w:cs="Arial"/>
          <w:sz w:val="22"/>
        </w:rPr>
        <w:t xml:space="preserve">  R$</w:t>
      </w:r>
    </w:p>
    <w:tbl>
      <w:tblPr>
        <w:tblW w:w="9429" w:type="dxa"/>
        <w:tblCellMar>
          <w:left w:w="70" w:type="dxa"/>
          <w:right w:w="70" w:type="dxa"/>
        </w:tblCellMar>
        <w:tblLook w:val="04A0" w:firstRow="1" w:lastRow="0" w:firstColumn="1" w:lastColumn="0" w:noHBand="0" w:noVBand="1"/>
      </w:tblPr>
      <w:tblGrid>
        <w:gridCol w:w="4588"/>
        <w:gridCol w:w="1900"/>
        <w:gridCol w:w="1900"/>
        <w:gridCol w:w="1041"/>
      </w:tblGrid>
      <w:tr w:rsidR="004C19ED" w:rsidRPr="00924CB1" w14:paraId="59A1B1AF" w14:textId="77777777" w:rsidTr="003E2CCD">
        <w:trPr>
          <w:trHeight w:val="255"/>
        </w:trPr>
        <w:tc>
          <w:tcPr>
            <w:tcW w:w="4588" w:type="dxa"/>
            <w:tcBorders>
              <w:top w:val="single" w:sz="4" w:space="0" w:color="000000"/>
              <w:left w:val="nil"/>
              <w:bottom w:val="single" w:sz="4" w:space="0" w:color="000000"/>
              <w:right w:val="nil"/>
            </w:tcBorders>
            <w:shd w:val="clear" w:color="auto" w:fill="auto"/>
            <w:noWrap/>
            <w:vAlign w:val="bottom"/>
            <w:hideMark/>
          </w:tcPr>
          <w:p w14:paraId="55802E27" w14:textId="77777777" w:rsidR="004C19ED" w:rsidRPr="00924CB1" w:rsidRDefault="004C19ED" w:rsidP="003E2CCD">
            <w:pPr>
              <w:jc w:val="left"/>
              <w:rPr>
                <w:rFonts w:eastAsia="Times New Roman" w:cs="Arial"/>
                <w:b/>
                <w:bCs/>
                <w:color w:val="FFFFFF"/>
                <w:szCs w:val="20"/>
                <w:lang w:eastAsia="pt-BR"/>
              </w:rPr>
            </w:pPr>
            <w:r w:rsidRPr="00924CB1">
              <w:rPr>
                <w:rFonts w:eastAsia="Times New Roman" w:cs="Arial"/>
                <w:b/>
                <w:bCs/>
                <w:color w:val="FFFFFF"/>
                <w:szCs w:val="20"/>
                <w:lang w:eastAsia="pt-BR"/>
              </w:rPr>
              <w:t>Colunas1</w:t>
            </w:r>
          </w:p>
        </w:tc>
        <w:tc>
          <w:tcPr>
            <w:tcW w:w="1900" w:type="dxa"/>
            <w:tcBorders>
              <w:top w:val="single" w:sz="4" w:space="0" w:color="000000"/>
              <w:left w:val="nil"/>
              <w:bottom w:val="single" w:sz="4" w:space="0" w:color="000000"/>
              <w:right w:val="nil"/>
            </w:tcBorders>
            <w:shd w:val="clear" w:color="auto" w:fill="auto"/>
            <w:noWrap/>
            <w:vAlign w:val="bottom"/>
            <w:hideMark/>
          </w:tcPr>
          <w:p w14:paraId="31777EF0" w14:textId="77777777" w:rsidR="004C19ED" w:rsidRPr="00924CB1" w:rsidRDefault="004C19ED" w:rsidP="003E2CCD">
            <w:pPr>
              <w:jc w:val="right"/>
              <w:rPr>
                <w:rFonts w:eastAsia="Times New Roman" w:cs="Arial"/>
                <w:b/>
                <w:bCs/>
                <w:color w:val="000000"/>
                <w:szCs w:val="20"/>
                <w:lang w:eastAsia="pt-BR"/>
              </w:rPr>
            </w:pPr>
            <w:r w:rsidRPr="00924CB1">
              <w:rPr>
                <w:rFonts w:eastAsia="Times New Roman" w:cs="Arial"/>
                <w:b/>
                <w:bCs/>
                <w:color w:val="000000"/>
                <w:szCs w:val="20"/>
                <w:lang w:eastAsia="pt-BR"/>
              </w:rPr>
              <w:t>3</w:t>
            </w:r>
            <w:r>
              <w:rPr>
                <w:rFonts w:eastAsia="Times New Roman" w:cs="Arial"/>
                <w:b/>
                <w:bCs/>
                <w:color w:val="000000"/>
                <w:szCs w:val="20"/>
                <w:lang w:eastAsia="pt-BR"/>
              </w:rPr>
              <w:t>1</w:t>
            </w:r>
            <w:r w:rsidRPr="00924CB1">
              <w:rPr>
                <w:rFonts w:eastAsia="Times New Roman" w:cs="Arial"/>
                <w:b/>
                <w:bCs/>
                <w:color w:val="000000"/>
                <w:szCs w:val="20"/>
                <w:lang w:eastAsia="pt-BR"/>
              </w:rPr>
              <w:t>/</w:t>
            </w:r>
            <w:r>
              <w:rPr>
                <w:rFonts w:eastAsia="Times New Roman" w:cs="Arial"/>
                <w:b/>
                <w:bCs/>
                <w:color w:val="000000"/>
                <w:szCs w:val="20"/>
                <w:lang w:eastAsia="pt-BR"/>
              </w:rPr>
              <w:t>12</w:t>
            </w:r>
            <w:r w:rsidRPr="00924CB1">
              <w:rPr>
                <w:rFonts w:eastAsia="Times New Roman" w:cs="Arial"/>
                <w:b/>
                <w:bCs/>
                <w:color w:val="000000"/>
                <w:szCs w:val="20"/>
                <w:lang w:eastAsia="pt-BR"/>
              </w:rPr>
              <w:t>/20</w:t>
            </w:r>
            <w:r>
              <w:rPr>
                <w:rFonts w:eastAsia="Times New Roman" w:cs="Arial"/>
                <w:b/>
                <w:bCs/>
                <w:color w:val="000000"/>
                <w:szCs w:val="20"/>
                <w:lang w:eastAsia="pt-BR"/>
              </w:rPr>
              <w:t>21</w:t>
            </w:r>
          </w:p>
        </w:tc>
        <w:tc>
          <w:tcPr>
            <w:tcW w:w="1900" w:type="dxa"/>
            <w:tcBorders>
              <w:top w:val="single" w:sz="4" w:space="0" w:color="000000"/>
              <w:left w:val="nil"/>
              <w:bottom w:val="single" w:sz="4" w:space="0" w:color="000000"/>
              <w:right w:val="nil"/>
            </w:tcBorders>
            <w:shd w:val="clear" w:color="auto" w:fill="auto"/>
            <w:noWrap/>
            <w:vAlign w:val="bottom"/>
            <w:hideMark/>
          </w:tcPr>
          <w:p w14:paraId="504D7ED3" w14:textId="77777777" w:rsidR="004C19ED" w:rsidRPr="00924CB1" w:rsidRDefault="004C19ED" w:rsidP="003E2CCD">
            <w:pPr>
              <w:jc w:val="right"/>
              <w:rPr>
                <w:rFonts w:eastAsia="Times New Roman" w:cs="Arial"/>
                <w:b/>
                <w:bCs/>
                <w:color w:val="000000"/>
                <w:szCs w:val="20"/>
                <w:lang w:eastAsia="pt-BR"/>
              </w:rPr>
            </w:pPr>
            <w:r w:rsidRPr="00924CB1">
              <w:rPr>
                <w:rFonts w:eastAsia="Times New Roman" w:cs="Arial"/>
                <w:b/>
                <w:bCs/>
                <w:color w:val="000000"/>
                <w:szCs w:val="20"/>
                <w:lang w:eastAsia="pt-BR"/>
              </w:rPr>
              <w:t>31/12/20</w:t>
            </w:r>
            <w:r>
              <w:rPr>
                <w:rFonts w:eastAsia="Times New Roman" w:cs="Arial"/>
                <w:b/>
                <w:bCs/>
                <w:color w:val="000000"/>
                <w:szCs w:val="20"/>
                <w:lang w:eastAsia="pt-BR"/>
              </w:rPr>
              <w:t>20</w:t>
            </w:r>
          </w:p>
        </w:tc>
        <w:tc>
          <w:tcPr>
            <w:tcW w:w="1041" w:type="dxa"/>
            <w:tcBorders>
              <w:top w:val="single" w:sz="4" w:space="0" w:color="000000"/>
              <w:left w:val="nil"/>
              <w:bottom w:val="single" w:sz="4" w:space="0" w:color="000000"/>
              <w:right w:val="nil"/>
            </w:tcBorders>
            <w:shd w:val="clear" w:color="auto" w:fill="auto"/>
            <w:noWrap/>
            <w:vAlign w:val="bottom"/>
            <w:hideMark/>
          </w:tcPr>
          <w:p w14:paraId="480742FD" w14:textId="77777777" w:rsidR="004C19ED" w:rsidRPr="00924CB1" w:rsidRDefault="004C19ED" w:rsidP="003E2CCD">
            <w:pPr>
              <w:jc w:val="center"/>
              <w:rPr>
                <w:rFonts w:eastAsia="Times New Roman" w:cs="Arial"/>
                <w:b/>
                <w:bCs/>
                <w:color w:val="000000"/>
                <w:szCs w:val="20"/>
                <w:lang w:eastAsia="pt-BR"/>
              </w:rPr>
            </w:pPr>
            <w:r w:rsidRPr="00924CB1">
              <w:rPr>
                <w:rFonts w:eastAsia="Times New Roman" w:cs="Arial"/>
                <w:b/>
                <w:bCs/>
                <w:color w:val="000000"/>
                <w:szCs w:val="20"/>
                <w:lang w:eastAsia="pt-BR"/>
              </w:rPr>
              <w:t>AH (%)</w:t>
            </w:r>
          </w:p>
        </w:tc>
      </w:tr>
      <w:tr w:rsidR="004C19ED" w:rsidRPr="00924CB1" w14:paraId="4FA18BD1" w14:textId="77777777" w:rsidTr="003E2CCD">
        <w:trPr>
          <w:trHeight w:val="255"/>
        </w:trPr>
        <w:tc>
          <w:tcPr>
            <w:tcW w:w="4588" w:type="dxa"/>
            <w:tcBorders>
              <w:top w:val="nil"/>
              <w:left w:val="nil"/>
              <w:bottom w:val="nil"/>
              <w:right w:val="nil"/>
            </w:tcBorders>
            <w:shd w:val="clear" w:color="D9D9D9" w:fill="D9D9D9"/>
            <w:noWrap/>
            <w:vAlign w:val="bottom"/>
            <w:hideMark/>
          </w:tcPr>
          <w:p w14:paraId="2B2A753F" w14:textId="77777777" w:rsidR="004C19ED" w:rsidRPr="00924CB1" w:rsidRDefault="004C19ED" w:rsidP="003E2CCD">
            <w:pPr>
              <w:jc w:val="left"/>
              <w:rPr>
                <w:rFonts w:eastAsia="Times New Roman" w:cs="Arial"/>
                <w:color w:val="000000"/>
                <w:szCs w:val="20"/>
                <w:lang w:eastAsia="pt-BR"/>
              </w:rPr>
            </w:pPr>
            <w:r w:rsidRPr="00924CB1">
              <w:rPr>
                <w:rFonts w:eastAsia="Times New Roman" w:cs="Arial"/>
                <w:color w:val="000000"/>
                <w:szCs w:val="20"/>
                <w:lang w:eastAsia="pt-BR"/>
              </w:rPr>
              <w:t>Valor Contábil Bruto - Bens Móveis</w:t>
            </w:r>
          </w:p>
        </w:tc>
        <w:tc>
          <w:tcPr>
            <w:tcW w:w="1900" w:type="dxa"/>
            <w:tcBorders>
              <w:top w:val="nil"/>
              <w:left w:val="nil"/>
              <w:bottom w:val="nil"/>
              <w:right w:val="nil"/>
            </w:tcBorders>
            <w:shd w:val="clear" w:color="D9D9D9" w:fill="D9D9D9"/>
            <w:noWrap/>
          </w:tcPr>
          <w:p w14:paraId="16E0B03B" w14:textId="77777777" w:rsidR="004C19ED" w:rsidRPr="00924CB1" w:rsidRDefault="004C19ED" w:rsidP="003E2CCD">
            <w:pPr>
              <w:jc w:val="right"/>
              <w:rPr>
                <w:rFonts w:eastAsia="Times New Roman" w:cs="Arial"/>
                <w:color w:val="000000"/>
                <w:szCs w:val="20"/>
                <w:lang w:eastAsia="pt-BR"/>
              </w:rPr>
            </w:pPr>
            <w:r w:rsidRPr="00387A5D">
              <w:rPr>
                <w:rFonts w:eastAsia="Times New Roman" w:cs="Arial"/>
                <w:color w:val="000000"/>
                <w:szCs w:val="20"/>
                <w:lang w:eastAsia="pt-BR"/>
              </w:rPr>
              <w:t>132</w:t>
            </w:r>
            <w:r>
              <w:rPr>
                <w:rFonts w:eastAsia="Times New Roman" w:cs="Arial"/>
                <w:color w:val="000000"/>
                <w:szCs w:val="20"/>
                <w:lang w:eastAsia="pt-BR"/>
              </w:rPr>
              <w:t>.</w:t>
            </w:r>
            <w:r w:rsidRPr="00387A5D">
              <w:rPr>
                <w:rFonts w:eastAsia="Times New Roman" w:cs="Arial"/>
                <w:color w:val="000000"/>
                <w:szCs w:val="20"/>
                <w:lang w:eastAsia="pt-BR"/>
              </w:rPr>
              <w:t>444</w:t>
            </w:r>
            <w:r>
              <w:rPr>
                <w:rFonts w:eastAsia="Times New Roman" w:cs="Arial"/>
                <w:color w:val="000000"/>
                <w:szCs w:val="20"/>
                <w:lang w:eastAsia="pt-BR"/>
              </w:rPr>
              <w:t>.</w:t>
            </w:r>
            <w:r w:rsidRPr="00387A5D">
              <w:rPr>
                <w:rFonts w:eastAsia="Times New Roman" w:cs="Arial"/>
                <w:color w:val="000000"/>
                <w:szCs w:val="20"/>
                <w:lang w:eastAsia="pt-BR"/>
              </w:rPr>
              <w:t>088,47</w:t>
            </w:r>
          </w:p>
        </w:tc>
        <w:tc>
          <w:tcPr>
            <w:tcW w:w="1900" w:type="dxa"/>
            <w:tcBorders>
              <w:top w:val="nil"/>
              <w:left w:val="nil"/>
              <w:bottom w:val="nil"/>
              <w:right w:val="nil"/>
            </w:tcBorders>
            <w:shd w:val="clear" w:color="D9D9D9" w:fill="D9D9D9"/>
            <w:noWrap/>
            <w:vAlign w:val="bottom"/>
            <w:hideMark/>
          </w:tcPr>
          <w:p w14:paraId="44D57FB4" w14:textId="77777777" w:rsidR="004C19ED" w:rsidRPr="00924CB1" w:rsidRDefault="004C19ED" w:rsidP="003E2CCD">
            <w:pPr>
              <w:jc w:val="right"/>
              <w:rPr>
                <w:rFonts w:eastAsia="Times New Roman" w:cs="Arial"/>
                <w:color w:val="000000"/>
                <w:szCs w:val="20"/>
                <w:lang w:eastAsia="pt-BR"/>
              </w:rPr>
            </w:pPr>
            <w:r w:rsidRPr="000D21CE">
              <w:t>128.844.261,93</w:t>
            </w:r>
          </w:p>
        </w:tc>
        <w:tc>
          <w:tcPr>
            <w:tcW w:w="1041" w:type="dxa"/>
            <w:tcBorders>
              <w:top w:val="nil"/>
              <w:left w:val="nil"/>
              <w:bottom w:val="nil"/>
              <w:right w:val="nil"/>
            </w:tcBorders>
            <w:shd w:val="clear" w:color="D9D9D9" w:fill="D9D9D9"/>
            <w:noWrap/>
            <w:vAlign w:val="bottom"/>
            <w:hideMark/>
          </w:tcPr>
          <w:p w14:paraId="4D91060A" w14:textId="77777777" w:rsidR="004C19ED" w:rsidRPr="00924CB1" w:rsidRDefault="004C19ED" w:rsidP="003E2CCD">
            <w:pPr>
              <w:jc w:val="right"/>
              <w:rPr>
                <w:rFonts w:eastAsia="Times New Roman" w:cs="Arial"/>
                <w:color w:val="000000"/>
                <w:szCs w:val="20"/>
                <w:lang w:eastAsia="pt-BR"/>
              </w:rPr>
            </w:pPr>
            <w:r>
              <w:rPr>
                <w:rFonts w:eastAsia="Times New Roman" w:cs="Arial"/>
                <w:color w:val="000000"/>
                <w:szCs w:val="20"/>
                <w:lang w:eastAsia="pt-BR"/>
              </w:rPr>
              <w:t>2</w:t>
            </w:r>
            <w:r w:rsidRPr="00924CB1">
              <w:rPr>
                <w:rFonts w:eastAsia="Times New Roman" w:cs="Arial"/>
                <w:color w:val="000000"/>
                <w:szCs w:val="20"/>
                <w:lang w:eastAsia="pt-BR"/>
              </w:rPr>
              <w:t>,</w:t>
            </w:r>
            <w:r>
              <w:rPr>
                <w:rFonts w:eastAsia="Times New Roman" w:cs="Arial"/>
                <w:color w:val="000000"/>
                <w:szCs w:val="20"/>
                <w:lang w:eastAsia="pt-BR"/>
              </w:rPr>
              <w:t>72</w:t>
            </w:r>
          </w:p>
        </w:tc>
      </w:tr>
      <w:tr w:rsidR="004C19ED" w:rsidRPr="00924CB1" w14:paraId="69CC6498" w14:textId="77777777" w:rsidTr="003E2CCD">
        <w:trPr>
          <w:trHeight w:val="255"/>
        </w:trPr>
        <w:tc>
          <w:tcPr>
            <w:tcW w:w="4588" w:type="dxa"/>
            <w:tcBorders>
              <w:top w:val="nil"/>
              <w:left w:val="nil"/>
              <w:bottom w:val="nil"/>
              <w:right w:val="nil"/>
            </w:tcBorders>
            <w:shd w:val="clear" w:color="auto" w:fill="auto"/>
            <w:noWrap/>
            <w:vAlign w:val="bottom"/>
            <w:hideMark/>
          </w:tcPr>
          <w:p w14:paraId="037DB722" w14:textId="77777777" w:rsidR="004C19ED" w:rsidRPr="00924CB1" w:rsidRDefault="004C19ED" w:rsidP="003E2CCD">
            <w:pPr>
              <w:jc w:val="left"/>
              <w:rPr>
                <w:rFonts w:eastAsia="Times New Roman" w:cs="Arial"/>
                <w:color w:val="000000"/>
                <w:szCs w:val="20"/>
                <w:lang w:eastAsia="pt-BR"/>
              </w:rPr>
            </w:pPr>
            <w:r w:rsidRPr="00924CB1">
              <w:rPr>
                <w:rFonts w:eastAsia="Times New Roman" w:cs="Arial"/>
                <w:color w:val="000000"/>
                <w:szCs w:val="20"/>
                <w:lang w:eastAsia="pt-BR"/>
              </w:rPr>
              <w:t>Deprec</w:t>
            </w:r>
            <w:r>
              <w:rPr>
                <w:rFonts w:eastAsia="Times New Roman" w:cs="Arial"/>
                <w:color w:val="000000"/>
                <w:szCs w:val="20"/>
                <w:lang w:eastAsia="pt-BR"/>
              </w:rPr>
              <w:t>iação</w:t>
            </w:r>
            <w:r w:rsidRPr="00924CB1">
              <w:rPr>
                <w:rFonts w:eastAsia="Times New Roman" w:cs="Arial"/>
                <w:color w:val="000000"/>
                <w:szCs w:val="20"/>
                <w:lang w:eastAsia="pt-BR"/>
              </w:rPr>
              <w:t>/</w:t>
            </w:r>
            <w:proofErr w:type="spellStart"/>
            <w:r w:rsidRPr="00924CB1">
              <w:rPr>
                <w:rFonts w:eastAsia="Times New Roman" w:cs="Arial"/>
                <w:color w:val="000000"/>
                <w:szCs w:val="20"/>
                <w:lang w:eastAsia="pt-BR"/>
              </w:rPr>
              <w:t>Amortiz</w:t>
            </w:r>
            <w:proofErr w:type="spellEnd"/>
            <w:r w:rsidRPr="00924CB1">
              <w:rPr>
                <w:rFonts w:eastAsia="Times New Roman" w:cs="Arial"/>
                <w:color w:val="000000"/>
                <w:szCs w:val="20"/>
                <w:lang w:eastAsia="pt-BR"/>
              </w:rPr>
              <w:t>/Exaustão - Bens Móveis</w:t>
            </w:r>
          </w:p>
        </w:tc>
        <w:tc>
          <w:tcPr>
            <w:tcW w:w="1900" w:type="dxa"/>
            <w:tcBorders>
              <w:top w:val="nil"/>
              <w:left w:val="nil"/>
              <w:bottom w:val="nil"/>
              <w:right w:val="nil"/>
            </w:tcBorders>
            <w:shd w:val="clear" w:color="auto" w:fill="auto"/>
            <w:noWrap/>
          </w:tcPr>
          <w:p w14:paraId="08E73D8A" w14:textId="77777777" w:rsidR="004C19ED" w:rsidRPr="00924CB1" w:rsidRDefault="004C19ED" w:rsidP="003E2CCD">
            <w:pPr>
              <w:jc w:val="right"/>
              <w:rPr>
                <w:rFonts w:eastAsia="Times New Roman" w:cs="Arial"/>
                <w:color w:val="000000"/>
                <w:szCs w:val="20"/>
                <w:lang w:eastAsia="pt-BR"/>
              </w:rPr>
            </w:pPr>
            <w:r w:rsidRPr="00387A5D">
              <w:rPr>
                <w:rFonts w:eastAsia="Times New Roman" w:cs="Arial"/>
                <w:color w:val="FF0000"/>
                <w:szCs w:val="20"/>
                <w:lang w:eastAsia="pt-BR"/>
              </w:rPr>
              <w:t>-41.008.346,24</w:t>
            </w:r>
          </w:p>
        </w:tc>
        <w:tc>
          <w:tcPr>
            <w:tcW w:w="1900" w:type="dxa"/>
            <w:tcBorders>
              <w:top w:val="nil"/>
              <w:left w:val="nil"/>
              <w:bottom w:val="nil"/>
              <w:right w:val="nil"/>
            </w:tcBorders>
            <w:shd w:val="clear" w:color="auto" w:fill="auto"/>
            <w:noWrap/>
            <w:vAlign w:val="bottom"/>
            <w:hideMark/>
          </w:tcPr>
          <w:p w14:paraId="2A3094BA" w14:textId="77777777" w:rsidR="004C19ED" w:rsidRPr="00924CB1" w:rsidRDefault="004C19ED" w:rsidP="003E2CCD">
            <w:pPr>
              <w:jc w:val="right"/>
              <w:rPr>
                <w:rFonts w:eastAsia="Times New Roman" w:cs="Arial"/>
                <w:color w:val="000000"/>
                <w:szCs w:val="20"/>
                <w:lang w:eastAsia="pt-BR"/>
              </w:rPr>
            </w:pPr>
            <w:r w:rsidRPr="00387A5D">
              <w:rPr>
                <w:rFonts w:eastAsia="Times New Roman" w:cs="Arial"/>
                <w:color w:val="FF0000"/>
                <w:szCs w:val="20"/>
                <w:lang w:eastAsia="pt-BR"/>
              </w:rPr>
              <w:t>-33.881.222,79</w:t>
            </w:r>
          </w:p>
        </w:tc>
        <w:tc>
          <w:tcPr>
            <w:tcW w:w="1041" w:type="dxa"/>
            <w:tcBorders>
              <w:top w:val="nil"/>
              <w:left w:val="nil"/>
              <w:bottom w:val="nil"/>
              <w:right w:val="nil"/>
            </w:tcBorders>
            <w:shd w:val="clear" w:color="auto" w:fill="auto"/>
            <w:noWrap/>
            <w:vAlign w:val="bottom"/>
            <w:hideMark/>
          </w:tcPr>
          <w:p w14:paraId="24C662E3" w14:textId="77777777" w:rsidR="004C19ED" w:rsidRPr="00924CB1" w:rsidRDefault="004C19ED" w:rsidP="003E2CCD">
            <w:pPr>
              <w:jc w:val="right"/>
              <w:rPr>
                <w:rFonts w:eastAsia="Times New Roman" w:cs="Arial"/>
                <w:color w:val="000000"/>
                <w:szCs w:val="20"/>
                <w:lang w:eastAsia="pt-BR"/>
              </w:rPr>
            </w:pPr>
            <w:r>
              <w:rPr>
                <w:rFonts w:eastAsia="Times New Roman" w:cs="Arial"/>
                <w:color w:val="000000"/>
                <w:szCs w:val="20"/>
                <w:lang w:eastAsia="pt-BR"/>
              </w:rPr>
              <w:t>-21</w:t>
            </w:r>
            <w:r w:rsidRPr="00924CB1">
              <w:rPr>
                <w:rFonts w:eastAsia="Times New Roman" w:cs="Arial"/>
                <w:color w:val="000000"/>
                <w:szCs w:val="20"/>
                <w:lang w:eastAsia="pt-BR"/>
              </w:rPr>
              <w:t>,</w:t>
            </w:r>
            <w:r>
              <w:rPr>
                <w:rFonts w:eastAsia="Times New Roman" w:cs="Arial"/>
                <w:color w:val="000000"/>
                <w:szCs w:val="20"/>
                <w:lang w:eastAsia="pt-BR"/>
              </w:rPr>
              <w:t>04</w:t>
            </w:r>
          </w:p>
        </w:tc>
      </w:tr>
      <w:tr w:rsidR="004C19ED" w:rsidRPr="00924CB1" w14:paraId="29F5E0D3" w14:textId="77777777" w:rsidTr="003E2CCD">
        <w:trPr>
          <w:trHeight w:val="255"/>
        </w:trPr>
        <w:tc>
          <w:tcPr>
            <w:tcW w:w="4588" w:type="dxa"/>
            <w:tcBorders>
              <w:top w:val="nil"/>
              <w:left w:val="nil"/>
              <w:bottom w:val="nil"/>
              <w:right w:val="nil"/>
            </w:tcBorders>
            <w:shd w:val="clear" w:color="D9D9D9" w:fill="D9D9D9"/>
            <w:noWrap/>
            <w:vAlign w:val="bottom"/>
            <w:hideMark/>
          </w:tcPr>
          <w:p w14:paraId="613C1C05" w14:textId="77777777" w:rsidR="004C19ED" w:rsidRPr="00924CB1" w:rsidRDefault="004C19ED" w:rsidP="003E2CCD">
            <w:pPr>
              <w:jc w:val="left"/>
              <w:rPr>
                <w:rFonts w:eastAsia="Times New Roman" w:cs="Arial"/>
                <w:color w:val="000000"/>
                <w:szCs w:val="20"/>
                <w:lang w:eastAsia="pt-BR"/>
              </w:rPr>
            </w:pPr>
            <w:r w:rsidRPr="00924CB1">
              <w:rPr>
                <w:rFonts w:eastAsia="Times New Roman" w:cs="Arial"/>
                <w:color w:val="000000"/>
                <w:szCs w:val="20"/>
                <w:lang w:eastAsia="pt-BR"/>
              </w:rPr>
              <w:t>Valor Contábil Bruto - Bens Imóveis</w:t>
            </w:r>
          </w:p>
        </w:tc>
        <w:tc>
          <w:tcPr>
            <w:tcW w:w="1900" w:type="dxa"/>
            <w:tcBorders>
              <w:top w:val="nil"/>
              <w:left w:val="nil"/>
              <w:bottom w:val="nil"/>
              <w:right w:val="nil"/>
            </w:tcBorders>
            <w:shd w:val="clear" w:color="D9D9D9" w:fill="D9D9D9"/>
            <w:noWrap/>
            <w:vAlign w:val="bottom"/>
          </w:tcPr>
          <w:p w14:paraId="5A0BCEDF" w14:textId="77777777" w:rsidR="004C19ED" w:rsidRPr="00924CB1" w:rsidRDefault="004C19ED" w:rsidP="003E2CCD">
            <w:pPr>
              <w:jc w:val="right"/>
              <w:rPr>
                <w:rFonts w:eastAsia="Times New Roman" w:cs="Arial"/>
                <w:color w:val="000000"/>
                <w:szCs w:val="20"/>
                <w:lang w:eastAsia="pt-BR"/>
              </w:rPr>
            </w:pPr>
            <w:r w:rsidRPr="00387A5D">
              <w:rPr>
                <w:rFonts w:eastAsia="Times New Roman" w:cs="Arial"/>
                <w:color w:val="000000"/>
                <w:szCs w:val="20"/>
                <w:lang w:eastAsia="pt-BR"/>
              </w:rPr>
              <w:t>133</w:t>
            </w:r>
            <w:r>
              <w:rPr>
                <w:rFonts w:eastAsia="Times New Roman" w:cs="Arial"/>
                <w:color w:val="000000"/>
                <w:szCs w:val="20"/>
                <w:lang w:eastAsia="pt-BR"/>
              </w:rPr>
              <w:t>.</w:t>
            </w:r>
            <w:r w:rsidRPr="00387A5D">
              <w:rPr>
                <w:rFonts w:eastAsia="Times New Roman" w:cs="Arial"/>
                <w:color w:val="000000"/>
                <w:szCs w:val="20"/>
                <w:lang w:eastAsia="pt-BR"/>
              </w:rPr>
              <w:t>918</w:t>
            </w:r>
            <w:r>
              <w:rPr>
                <w:rFonts w:eastAsia="Times New Roman" w:cs="Arial"/>
                <w:color w:val="000000"/>
                <w:szCs w:val="20"/>
                <w:lang w:eastAsia="pt-BR"/>
              </w:rPr>
              <w:t>.</w:t>
            </w:r>
            <w:r w:rsidRPr="00387A5D">
              <w:rPr>
                <w:rFonts w:eastAsia="Times New Roman" w:cs="Arial"/>
                <w:color w:val="000000"/>
                <w:szCs w:val="20"/>
                <w:lang w:eastAsia="pt-BR"/>
              </w:rPr>
              <w:t>254,43</w:t>
            </w:r>
          </w:p>
        </w:tc>
        <w:tc>
          <w:tcPr>
            <w:tcW w:w="1900" w:type="dxa"/>
            <w:tcBorders>
              <w:top w:val="nil"/>
              <w:left w:val="nil"/>
              <w:bottom w:val="nil"/>
              <w:right w:val="nil"/>
            </w:tcBorders>
            <w:shd w:val="clear" w:color="D9D9D9" w:fill="D9D9D9"/>
            <w:noWrap/>
            <w:vAlign w:val="bottom"/>
            <w:hideMark/>
          </w:tcPr>
          <w:p w14:paraId="120C1FCD" w14:textId="77777777" w:rsidR="004C19ED" w:rsidRPr="00924CB1" w:rsidRDefault="004C19ED" w:rsidP="003E2CCD">
            <w:pPr>
              <w:jc w:val="right"/>
              <w:rPr>
                <w:rFonts w:eastAsia="Times New Roman" w:cs="Arial"/>
                <w:color w:val="000000"/>
                <w:szCs w:val="20"/>
                <w:lang w:eastAsia="pt-BR"/>
              </w:rPr>
            </w:pPr>
            <w:r w:rsidRPr="00714D74">
              <w:rPr>
                <w:rFonts w:eastAsia="Times New Roman" w:cs="Arial"/>
                <w:color w:val="000000"/>
                <w:szCs w:val="20"/>
                <w:lang w:eastAsia="pt-BR"/>
              </w:rPr>
              <w:t>133.444.772,85</w:t>
            </w:r>
          </w:p>
        </w:tc>
        <w:tc>
          <w:tcPr>
            <w:tcW w:w="1041" w:type="dxa"/>
            <w:tcBorders>
              <w:top w:val="nil"/>
              <w:left w:val="nil"/>
              <w:bottom w:val="nil"/>
              <w:right w:val="nil"/>
            </w:tcBorders>
            <w:shd w:val="clear" w:color="D9D9D9" w:fill="D9D9D9"/>
            <w:noWrap/>
            <w:vAlign w:val="bottom"/>
            <w:hideMark/>
          </w:tcPr>
          <w:p w14:paraId="762CA654" w14:textId="77777777" w:rsidR="004C19ED" w:rsidRPr="00924CB1" w:rsidRDefault="004C19ED" w:rsidP="003E2CCD">
            <w:pPr>
              <w:jc w:val="right"/>
              <w:rPr>
                <w:rFonts w:eastAsia="Times New Roman" w:cs="Arial"/>
                <w:color w:val="000000"/>
                <w:szCs w:val="20"/>
                <w:lang w:eastAsia="pt-BR"/>
              </w:rPr>
            </w:pPr>
            <w:r>
              <w:rPr>
                <w:rFonts w:eastAsia="Times New Roman" w:cs="Arial"/>
                <w:color w:val="000000"/>
                <w:szCs w:val="20"/>
                <w:lang w:eastAsia="pt-BR"/>
              </w:rPr>
              <w:t>0,35</w:t>
            </w:r>
          </w:p>
        </w:tc>
      </w:tr>
      <w:tr w:rsidR="004C19ED" w:rsidRPr="00924CB1" w14:paraId="48E31395" w14:textId="77777777" w:rsidTr="003E2CCD">
        <w:trPr>
          <w:trHeight w:val="255"/>
        </w:trPr>
        <w:tc>
          <w:tcPr>
            <w:tcW w:w="4588" w:type="dxa"/>
            <w:tcBorders>
              <w:top w:val="nil"/>
              <w:left w:val="nil"/>
              <w:bottom w:val="nil"/>
              <w:right w:val="nil"/>
            </w:tcBorders>
            <w:shd w:val="clear" w:color="auto" w:fill="auto"/>
            <w:noWrap/>
            <w:vAlign w:val="bottom"/>
            <w:hideMark/>
          </w:tcPr>
          <w:p w14:paraId="58BEBF50" w14:textId="77777777" w:rsidR="004C19ED" w:rsidRPr="00924CB1" w:rsidRDefault="004C19ED" w:rsidP="003E2CCD">
            <w:pPr>
              <w:jc w:val="left"/>
              <w:rPr>
                <w:rFonts w:eastAsia="Times New Roman" w:cs="Arial"/>
                <w:color w:val="000000"/>
                <w:szCs w:val="20"/>
                <w:lang w:eastAsia="pt-BR"/>
              </w:rPr>
            </w:pPr>
            <w:r w:rsidRPr="00924CB1">
              <w:rPr>
                <w:rFonts w:eastAsia="Times New Roman" w:cs="Arial"/>
                <w:color w:val="000000"/>
                <w:szCs w:val="20"/>
                <w:lang w:eastAsia="pt-BR"/>
              </w:rPr>
              <w:t>Depreciação/</w:t>
            </w:r>
            <w:proofErr w:type="spellStart"/>
            <w:r w:rsidRPr="00924CB1">
              <w:rPr>
                <w:rFonts w:eastAsia="Times New Roman" w:cs="Arial"/>
                <w:color w:val="000000"/>
                <w:szCs w:val="20"/>
                <w:lang w:eastAsia="pt-BR"/>
              </w:rPr>
              <w:t>Amortiz</w:t>
            </w:r>
            <w:proofErr w:type="spellEnd"/>
            <w:r w:rsidRPr="00924CB1">
              <w:rPr>
                <w:rFonts w:eastAsia="Times New Roman" w:cs="Arial"/>
                <w:color w:val="000000"/>
                <w:szCs w:val="20"/>
                <w:lang w:eastAsia="pt-BR"/>
              </w:rPr>
              <w:t>/Exaustão - Bens Imóveis</w:t>
            </w:r>
          </w:p>
        </w:tc>
        <w:tc>
          <w:tcPr>
            <w:tcW w:w="1900" w:type="dxa"/>
            <w:tcBorders>
              <w:top w:val="nil"/>
              <w:left w:val="nil"/>
              <w:bottom w:val="nil"/>
              <w:right w:val="nil"/>
            </w:tcBorders>
            <w:shd w:val="clear" w:color="auto" w:fill="auto"/>
            <w:noWrap/>
            <w:vAlign w:val="bottom"/>
          </w:tcPr>
          <w:p w14:paraId="28BE56E7" w14:textId="77777777" w:rsidR="004C19ED" w:rsidRPr="00714D74" w:rsidRDefault="004C19ED" w:rsidP="003E2CCD">
            <w:pPr>
              <w:jc w:val="right"/>
              <w:rPr>
                <w:rFonts w:cs="Arial"/>
                <w:color w:val="000000"/>
                <w:szCs w:val="20"/>
              </w:rPr>
            </w:pPr>
            <w:r w:rsidRPr="00387A5D">
              <w:rPr>
                <w:rFonts w:cs="Arial"/>
                <w:color w:val="FF0000"/>
                <w:szCs w:val="20"/>
              </w:rPr>
              <w:t>-1.513.219,67</w:t>
            </w:r>
          </w:p>
        </w:tc>
        <w:tc>
          <w:tcPr>
            <w:tcW w:w="1900" w:type="dxa"/>
            <w:tcBorders>
              <w:top w:val="nil"/>
              <w:left w:val="nil"/>
              <w:bottom w:val="nil"/>
              <w:right w:val="nil"/>
            </w:tcBorders>
            <w:shd w:val="clear" w:color="auto" w:fill="auto"/>
            <w:noWrap/>
            <w:vAlign w:val="bottom"/>
            <w:hideMark/>
          </w:tcPr>
          <w:p w14:paraId="2918928B" w14:textId="77777777" w:rsidR="004C19ED" w:rsidRPr="00924CB1" w:rsidRDefault="004C19ED" w:rsidP="003E2CCD">
            <w:pPr>
              <w:jc w:val="right"/>
              <w:rPr>
                <w:rFonts w:eastAsia="Times New Roman" w:cs="Arial"/>
                <w:color w:val="000000"/>
                <w:szCs w:val="20"/>
                <w:lang w:eastAsia="pt-BR"/>
              </w:rPr>
            </w:pPr>
            <w:r w:rsidRPr="00387A5D">
              <w:rPr>
                <w:rFonts w:cs="Arial"/>
                <w:color w:val="FF0000"/>
                <w:szCs w:val="20"/>
              </w:rPr>
              <w:t>-1.423.740,11</w:t>
            </w:r>
          </w:p>
        </w:tc>
        <w:tc>
          <w:tcPr>
            <w:tcW w:w="1041" w:type="dxa"/>
            <w:tcBorders>
              <w:top w:val="nil"/>
              <w:left w:val="nil"/>
              <w:bottom w:val="nil"/>
              <w:right w:val="nil"/>
            </w:tcBorders>
            <w:shd w:val="clear" w:color="auto" w:fill="auto"/>
            <w:noWrap/>
            <w:vAlign w:val="bottom"/>
            <w:hideMark/>
          </w:tcPr>
          <w:p w14:paraId="2EBAA1EF" w14:textId="77777777" w:rsidR="004C19ED" w:rsidRPr="00924CB1" w:rsidRDefault="004C19ED" w:rsidP="003E2CCD">
            <w:pPr>
              <w:jc w:val="right"/>
              <w:rPr>
                <w:rFonts w:eastAsia="Times New Roman" w:cs="Arial"/>
                <w:color w:val="000000"/>
                <w:szCs w:val="20"/>
                <w:lang w:eastAsia="pt-BR"/>
              </w:rPr>
            </w:pPr>
            <w:r>
              <w:rPr>
                <w:rFonts w:eastAsia="Times New Roman" w:cs="Arial"/>
                <w:color w:val="000000"/>
                <w:szCs w:val="20"/>
                <w:lang w:eastAsia="pt-BR"/>
              </w:rPr>
              <w:t>-6,28</w:t>
            </w:r>
          </w:p>
        </w:tc>
      </w:tr>
      <w:tr w:rsidR="004C19ED" w:rsidRPr="00924CB1" w14:paraId="7D467A88" w14:textId="77777777" w:rsidTr="003E2CCD">
        <w:trPr>
          <w:trHeight w:val="255"/>
        </w:trPr>
        <w:tc>
          <w:tcPr>
            <w:tcW w:w="4588" w:type="dxa"/>
            <w:tcBorders>
              <w:top w:val="nil"/>
              <w:left w:val="nil"/>
              <w:bottom w:val="single" w:sz="4" w:space="0" w:color="000000"/>
              <w:right w:val="nil"/>
            </w:tcBorders>
            <w:shd w:val="clear" w:color="D9D9D9" w:fill="D9D9D9"/>
            <w:noWrap/>
            <w:vAlign w:val="bottom"/>
            <w:hideMark/>
          </w:tcPr>
          <w:p w14:paraId="4A731917" w14:textId="77777777" w:rsidR="004C19ED" w:rsidRPr="00924CB1" w:rsidRDefault="004C19ED" w:rsidP="003E2CCD">
            <w:pPr>
              <w:jc w:val="left"/>
              <w:rPr>
                <w:rFonts w:eastAsia="Times New Roman" w:cs="Arial"/>
                <w:b/>
                <w:bCs/>
                <w:color w:val="000000"/>
                <w:szCs w:val="20"/>
                <w:lang w:eastAsia="pt-BR"/>
              </w:rPr>
            </w:pPr>
            <w:r w:rsidRPr="00924CB1">
              <w:rPr>
                <w:rFonts w:eastAsia="Times New Roman" w:cs="Arial"/>
                <w:b/>
                <w:bCs/>
                <w:color w:val="000000"/>
                <w:szCs w:val="20"/>
                <w:lang w:eastAsia="pt-BR"/>
              </w:rPr>
              <w:t>Total</w:t>
            </w:r>
          </w:p>
        </w:tc>
        <w:tc>
          <w:tcPr>
            <w:tcW w:w="1900" w:type="dxa"/>
            <w:tcBorders>
              <w:top w:val="nil"/>
              <w:left w:val="nil"/>
              <w:bottom w:val="single" w:sz="4" w:space="0" w:color="000000"/>
              <w:right w:val="nil"/>
            </w:tcBorders>
            <w:shd w:val="clear" w:color="D9D9D9" w:fill="D9D9D9"/>
            <w:noWrap/>
            <w:vAlign w:val="bottom"/>
          </w:tcPr>
          <w:p w14:paraId="3C9658A7" w14:textId="77777777" w:rsidR="004C19ED" w:rsidRPr="00924CB1" w:rsidRDefault="004C19ED" w:rsidP="003E2CCD">
            <w:pPr>
              <w:jc w:val="right"/>
              <w:rPr>
                <w:rFonts w:eastAsia="Times New Roman" w:cs="Arial"/>
                <w:b/>
                <w:bCs/>
                <w:color w:val="000000"/>
                <w:szCs w:val="20"/>
                <w:lang w:eastAsia="pt-BR"/>
              </w:rPr>
            </w:pPr>
            <w:r w:rsidRPr="00387A5D">
              <w:rPr>
                <w:rFonts w:eastAsia="Times New Roman" w:cs="Arial"/>
                <w:b/>
                <w:bCs/>
                <w:color w:val="000000"/>
                <w:szCs w:val="20"/>
                <w:lang w:eastAsia="pt-BR"/>
              </w:rPr>
              <w:t>223</w:t>
            </w:r>
            <w:r>
              <w:rPr>
                <w:rFonts w:eastAsia="Times New Roman" w:cs="Arial"/>
                <w:b/>
                <w:bCs/>
                <w:color w:val="000000"/>
                <w:szCs w:val="20"/>
                <w:lang w:eastAsia="pt-BR"/>
              </w:rPr>
              <w:t>.</w:t>
            </w:r>
            <w:r w:rsidRPr="00387A5D">
              <w:rPr>
                <w:rFonts w:eastAsia="Times New Roman" w:cs="Arial"/>
                <w:b/>
                <w:bCs/>
                <w:color w:val="000000"/>
                <w:szCs w:val="20"/>
                <w:lang w:eastAsia="pt-BR"/>
              </w:rPr>
              <w:t>840</w:t>
            </w:r>
            <w:r>
              <w:rPr>
                <w:rFonts w:eastAsia="Times New Roman" w:cs="Arial"/>
                <w:b/>
                <w:bCs/>
                <w:color w:val="000000"/>
                <w:szCs w:val="20"/>
                <w:lang w:eastAsia="pt-BR"/>
              </w:rPr>
              <w:t>.</w:t>
            </w:r>
            <w:r w:rsidRPr="00387A5D">
              <w:rPr>
                <w:rFonts w:eastAsia="Times New Roman" w:cs="Arial"/>
                <w:b/>
                <w:bCs/>
                <w:color w:val="000000"/>
                <w:szCs w:val="20"/>
                <w:lang w:eastAsia="pt-BR"/>
              </w:rPr>
              <w:t>776,99</w:t>
            </w:r>
          </w:p>
        </w:tc>
        <w:tc>
          <w:tcPr>
            <w:tcW w:w="1900" w:type="dxa"/>
            <w:tcBorders>
              <w:top w:val="nil"/>
              <w:left w:val="nil"/>
              <w:bottom w:val="single" w:sz="4" w:space="0" w:color="000000"/>
              <w:right w:val="nil"/>
            </w:tcBorders>
            <w:shd w:val="clear" w:color="D9D9D9" w:fill="D9D9D9"/>
            <w:noWrap/>
            <w:vAlign w:val="bottom"/>
            <w:hideMark/>
          </w:tcPr>
          <w:p w14:paraId="6ED3DB94" w14:textId="77777777" w:rsidR="004C19ED" w:rsidRPr="00924CB1" w:rsidRDefault="004C19ED" w:rsidP="003E2CCD">
            <w:pPr>
              <w:jc w:val="right"/>
              <w:rPr>
                <w:rFonts w:eastAsia="Times New Roman" w:cs="Arial"/>
                <w:b/>
                <w:bCs/>
                <w:color w:val="000000"/>
                <w:szCs w:val="20"/>
                <w:lang w:eastAsia="pt-BR"/>
              </w:rPr>
            </w:pPr>
            <w:r w:rsidRPr="00714D74">
              <w:rPr>
                <w:rFonts w:eastAsia="Times New Roman" w:cs="Arial"/>
                <w:b/>
                <w:bCs/>
                <w:color w:val="000000"/>
                <w:szCs w:val="20"/>
                <w:lang w:eastAsia="pt-BR"/>
              </w:rPr>
              <w:t>226.984.071,88</w:t>
            </w:r>
          </w:p>
        </w:tc>
        <w:tc>
          <w:tcPr>
            <w:tcW w:w="1041" w:type="dxa"/>
            <w:tcBorders>
              <w:top w:val="nil"/>
              <w:left w:val="nil"/>
              <w:bottom w:val="single" w:sz="4" w:space="0" w:color="000000"/>
              <w:right w:val="nil"/>
            </w:tcBorders>
            <w:shd w:val="clear" w:color="D9D9D9" w:fill="D9D9D9"/>
            <w:noWrap/>
            <w:vAlign w:val="bottom"/>
            <w:hideMark/>
          </w:tcPr>
          <w:p w14:paraId="509B9F98" w14:textId="77777777" w:rsidR="004C19ED" w:rsidRPr="00924CB1"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-1</w:t>
            </w:r>
            <w:r w:rsidRPr="00924CB1">
              <w:rPr>
                <w:rFonts w:eastAsia="Times New Roman" w:cs="Arial"/>
                <w:b/>
                <w:bCs/>
                <w:color w:val="000000"/>
                <w:szCs w:val="20"/>
                <w:lang w:eastAsia="pt-BR"/>
              </w:rPr>
              <w:t>,</w:t>
            </w:r>
            <w:r>
              <w:rPr>
                <w:rFonts w:eastAsia="Times New Roman" w:cs="Arial"/>
                <w:b/>
                <w:bCs/>
                <w:color w:val="000000"/>
                <w:szCs w:val="20"/>
                <w:lang w:eastAsia="pt-BR"/>
              </w:rPr>
              <w:t>40</w:t>
            </w:r>
          </w:p>
        </w:tc>
      </w:tr>
    </w:tbl>
    <w:p w14:paraId="13D7BE54" w14:textId="77777777" w:rsidR="004C19ED" w:rsidRPr="00B83A9E" w:rsidRDefault="004C19ED" w:rsidP="004C19ED">
      <w:pPr>
        <w:rPr>
          <w:rFonts w:cs="Arial"/>
          <w:i/>
          <w:szCs w:val="20"/>
        </w:rPr>
      </w:pPr>
      <w:r w:rsidRPr="00B83A9E">
        <w:rPr>
          <w:rFonts w:cs="Arial"/>
          <w:i/>
          <w:szCs w:val="20"/>
        </w:rPr>
        <w:t>Fonte: SIAFI, 20</w:t>
      </w:r>
      <w:r>
        <w:rPr>
          <w:rFonts w:cs="Arial"/>
          <w:i/>
          <w:szCs w:val="20"/>
        </w:rPr>
        <w:t>21</w:t>
      </w:r>
      <w:r w:rsidRPr="00B83A9E">
        <w:rPr>
          <w:rFonts w:cs="Arial"/>
          <w:i/>
          <w:szCs w:val="20"/>
        </w:rPr>
        <w:t xml:space="preserve"> e 20</w:t>
      </w:r>
      <w:r>
        <w:rPr>
          <w:rFonts w:cs="Arial"/>
          <w:i/>
          <w:szCs w:val="20"/>
        </w:rPr>
        <w:t>20</w:t>
      </w:r>
      <w:r w:rsidRPr="00B83A9E">
        <w:rPr>
          <w:rFonts w:cs="Arial"/>
          <w:i/>
          <w:szCs w:val="20"/>
        </w:rPr>
        <w:t>.</w:t>
      </w:r>
    </w:p>
    <w:p w14:paraId="56AD4700" w14:textId="77777777" w:rsidR="004C19ED" w:rsidRPr="0037110A" w:rsidRDefault="004C19ED" w:rsidP="004C19ED">
      <w:pPr>
        <w:rPr>
          <w:rFonts w:cs="Arial"/>
          <w:sz w:val="22"/>
        </w:rPr>
      </w:pPr>
    </w:p>
    <w:p w14:paraId="5089A477" w14:textId="77777777" w:rsidR="004C19ED" w:rsidRPr="0037110A" w:rsidRDefault="004C19ED" w:rsidP="004C19ED">
      <w:pPr>
        <w:rPr>
          <w:rFonts w:cs="Arial"/>
          <w:b/>
          <w:sz w:val="22"/>
        </w:rPr>
      </w:pPr>
      <w:r>
        <w:rPr>
          <w:rFonts w:cs="Arial"/>
          <w:b/>
          <w:sz w:val="22"/>
        </w:rPr>
        <w:t xml:space="preserve">3.1 </w:t>
      </w:r>
      <w:r w:rsidRPr="0037110A">
        <w:rPr>
          <w:rFonts w:cs="Arial"/>
          <w:b/>
          <w:sz w:val="22"/>
        </w:rPr>
        <w:t>Bens Móveis</w:t>
      </w:r>
    </w:p>
    <w:p w14:paraId="4B773E6C" w14:textId="77777777" w:rsidR="004C19ED" w:rsidRPr="0037110A" w:rsidRDefault="004C19ED" w:rsidP="004C19ED">
      <w:pPr>
        <w:rPr>
          <w:rFonts w:cs="Arial"/>
          <w:sz w:val="22"/>
        </w:rPr>
      </w:pPr>
    </w:p>
    <w:p w14:paraId="38A2A33B" w14:textId="77777777" w:rsidR="004C19ED" w:rsidRPr="0037110A" w:rsidRDefault="004C19ED" w:rsidP="004C19ED">
      <w:pPr>
        <w:rPr>
          <w:rFonts w:cs="Arial"/>
          <w:sz w:val="22"/>
        </w:rPr>
      </w:pPr>
      <w:r w:rsidRPr="0037110A">
        <w:rPr>
          <w:rFonts w:cs="Arial"/>
          <w:sz w:val="22"/>
        </w:rPr>
        <w:t>Os Bens Móveis da AN</w:t>
      </w:r>
      <w:r>
        <w:rPr>
          <w:rFonts w:cs="Arial"/>
          <w:sz w:val="22"/>
        </w:rPr>
        <w:t>P</w:t>
      </w:r>
      <w:r w:rsidRPr="0037110A">
        <w:rPr>
          <w:rFonts w:cs="Arial"/>
          <w:sz w:val="22"/>
        </w:rPr>
        <w:t xml:space="preserve"> em 3</w:t>
      </w:r>
      <w:r>
        <w:rPr>
          <w:rFonts w:cs="Arial"/>
          <w:sz w:val="22"/>
        </w:rPr>
        <w:t>1</w:t>
      </w:r>
      <w:r w:rsidRPr="0037110A">
        <w:rPr>
          <w:rFonts w:cs="Arial"/>
          <w:sz w:val="22"/>
        </w:rPr>
        <w:t>/</w:t>
      </w:r>
      <w:r>
        <w:rPr>
          <w:rFonts w:cs="Arial"/>
          <w:sz w:val="22"/>
        </w:rPr>
        <w:t>12</w:t>
      </w:r>
      <w:r w:rsidRPr="0037110A">
        <w:rPr>
          <w:rFonts w:cs="Arial"/>
          <w:sz w:val="22"/>
        </w:rPr>
        <w:t>/20</w:t>
      </w:r>
      <w:r>
        <w:rPr>
          <w:rFonts w:cs="Arial"/>
          <w:sz w:val="22"/>
        </w:rPr>
        <w:t>21</w:t>
      </w:r>
      <w:r w:rsidRPr="0037110A">
        <w:rPr>
          <w:rFonts w:cs="Arial"/>
          <w:sz w:val="22"/>
        </w:rPr>
        <w:t xml:space="preserve"> totalizaram </w:t>
      </w:r>
      <w:r w:rsidRPr="00387A5D">
        <w:rPr>
          <w:rFonts w:cs="Arial"/>
          <w:sz w:val="22"/>
        </w:rPr>
        <w:t xml:space="preserve">pouco mais de R$ </w:t>
      </w:r>
      <w:r>
        <w:rPr>
          <w:rFonts w:cs="Arial"/>
          <w:sz w:val="22"/>
        </w:rPr>
        <w:t>91</w:t>
      </w:r>
      <w:r w:rsidRPr="00387A5D">
        <w:rPr>
          <w:rFonts w:cs="Arial"/>
          <w:sz w:val="22"/>
        </w:rPr>
        <w:t xml:space="preserve"> milhões</w:t>
      </w:r>
      <w:r w:rsidRPr="0037110A">
        <w:rPr>
          <w:rFonts w:cs="Arial"/>
          <w:sz w:val="22"/>
        </w:rPr>
        <w:t xml:space="preserve"> e estão distribuídos em várias contas contábeis confor</w:t>
      </w:r>
      <w:r>
        <w:rPr>
          <w:rFonts w:cs="Arial"/>
          <w:sz w:val="22"/>
        </w:rPr>
        <w:t>me detalhado na tabela a seguir:</w:t>
      </w:r>
    </w:p>
    <w:p w14:paraId="525CDAC9" w14:textId="77777777" w:rsidR="004C19ED" w:rsidRPr="0037110A" w:rsidRDefault="004C19ED" w:rsidP="004C19ED">
      <w:pPr>
        <w:rPr>
          <w:rFonts w:cs="Arial"/>
          <w:b/>
          <w:sz w:val="22"/>
        </w:rPr>
      </w:pPr>
    </w:p>
    <w:p w14:paraId="4F422E61" w14:textId="77777777" w:rsidR="004C19ED" w:rsidRPr="0037110A" w:rsidRDefault="004C19ED" w:rsidP="004C19ED">
      <w:pPr>
        <w:rPr>
          <w:rFonts w:cs="Arial"/>
          <w:b/>
          <w:sz w:val="22"/>
        </w:rPr>
      </w:pPr>
      <w:r w:rsidRPr="00E65DFE">
        <w:rPr>
          <w:rFonts w:cs="Arial"/>
          <w:b/>
          <w:sz w:val="22"/>
        </w:rPr>
        <w:t>Tabela</w:t>
      </w:r>
      <w:r>
        <w:rPr>
          <w:rFonts w:cs="Arial"/>
          <w:b/>
          <w:sz w:val="22"/>
        </w:rPr>
        <w:t xml:space="preserve"> 6</w:t>
      </w:r>
      <w:r w:rsidRPr="00E65DFE">
        <w:rPr>
          <w:rFonts w:cs="Arial"/>
          <w:b/>
          <w:sz w:val="22"/>
        </w:rPr>
        <w:t xml:space="preserve"> </w:t>
      </w:r>
      <w:r w:rsidRPr="0037110A">
        <w:rPr>
          <w:rFonts w:cs="Arial"/>
          <w:b/>
          <w:sz w:val="22"/>
        </w:rPr>
        <w:t>– Bens Móveis – Composição.</w:t>
      </w:r>
    </w:p>
    <w:p w14:paraId="38FA2584" w14:textId="77777777" w:rsidR="004C19ED" w:rsidRDefault="004C19ED" w:rsidP="004C19ED">
      <w:pPr>
        <w:jc w:val="center"/>
        <w:rPr>
          <w:rFonts w:cs="Arial"/>
          <w:sz w:val="22"/>
        </w:rPr>
      </w:pPr>
      <w:r w:rsidRPr="0037110A">
        <w:rPr>
          <w:rFonts w:cs="Arial"/>
          <w:sz w:val="22"/>
        </w:rPr>
        <w:t xml:space="preserve">                                                                  </w:t>
      </w:r>
      <w:r>
        <w:rPr>
          <w:rFonts w:cs="Arial"/>
          <w:sz w:val="22"/>
        </w:rPr>
        <w:t xml:space="preserve">                                                                            R$</w:t>
      </w:r>
      <w:r w:rsidRPr="0037110A">
        <w:rPr>
          <w:rFonts w:cs="Arial"/>
          <w:sz w:val="22"/>
        </w:rPr>
        <w:t xml:space="preserve"> </w:t>
      </w:r>
    </w:p>
    <w:tbl>
      <w:tblPr>
        <w:tblW w:w="9210" w:type="dxa"/>
        <w:tblCellMar>
          <w:left w:w="70" w:type="dxa"/>
          <w:right w:w="70" w:type="dxa"/>
        </w:tblCellMar>
        <w:tblLook w:val="04A0" w:firstRow="1" w:lastRow="0" w:firstColumn="1" w:lastColumn="0" w:noHBand="0" w:noVBand="1"/>
      </w:tblPr>
      <w:tblGrid>
        <w:gridCol w:w="2302"/>
        <w:gridCol w:w="2302"/>
        <w:gridCol w:w="2303"/>
        <w:gridCol w:w="2303"/>
      </w:tblGrid>
      <w:tr w:rsidR="004C19ED" w:rsidRPr="00B5064F" w14:paraId="477DA8E1" w14:textId="77777777" w:rsidTr="003E2CCD">
        <w:trPr>
          <w:trHeight w:val="255"/>
        </w:trPr>
        <w:tc>
          <w:tcPr>
            <w:tcW w:w="2302" w:type="dxa"/>
            <w:tcBorders>
              <w:top w:val="single" w:sz="4" w:space="0" w:color="000000"/>
              <w:left w:val="nil"/>
              <w:bottom w:val="single" w:sz="4" w:space="0" w:color="000000"/>
              <w:right w:val="nil"/>
            </w:tcBorders>
            <w:shd w:val="clear" w:color="auto" w:fill="auto"/>
            <w:noWrap/>
            <w:vAlign w:val="bottom"/>
            <w:hideMark/>
          </w:tcPr>
          <w:p w14:paraId="6F7E1078" w14:textId="77777777" w:rsidR="004C19ED" w:rsidRPr="00B5064F" w:rsidRDefault="004C19ED" w:rsidP="003E2CCD">
            <w:pPr>
              <w:jc w:val="left"/>
              <w:rPr>
                <w:rFonts w:eastAsia="Times New Roman" w:cs="Arial"/>
                <w:b/>
                <w:bCs/>
                <w:color w:val="FFFFFF"/>
                <w:szCs w:val="20"/>
                <w:lang w:eastAsia="pt-BR"/>
              </w:rPr>
            </w:pPr>
            <w:r w:rsidRPr="00B5064F">
              <w:rPr>
                <w:rFonts w:eastAsia="Times New Roman" w:cs="Arial"/>
                <w:b/>
                <w:bCs/>
                <w:color w:val="FFFFFF"/>
                <w:szCs w:val="20"/>
                <w:lang w:eastAsia="pt-BR"/>
              </w:rPr>
              <w:t>Colunas1</w:t>
            </w:r>
          </w:p>
        </w:tc>
        <w:tc>
          <w:tcPr>
            <w:tcW w:w="2302" w:type="dxa"/>
            <w:tcBorders>
              <w:top w:val="single" w:sz="4" w:space="0" w:color="000000"/>
              <w:left w:val="nil"/>
              <w:bottom w:val="single" w:sz="4" w:space="0" w:color="000000"/>
              <w:right w:val="nil"/>
            </w:tcBorders>
            <w:shd w:val="clear" w:color="auto" w:fill="auto"/>
            <w:noWrap/>
            <w:vAlign w:val="bottom"/>
            <w:hideMark/>
          </w:tcPr>
          <w:p w14:paraId="524AAB6D" w14:textId="77777777" w:rsidR="004C19ED" w:rsidRPr="00B5064F" w:rsidRDefault="004C19ED" w:rsidP="003E2CCD">
            <w:pPr>
              <w:jc w:val="right"/>
              <w:rPr>
                <w:rFonts w:eastAsia="Times New Roman" w:cs="Arial"/>
                <w:b/>
                <w:bCs/>
                <w:color w:val="000000"/>
                <w:szCs w:val="20"/>
                <w:lang w:eastAsia="pt-BR"/>
              </w:rPr>
            </w:pPr>
            <w:r w:rsidRPr="00B5064F">
              <w:rPr>
                <w:rFonts w:eastAsia="Times New Roman" w:cs="Arial"/>
                <w:b/>
                <w:bCs/>
                <w:color w:val="000000"/>
                <w:szCs w:val="20"/>
                <w:lang w:eastAsia="pt-BR"/>
              </w:rPr>
              <w:t>3</w:t>
            </w:r>
            <w:r>
              <w:rPr>
                <w:rFonts w:eastAsia="Times New Roman" w:cs="Arial"/>
                <w:b/>
                <w:bCs/>
                <w:color w:val="000000"/>
                <w:szCs w:val="20"/>
                <w:lang w:eastAsia="pt-BR"/>
              </w:rPr>
              <w:t>1</w:t>
            </w:r>
            <w:r w:rsidRPr="00B5064F">
              <w:rPr>
                <w:rFonts w:eastAsia="Times New Roman" w:cs="Arial"/>
                <w:b/>
                <w:bCs/>
                <w:color w:val="000000"/>
                <w:szCs w:val="20"/>
                <w:lang w:eastAsia="pt-BR"/>
              </w:rPr>
              <w:t>/</w:t>
            </w:r>
            <w:r>
              <w:rPr>
                <w:rFonts w:eastAsia="Times New Roman" w:cs="Arial"/>
                <w:b/>
                <w:bCs/>
                <w:color w:val="000000"/>
                <w:szCs w:val="20"/>
                <w:lang w:eastAsia="pt-BR"/>
              </w:rPr>
              <w:t>12/2021</w:t>
            </w:r>
          </w:p>
        </w:tc>
        <w:tc>
          <w:tcPr>
            <w:tcW w:w="2303" w:type="dxa"/>
            <w:tcBorders>
              <w:top w:val="single" w:sz="4" w:space="0" w:color="000000"/>
              <w:left w:val="nil"/>
              <w:bottom w:val="single" w:sz="4" w:space="0" w:color="000000"/>
              <w:right w:val="nil"/>
            </w:tcBorders>
            <w:shd w:val="clear" w:color="auto" w:fill="auto"/>
            <w:noWrap/>
            <w:vAlign w:val="bottom"/>
            <w:hideMark/>
          </w:tcPr>
          <w:p w14:paraId="159F5ABA" w14:textId="77777777" w:rsidR="004C19ED" w:rsidRPr="00B5064F" w:rsidRDefault="004C19ED" w:rsidP="003E2CCD">
            <w:pPr>
              <w:jc w:val="right"/>
              <w:rPr>
                <w:rFonts w:eastAsia="Times New Roman" w:cs="Arial"/>
                <w:b/>
                <w:bCs/>
                <w:color w:val="000000"/>
                <w:szCs w:val="20"/>
                <w:lang w:eastAsia="pt-BR"/>
              </w:rPr>
            </w:pPr>
            <w:r w:rsidRPr="00B5064F">
              <w:rPr>
                <w:rFonts w:eastAsia="Times New Roman" w:cs="Arial"/>
                <w:b/>
                <w:bCs/>
                <w:color w:val="000000"/>
                <w:szCs w:val="20"/>
                <w:lang w:eastAsia="pt-BR"/>
              </w:rPr>
              <w:t>31/12/20</w:t>
            </w:r>
            <w:r>
              <w:rPr>
                <w:rFonts w:eastAsia="Times New Roman" w:cs="Arial"/>
                <w:b/>
                <w:bCs/>
                <w:color w:val="000000"/>
                <w:szCs w:val="20"/>
                <w:lang w:eastAsia="pt-BR"/>
              </w:rPr>
              <w:t>20</w:t>
            </w:r>
          </w:p>
        </w:tc>
        <w:tc>
          <w:tcPr>
            <w:tcW w:w="2303" w:type="dxa"/>
            <w:tcBorders>
              <w:top w:val="single" w:sz="4" w:space="0" w:color="000000"/>
              <w:left w:val="nil"/>
              <w:bottom w:val="single" w:sz="4" w:space="0" w:color="000000"/>
              <w:right w:val="nil"/>
            </w:tcBorders>
            <w:shd w:val="clear" w:color="auto" w:fill="auto"/>
            <w:noWrap/>
            <w:vAlign w:val="bottom"/>
            <w:hideMark/>
          </w:tcPr>
          <w:p w14:paraId="1D685B27" w14:textId="77777777" w:rsidR="004C19ED" w:rsidRPr="00B5064F" w:rsidRDefault="004C19ED" w:rsidP="003E2CCD">
            <w:pPr>
              <w:jc w:val="right"/>
              <w:rPr>
                <w:rFonts w:eastAsia="Times New Roman" w:cs="Arial"/>
                <w:b/>
                <w:bCs/>
                <w:color w:val="000000"/>
                <w:szCs w:val="20"/>
                <w:lang w:eastAsia="pt-BR"/>
              </w:rPr>
            </w:pPr>
            <w:r w:rsidRPr="00B5064F">
              <w:rPr>
                <w:rFonts w:eastAsia="Times New Roman" w:cs="Arial"/>
                <w:b/>
                <w:bCs/>
                <w:color w:val="000000"/>
                <w:szCs w:val="20"/>
                <w:lang w:eastAsia="pt-BR"/>
              </w:rPr>
              <w:t>AH (%)</w:t>
            </w:r>
          </w:p>
        </w:tc>
      </w:tr>
      <w:tr w:rsidR="004C19ED" w:rsidRPr="00B5064F" w14:paraId="0740F3FD" w14:textId="77777777" w:rsidTr="003E2CCD">
        <w:trPr>
          <w:trHeight w:val="255"/>
        </w:trPr>
        <w:tc>
          <w:tcPr>
            <w:tcW w:w="2302" w:type="dxa"/>
            <w:tcBorders>
              <w:top w:val="nil"/>
              <w:left w:val="nil"/>
              <w:bottom w:val="nil"/>
              <w:right w:val="nil"/>
            </w:tcBorders>
            <w:shd w:val="clear" w:color="auto" w:fill="auto"/>
            <w:noWrap/>
            <w:vAlign w:val="center"/>
            <w:hideMark/>
          </w:tcPr>
          <w:p w14:paraId="3AC4A50B" w14:textId="77777777" w:rsidR="004C19ED" w:rsidRPr="00B5064F" w:rsidRDefault="004C19ED" w:rsidP="003E2CCD">
            <w:pPr>
              <w:jc w:val="left"/>
              <w:rPr>
                <w:rFonts w:eastAsia="Times New Roman" w:cs="Arial"/>
                <w:color w:val="000000"/>
                <w:szCs w:val="20"/>
                <w:lang w:eastAsia="pt-BR"/>
              </w:rPr>
            </w:pPr>
            <w:r w:rsidRPr="00B5064F">
              <w:rPr>
                <w:rFonts w:eastAsia="Times New Roman" w:cs="Arial"/>
                <w:color w:val="000000"/>
                <w:szCs w:val="20"/>
                <w:lang w:eastAsia="pt-BR"/>
              </w:rPr>
              <w:t>M</w:t>
            </w:r>
            <w:r>
              <w:rPr>
                <w:rFonts w:eastAsia="Times New Roman" w:cs="Arial"/>
                <w:color w:val="000000"/>
                <w:szCs w:val="20"/>
                <w:lang w:eastAsia="pt-BR"/>
              </w:rPr>
              <w:t>á</w:t>
            </w:r>
            <w:r w:rsidRPr="00B5064F">
              <w:rPr>
                <w:rFonts w:eastAsia="Times New Roman" w:cs="Arial"/>
                <w:color w:val="000000"/>
                <w:szCs w:val="20"/>
                <w:lang w:eastAsia="pt-BR"/>
              </w:rPr>
              <w:t>quinas, Aparelhos, Equipamento</w:t>
            </w:r>
            <w:r>
              <w:rPr>
                <w:rFonts w:eastAsia="Times New Roman" w:cs="Arial"/>
                <w:color w:val="000000"/>
                <w:szCs w:val="20"/>
                <w:lang w:eastAsia="pt-BR"/>
              </w:rPr>
              <w:t>s</w:t>
            </w:r>
            <w:r w:rsidRPr="00B5064F">
              <w:rPr>
                <w:rFonts w:eastAsia="Times New Roman" w:cs="Arial"/>
                <w:color w:val="000000"/>
                <w:szCs w:val="20"/>
                <w:lang w:eastAsia="pt-BR"/>
              </w:rPr>
              <w:t xml:space="preserve"> e Ferramenta</w:t>
            </w:r>
            <w:r>
              <w:rPr>
                <w:rFonts w:eastAsia="Times New Roman" w:cs="Arial"/>
                <w:color w:val="000000"/>
                <w:szCs w:val="20"/>
                <w:lang w:eastAsia="pt-BR"/>
              </w:rPr>
              <w:t xml:space="preserve">s </w:t>
            </w:r>
          </w:p>
        </w:tc>
        <w:tc>
          <w:tcPr>
            <w:tcW w:w="2302" w:type="dxa"/>
            <w:tcBorders>
              <w:top w:val="nil"/>
              <w:left w:val="nil"/>
              <w:bottom w:val="nil"/>
              <w:right w:val="nil"/>
            </w:tcBorders>
            <w:shd w:val="clear" w:color="auto" w:fill="auto"/>
            <w:noWrap/>
            <w:vAlign w:val="bottom"/>
          </w:tcPr>
          <w:p w14:paraId="24FC60A7" w14:textId="77777777" w:rsidR="004C19ED" w:rsidRPr="00B5064F" w:rsidRDefault="004C19ED" w:rsidP="003E2CCD">
            <w:pPr>
              <w:jc w:val="right"/>
              <w:rPr>
                <w:rFonts w:eastAsia="Times New Roman" w:cs="Arial"/>
                <w:color w:val="000000"/>
                <w:szCs w:val="20"/>
                <w:lang w:eastAsia="pt-BR"/>
              </w:rPr>
            </w:pPr>
            <w:r w:rsidRPr="00C01422">
              <w:rPr>
                <w:rFonts w:eastAsia="Times New Roman" w:cs="Arial"/>
                <w:color w:val="000000"/>
                <w:szCs w:val="20"/>
                <w:lang w:eastAsia="pt-BR"/>
              </w:rPr>
              <w:t>33</w:t>
            </w:r>
            <w:r>
              <w:rPr>
                <w:rFonts w:eastAsia="Times New Roman" w:cs="Arial"/>
                <w:color w:val="000000"/>
                <w:szCs w:val="20"/>
                <w:lang w:eastAsia="pt-BR"/>
              </w:rPr>
              <w:t>.</w:t>
            </w:r>
            <w:r w:rsidRPr="00C01422">
              <w:rPr>
                <w:rFonts w:eastAsia="Times New Roman" w:cs="Arial"/>
                <w:color w:val="000000"/>
                <w:szCs w:val="20"/>
                <w:lang w:eastAsia="pt-BR"/>
              </w:rPr>
              <w:t>370</w:t>
            </w:r>
            <w:r>
              <w:rPr>
                <w:rFonts w:eastAsia="Times New Roman" w:cs="Arial"/>
                <w:color w:val="000000"/>
                <w:szCs w:val="20"/>
                <w:lang w:eastAsia="pt-BR"/>
              </w:rPr>
              <w:t>.</w:t>
            </w:r>
            <w:r w:rsidRPr="00C01422">
              <w:rPr>
                <w:rFonts w:eastAsia="Times New Roman" w:cs="Arial"/>
                <w:color w:val="000000"/>
                <w:szCs w:val="20"/>
                <w:lang w:eastAsia="pt-BR"/>
              </w:rPr>
              <w:t>843,24</w:t>
            </w:r>
          </w:p>
        </w:tc>
        <w:tc>
          <w:tcPr>
            <w:tcW w:w="2303" w:type="dxa"/>
            <w:tcBorders>
              <w:top w:val="nil"/>
              <w:left w:val="nil"/>
              <w:bottom w:val="nil"/>
              <w:right w:val="nil"/>
            </w:tcBorders>
            <w:shd w:val="clear" w:color="auto" w:fill="auto"/>
            <w:noWrap/>
            <w:vAlign w:val="bottom"/>
          </w:tcPr>
          <w:p w14:paraId="0114AF5A" w14:textId="77777777" w:rsidR="004C19ED" w:rsidRPr="00B5064F" w:rsidRDefault="004C19ED" w:rsidP="003E2CCD">
            <w:pPr>
              <w:jc w:val="right"/>
              <w:rPr>
                <w:rFonts w:eastAsia="Times New Roman" w:cs="Arial"/>
                <w:color w:val="000000"/>
                <w:szCs w:val="20"/>
                <w:lang w:eastAsia="pt-BR"/>
              </w:rPr>
            </w:pPr>
            <w:r w:rsidRPr="00714D74">
              <w:rPr>
                <w:rFonts w:eastAsia="Times New Roman" w:cs="Arial"/>
                <w:color w:val="000000"/>
                <w:szCs w:val="20"/>
                <w:lang w:eastAsia="pt-BR"/>
              </w:rPr>
              <w:t>32</w:t>
            </w:r>
            <w:r>
              <w:rPr>
                <w:rFonts w:eastAsia="Times New Roman" w:cs="Arial"/>
                <w:color w:val="000000"/>
                <w:szCs w:val="20"/>
                <w:lang w:eastAsia="pt-BR"/>
              </w:rPr>
              <w:t>.</w:t>
            </w:r>
            <w:r w:rsidRPr="00714D74">
              <w:rPr>
                <w:rFonts w:eastAsia="Times New Roman" w:cs="Arial"/>
                <w:color w:val="000000"/>
                <w:szCs w:val="20"/>
                <w:lang w:eastAsia="pt-BR"/>
              </w:rPr>
              <w:t>843</w:t>
            </w:r>
            <w:r>
              <w:rPr>
                <w:rFonts w:eastAsia="Times New Roman" w:cs="Arial"/>
                <w:color w:val="000000"/>
                <w:szCs w:val="20"/>
                <w:lang w:eastAsia="pt-BR"/>
              </w:rPr>
              <w:t>.</w:t>
            </w:r>
            <w:r w:rsidRPr="00714D74">
              <w:rPr>
                <w:rFonts w:eastAsia="Times New Roman" w:cs="Arial"/>
                <w:color w:val="000000"/>
                <w:szCs w:val="20"/>
                <w:lang w:eastAsia="pt-BR"/>
              </w:rPr>
              <w:t>230,20</w:t>
            </w:r>
          </w:p>
        </w:tc>
        <w:tc>
          <w:tcPr>
            <w:tcW w:w="2303" w:type="dxa"/>
            <w:tcBorders>
              <w:top w:val="nil"/>
              <w:left w:val="nil"/>
              <w:bottom w:val="nil"/>
              <w:right w:val="nil"/>
            </w:tcBorders>
            <w:shd w:val="clear" w:color="auto" w:fill="auto"/>
            <w:noWrap/>
            <w:vAlign w:val="bottom"/>
            <w:hideMark/>
          </w:tcPr>
          <w:p w14:paraId="1197CA84" w14:textId="77777777" w:rsidR="004C19ED" w:rsidRPr="00B5064F" w:rsidRDefault="004C19ED" w:rsidP="003E2CCD">
            <w:pPr>
              <w:jc w:val="right"/>
              <w:rPr>
                <w:rFonts w:eastAsia="Times New Roman" w:cs="Arial"/>
                <w:color w:val="000000"/>
                <w:szCs w:val="20"/>
                <w:lang w:eastAsia="pt-BR"/>
              </w:rPr>
            </w:pPr>
            <w:r>
              <w:rPr>
                <w:rFonts w:eastAsia="Times New Roman" w:cs="Arial"/>
                <w:color w:val="000000"/>
                <w:szCs w:val="20"/>
                <w:lang w:eastAsia="pt-BR"/>
              </w:rPr>
              <w:t>1,58</w:t>
            </w:r>
          </w:p>
        </w:tc>
      </w:tr>
      <w:tr w:rsidR="004C19ED" w:rsidRPr="00B5064F" w14:paraId="085A149F" w14:textId="77777777" w:rsidTr="003E2CCD">
        <w:trPr>
          <w:trHeight w:val="255"/>
        </w:trPr>
        <w:tc>
          <w:tcPr>
            <w:tcW w:w="2302" w:type="dxa"/>
            <w:tcBorders>
              <w:top w:val="nil"/>
              <w:left w:val="nil"/>
              <w:bottom w:val="nil"/>
              <w:right w:val="nil"/>
            </w:tcBorders>
            <w:shd w:val="clear" w:color="000000" w:fill="D9D9D9"/>
            <w:noWrap/>
            <w:vAlign w:val="center"/>
            <w:hideMark/>
          </w:tcPr>
          <w:p w14:paraId="61DCDB35" w14:textId="77777777" w:rsidR="004C19ED" w:rsidRPr="00B5064F" w:rsidRDefault="004C19ED" w:rsidP="003E2CCD">
            <w:pPr>
              <w:jc w:val="left"/>
              <w:rPr>
                <w:rFonts w:eastAsia="Times New Roman" w:cs="Arial"/>
                <w:color w:val="000000"/>
                <w:szCs w:val="20"/>
                <w:lang w:eastAsia="pt-BR"/>
              </w:rPr>
            </w:pPr>
            <w:r w:rsidRPr="00B5064F">
              <w:rPr>
                <w:rFonts w:eastAsia="Times New Roman" w:cs="Arial"/>
                <w:color w:val="000000"/>
                <w:szCs w:val="20"/>
                <w:lang w:eastAsia="pt-BR"/>
              </w:rPr>
              <w:t>Bens de Informática</w:t>
            </w:r>
          </w:p>
        </w:tc>
        <w:tc>
          <w:tcPr>
            <w:tcW w:w="2302" w:type="dxa"/>
            <w:tcBorders>
              <w:top w:val="nil"/>
              <w:left w:val="nil"/>
              <w:bottom w:val="nil"/>
              <w:right w:val="nil"/>
            </w:tcBorders>
            <w:shd w:val="clear" w:color="D9D9D9" w:fill="D9D9D9"/>
            <w:noWrap/>
            <w:vAlign w:val="bottom"/>
          </w:tcPr>
          <w:p w14:paraId="70D25B7A" w14:textId="77777777" w:rsidR="004C19ED" w:rsidRPr="00B5064F" w:rsidRDefault="004C19ED" w:rsidP="003E2CCD">
            <w:pPr>
              <w:jc w:val="right"/>
              <w:rPr>
                <w:rFonts w:eastAsia="Times New Roman" w:cs="Arial"/>
                <w:color w:val="000000"/>
                <w:szCs w:val="20"/>
                <w:lang w:eastAsia="pt-BR"/>
              </w:rPr>
            </w:pPr>
            <w:r w:rsidRPr="00C01422">
              <w:rPr>
                <w:rFonts w:eastAsia="Times New Roman" w:cs="Arial"/>
                <w:color w:val="000000"/>
                <w:szCs w:val="20"/>
                <w:lang w:eastAsia="pt-BR"/>
              </w:rPr>
              <w:t>67</w:t>
            </w:r>
            <w:r>
              <w:rPr>
                <w:rFonts w:eastAsia="Times New Roman" w:cs="Arial"/>
                <w:color w:val="000000"/>
                <w:szCs w:val="20"/>
                <w:lang w:eastAsia="pt-BR"/>
              </w:rPr>
              <w:t>.</w:t>
            </w:r>
            <w:r w:rsidRPr="00C01422">
              <w:rPr>
                <w:rFonts w:eastAsia="Times New Roman" w:cs="Arial"/>
                <w:color w:val="000000"/>
                <w:szCs w:val="20"/>
                <w:lang w:eastAsia="pt-BR"/>
              </w:rPr>
              <w:t>475</w:t>
            </w:r>
            <w:r>
              <w:rPr>
                <w:rFonts w:eastAsia="Times New Roman" w:cs="Arial"/>
                <w:color w:val="000000"/>
                <w:szCs w:val="20"/>
                <w:lang w:eastAsia="pt-BR"/>
              </w:rPr>
              <w:t>.</w:t>
            </w:r>
            <w:r w:rsidRPr="00C01422">
              <w:rPr>
                <w:rFonts w:eastAsia="Times New Roman" w:cs="Arial"/>
                <w:color w:val="000000"/>
                <w:szCs w:val="20"/>
                <w:lang w:eastAsia="pt-BR"/>
              </w:rPr>
              <w:t>560,05</w:t>
            </w:r>
          </w:p>
        </w:tc>
        <w:tc>
          <w:tcPr>
            <w:tcW w:w="2303" w:type="dxa"/>
            <w:tcBorders>
              <w:top w:val="nil"/>
              <w:left w:val="nil"/>
              <w:bottom w:val="nil"/>
              <w:right w:val="nil"/>
            </w:tcBorders>
            <w:shd w:val="clear" w:color="D9D9D9" w:fill="D9D9D9"/>
            <w:noWrap/>
            <w:vAlign w:val="bottom"/>
          </w:tcPr>
          <w:p w14:paraId="510C49F6" w14:textId="77777777" w:rsidR="004C19ED" w:rsidRPr="00B5064F" w:rsidRDefault="004C19ED" w:rsidP="003E2CCD">
            <w:pPr>
              <w:jc w:val="right"/>
              <w:rPr>
                <w:rFonts w:eastAsia="Times New Roman" w:cs="Arial"/>
                <w:color w:val="000000"/>
                <w:szCs w:val="20"/>
                <w:lang w:eastAsia="pt-BR"/>
              </w:rPr>
            </w:pPr>
            <w:r w:rsidRPr="00714D74">
              <w:rPr>
                <w:rFonts w:eastAsia="Times New Roman" w:cs="Arial"/>
                <w:color w:val="000000"/>
                <w:szCs w:val="20"/>
                <w:lang w:eastAsia="pt-BR"/>
              </w:rPr>
              <w:t>63</w:t>
            </w:r>
            <w:r>
              <w:rPr>
                <w:rFonts w:eastAsia="Times New Roman" w:cs="Arial"/>
                <w:color w:val="000000"/>
                <w:szCs w:val="20"/>
                <w:lang w:eastAsia="pt-BR"/>
              </w:rPr>
              <w:t>.</w:t>
            </w:r>
            <w:r w:rsidRPr="00714D74">
              <w:rPr>
                <w:rFonts w:eastAsia="Times New Roman" w:cs="Arial"/>
                <w:color w:val="000000"/>
                <w:szCs w:val="20"/>
                <w:lang w:eastAsia="pt-BR"/>
              </w:rPr>
              <w:t>937</w:t>
            </w:r>
            <w:r>
              <w:rPr>
                <w:rFonts w:eastAsia="Times New Roman" w:cs="Arial"/>
                <w:color w:val="000000"/>
                <w:szCs w:val="20"/>
                <w:lang w:eastAsia="pt-BR"/>
              </w:rPr>
              <w:t>.</w:t>
            </w:r>
            <w:r w:rsidRPr="00714D74">
              <w:rPr>
                <w:rFonts w:eastAsia="Times New Roman" w:cs="Arial"/>
                <w:color w:val="000000"/>
                <w:szCs w:val="20"/>
                <w:lang w:eastAsia="pt-BR"/>
              </w:rPr>
              <w:t>962,81</w:t>
            </w:r>
          </w:p>
        </w:tc>
        <w:tc>
          <w:tcPr>
            <w:tcW w:w="2303" w:type="dxa"/>
            <w:tcBorders>
              <w:top w:val="nil"/>
              <w:left w:val="nil"/>
              <w:bottom w:val="nil"/>
              <w:right w:val="nil"/>
            </w:tcBorders>
            <w:shd w:val="clear" w:color="D9D9D9" w:fill="D9D9D9"/>
            <w:noWrap/>
            <w:vAlign w:val="bottom"/>
            <w:hideMark/>
          </w:tcPr>
          <w:p w14:paraId="5F7E38E8" w14:textId="77777777" w:rsidR="004C19ED" w:rsidRPr="00B5064F" w:rsidRDefault="004C19ED" w:rsidP="003E2CCD">
            <w:pPr>
              <w:jc w:val="right"/>
              <w:rPr>
                <w:rFonts w:eastAsia="Times New Roman" w:cs="Arial"/>
                <w:color w:val="000000"/>
                <w:szCs w:val="20"/>
                <w:lang w:eastAsia="pt-BR"/>
              </w:rPr>
            </w:pPr>
            <w:r>
              <w:rPr>
                <w:rFonts w:eastAsia="Times New Roman" w:cs="Arial"/>
                <w:color w:val="000000"/>
                <w:szCs w:val="20"/>
                <w:lang w:eastAsia="pt-BR"/>
              </w:rPr>
              <w:t>5,24</w:t>
            </w:r>
          </w:p>
        </w:tc>
      </w:tr>
      <w:tr w:rsidR="004C19ED" w:rsidRPr="00B5064F" w14:paraId="6F7C6AEB" w14:textId="77777777" w:rsidTr="003E2CCD">
        <w:trPr>
          <w:trHeight w:val="255"/>
        </w:trPr>
        <w:tc>
          <w:tcPr>
            <w:tcW w:w="2302" w:type="dxa"/>
            <w:tcBorders>
              <w:top w:val="nil"/>
              <w:left w:val="nil"/>
              <w:bottom w:val="nil"/>
              <w:right w:val="nil"/>
            </w:tcBorders>
            <w:shd w:val="clear" w:color="auto" w:fill="auto"/>
            <w:noWrap/>
            <w:vAlign w:val="center"/>
            <w:hideMark/>
          </w:tcPr>
          <w:p w14:paraId="02D5C04D" w14:textId="77777777" w:rsidR="004C19ED" w:rsidRPr="00B5064F" w:rsidRDefault="004C19ED" w:rsidP="003E2CCD">
            <w:pPr>
              <w:jc w:val="left"/>
              <w:rPr>
                <w:rFonts w:eastAsia="Times New Roman" w:cs="Arial"/>
                <w:color w:val="000000"/>
                <w:szCs w:val="20"/>
                <w:lang w:eastAsia="pt-BR"/>
              </w:rPr>
            </w:pPr>
            <w:r w:rsidRPr="00B5064F">
              <w:rPr>
                <w:rFonts w:eastAsia="Times New Roman" w:cs="Arial"/>
                <w:color w:val="000000"/>
                <w:szCs w:val="20"/>
                <w:lang w:eastAsia="pt-BR"/>
              </w:rPr>
              <w:t>Móveis e Utensílios</w:t>
            </w:r>
            <w:r>
              <w:rPr>
                <w:rFonts w:eastAsia="Times New Roman" w:cs="Arial"/>
                <w:color w:val="000000"/>
                <w:szCs w:val="20"/>
                <w:lang w:eastAsia="pt-BR"/>
              </w:rPr>
              <w:t xml:space="preserve"> </w:t>
            </w:r>
          </w:p>
        </w:tc>
        <w:tc>
          <w:tcPr>
            <w:tcW w:w="2302" w:type="dxa"/>
            <w:tcBorders>
              <w:top w:val="nil"/>
              <w:left w:val="nil"/>
              <w:bottom w:val="nil"/>
              <w:right w:val="nil"/>
            </w:tcBorders>
            <w:shd w:val="clear" w:color="auto" w:fill="auto"/>
            <w:noWrap/>
            <w:vAlign w:val="bottom"/>
          </w:tcPr>
          <w:p w14:paraId="5D3F07B6" w14:textId="77777777" w:rsidR="004C19ED" w:rsidRPr="00B5064F" w:rsidRDefault="004C19ED" w:rsidP="003E2CCD">
            <w:pPr>
              <w:jc w:val="right"/>
              <w:rPr>
                <w:rFonts w:eastAsia="Times New Roman" w:cs="Arial"/>
                <w:color w:val="000000"/>
                <w:szCs w:val="20"/>
                <w:lang w:eastAsia="pt-BR"/>
              </w:rPr>
            </w:pPr>
            <w:r w:rsidRPr="00C01422">
              <w:rPr>
                <w:rFonts w:eastAsia="Times New Roman" w:cs="Arial"/>
                <w:color w:val="000000"/>
                <w:szCs w:val="20"/>
                <w:lang w:eastAsia="pt-BR"/>
              </w:rPr>
              <w:t>17</w:t>
            </w:r>
            <w:r>
              <w:rPr>
                <w:rFonts w:eastAsia="Times New Roman" w:cs="Arial"/>
                <w:color w:val="000000"/>
                <w:szCs w:val="20"/>
                <w:lang w:eastAsia="pt-BR"/>
              </w:rPr>
              <w:t>.</w:t>
            </w:r>
            <w:r w:rsidRPr="00C01422">
              <w:rPr>
                <w:rFonts w:eastAsia="Times New Roman" w:cs="Arial"/>
                <w:color w:val="000000"/>
                <w:szCs w:val="20"/>
                <w:lang w:eastAsia="pt-BR"/>
              </w:rPr>
              <w:t>144</w:t>
            </w:r>
            <w:r>
              <w:rPr>
                <w:rFonts w:eastAsia="Times New Roman" w:cs="Arial"/>
                <w:color w:val="000000"/>
                <w:szCs w:val="20"/>
                <w:lang w:eastAsia="pt-BR"/>
              </w:rPr>
              <w:t>.</w:t>
            </w:r>
            <w:r w:rsidRPr="00C01422">
              <w:rPr>
                <w:rFonts w:eastAsia="Times New Roman" w:cs="Arial"/>
                <w:color w:val="000000"/>
                <w:szCs w:val="20"/>
                <w:lang w:eastAsia="pt-BR"/>
              </w:rPr>
              <w:t>724,52</w:t>
            </w:r>
          </w:p>
        </w:tc>
        <w:tc>
          <w:tcPr>
            <w:tcW w:w="2303" w:type="dxa"/>
            <w:tcBorders>
              <w:top w:val="nil"/>
              <w:left w:val="nil"/>
              <w:bottom w:val="nil"/>
              <w:right w:val="nil"/>
            </w:tcBorders>
            <w:shd w:val="clear" w:color="auto" w:fill="auto"/>
            <w:noWrap/>
            <w:vAlign w:val="bottom"/>
          </w:tcPr>
          <w:p w14:paraId="5617C4BC" w14:textId="77777777" w:rsidR="004C19ED" w:rsidRPr="00B5064F" w:rsidRDefault="004C19ED" w:rsidP="003E2CCD">
            <w:pPr>
              <w:jc w:val="right"/>
              <w:rPr>
                <w:rFonts w:eastAsia="Times New Roman" w:cs="Arial"/>
                <w:color w:val="000000"/>
                <w:szCs w:val="20"/>
                <w:lang w:eastAsia="pt-BR"/>
              </w:rPr>
            </w:pPr>
            <w:r w:rsidRPr="00B30256">
              <w:rPr>
                <w:rFonts w:eastAsia="Times New Roman" w:cs="Arial"/>
                <w:color w:val="000000"/>
                <w:szCs w:val="20"/>
                <w:lang w:eastAsia="pt-BR"/>
              </w:rPr>
              <w:t>17</w:t>
            </w:r>
            <w:r>
              <w:rPr>
                <w:rFonts w:eastAsia="Times New Roman" w:cs="Arial"/>
                <w:color w:val="000000"/>
                <w:szCs w:val="20"/>
                <w:lang w:eastAsia="pt-BR"/>
              </w:rPr>
              <w:t>.</w:t>
            </w:r>
            <w:r w:rsidRPr="00B30256">
              <w:rPr>
                <w:rFonts w:eastAsia="Times New Roman" w:cs="Arial"/>
                <w:color w:val="000000"/>
                <w:szCs w:val="20"/>
                <w:lang w:eastAsia="pt-BR"/>
              </w:rPr>
              <w:t>12</w:t>
            </w:r>
            <w:r>
              <w:rPr>
                <w:rFonts w:eastAsia="Times New Roman" w:cs="Arial"/>
                <w:color w:val="000000"/>
                <w:szCs w:val="20"/>
                <w:lang w:eastAsia="pt-BR"/>
              </w:rPr>
              <w:t>4.</w:t>
            </w:r>
            <w:r w:rsidRPr="00B30256">
              <w:rPr>
                <w:rFonts w:eastAsia="Times New Roman" w:cs="Arial"/>
                <w:color w:val="000000"/>
                <w:szCs w:val="20"/>
                <w:lang w:eastAsia="pt-BR"/>
              </w:rPr>
              <w:t>2</w:t>
            </w:r>
            <w:r>
              <w:rPr>
                <w:rFonts w:eastAsia="Times New Roman" w:cs="Arial"/>
                <w:color w:val="000000"/>
                <w:szCs w:val="20"/>
                <w:lang w:eastAsia="pt-BR"/>
              </w:rPr>
              <w:t>68</w:t>
            </w:r>
            <w:r w:rsidRPr="00B30256">
              <w:rPr>
                <w:rFonts w:eastAsia="Times New Roman" w:cs="Arial"/>
                <w:color w:val="000000"/>
                <w:szCs w:val="20"/>
                <w:lang w:eastAsia="pt-BR"/>
              </w:rPr>
              <w:t>,</w:t>
            </w:r>
            <w:r>
              <w:rPr>
                <w:rFonts w:eastAsia="Times New Roman" w:cs="Arial"/>
                <w:color w:val="000000"/>
                <w:szCs w:val="20"/>
                <w:lang w:eastAsia="pt-BR"/>
              </w:rPr>
              <w:t>19</w:t>
            </w:r>
          </w:p>
        </w:tc>
        <w:tc>
          <w:tcPr>
            <w:tcW w:w="2303" w:type="dxa"/>
            <w:tcBorders>
              <w:top w:val="nil"/>
              <w:left w:val="nil"/>
              <w:bottom w:val="nil"/>
              <w:right w:val="nil"/>
            </w:tcBorders>
            <w:shd w:val="clear" w:color="auto" w:fill="auto"/>
            <w:noWrap/>
            <w:vAlign w:val="bottom"/>
            <w:hideMark/>
          </w:tcPr>
          <w:p w14:paraId="68E33530" w14:textId="77777777" w:rsidR="004C19ED" w:rsidRPr="00B5064F" w:rsidRDefault="004C19ED" w:rsidP="003E2CCD">
            <w:pPr>
              <w:jc w:val="right"/>
              <w:rPr>
                <w:rFonts w:eastAsia="Times New Roman" w:cs="Arial"/>
                <w:color w:val="000000"/>
                <w:szCs w:val="20"/>
                <w:lang w:eastAsia="pt-BR"/>
              </w:rPr>
            </w:pPr>
            <w:r>
              <w:rPr>
                <w:rFonts w:eastAsia="Times New Roman" w:cs="Arial"/>
                <w:color w:val="000000"/>
                <w:szCs w:val="20"/>
                <w:lang w:eastAsia="pt-BR"/>
              </w:rPr>
              <w:t>0,12</w:t>
            </w:r>
          </w:p>
        </w:tc>
      </w:tr>
      <w:tr w:rsidR="004C19ED" w:rsidRPr="00B5064F" w14:paraId="6961EBAC" w14:textId="77777777" w:rsidTr="003E2CCD">
        <w:trPr>
          <w:trHeight w:val="255"/>
        </w:trPr>
        <w:tc>
          <w:tcPr>
            <w:tcW w:w="2302" w:type="dxa"/>
            <w:tcBorders>
              <w:top w:val="nil"/>
              <w:left w:val="nil"/>
              <w:bottom w:val="nil"/>
              <w:right w:val="nil"/>
            </w:tcBorders>
            <w:shd w:val="clear" w:color="auto" w:fill="D9D9D9" w:themeFill="background1" w:themeFillShade="D9"/>
            <w:noWrap/>
            <w:vAlign w:val="center"/>
            <w:hideMark/>
          </w:tcPr>
          <w:p w14:paraId="131EBC93" w14:textId="77777777" w:rsidR="004C19ED" w:rsidRPr="00B5064F" w:rsidRDefault="004C19ED" w:rsidP="003E2CCD">
            <w:pPr>
              <w:jc w:val="left"/>
              <w:rPr>
                <w:rFonts w:eastAsia="Times New Roman" w:cs="Arial"/>
                <w:color w:val="000000"/>
                <w:szCs w:val="20"/>
                <w:lang w:eastAsia="pt-BR"/>
              </w:rPr>
            </w:pPr>
            <w:r w:rsidRPr="00B5064F">
              <w:rPr>
                <w:rFonts w:eastAsia="Times New Roman" w:cs="Arial"/>
                <w:color w:val="000000"/>
                <w:szCs w:val="20"/>
                <w:lang w:eastAsia="pt-BR"/>
              </w:rPr>
              <w:t>Material Cultural, Educacional e de Comunicação</w:t>
            </w:r>
          </w:p>
        </w:tc>
        <w:tc>
          <w:tcPr>
            <w:tcW w:w="2302" w:type="dxa"/>
            <w:tcBorders>
              <w:top w:val="nil"/>
              <w:left w:val="nil"/>
              <w:bottom w:val="nil"/>
              <w:right w:val="nil"/>
            </w:tcBorders>
            <w:shd w:val="clear" w:color="auto" w:fill="D9D9D9" w:themeFill="background1" w:themeFillShade="D9"/>
            <w:noWrap/>
            <w:vAlign w:val="bottom"/>
          </w:tcPr>
          <w:p w14:paraId="1D3508FB" w14:textId="77777777" w:rsidR="004C19ED" w:rsidRPr="00B5064F" w:rsidRDefault="004C19ED" w:rsidP="003E2CCD">
            <w:pPr>
              <w:jc w:val="right"/>
              <w:rPr>
                <w:rFonts w:eastAsia="Times New Roman" w:cs="Arial"/>
                <w:color w:val="000000"/>
                <w:szCs w:val="20"/>
                <w:lang w:eastAsia="pt-BR"/>
              </w:rPr>
            </w:pPr>
            <w:r w:rsidRPr="00C01422">
              <w:rPr>
                <w:rFonts w:eastAsia="Times New Roman" w:cs="Arial"/>
                <w:color w:val="000000"/>
                <w:szCs w:val="20"/>
                <w:lang w:eastAsia="pt-BR"/>
              </w:rPr>
              <w:t>4</w:t>
            </w:r>
            <w:r>
              <w:rPr>
                <w:rFonts w:eastAsia="Times New Roman" w:cs="Arial"/>
                <w:color w:val="000000"/>
                <w:szCs w:val="20"/>
                <w:lang w:eastAsia="pt-BR"/>
              </w:rPr>
              <w:t>.</w:t>
            </w:r>
            <w:r w:rsidRPr="00C01422">
              <w:rPr>
                <w:rFonts w:eastAsia="Times New Roman" w:cs="Arial"/>
                <w:color w:val="000000"/>
                <w:szCs w:val="20"/>
                <w:lang w:eastAsia="pt-BR"/>
              </w:rPr>
              <w:t>143</w:t>
            </w:r>
            <w:r>
              <w:rPr>
                <w:rFonts w:eastAsia="Times New Roman" w:cs="Arial"/>
                <w:color w:val="000000"/>
                <w:szCs w:val="20"/>
                <w:lang w:eastAsia="pt-BR"/>
              </w:rPr>
              <w:t>.</w:t>
            </w:r>
            <w:r w:rsidRPr="00C01422">
              <w:rPr>
                <w:rFonts w:eastAsia="Times New Roman" w:cs="Arial"/>
                <w:color w:val="000000"/>
                <w:szCs w:val="20"/>
                <w:lang w:eastAsia="pt-BR"/>
              </w:rPr>
              <w:t>196,38</w:t>
            </w:r>
          </w:p>
        </w:tc>
        <w:tc>
          <w:tcPr>
            <w:tcW w:w="2303" w:type="dxa"/>
            <w:tcBorders>
              <w:top w:val="nil"/>
              <w:left w:val="nil"/>
              <w:bottom w:val="nil"/>
              <w:right w:val="nil"/>
            </w:tcBorders>
            <w:shd w:val="clear" w:color="auto" w:fill="D9D9D9" w:themeFill="background1" w:themeFillShade="D9"/>
            <w:noWrap/>
            <w:vAlign w:val="bottom"/>
          </w:tcPr>
          <w:p w14:paraId="16A633CB" w14:textId="77777777" w:rsidR="004C19ED" w:rsidRPr="00B5064F" w:rsidRDefault="004C19ED" w:rsidP="003E2CCD">
            <w:pPr>
              <w:jc w:val="right"/>
              <w:rPr>
                <w:rFonts w:eastAsia="Times New Roman" w:cs="Arial"/>
                <w:color w:val="000000"/>
                <w:szCs w:val="20"/>
                <w:lang w:eastAsia="pt-BR"/>
              </w:rPr>
            </w:pPr>
            <w:r w:rsidRPr="00714D74">
              <w:rPr>
                <w:rFonts w:eastAsia="Times New Roman" w:cs="Arial"/>
                <w:color w:val="000000"/>
                <w:szCs w:val="20"/>
                <w:lang w:eastAsia="pt-BR"/>
              </w:rPr>
              <w:t>4</w:t>
            </w:r>
            <w:r>
              <w:rPr>
                <w:rFonts w:eastAsia="Times New Roman" w:cs="Arial"/>
                <w:color w:val="000000"/>
                <w:szCs w:val="20"/>
                <w:lang w:eastAsia="pt-BR"/>
              </w:rPr>
              <w:t>.</w:t>
            </w:r>
            <w:r w:rsidRPr="00714D74">
              <w:rPr>
                <w:rFonts w:eastAsia="Times New Roman" w:cs="Arial"/>
                <w:color w:val="000000"/>
                <w:szCs w:val="20"/>
                <w:lang w:eastAsia="pt-BR"/>
              </w:rPr>
              <w:t>027</w:t>
            </w:r>
            <w:r>
              <w:rPr>
                <w:rFonts w:eastAsia="Times New Roman" w:cs="Arial"/>
                <w:color w:val="000000"/>
                <w:szCs w:val="20"/>
                <w:lang w:eastAsia="pt-BR"/>
              </w:rPr>
              <w:t>.</w:t>
            </w:r>
            <w:r w:rsidRPr="00714D74">
              <w:rPr>
                <w:rFonts w:eastAsia="Times New Roman" w:cs="Arial"/>
                <w:color w:val="000000"/>
                <w:szCs w:val="20"/>
                <w:lang w:eastAsia="pt-BR"/>
              </w:rPr>
              <w:t>211,11</w:t>
            </w:r>
          </w:p>
        </w:tc>
        <w:tc>
          <w:tcPr>
            <w:tcW w:w="2303" w:type="dxa"/>
            <w:tcBorders>
              <w:top w:val="nil"/>
              <w:left w:val="nil"/>
              <w:bottom w:val="nil"/>
              <w:right w:val="nil"/>
            </w:tcBorders>
            <w:shd w:val="clear" w:color="auto" w:fill="D9D9D9" w:themeFill="background1" w:themeFillShade="D9"/>
            <w:noWrap/>
            <w:vAlign w:val="bottom"/>
            <w:hideMark/>
          </w:tcPr>
          <w:p w14:paraId="011DA57A" w14:textId="77777777" w:rsidR="004C19ED" w:rsidRPr="00B5064F" w:rsidRDefault="004C19ED" w:rsidP="003E2CCD">
            <w:pPr>
              <w:jc w:val="right"/>
              <w:rPr>
                <w:rFonts w:eastAsia="Times New Roman" w:cs="Arial"/>
                <w:color w:val="000000"/>
                <w:szCs w:val="20"/>
                <w:lang w:eastAsia="pt-BR"/>
              </w:rPr>
            </w:pPr>
            <w:r>
              <w:rPr>
                <w:rFonts w:eastAsia="Times New Roman" w:cs="Arial"/>
                <w:color w:val="000000"/>
                <w:szCs w:val="20"/>
                <w:lang w:eastAsia="pt-BR"/>
              </w:rPr>
              <w:t>2,80</w:t>
            </w:r>
          </w:p>
        </w:tc>
      </w:tr>
      <w:tr w:rsidR="004C19ED" w:rsidRPr="00B5064F" w14:paraId="3E766B55" w14:textId="77777777" w:rsidTr="003E2CCD">
        <w:trPr>
          <w:trHeight w:val="255"/>
        </w:trPr>
        <w:tc>
          <w:tcPr>
            <w:tcW w:w="2302" w:type="dxa"/>
            <w:tcBorders>
              <w:top w:val="nil"/>
              <w:left w:val="nil"/>
              <w:bottom w:val="nil"/>
              <w:right w:val="nil"/>
            </w:tcBorders>
            <w:shd w:val="clear" w:color="auto" w:fill="auto"/>
            <w:noWrap/>
            <w:vAlign w:val="center"/>
            <w:hideMark/>
          </w:tcPr>
          <w:p w14:paraId="6C9B01B8" w14:textId="77777777" w:rsidR="004C19ED" w:rsidRPr="00B5064F" w:rsidRDefault="004C19ED" w:rsidP="003E2CCD">
            <w:pPr>
              <w:jc w:val="left"/>
              <w:rPr>
                <w:rFonts w:eastAsia="Times New Roman" w:cs="Arial"/>
                <w:color w:val="000000"/>
                <w:szCs w:val="20"/>
                <w:lang w:eastAsia="pt-BR"/>
              </w:rPr>
            </w:pPr>
            <w:r w:rsidRPr="00B5064F">
              <w:rPr>
                <w:rFonts w:eastAsia="Times New Roman" w:cs="Arial"/>
                <w:color w:val="000000"/>
                <w:szCs w:val="20"/>
                <w:lang w:eastAsia="pt-BR"/>
              </w:rPr>
              <w:t>Veículos</w:t>
            </w:r>
            <w:r>
              <w:rPr>
                <w:rFonts w:eastAsia="Times New Roman" w:cs="Arial"/>
                <w:color w:val="000000"/>
                <w:szCs w:val="20"/>
                <w:lang w:eastAsia="pt-BR"/>
              </w:rPr>
              <w:t xml:space="preserve"> </w:t>
            </w:r>
          </w:p>
        </w:tc>
        <w:tc>
          <w:tcPr>
            <w:tcW w:w="2302" w:type="dxa"/>
            <w:tcBorders>
              <w:top w:val="nil"/>
              <w:left w:val="nil"/>
              <w:bottom w:val="nil"/>
              <w:right w:val="nil"/>
            </w:tcBorders>
            <w:shd w:val="clear" w:color="auto" w:fill="auto"/>
            <w:noWrap/>
            <w:vAlign w:val="bottom"/>
          </w:tcPr>
          <w:p w14:paraId="119DEC27" w14:textId="77777777" w:rsidR="004C19ED" w:rsidRPr="00B5064F" w:rsidRDefault="004C19ED" w:rsidP="003E2CCD">
            <w:pPr>
              <w:jc w:val="right"/>
              <w:rPr>
                <w:rFonts w:eastAsia="Times New Roman" w:cs="Arial"/>
                <w:color w:val="000000"/>
                <w:szCs w:val="20"/>
                <w:lang w:eastAsia="pt-BR"/>
              </w:rPr>
            </w:pPr>
            <w:r w:rsidRPr="00D91263">
              <w:rPr>
                <w:rFonts w:eastAsia="Times New Roman" w:cs="Arial"/>
                <w:color w:val="000000"/>
                <w:szCs w:val="20"/>
                <w:lang w:eastAsia="pt-BR"/>
              </w:rPr>
              <w:t>39</w:t>
            </w:r>
            <w:r>
              <w:rPr>
                <w:rFonts w:eastAsia="Times New Roman" w:cs="Arial"/>
                <w:color w:val="000000"/>
                <w:szCs w:val="20"/>
                <w:lang w:eastAsia="pt-BR"/>
              </w:rPr>
              <w:t>.</w:t>
            </w:r>
            <w:r w:rsidRPr="00D91263">
              <w:rPr>
                <w:rFonts w:eastAsia="Times New Roman" w:cs="Arial"/>
                <w:color w:val="000000"/>
                <w:szCs w:val="20"/>
                <w:lang w:eastAsia="pt-BR"/>
              </w:rPr>
              <w:t>873,97</w:t>
            </w:r>
          </w:p>
        </w:tc>
        <w:tc>
          <w:tcPr>
            <w:tcW w:w="2303" w:type="dxa"/>
            <w:tcBorders>
              <w:top w:val="nil"/>
              <w:left w:val="nil"/>
              <w:bottom w:val="nil"/>
              <w:right w:val="nil"/>
            </w:tcBorders>
            <w:shd w:val="clear" w:color="auto" w:fill="auto"/>
            <w:noWrap/>
            <w:vAlign w:val="bottom"/>
          </w:tcPr>
          <w:p w14:paraId="727954D4" w14:textId="77777777" w:rsidR="004C19ED" w:rsidRPr="00B5064F" w:rsidRDefault="004C19ED" w:rsidP="003E2CCD">
            <w:pPr>
              <w:jc w:val="right"/>
              <w:rPr>
                <w:rFonts w:eastAsia="Times New Roman" w:cs="Arial"/>
                <w:color w:val="000000"/>
                <w:szCs w:val="20"/>
                <w:lang w:eastAsia="pt-BR"/>
              </w:rPr>
            </w:pPr>
            <w:r w:rsidRPr="00D91263">
              <w:rPr>
                <w:rFonts w:eastAsia="Times New Roman" w:cs="Arial"/>
                <w:color w:val="000000"/>
                <w:szCs w:val="20"/>
                <w:lang w:eastAsia="pt-BR"/>
              </w:rPr>
              <w:t>39</w:t>
            </w:r>
            <w:r>
              <w:rPr>
                <w:rFonts w:eastAsia="Times New Roman" w:cs="Arial"/>
                <w:color w:val="000000"/>
                <w:szCs w:val="20"/>
                <w:lang w:eastAsia="pt-BR"/>
              </w:rPr>
              <w:t>.</w:t>
            </w:r>
            <w:r w:rsidRPr="00D91263">
              <w:rPr>
                <w:rFonts w:eastAsia="Times New Roman" w:cs="Arial"/>
                <w:color w:val="000000"/>
                <w:szCs w:val="20"/>
                <w:lang w:eastAsia="pt-BR"/>
              </w:rPr>
              <w:t>873,97</w:t>
            </w:r>
          </w:p>
        </w:tc>
        <w:tc>
          <w:tcPr>
            <w:tcW w:w="2303" w:type="dxa"/>
            <w:tcBorders>
              <w:top w:val="nil"/>
              <w:left w:val="nil"/>
              <w:bottom w:val="nil"/>
              <w:right w:val="nil"/>
            </w:tcBorders>
            <w:shd w:val="clear" w:color="auto" w:fill="auto"/>
            <w:noWrap/>
            <w:vAlign w:val="bottom"/>
            <w:hideMark/>
          </w:tcPr>
          <w:p w14:paraId="33B83FDA" w14:textId="77777777" w:rsidR="004C19ED" w:rsidRPr="00B5064F"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r>
      <w:tr w:rsidR="004C19ED" w:rsidRPr="00B5064F" w14:paraId="16126139" w14:textId="77777777" w:rsidTr="003E2CCD">
        <w:trPr>
          <w:trHeight w:val="255"/>
        </w:trPr>
        <w:tc>
          <w:tcPr>
            <w:tcW w:w="2302" w:type="dxa"/>
            <w:tcBorders>
              <w:top w:val="nil"/>
              <w:left w:val="nil"/>
              <w:bottom w:val="nil"/>
              <w:right w:val="nil"/>
            </w:tcBorders>
            <w:shd w:val="clear" w:color="auto" w:fill="D9D9D9" w:themeFill="background1" w:themeFillShade="D9"/>
            <w:noWrap/>
            <w:vAlign w:val="center"/>
            <w:hideMark/>
          </w:tcPr>
          <w:p w14:paraId="60006D40" w14:textId="008719E7" w:rsidR="004C19ED" w:rsidRPr="00B5064F" w:rsidRDefault="004C19ED" w:rsidP="003E2CCD">
            <w:pPr>
              <w:jc w:val="left"/>
              <w:rPr>
                <w:rFonts w:eastAsia="Times New Roman" w:cs="Arial"/>
                <w:color w:val="000000"/>
                <w:szCs w:val="20"/>
                <w:lang w:eastAsia="pt-BR"/>
              </w:rPr>
            </w:pPr>
            <w:r w:rsidRPr="00B5064F">
              <w:rPr>
                <w:rFonts w:eastAsia="Times New Roman" w:cs="Arial"/>
                <w:color w:val="000000"/>
                <w:szCs w:val="20"/>
                <w:lang w:eastAsia="pt-BR"/>
              </w:rPr>
              <w:t>Demais Bens Móveis</w:t>
            </w:r>
            <w:r w:rsidR="00E27EB1">
              <w:rPr>
                <w:rFonts w:eastAsia="Times New Roman" w:cs="Arial"/>
                <w:color w:val="000000"/>
                <w:szCs w:val="20"/>
                <w:lang w:eastAsia="pt-BR"/>
              </w:rPr>
              <w:t>*</w:t>
            </w:r>
          </w:p>
        </w:tc>
        <w:tc>
          <w:tcPr>
            <w:tcW w:w="2302" w:type="dxa"/>
            <w:tcBorders>
              <w:top w:val="nil"/>
              <w:left w:val="nil"/>
              <w:bottom w:val="nil"/>
              <w:right w:val="nil"/>
            </w:tcBorders>
            <w:shd w:val="clear" w:color="auto" w:fill="D9D9D9" w:themeFill="background1" w:themeFillShade="D9"/>
            <w:noWrap/>
            <w:vAlign w:val="bottom"/>
          </w:tcPr>
          <w:p w14:paraId="0B6C1422" w14:textId="77777777" w:rsidR="004C19ED" w:rsidRPr="00C01422" w:rsidRDefault="004C19ED" w:rsidP="003E2CCD">
            <w:pPr>
              <w:jc w:val="right"/>
              <w:rPr>
                <w:rFonts w:cs="Arial"/>
                <w:szCs w:val="20"/>
              </w:rPr>
            </w:pPr>
            <w:r>
              <w:rPr>
                <w:rFonts w:cs="Arial"/>
                <w:szCs w:val="20"/>
              </w:rPr>
              <w:t>10.269.890,31</w:t>
            </w:r>
          </w:p>
        </w:tc>
        <w:tc>
          <w:tcPr>
            <w:tcW w:w="2303" w:type="dxa"/>
            <w:tcBorders>
              <w:top w:val="nil"/>
              <w:left w:val="nil"/>
              <w:bottom w:val="nil"/>
              <w:right w:val="nil"/>
            </w:tcBorders>
            <w:shd w:val="clear" w:color="auto" w:fill="D9D9D9" w:themeFill="background1" w:themeFillShade="D9"/>
            <w:noWrap/>
            <w:vAlign w:val="bottom"/>
          </w:tcPr>
          <w:p w14:paraId="4C4D14B2" w14:textId="77777777" w:rsidR="004C19ED" w:rsidRPr="00B5064F" w:rsidRDefault="004C19ED" w:rsidP="003E2CCD">
            <w:pPr>
              <w:jc w:val="right"/>
              <w:rPr>
                <w:rFonts w:eastAsia="Times New Roman" w:cs="Arial"/>
                <w:color w:val="000000"/>
                <w:szCs w:val="20"/>
                <w:lang w:eastAsia="pt-BR"/>
              </w:rPr>
            </w:pPr>
            <w:r w:rsidRPr="00714D74">
              <w:rPr>
                <w:rFonts w:eastAsia="Times New Roman" w:cs="Arial"/>
                <w:color w:val="000000"/>
                <w:szCs w:val="20"/>
                <w:lang w:eastAsia="pt-BR"/>
              </w:rPr>
              <w:t>10</w:t>
            </w:r>
            <w:r>
              <w:rPr>
                <w:rFonts w:eastAsia="Times New Roman" w:cs="Arial"/>
                <w:color w:val="000000"/>
                <w:szCs w:val="20"/>
                <w:lang w:eastAsia="pt-BR"/>
              </w:rPr>
              <w:t>.</w:t>
            </w:r>
            <w:r w:rsidRPr="00714D74">
              <w:rPr>
                <w:rFonts w:eastAsia="Times New Roman" w:cs="Arial"/>
                <w:color w:val="000000"/>
                <w:szCs w:val="20"/>
                <w:lang w:eastAsia="pt-BR"/>
              </w:rPr>
              <w:t>871</w:t>
            </w:r>
            <w:r>
              <w:rPr>
                <w:rFonts w:eastAsia="Times New Roman" w:cs="Arial"/>
                <w:color w:val="000000"/>
                <w:szCs w:val="20"/>
                <w:lang w:eastAsia="pt-BR"/>
              </w:rPr>
              <w:t>.</w:t>
            </w:r>
            <w:r w:rsidRPr="00714D74">
              <w:rPr>
                <w:rFonts w:eastAsia="Times New Roman" w:cs="Arial"/>
                <w:color w:val="000000"/>
                <w:szCs w:val="20"/>
                <w:lang w:eastAsia="pt-BR"/>
              </w:rPr>
              <w:t>715,65</w:t>
            </w:r>
          </w:p>
        </w:tc>
        <w:tc>
          <w:tcPr>
            <w:tcW w:w="2303" w:type="dxa"/>
            <w:tcBorders>
              <w:top w:val="nil"/>
              <w:left w:val="nil"/>
              <w:bottom w:val="nil"/>
              <w:right w:val="nil"/>
            </w:tcBorders>
            <w:shd w:val="clear" w:color="auto" w:fill="D9D9D9" w:themeFill="background1" w:themeFillShade="D9"/>
            <w:noWrap/>
            <w:vAlign w:val="bottom"/>
            <w:hideMark/>
          </w:tcPr>
          <w:p w14:paraId="441FE148" w14:textId="77777777" w:rsidR="004C19ED" w:rsidRPr="00B5064F" w:rsidRDefault="004C19ED" w:rsidP="003E2CCD">
            <w:pPr>
              <w:jc w:val="right"/>
              <w:rPr>
                <w:rFonts w:eastAsia="Times New Roman" w:cs="Arial"/>
                <w:color w:val="000000"/>
                <w:szCs w:val="20"/>
                <w:lang w:eastAsia="pt-BR"/>
              </w:rPr>
            </w:pPr>
            <w:r>
              <w:rPr>
                <w:rFonts w:eastAsia="Times New Roman" w:cs="Arial"/>
                <w:color w:val="000000"/>
                <w:szCs w:val="20"/>
                <w:lang w:eastAsia="pt-BR"/>
              </w:rPr>
              <w:t>-5,86</w:t>
            </w:r>
          </w:p>
        </w:tc>
      </w:tr>
      <w:tr w:rsidR="004C19ED" w:rsidRPr="00B5064F" w14:paraId="511FCDCC" w14:textId="77777777" w:rsidTr="003E2CCD">
        <w:trPr>
          <w:trHeight w:val="255"/>
        </w:trPr>
        <w:tc>
          <w:tcPr>
            <w:tcW w:w="2302" w:type="dxa"/>
            <w:tcBorders>
              <w:top w:val="nil"/>
              <w:left w:val="nil"/>
              <w:bottom w:val="nil"/>
              <w:right w:val="nil"/>
            </w:tcBorders>
            <w:shd w:val="clear" w:color="auto" w:fill="auto"/>
            <w:noWrap/>
            <w:vAlign w:val="center"/>
            <w:hideMark/>
          </w:tcPr>
          <w:p w14:paraId="5A2887EB" w14:textId="77777777" w:rsidR="004C19ED" w:rsidRPr="00B5064F" w:rsidRDefault="004C19ED" w:rsidP="003E2CCD">
            <w:pPr>
              <w:jc w:val="left"/>
              <w:rPr>
                <w:rFonts w:eastAsia="Times New Roman" w:cs="Arial"/>
                <w:color w:val="000000"/>
                <w:szCs w:val="20"/>
                <w:lang w:eastAsia="pt-BR"/>
              </w:rPr>
            </w:pPr>
            <w:r w:rsidRPr="00B5064F">
              <w:rPr>
                <w:rFonts w:eastAsia="Times New Roman" w:cs="Arial"/>
                <w:color w:val="000000"/>
                <w:szCs w:val="20"/>
                <w:lang w:eastAsia="pt-BR"/>
              </w:rPr>
              <w:t>Depreciação Acumulada - Bens Móveis</w:t>
            </w:r>
          </w:p>
        </w:tc>
        <w:tc>
          <w:tcPr>
            <w:tcW w:w="2302" w:type="dxa"/>
            <w:tcBorders>
              <w:top w:val="nil"/>
              <w:left w:val="nil"/>
              <w:bottom w:val="nil"/>
              <w:right w:val="nil"/>
            </w:tcBorders>
            <w:shd w:val="clear" w:color="auto" w:fill="auto"/>
            <w:noWrap/>
            <w:vAlign w:val="bottom"/>
          </w:tcPr>
          <w:p w14:paraId="5FF335C2" w14:textId="77777777" w:rsidR="004C19ED" w:rsidRPr="00B30256" w:rsidRDefault="004C19ED" w:rsidP="003E2CCD">
            <w:pPr>
              <w:jc w:val="right"/>
              <w:rPr>
                <w:rFonts w:cs="Arial"/>
                <w:color w:val="000000"/>
                <w:szCs w:val="20"/>
              </w:rPr>
            </w:pPr>
            <w:r w:rsidRPr="00387A5D">
              <w:rPr>
                <w:rFonts w:eastAsia="Times New Roman" w:cs="Arial"/>
                <w:color w:val="FF0000"/>
                <w:szCs w:val="20"/>
                <w:lang w:eastAsia="pt-BR"/>
              </w:rPr>
              <w:t>-41.008.346,24</w:t>
            </w:r>
          </w:p>
        </w:tc>
        <w:tc>
          <w:tcPr>
            <w:tcW w:w="2303" w:type="dxa"/>
            <w:tcBorders>
              <w:top w:val="nil"/>
              <w:left w:val="nil"/>
              <w:bottom w:val="nil"/>
              <w:right w:val="nil"/>
            </w:tcBorders>
            <w:shd w:val="clear" w:color="auto" w:fill="auto"/>
            <w:noWrap/>
            <w:vAlign w:val="bottom"/>
            <w:hideMark/>
          </w:tcPr>
          <w:p w14:paraId="10624931" w14:textId="77777777" w:rsidR="004C19ED" w:rsidRPr="00B5064F" w:rsidRDefault="004C19ED" w:rsidP="003E2CCD">
            <w:pPr>
              <w:jc w:val="right"/>
              <w:rPr>
                <w:rFonts w:eastAsia="Times New Roman" w:cs="Arial"/>
                <w:color w:val="000000"/>
                <w:szCs w:val="20"/>
                <w:lang w:eastAsia="pt-BR"/>
              </w:rPr>
            </w:pPr>
            <w:r w:rsidRPr="00C01422">
              <w:rPr>
                <w:rFonts w:cs="Arial"/>
                <w:color w:val="FF0000"/>
                <w:szCs w:val="20"/>
              </w:rPr>
              <w:t>-33.881.222,79</w:t>
            </w:r>
          </w:p>
        </w:tc>
        <w:tc>
          <w:tcPr>
            <w:tcW w:w="2303" w:type="dxa"/>
            <w:tcBorders>
              <w:top w:val="nil"/>
              <w:left w:val="nil"/>
              <w:bottom w:val="nil"/>
              <w:right w:val="nil"/>
            </w:tcBorders>
            <w:shd w:val="clear" w:color="auto" w:fill="auto"/>
            <w:noWrap/>
            <w:vAlign w:val="bottom"/>
            <w:hideMark/>
          </w:tcPr>
          <w:p w14:paraId="259E9DFE" w14:textId="77777777" w:rsidR="004C19ED" w:rsidRPr="00B5064F" w:rsidRDefault="004C19ED" w:rsidP="003E2CCD">
            <w:pPr>
              <w:jc w:val="right"/>
              <w:rPr>
                <w:rFonts w:eastAsia="Times New Roman" w:cs="Arial"/>
                <w:color w:val="000000"/>
                <w:szCs w:val="20"/>
                <w:lang w:eastAsia="pt-BR"/>
              </w:rPr>
            </w:pPr>
            <w:r>
              <w:rPr>
                <w:rFonts w:eastAsia="Times New Roman" w:cs="Arial"/>
                <w:color w:val="000000"/>
                <w:szCs w:val="20"/>
                <w:lang w:eastAsia="pt-BR"/>
              </w:rPr>
              <w:t>-21,84</w:t>
            </w:r>
          </w:p>
        </w:tc>
      </w:tr>
      <w:tr w:rsidR="004C19ED" w:rsidRPr="00B30256" w14:paraId="32412B72" w14:textId="77777777" w:rsidTr="003E2CCD">
        <w:trPr>
          <w:trHeight w:val="255"/>
        </w:trPr>
        <w:tc>
          <w:tcPr>
            <w:tcW w:w="2302" w:type="dxa"/>
            <w:tcBorders>
              <w:top w:val="nil"/>
              <w:left w:val="nil"/>
              <w:bottom w:val="single" w:sz="4" w:space="0" w:color="000000"/>
              <w:right w:val="nil"/>
            </w:tcBorders>
            <w:shd w:val="clear" w:color="auto" w:fill="D9D9D9" w:themeFill="background1" w:themeFillShade="D9"/>
            <w:noWrap/>
            <w:vAlign w:val="bottom"/>
            <w:hideMark/>
          </w:tcPr>
          <w:p w14:paraId="4C26F19C" w14:textId="77777777" w:rsidR="004C19ED" w:rsidRPr="00B30256" w:rsidRDefault="004C19ED" w:rsidP="003E2CCD">
            <w:pPr>
              <w:jc w:val="left"/>
              <w:rPr>
                <w:rFonts w:eastAsia="Times New Roman" w:cs="Arial"/>
                <w:b/>
                <w:bCs/>
                <w:color w:val="000000"/>
                <w:szCs w:val="20"/>
                <w:lang w:eastAsia="pt-BR"/>
              </w:rPr>
            </w:pPr>
            <w:r w:rsidRPr="00B30256">
              <w:rPr>
                <w:rFonts w:eastAsia="Times New Roman" w:cs="Arial"/>
                <w:b/>
                <w:bCs/>
                <w:color w:val="000000"/>
                <w:szCs w:val="20"/>
                <w:lang w:eastAsia="pt-BR"/>
              </w:rPr>
              <w:t>Total Geral</w:t>
            </w:r>
          </w:p>
        </w:tc>
        <w:tc>
          <w:tcPr>
            <w:tcW w:w="2302" w:type="dxa"/>
            <w:tcBorders>
              <w:top w:val="nil"/>
              <w:left w:val="nil"/>
              <w:bottom w:val="single" w:sz="4" w:space="0" w:color="000000"/>
              <w:right w:val="nil"/>
            </w:tcBorders>
            <w:shd w:val="clear" w:color="auto" w:fill="D9D9D9" w:themeFill="background1" w:themeFillShade="D9"/>
            <w:noWrap/>
            <w:vAlign w:val="bottom"/>
          </w:tcPr>
          <w:p w14:paraId="0D0FDA19" w14:textId="77777777" w:rsidR="004C19ED" w:rsidRPr="00B30256" w:rsidRDefault="004C19ED" w:rsidP="003E2CCD">
            <w:pPr>
              <w:jc w:val="right"/>
              <w:rPr>
                <w:rFonts w:cs="Arial"/>
                <w:b/>
                <w:color w:val="000000"/>
                <w:szCs w:val="20"/>
              </w:rPr>
            </w:pPr>
            <w:r>
              <w:rPr>
                <w:rFonts w:cs="Arial"/>
                <w:b/>
                <w:color w:val="000000"/>
                <w:szCs w:val="20"/>
              </w:rPr>
              <w:t>91.435.742,23</w:t>
            </w:r>
          </w:p>
        </w:tc>
        <w:tc>
          <w:tcPr>
            <w:tcW w:w="2303" w:type="dxa"/>
            <w:tcBorders>
              <w:top w:val="nil"/>
              <w:left w:val="nil"/>
              <w:bottom w:val="single" w:sz="4" w:space="0" w:color="000000"/>
              <w:right w:val="nil"/>
            </w:tcBorders>
            <w:shd w:val="clear" w:color="auto" w:fill="D9D9D9" w:themeFill="background1" w:themeFillShade="D9"/>
            <w:noWrap/>
            <w:vAlign w:val="bottom"/>
          </w:tcPr>
          <w:p w14:paraId="342E9E31" w14:textId="77777777" w:rsidR="004C19ED" w:rsidRPr="00B30256" w:rsidRDefault="004C19ED" w:rsidP="003E2CCD">
            <w:pPr>
              <w:jc w:val="right"/>
              <w:rPr>
                <w:rFonts w:cs="Arial"/>
                <w:b/>
                <w:color w:val="000000"/>
                <w:szCs w:val="20"/>
              </w:rPr>
            </w:pPr>
            <w:r w:rsidRPr="005B1CBA">
              <w:rPr>
                <w:rFonts w:cs="Arial"/>
                <w:b/>
                <w:color w:val="000000"/>
                <w:szCs w:val="20"/>
              </w:rPr>
              <w:t>94.963.039,14</w:t>
            </w:r>
          </w:p>
        </w:tc>
        <w:tc>
          <w:tcPr>
            <w:tcW w:w="2303" w:type="dxa"/>
            <w:tcBorders>
              <w:top w:val="nil"/>
              <w:left w:val="nil"/>
              <w:bottom w:val="single" w:sz="4" w:space="0" w:color="000000"/>
              <w:right w:val="nil"/>
            </w:tcBorders>
            <w:shd w:val="clear" w:color="auto" w:fill="D9D9D9" w:themeFill="background1" w:themeFillShade="D9"/>
            <w:noWrap/>
            <w:vAlign w:val="bottom"/>
            <w:hideMark/>
          </w:tcPr>
          <w:p w14:paraId="7B777E9C" w14:textId="77777777" w:rsidR="004C19ED" w:rsidRPr="00B30256" w:rsidRDefault="004C19ED" w:rsidP="003E2CCD">
            <w:pPr>
              <w:jc w:val="right"/>
              <w:rPr>
                <w:rFonts w:eastAsia="Times New Roman" w:cs="Arial"/>
                <w:b/>
                <w:color w:val="000000"/>
                <w:szCs w:val="20"/>
                <w:lang w:eastAsia="pt-BR"/>
              </w:rPr>
            </w:pPr>
            <w:r>
              <w:rPr>
                <w:rFonts w:eastAsia="Times New Roman" w:cs="Arial"/>
                <w:b/>
                <w:color w:val="000000"/>
                <w:szCs w:val="20"/>
                <w:lang w:eastAsia="pt-BR"/>
              </w:rPr>
              <w:t>-3,86</w:t>
            </w:r>
          </w:p>
        </w:tc>
      </w:tr>
    </w:tbl>
    <w:p w14:paraId="092C8929" w14:textId="77777777" w:rsidR="004C19ED" w:rsidRPr="00B5064F" w:rsidRDefault="004C19ED" w:rsidP="004C19ED">
      <w:pPr>
        <w:jc w:val="left"/>
        <w:rPr>
          <w:rFonts w:cs="Arial"/>
          <w:i/>
          <w:szCs w:val="20"/>
        </w:rPr>
      </w:pPr>
      <w:r w:rsidRPr="00B5064F">
        <w:rPr>
          <w:rFonts w:cs="Arial"/>
          <w:i/>
          <w:szCs w:val="20"/>
        </w:rPr>
        <w:t>Fonte: SIAFI, 20</w:t>
      </w:r>
      <w:r>
        <w:rPr>
          <w:rFonts w:cs="Arial"/>
          <w:i/>
          <w:szCs w:val="20"/>
        </w:rPr>
        <w:t>21</w:t>
      </w:r>
      <w:r w:rsidRPr="00B5064F">
        <w:rPr>
          <w:rFonts w:cs="Arial"/>
          <w:i/>
          <w:szCs w:val="20"/>
        </w:rPr>
        <w:t xml:space="preserve"> e 20</w:t>
      </w:r>
      <w:r>
        <w:rPr>
          <w:rFonts w:cs="Arial"/>
          <w:i/>
          <w:szCs w:val="20"/>
        </w:rPr>
        <w:t>20</w:t>
      </w:r>
      <w:r w:rsidRPr="00B5064F">
        <w:rPr>
          <w:rFonts w:cs="Arial"/>
          <w:i/>
          <w:szCs w:val="20"/>
        </w:rPr>
        <w:t>.</w:t>
      </w:r>
    </w:p>
    <w:p w14:paraId="0C96AE15" w14:textId="77777777" w:rsidR="004C19ED" w:rsidRPr="0037110A" w:rsidRDefault="004C19ED" w:rsidP="004C19ED">
      <w:pPr>
        <w:rPr>
          <w:rFonts w:cs="Arial"/>
          <w:sz w:val="22"/>
        </w:rPr>
      </w:pPr>
    </w:p>
    <w:p w14:paraId="0BA11A59" w14:textId="77777777" w:rsidR="004C19ED" w:rsidRDefault="004C19ED" w:rsidP="004C19ED">
      <w:pPr>
        <w:rPr>
          <w:rFonts w:cs="Arial"/>
          <w:sz w:val="22"/>
        </w:rPr>
      </w:pPr>
      <w:r w:rsidRPr="0037110A">
        <w:rPr>
          <w:rFonts w:cs="Arial"/>
          <w:sz w:val="22"/>
        </w:rPr>
        <w:t>Os Bens Móveis estão distribuídos para uso em diversas localidades. Além da sede</w:t>
      </w:r>
      <w:r>
        <w:rPr>
          <w:rFonts w:cs="Arial"/>
          <w:sz w:val="22"/>
        </w:rPr>
        <w:t xml:space="preserve">, </w:t>
      </w:r>
      <w:r w:rsidRPr="0037110A">
        <w:rPr>
          <w:rFonts w:cs="Arial"/>
          <w:sz w:val="22"/>
        </w:rPr>
        <w:t>em Brasília (DF)</w:t>
      </w:r>
      <w:r>
        <w:rPr>
          <w:rFonts w:cs="Arial"/>
          <w:sz w:val="22"/>
        </w:rPr>
        <w:t xml:space="preserve"> e do Escritório central no Rio de Janeiro/RJ</w:t>
      </w:r>
      <w:r w:rsidRPr="0037110A">
        <w:rPr>
          <w:rFonts w:cs="Arial"/>
          <w:sz w:val="22"/>
        </w:rPr>
        <w:t>, a AN</w:t>
      </w:r>
      <w:r>
        <w:rPr>
          <w:rFonts w:cs="Arial"/>
          <w:sz w:val="22"/>
        </w:rPr>
        <w:t>P possui r</w:t>
      </w:r>
      <w:r w:rsidRPr="0037110A">
        <w:rPr>
          <w:rFonts w:cs="Arial"/>
          <w:sz w:val="22"/>
        </w:rPr>
        <w:t xml:space="preserve">epresentações Regionais </w:t>
      </w:r>
      <w:r>
        <w:rPr>
          <w:rFonts w:cs="Arial"/>
          <w:sz w:val="22"/>
        </w:rPr>
        <w:t xml:space="preserve">em </w:t>
      </w:r>
      <w:r w:rsidRPr="0037110A">
        <w:rPr>
          <w:rFonts w:cs="Arial"/>
          <w:sz w:val="22"/>
        </w:rPr>
        <w:t>São Paulo</w:t>
      </w:r>
      <w:r>
        <w:rPr>
          <w:rFonts w:cs="Arial"/>
          <w:sz w:val="22"/>
        </w:rPr>
        <w:t>/</w:t>
      </w:r>
      <w:r w:rsidRPr="0037110A">
        <w:rPr>
          <w:rFonts w:cs="Arial"/>
          <w:sz w:val="22"/>
        </w:rPr>
        <w:t>SP</w:t>
      </w:r>
      <w:r>
        <w:rPr>
          <w:rFonts w:cs="Arial"/>
          <w:sz w:val="22"/>
        </w:rPr>
        <w:t>, Salvador/BA, Porto Alegre/RS, Belo Horizonte/MG</w:t>
      </w:r>
      <w:r w:rsidRPr="0037110A">
        <w:rPr>
          <w:rFonts w:cs="Arial"/>
          <w:sz w:val="22"/>
        </w:rPr>
        <w:t xml:space="preserve"> e </w:t>
      </w:r>
      <w:r>
        <w:rPr>
          <w:rFonts w:cs="Arial"/>
          <w:sz w:val="22"/>
        </w:rPr>
        <w:t>Manaus/AM</w:t>
      </w:r>
      <w:r w:rsidRPr="0037110A">
        <w:rPr>
          <w:rFonts w:cs="Arial"/>
          <w:sz w:val="22"/>
        </w:rPr>
        <w:t xml:space="preserve">. </w:t>
      </w:r>
    </w:p>
    <w:p w14:paraId="3E7C7D15" w14:textId="77777777" w:rsidR="004C19ED" w:rsidRDefault="004C19ED" w:rsidP="004C19ED">
      <w:pPr>
        <w:rPr>
          <w:rFonts w:cs="Arial"/>
          <w:sz w:val="22"/>
        </w:rPr>
      </w:pPr>
    </w:p>
    <w:p w14:paraId="48D763AC" w14:textId="77777777" w:rsidR="004C19ED" w:rsidRDefault="004C19ED" w:rsidP="004C19ED">
      <w:pPr>
        <w:rPr>
          <w:rFonts w:cs="Arial"/>
          <w:sz w:val="22"/>
        </w:rPr>
      </w:pPr>
      <w:r>
        <w:rPr>
          <w:rFonts w:cs="Arial"/>
          <w:sz w:val="22"/>
        </w:rPr>
        <w:t>A partir da disponibilização dos bens para uso, o</w:t>
      </w:r>
      <w:r w:rsidRPr="0037110A">
        <w:rPr>
          <w:rFonts w:cs="Arial"/>
          <w:sz w:val="22"/>
        </w:rPr>
        <w:t xml:space="preserve"> método de depreciação </w:t>
      </w:r>
      <w:r>
        <w:rPr>
          <w:rFonts w:cs="Arial"/>
          <w:sz w:val="22"/>
        </w:rPr>
        <w:t>empregado</w:t>
      </w:r>
      <w:r w:rsidRPr="0037110A">
        <w:rPr>
          <w:rFonts w:cs="Arial"/>
          <w:sz w:val="22"/>
        </w:rPr>
        <w:t xml:space="preserve"> é o de cotas constantes, tendo como referência a vida útil e o valor residual definido</w:t>
      </w:r>
      <w:r>
        <w:rPr>
          <w:rFonts w:cs="Arial"/>
          <w:sz w:val="22"/>
        </w:rPr>
        <w:t>s</w:t>
      </w:r>
      <w:r w:rsidRPr="0037110A">
        <w:rPr>
          <w:rFonts w:cs="Arial"/>
          <w:sz w:val="22"/>
        </w:rPr>
        <w:t xml:space="preserve"> para cada classificação contábil</w:t>
      </w:r>
      <w:r>
        <w:rPr>
          <w:rFonts w:cs="Arial"/>
          <w:sz w:val="22"/>
        </w:rPr>
        <w:t>, conforme tabela a seguir:</w:t>
      </w:r>
    </w:p>
    <w:p w14:paraId="0A179D8C" w14:textId="77777777" w:rsidR="004C19ED" w:rsidRDefault="004C19ED" w:rsidP="004C19ED">
      <w:pPr>
        <w:rPr>
          <w:rFonts w:cs="Arial"/>
          <w:sz w:val="22"/>
        </w:rPr>
      </w:pPr>
    </w:p>
    <w:p w14:paraId="4703B217" w14:textId="77777777" w:rsidR="004C19ED" w:rsidRDefault="004C19ED" w:rsidP="004C19ED">
      <w:pPr>
        <w:rPr>
          <w:rFonts w:cs="Arial"/>
          <w:sz w:val="22"/>
        </w:rPr>
      </w:pPr>
    </w:p>
    <w:p w14:paraId="73D3F8F7" w14:textId="77777777" w:rsidR="004C19ED" w:rsidRDefault="004C19ED" w:rsidP="004C19ED">
      <w:pPr>
        <w:rPr>
          <w:rFonts w:cs="Arial"/>
          <w:sz w:val="22"/>
        </w:rPr>
      </w:pPr>
    </w:p>
    <w:p w14:paraId="2603090E" w14:textId="77777777" w:rsidR="004C19ED" w:rsidRDefault="004C19ED" w:rsidP="004C19ED">
      <w:pPr>
        <w:rPr>
          <w:rFonts w:cs="Arial"/>
          <w:sz w:val="22"/>
        </w:rPr>
      </w:pPr>
    </w:p>
    <w:p w14:paraId="5D7F1229" w14:textId="77777777" w:rsidR="004C19ED" w:rsidRDefault="004C19ED" w:rsidP="004C19ED">
      <w:pPr>
        <w:rPr>
          <w:rFonts w:cs="Arial"/>
          <w:sz w:val="22"/>
        </w:rPr>
      </w:pPr>
      <w:r w:rsidRPr="00E65DFE">
        <w:rPr>
          <w:rFonts w:cs="Arial"/>
          <w:b/>
          <w:sz w:val="22"/>
        </w:rPr>
        <w:t xml:space="preserve">Tabela </w:t>
      </w:r>
      <w:r>
        <w:rPr>
          <w:rFonts w:cs="Arial"/>
          <w:b/>
          <w:sz w:val="22"/>
        </w:rPr>
        <w:t xml:space="preserve">7 </w:t>
      </w:r>
      <w:r w:rsidRPr="0037110A">
        <w:rPr>
          <w:rFonts w:cs="Arial"/>
          <w:b/>
          <w:sz w:val="22"/>
        </w:rPr>
        <w:t xml:space="preserve">– Bens </w:t>
      </w:r>
      <w:r>
        <w:rPr>
          <w:rFonts w:cs="Arial"/>
          <w:b/>
          <w:sz w:val="22"/>
        </w:rPr>
        <w:t>Móveis</w:t>
      </w:r>
      <w:r w:rsidRPr="0037110A">
        <w:rPr>
          <w:rFonts w:cs="Arial"/>
          <w:b/>
          <w:sz w:val="22"/>
        </w:rPr>
        <w:t xml:space="preserve"> </w:t>
      </w:r>
      <w:r>
        <w:rPr>
          <w:rFonts w:cs="Arial"/>
          <w:b/>
          <w:sz w:val="22"/>
        </w:rPr>
        <w:t>–</w:t>
      </w:r>
      <w:r w:rsidRPr="0037110A">
        <w:rPr>
          <w:rFonts w:cs="Arial"/>
          <w:b/>
          <w:sz w:val="22"/>
        </w:rPr>
        <w:t xml:space="preserve"> </w:t>
      </w:r>
      <w:r>
        <w:rPr>
          <w:rFonts w:cs="Arial"/>
          <w:b/>
          <w:sz w:val="22"/>
        </w:rPr>
        <w:t>Vida Útil e Valor Residual.</w:t>
      </w:r>
    </w:p>
    <w:p w14:paraId="6EE891F2" w14:textId="77777777" w:rsidR="004C19ED" w:rsidRDefault="004C19ED" w:rsidP="004C19ED">
      <w:pPr>
        <w:rPr>
          <w:rFonts w:cs="Arial"/>
          <w:sz w:val="22"/>
        </w:rPr>
      </w:pPr>
    </w:p>
    <w:tbl>
      <w:tblPr>
        <w:tblW w:w="9095" w:type="dxa"/>
        <w:tblCellMar>
          <w:left w:w="70" w:type="dxa"/>
          <w:right w:w="70" w:type="dxa"/>
        </w:tblCellMar>
        <w:tblLook w:val="04A0" w:firstRow="1" w:lastRow="0" w:firstColumn="1" w:lastColumn="0" w:noHBand="0" w:noVBand="1"/>
      </w:tblPr>
      <w:tblGrid>
        <w:gridCol w:w="4888"/>
        <w:gridCol w:w="1950"/>
        <w:gridCol w:w="2257"/>
      </w:tblGrid>
      <w:tr w:rsidR="004C19ED" w:rsidRPr="001A0BCE" w14:paraId="6E405854" w14:textId="77777777" w:rsidTr="003E2CCD">
        <w:trPr>
          <w:trHeight w:val="258"/>
        </w:trPr>
        <w:tc>
          <w:tcPr>
            <w:tcW w:w="4888" w:type="dxa"/>
            <w:tcBorders>
              <w:top w:val="single" w:sz="4" w:space="0" w:color="000000"/>
              <w:left w:val="nil"/>
              <w:bottom w:val="single" w:sz="4" w:space="0" w:color="000000"/>
              <w:right w:val="nil"/>
            </w:tcBorders>
            <w:shd w:val="clear" w:color="auto" w:fill="auto"/>
            <w:noWrap/>
            <w:vAlign w:val="bottom"/>
            <w:hideMark/>
          </w:tcPr>
          <w:p w14:paraId="6B33F60F" w14:textId="77777777" w:rsidR="004C19ED" w:rsidRPr="001A0BCE" w:rsidRDefault="004C19ED" w:rsidP="003E2CCD">
            <w:pPr>
              <w:jc w:val="center"/>
              <w:rPr>
                <w:rFonts w:eastAsia="Times New Roman" w:cs="Arial"/>
                <w:b/>
                <w:bCs/>
                <w:color w:val="000000"/>
                <w:szCs w:val="20"/>
                <w:lang w:eastAsia="pt-BR"/>
              </w:rPr>
            </w:pPr>
          </w:p>
        </w:tc>
        <w:tc>
          <w:tcPr>
            <w:tcW w:w="1950" w:type="dxa"/>
            <w:tcBorders>
              <w:top w:val="single" w:sz="4" w:space="0" w:color="000000"/>
              <w:left w:val="nil"/>
              <w:bottom w:val="single" w:sz="4" w:space="0" w:color="000000"/>
              <w:right w:val="nil"/>
            </w:tcBorders>
            <w:shd w:val="clear" w:color="auto" w:fill="auto"/>
            <w:vAlign w:val="bottom"/>
            <w:hideMark/>
          </w:tcPr>
          <w:p w14:paraId="4373951C" w14:textId="77777777" w:rsidR="004C19ED" w:rsidRPr="001A0BCE" w:rsidRDefault="004C19ED" w:rsidP="003E2CCD">
            <w:pPr>
              <w:jc w:val="right"/>
              <w:rPr>
                <w:rFonts w:eastAsia="Times New Roman" w:cs="Arial"/>
                <w:b/>
                <w:bCs/>
                <w:color w:val="000000"/>
                <w:szCs w:val="20"/>
                <w:lang w:eastAsia="pt-BR"/>
              </w:rPr>
            </w:pPr>
            <w:r w:rsidRPr="001A0BCE">
              <w:rPr>
                <w:rFonts w:eastAsia="Times New Roman" w:cs="Arial"/>
                <w:b/>
                <w:bCs/>
                <w:color w:val="000000"/>
                <w:szCs w:val="20"/>
                <w:lang w:eastAsia="pt-BR"/>
              </w:rPr>
              <w:t>Vida Útil (anos)</w:t>
            </w:r>
          </w:p>
        </w:tc>
        <w:tc>
          <w:tcPr>
            <w:tcW w:w="2257" w:type="dxa"/>
            <w:tcBorders>
              <w:top w:val="single" w:sz="4" w:space="0" w:color="000000"/>
              <w:left w:val="nil"/>
              <w:bottom w:val="single" w:sz="4" w:space="0" w:color="000000"/>
              <w:right w:val="nil"/>
            </w:tcBorders>
            <w:shd w:val="clear" w:color="auto" w:fill="auto"/>
            <w:vAlign w:val="bottom"/>
            <w:hideMark/>
          </w:tcPr>
          <w:p w14:paraId="442C3028" w14:textId="77777777" w:rsidR="004C19ED" w:rsidRPr="001A0BCE" w:rsidRDefault="004C19ED" w:rsidP="003E2CCD">
            <w:pPr>
              <w:jc w:val="right"/>
              <w:rPr>
                <w:rFonts w:eastAsia="Times New Roman" w:cs="Arial"/>
                <w:b/>
                <w:bCs/>
                <w:color w:val="000000"/>
                <w:szCs w:val="20"/>
                <w:lang w:eastAsia="pt-BR"/>
              </w:rPr>
            </w:pPr>
            <w:r w:rsidRPr="001A0BCE">
              <w:rPr>
                <w:rFonts w:eastAsia="Times New Roman" w:cs="Arial"/>
                <w:b/>
                <w:bCs/>
                <w:color w:val="000000"/>
                <w:szCs w:val="20"/>
                <w:lang w:eastAsia="pt-BR"/>
              </w:rPr>
              <w:t>Valor Residual (%)</w:t>
            </w:r>
          </w:p>
        </w:tc>
      </w:tr>
      <w:tr w:rsidR="004C19ED" w:rsidRPr="001A0BCE" w14:paraId="156738E5" w14:textId="77777777" w:rsidTr="003E2CCD">
        <w:trPr>
          <w:trHeight w:val="258"/>
        </w:trPr>
        <w:tc>
          <w:tcPr>
            <w:tcW w:w="4888" w:type="dxa"/>
            <w:tcBorders>
              <w:top w:val="nil"/>
              <w:left w:val="nil"/>
              <w:bottom w:val="nil"/>
              <w:right w:val="nil"/>
            </w:tcBorders>
            <w:shd w:val="clear" w:color="000000" w:fill="D9D9D9"/>
            <w:vAlign w:val="center"/>
            <w:hideMark/>
          </w:tcPr>
          <w:p w14:paraId="35897AA3"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Aparelhos de medição e orientação</w:t>
            </w:r>
          </w:p>
        </w:tc>
        <w:tc>
          <w:tcPr>
            <w:tcW w:w="1950" w:type="dxa"/>
            <w:tcBorders>
              <w:top w:val="nil"/>
              <w:left w:val="nil"/>
              <w:bottom w:val="nil"/>
              <w:right w:val="nil"/>
            </w:tcBorders>
            <w:shd w:val="clear" w:color="D9D9D9" w:fill="D9D9D9"/>
            <w:noWrap/>
            <w:vAlign w:val="bottom"/>
            <w:hideMark/>
          </w:tcPr>
          <w:p w14:paraId="76329D3F"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D9D9D9" w:fill="D9D9D9"/>
            <w:noWrap/>
            <w:vAlign w:val="bottom"/>
            <w:hideMark/>
          </w:tcPr>
          <w:p w14:paraId="0EC77885"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793111FF" w14:textId="77777777" w:rsidTr="003E2CCD">
        <w:trPr>
          <w:trHeight w:val="258"/>
        </w:trPr>
        <w:tc>
          <w:tcPr>
            <w:tcW w:w="4888" w:type="dxa"/>
            <w:tcBorders>
              <w:top w:val="nil"/>
              <w:left w:val="nil"/>
              <w:bottom w:val="nil"/>
              <w:right w:val="nil"/>
            </w:tcBorders>
            <w:shd w:val="clear" w:color="auto" w:fill="auto"/>
            <w:vAlign w:val="center"/>
            <w:hideMark/>
          </w:tcPr>
          <w:p w14:paraId="33FE73F9"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Aparelhos e equipamentos de comunicação</w:t>
            </w:r>
          </w:p>
        </w:tc>
        <w:tc>
          <w:tcPr>
            <w:tcW w:w="1950" w:type="dxa"/>
            <w:tcBorders>
              <w:top w:val="nil"/>
              <w:left w:val="nil"/>
              <w:bottom w:val="nil"/>
              <w:right w:val="nil"/>
            </w:tcBorders>
            <w:shd w:val="clear" w:color="auto" w:fill="auto"/>
            <w:noWrap/>
            <w:vAlign w:val="bottom"/>
            <w:hideMark/>
          </w:tcPr>
          <w:p w14:paraId="43B3D593"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14:paraId="65153221"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20</w:t>
            </w:r>
          </w:p>
        </w:tc>
      </w:tr>
      <w:tr w:rsidR="004C19ED" w:rsidRPr="001A0BCE" w14:paraId="617E734C" w14:textId="77777777" w:rsidTr="003E2CCD">
        <w:trPr>
          <w:trHeight w:val="517"/>
        </w:trPr>
        <w:tc>
          <w:tcPr>
            <w:tcW w:w="4888" w:type="dxa"/>
            <w:tcBorders>
              <w:top w:val="nil"/>
              <w:left w:val="nil"/>
              <w:bottom w:val="nil"/>
              <w:right w:val="nil"/>
            </w:tcBorders>
            <w:shd w:val="clear" w:color="000000" w:fill="D9D9D9"/>
            <w:vAlign w:val="center"/>
            <w:hideMark/>
          </w:tcPr>
          <w:p w14:paraId="6A8C670F"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Equipam/utensílios médicos, odontológicos, lab. e hospitalares</w:t>
            </w:r>
          </w:p>
        </w:tc>
        <w:tc>
          <w:tcPr>
            <w:tcW w:w="1950" w:type="dxa"/>
            <w:tcBorders>
              <w:top w:val="nil"/>
              <w:left w:val="nil"/>
              <w:bottom w:val="nil"/>
              <w:right w:val="nil"/>
            </w:tcBorders>
            <w:shd w:val="clear" w:color="D9D9D9" w:fill="D9D9D9"/>
            <w:noWrap/>
            <w:vAlign w:val="bottom"/>
            <w:hideMark/>
          </w:tcPr>
          <w:p w14:paraId="275A9B5E"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D9D9D9" w:fill="D9D9D9"/>
            <w:noWrap/>
            <w:vAlign w:val="bottom"/>
            <w:hideMark/>
          </w:tcPr>
          <w:p w14:paraId="5A0734B9"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20</w:t>
            </w:r>
          </w:p>
        </w:tc>
      </w:tr>
      <w:tr w:rsidR="004C19ED" w:rsidRPr="001A0BCE" w14:paraId="568F430B" w14:textId="77777777" w:rsidTr="003E2CCD">
        <w:trPr>
          <w:trHeight w:val="258"/>
        </w:trPr>
        <w:tc>
          <w:tcPr>
            <w:tcW w:w="4888" w:type="dxa"/>
            <w:tcBorders>
              <w:top w:val="nil"/>
              <w:left w:val="nil"/>
              <w:bottom w:val="nil"/>
              <w:right w:val="nil"/>
            </w:tcBorders>
            <w:shd w:val="clear" w:color="auto" w:fill="auto"/>
            <w:vAlign w:val="center"/>
            <w:hideMark/>
          </w:tcPr>
          <w:p w14:paraId="4B1A1F7F"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Equipamento de proteção, segurança e socorro</w:t>
            </w:r>
          </w:p>
        </w:tc>
        <w:tc>
          <w:tcPr>
            <w:tcW w:w="1950" w:type="dxa"/>
            <w:tcBorders>
              <w:top w:val="nil"/>
              <w:left w:val="nil"/>
              <w:bottom w:val="nil"/>
              <w:right w:val="nil"/>
            </w:tcBorders>
            <w:shd w:val="clear" w:color="auto" w:fill="auto"/>
            <w:noWrap/>
            <w:vAlign w:val="bottom"/>
            <w:hideMark/>
          </w:tcPr>
          <w:p w14:paraId="443732C3"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14:paraId="14A344B3"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080CE115" w14:textId="77777777" w:rsidTr="003E2CCD">
        <w:trPr>
          <w:trHeight w:val="258"/>
        </w:trPr>
        <w:tc>
          <w:tcPr>
            <w:tcW w:w="4888" w:type="dxa"/>
            <w:tcBorders>
              <w:top w:val="nil"/>
              <w:left w:val="nil"/>
              <w:bottom w:val="nil"/>
              <w:right w:val="nil"/>
            </w:tcBorders>
            <w:shd w:val="clear" w:color="000000" w:fill="D9D9D9"/>
            <w:vAlign w:val="center"/>
            <w:hideMark/>
          </w:tcPr>
          <w:p w14:paraId="510BE9CB"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M</w:t>
            </w:r>
            <w:r>
              <w:rPr>
                <w:rFonts w:eastAsia="Times New Roman" w:cs="Arial"/>
                <w:color w:val="000000"/>
                <w:szCs w:val="20"/>
                <w:lang w:eastAsia="pt-BR"/>
              </w:rPr>
              <w:t>á</w:t>
            </w:r>
            <w:r w:rsidRPr="001A0BCE">
              <w:rPr>
                <w:rFonts w:eastAsia="Times New Roman" w:cs="Arial"/>
                <w:color w:val="000000"/>
                <w:szCs w:val="20"/>
                <w:lang w:eastAsia="pt-BR"/>
              </w:rPr>
              <w:t>quinas e equipamentos industriais</w:t>
            </w:r>
          </w:p>
        </w:tc>
        <w:tc>
          <w:tcPr>
            <w:tcW w:w="1950" w:type="dxa"/>
            <w:tcBorders>
              <w:top w:val="nil"/>
              <w:left w:val="nil"/>
              <w:bottom w:val="nil"/>
              <w:right w:val="nil"/>
            </w:tcBorders>
            <w:shd w:val="clear" w:color="D9D9D9" w:fill="D9D9D9"/>
            <w:noWrap/>
            <w:vAlign w:val="bottom"/>
            <w:hideMark/>
          </w:tcPr>
          <w:p w14:paraId="5114E0B2"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20</w:t>
            </w:r>
          </w:p>
        </w:tc>
        <w:tc>
          <w:tcPr>
            <w:tcW w:w="2257" w:type="dxa"/>
            <w:tcBorders>
              <w:top w:val="nil"/>
              <w:left w:val="nil"/>
              <w:bottom w:val="nil"/>
              <w:right w:val="nil"/>
            </w:tcBorders>
            <w:shd w:val="clear" w:color="D9D9D9" w:fill="D9D9D9"/>
            <w:noWrap/>
            <w:vAlign w:val="bottom"/>
            <w:hideMark/>
          </w:tcPr>
          <w:p w14:paraId="28FCDF3D"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06B59C75" w14:textId="77777777" w:rsidTr="003E2CCD">
        <w:trPr>
          <w:trHeight w:val="258"/>
        </w:trPr>
        <w:tc>
          <w:tcPr>
            <w:tcW w:w="4888" w:type="dxa"/>
            <w:tcBorders>
              <w:top w:val="nil"/>
              <w:left w:val="nil"/>
              <w:bottom w:val="nil"/>
              <w:right w:val="nil"/>
            </w:tcBorders>
            <w:shd w:val="clear" w:color="auto" w:fill="auto"/>
            <w:vAlign w:val="center"/>
            <w:hideMark/>
          </w:tcPr>
          <w:p w14:paraId="7123A5C3"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M</w:t>
            </w:r>
            <w:r>
              <w:rPr>
                <w:rFonts w:eastAsia="Times New Roman" w:cs="Arial"/>
                <w:color w:val="000000"/>
                <w:szCs w:val="20"/>
                <w:lang w:eastAsia="pt-BR"/>
              </w:rPr>
              <w:t>á</w:t>
            </w:r>
            <w:r w:rsidRPr="001A0BCE">
              <w:rPr>
                <w:rFonts w:eastAsia="Times New Roman" w:cs="Arial"/>
                <w:color w:val="000000"/>
                <w:szCs w:val="20"/>
                <w:lang w:eastAsia="pt-BR"/>
              </w:rPr>
              <w:t>quinas e equipamentos energéticos</w:t>
            </w:r>
          </w:p>
        </w:tc>
        <w:tc>
          <w:tcPr>
            <w:tcW w:w="1950" w:type="dxa"/>
            <w:tcBorders>
              <w:top w:val="nil"/>
              <w:left w:val="nil"/>
              <w:bottom w:val="nil"/>
              <w:right w:val="nil"/>
            </w:tcBorders>
            <w:shd w:val="clear" w:color="auto" w:fill="auto"/>
            <w:noWrap/>
            <w:vAlign w:val="bottom"/>
            <w:hideMark/>
          </w:tcPr>
          <w:p w14:paraId="7F9B2073"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14:paraId="7D38CA4B"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17CD786B" w14:textId="77777777" w:rsidTr="003E2CCD">
        <w:trPr>
          <w:trHeight w:val="258"/>
        </w:trPr>
        <w:tc>
          <w:tcPr>
            <w:tcW w:w="4888" w:type="dxa"/>
            <w:tcBorders>
              <w:top w:val="nil"/>
              <w:left w:val="nil"/>
              <w:bottom w:val="nil"/>
              <w:right w:val="nil"/>
            </w:tcBorders>
            <w:shd w:val="clear" w:color="000000" w:fill="D9D9D9"/>
            <w:vAlign w:val="center"/>
            <w:hideMark/>
          </w:tcPr>
          <w:p w14:paraId="003FD5B4"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M</w:t>
            </w:r>
            <w:r>
              <w:rPr>
                <w:rFonts w:eastAsia="Times New Roman" w:cs="Arial"/>
                <w:color w:val="000000"/>
                <w:szCs w:val="20"/>
                <w:lang w:eastAsia="pt-BR"/>
              </w:rPr>
              <w:t>á</w:t>
            </w:r>
            <w:r w:rsidRPr="001A0BCE">
              <w:rPr>
                <w:rFonts w:eastAsia="Times New Roman" w:cs="Arial"/>
                <w:color w:val="000000"/>
                <w:szCs w:val="20"/>
                <w:lang w:eastAsia="pt-BR"/>
              </w:rPr>
              <w:t>quinas e equipamentos gráficos</w:t>
            </w:r>
          </w:p>
        </w:tc>
        <w:tc>
          <w:tcPr>
            <w:tcW w:w="1950" w:type="dxa"/>
            <w:tcBorders>
              <w:top w:val="nil"/>
              <w:left w:val="nil"/>
              <w:bottom w:val="nil"/>
              <w:right w:val="nil"/>
            </w:tcBorders>
            <w:shd w:val="clear" w:color="D9D9D9" w:fill="D9D9D9"/>
            <w:noWrap/>
            <w:vAlign w:val="bottom"/>
            <w:hideMark/>
          </w:tcPr>
          <w:p w14:paraId="2BF5F96A"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D9D9D9" w:fill="D9D9D9"/>
            <w:noWrap/>
            <w:vAlign w:val="bottom"/>
            <w:hideMark/>
          </w:tcPr>
          <w:p w14:paraId="166E12A1"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35F55F9B" w14:textId="77777777" w:rsidTr="003E2CCD">
        <w:trPr>
          <w:trHeight w:val="258"/>
        </w:trPr>
        <w:tc>
          <w:tcPr>
            <w:tcW w:w="4888" w:type="dxa"/>
            <w:tcBorders>
              <w:top w:val="nil"/>
              <w:left w:val="nil"/>
              <w:bottom w:val="nil"/>
              <w:right w:val="nil"/>
            </w:tcBorders>
            <w:shd w:val="clear" w:color="auto" w:fill="auto"/>
            <w:vAlign w:val="center"/>
            <w:hideMark/>
          </w:tcPr>
          <w:p w14:paraId="409150C0"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M</w:t>
            </w:r>
            <w:r>
              <w:rPr>
                <w:rFonts w:eastAsia="Times New Roman" w:cs="Arial"/>
                <w:color w:val="000000"/>
                <w:szCs w:val="20"/>
                <w:lang w:eastAsia="pt-BR"/>
              </w:rPr>
              <w:t>á</w:t>
            </w:r>
            <w:r w:rsidRPr="001A0BCE">
              <w:rPr>
                <w:rFonts w:eastAsia="Times New Roman" w:cs="Arial"/>
                <w:color w:val="000000"/>
                <w:szCs w:val="20"/>
                <w:lang w:eastAsia="pt-BR"/>
              </w:rPr>
              <w:t>quinas, ferramentas e utensílios de oficina</w:t>
            </w:r>
          </w:p>
        </w:tc>
        <w:tc>
          <w:tcPr>
            <w:tcW w:w="1950" w:type="dxa"/>
            <w:tcBorders>
              <w:top w:val="nil"/>
              <w:left w:val="nil"/>
              <w:bottom w:val="nil"/>
              <w:right w:val="nil"/>
            </w:tcBorders>
            <w:shd w:val="clear" w:color="auto" w:fill="auto"/>
            <w:noWrap/>
            <w:vAlign w:val="bottom"/>
            <w:hideMark/>
          </w:tcPr>
          <w:p w14:paraId="21D3B237"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14:paraId="5168A100"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59732365" w14:textId="77777777" w:rsidTr="003E2CCD">
        <w:trPr>
          <w:trHeight w:val="258"/>
        </w:trPr>
        <w:tc>
          <w:tcPr>
            <w:tcW w:w="4888" w:type="dxa"/>
            <w:tcBorders>
              <w:top w:val="nil"/>
              <w:left w:val="nil"/>
              <w:bottom w:val="nil"/>
              <w:right w:val="nil"/>
            </w:tcBorders>
            <w:shd w:val="clear" w:color="000000" w:fill="D9D9D9"/>
            <w:vAlign w:val="center"/>
            <w:hideMark/>
          </w:tcPr>
          <w:p w14:paraId="216198A6"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M</w:t>
            </w:r>
            <w:r>
              <w:rPr>
                <w:rFonts w:eastAsia="Times New Roman" w:cs="Arial"/>
                <w:color w:val="000000"/>
                <w:szCs w:val="20"/>
                <w:lang w:eastAsia="pt-BR"/>
              </w:rPr>
              <w:t>á</w:t>
            </w:r>
            <w:r w:rsidRPr="001A0BCE">
              <w:rPr>
                <w:rFonts w:eastAsia="Times New Roman" w:cs="Arial"/>
                <w:color w:val="000000"/>
                <w:szCs w:val="20"/>
                <w:lang w:eastAsia="pt-BR"/>
              </w:rPr>
              <w:t>quinas, utensílios e equipamentos diversos</w:t>
            </w:r>
          </w:p>
        </w:tc>
        <w:tc>
          <w:tcPr>
            <w:tcW w:w="1950" w:type="dxa"/>
            <w:tcBorders>
              <w:top w:val="nil"/>
              <w:left w:val="nil"/>
              <w:bottom w:val="nil"/>
              <w:right w:val="nil"/>
            </w:tcBorders>
            <w:shd w:val="clear" w:color="D9D9D9" w:fill="D9D9D9"/>
            <w:noWrap/>
            <w:vAlign w:val="bottom"/>
            <w:hideMark/>
          </w:tcPr>
          <w:p w14:paraId="3829DBE4"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14:paraId="38E58D86"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3ACFD010" w14:textId="77777777" w:rsidTr="003E2CCD">
        <w:trPr>
          <w:trHeight w:val="258"/>
        </w:trPr>
        <w:tc>
          <w:tcPr>
            <w:tcW w:w="4888" w:type="dxa"/>
            <w:tcBorders>
              <w:top w:val="nil"/>
              <w:left w:val="nil"/>
              <w:bottom w:val="nil"/>
              <w:right w:val="nil"/>
            </w:tcBorders>
            <w:shd w:val="clear" w:color="auto" w:fill="auto"/>
            <w:vAlign w:val="center"/>
            <w:hideMark/>
          </w:tcPr>
          <w:p w14:paraId="3121D21A"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Equipamentos de processamento de dados</w:t>
            </w:r>
          </w:p>
        </w:tc>
        <w:tc>
          <w:tcPr>
            <w:tcW w:w="1950" w:type="dxa"/>
            <w:tcBorders>
              <w:top w:val="nil"/>
              <w:left w:val="nil"/>
              <w:bottom w:val="nil"/>
              <w:right w:val="nil"/>
            </w:tcBorders>
            <w:shd w:val="clear" w:color="auto" w:fill="auto"/>
            <w:noWrap/>
            <w:vAlign w:val="bottom"/>
            <w:hideMark/>
          </w:tcPr>
          <w:p w14:paraId="7986054F"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5</w:t>
            </w:r>
          </w:p>
        </w:tc>
        <w:tc>
          <w:tcPr>
            <w:tcW w:w="2257" w:type="dxa"/>
            <w:tcBorders>
              <w:top w:val="nil"/>
              <w:left w:val="nil"/>
              <w:bottom w:val="nil"/>
              <w:right w:val="nil"/>
            </w:tcBorders>
            <w:shd w:val="clear" w:color="auto" w:fill="auto"/>
            <w:noWrap/>
            <w:vAlign w:val="bottom"/>
            <w:hideMark/>
          </w:tcPr>
          <w:p w14:paraId="2586AE0C"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7BB74FB4" w14:textId="77777777" w:rsidTr="003E2CCD">
        <w:trPr>
          <w:trHeight w:val="258"/>
        </w:trPr>
        <w:tc>
          <w:tcPr>
            <w:tcW w:w="4888" w:type="dxa"/>
            <w:tcBorders>
              <w:top w:val="nil"/>
              <w:left w:val="nil"/>
              <w:bottom w:val="nil"/>
              <w:right w:val="nil"/>
            </w:tcBorders>
            <w:shd w:val="clear" w:color="000000" w:fill="D9D9D9"/>
            <w:vAlign w:val="center"/>
            <w:hideMark/>
          </w:tcPr>
          <w:p w14:paraId="516DB726"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Aparelhos e utensílios domésticos</w:t>
            </w:r>
          </w:p>
        </w:tc>
        <w:tc>
          <w:tcPr>
            <w:tcW w:w="1950" w:type="dxa"/>
            <w:tcBorders>
              <w:top w:val="nil"/>
              <w:left w:val="nil"/>
              <w:bottom w:val="nil"/>
              <w:right w:val="nil"/>
            </w:tcBorders>
            <w:shd w:val="clear" w:color="D9D9D9" w:fill="D9D9D9"/>
            <w:noWrap/>
            <w:vAlign w:val="bottom"/>
            <w:hideMark/>
          </w:tcPr>
          <w:p w14:paraId="791815A0"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14:paraId="2C029FC0"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064F5FC6" w14:textId="77777777" w:rsidTr="003E2CCD">
        <w:trPr>
          <w:trHeight w:val="258"/>
        </w:trPr>
        <w:tc>
          <w:tcPr>
            <w:tcW w:w="4888" w:type="dxa"/>
            <w:tcBorders>
              <w:top w:val="nil"/>
              <w:left w:val="nil"/>
              <w:bottom w:val="nil"/>
              <w:right w:val="nil"/>
            </w:tcBorders>
            <w:shd w:val="clear" w:color="auto" w:fill="auto"/>
            <w:vAlign w:val="center"/>
            <w:hideMark/>
          </w:tcPr>
          <w:p w14:paraId="4279AD1E"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M</w:t>
            </w:r>
            <w:r>
              <w:rPr>
                <w:rFonts w:eastAsia="Times New Roman" w:cs="Arial"/>
                <w:color w:val="000000"/>
                <w:szCs w:val="20"/>
                <w:lang w:eastAsia="pt-BR"/>
              </w:rPr>
              <w:t>á</w:t>
            </w:r>
            <w:r w:rsidRPr="001A0BCE">
              <w:rPr>
                <w:rFonts w:eastAsia="Times New Roman" w:cs="Arial"/>
                <w:color w:val="000000"/>
                <w:szCs w:val="20"/>
                <w:lang w:eastAsia="pt-BR"/>
              </w:rPr>
              <w:t>quinas e utensílios de escritório</w:t>
            </w:r>
          </w:p>
        </w:tc>
        <w:tc>
          <w:tcPr>
            <w:tcW w:w="1950" w:type="dxa"/>
            <w:tcBorders>
              <w:top w:val="nil"/>
              <w:left w:val="nil"/>
              <w:bottom w:val="nil"/>
              <w:right w:val="nil"/>
            </w:tcBorders>
            <w:shd w:val="clear" w:color="auto" w:fill="auto"/>
            <w:noWrap/>
            <w:vAlign w:val="bottom"/>
            <w:hideMark/>
          </w:tcPr>
          <w:p w14:paraId="50F33422"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14:paraId="1D23ED32"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01C578A6" w14:textId="77777777" w:rsidTr="003E2CCD">
        <w:trPr>
          <w:trHeight w:val="258"/>
        </w:trPr>
        <w:tc>
          <w:tcPr>
            <w:tcW w:w="4888" w:type="dxa"/>
            <w:tcBorders>
              <w:top w:val="nil"/>
              <w:left w:val="nil"/>
              <w:bottom w:val="nil"/>
              <w:right w:val="nil"/>
            </w:tcBorders>
            <w:shd w:val="clear" w:color="000000" w:fill="D9D9D9"/>
            <w:vAlign w:val="center"/>
            <w:hideMark/>
          </w:tcPr>
          <w:p w14:paraId="2E19E2C8"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Mobiliário em geral</w:t>
            </w:r>
          </w:p>
        </w:tc>
        <w:tc>
          <w:tcPr>
            <w:tcW w:w="1950" w:type="dxa"/>
            <w:tcBorders>
              <w:top w:val="nil"/>
              <w:left w:val="nil"/>
              <w:bottom w:val="nil"/>
              <w:right w:val="nil"/>
            </w:tcBorders>
            <w:shd w:val="clear" w:color="D9D9D9" w:fill="D9D9D9"/>
            <w:noWrap/>
            <w:vAlign w:val="bottom"/>
            <w:hideMark/>
          </w:tcPr>
          <w:p w14:paraId="321DE0CF"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14:paraId="3F4629FC"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75AEB0D9" w14:textId="77777777" w:rsidTr="003E2CCD">
        <w:trPr>
          <w:trHeight w:val="258"/>
        </w:trPr>
        <w:tc>
          <w:tcPr>
            <w:tcW w:w="4888" w:type="dxa"/>
            <w:tcBorders>
              <w:top w:val="nil"/>
              <w:left w:val="nil"/>
              <w:bottom w:val="nil"/>
              <w:right w:val="nil"/>
            </w:tcBorders>
            <w:shd w:val="clear" w:color="auto" w:fill="auto"/>
            <w:vAlign w:val="center"/>
            <w:hideMark/>
          </w:tcPr>
          <w:p w14:paraId="0FB23274"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Coleções e materiais bibliográficos</w:t>
            </w:r>
          </w:p>
        </w:tc>
        <w:tc>
          <w:tcPr>
            <w:tcW w:w="1950" w:type="dxa"/>
            <w:tcBorders>
              <w:top w:val="nil"/>
              <w:left w:val="nil"/>
              <w:bottom w:val="nil"/>
              <w:right w:val="nil"/>
            </w:tcBorders>
            <w:shd w:val="clear" w:color="auto" w:fill="auto"/>
            <w:noWrap/>
            <w:vAlign w:val="bottom"/>
            <w:hideMark/>
          </w:tcPr>
          <w:p w14:paraId="42463DD2"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14:paraId="1BBE7C2E"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0</w:t>
            </w:r>
          </w:p>
        </w:tc>
      </w:tr>
      <w:tr w:rsidR="004C19ED" w:rsidRPr="001A0BCE" w14:paraId="646C4122" w14:textId="77777777" w:rsidTr="003E2CCD">
        <w:trPr>
          <w:trHeight w:val="258"/>
        </w:trPr>
        <w:tc>
          <w:tcPr>
            <w:tcW w:w="4888" w:type="dxa"/>
            <w:tcBorders>
              <w:top w:val="nil"/>
              <w:left w:val="nil"/>
              <w:bottom w:val="nil"/>
              <w:right w:val="nil"/>
            </w:tcBorders>
            <w:shd w:val="clear" w:color="000000" w:fill="D9D9D9"/>
            <w:vAlign w:val="center"/>
            <w:hideMark/>
          </w:tcPr>
          <w:p w14:paraId="49C36141"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Equipamentos para áudio, vídeo e foto</w:t>
            </w:r>
          </w:p>
        </w:tc>
        <w:tc>
          <w:tcPr>
            <w:tcW w:w="1950" w:type="dxa"/>
            <w:tcBorders>
              <w:top w:val="nil"/>
              <w:left w:val="nil"/>
              <w:bottom w:val="nil"/>
              <w:right w:val="nil"/>
            </w:tcBorders>
            <w:shd w:val="clear" w:color="D9D9D9" w:fill="D9D9D9"/>
            <w:noWrap/>
            <w:vAlign w:val="bottom"/>
            <w:hideMark/>
          </w:tcPr>
          <w:p w14:paraId="6776CE28"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14:paraId="53CFC2AD"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4080FA99" w14:textId="77777777" w:rsidTr="003E2CCD">
        <w:trPr>
          <w:trHeight w:val="258"/>
        </w:trPr>
        <w:tc>
          <w:tcPr>
            <w:tcW w:w="4888" w:type="dxa"/>
            <w:tcBorders>
              <w:top w:val="nil"/>
              <w:left w:val="nil"/>
              <w:bottom w:val="nil"/>
              <w:right w:val="nil"/>
            </w:tcBorders>
            <w:shd w:val="clear" w:color="auto" w:fill="auto"/>
            <w:vAlign w:val="center"/>
            <w:hideMark/>
          </w:tcPr>
          <w:p w14:paraId="280BB0D6"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Obras de arte e peças para exposição</w:t>
            </w:r>
          </w:p>
        </w:tc>
        <w:tc>
          <w:tcPr>
            <w:tcW w:w="1950" w:type="dxa"/>
            <w:tcBorders>
              <w:top w:val="nil"/>
              <w:left w:val="nil"/>
              <w:bottom w:val="nil"/>
              <w:right w:val="nil"/>
            </w:tcBorders>
            <w:shd w:val="clear" w:color="auto" w:fill="auto"/>
            <w:noWrap/>
            <w:vAlign w:val="bottom"/>
            <w:hideMark/>
          </w:tcPr>
          <w:p w14:paraId="638BC267"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Não se aplica</w:t>
            </w:r>
          </w:p>
        </w:tc>
        <w:tc>
          <w:tcPr>
            <w:tcW w:w="2257" w:type="dxa"/>
            <w:tcBorders>
              <w:top w:val="nil"/>
              <w:left w:val="nil"/>
              <w:bottom w:val="nil"/>
              <w:right w:val="nil"/>
            </w:tcBorders>
            <w:shd w:val="clear" w:color="auto" w:fill="auto"/>
            <w:noWrap/>
            <w:vAlign w:val="bottom"/>
            <w:hideMark/>
          </w:tcPr>
          <w:p w14:paraId="03ADE042"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Não se aplica</w:t>
            </w:r>
          </w:p>
        </w:tc>
      </w:tr>
      <w:tr w:rsidR="004C19ED" w:rsidRPr="001A0BCE" w14:paraId="4C1155E6" w14:textId="77777777" w:rsidTr="003E2CCD">
        <w:trPr>
          <w:trHeight w:val="258"/>
        </w:trPr>
        <w:tc>
          <w:tcPr>
            <w:tcW w:w="4888" w:type="dxa"/>
            <w:tcBorders>
              <w:top w:val="nil"/>
              <w:left w:val="nil"/>
              <w:bottom w:val="nil"/>
              <w:right w:val="nil"/>
            </w:tcBorders>
            <w:shd w:val="clear" w:color="000000" w:fill="D9D9D9"/>
            <w:vAlign w:val="center"/>
            <w:hideMark/>
          </w:tcPr>
          <w:p w14:paraId="2F1AA962"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Veículos em geral</w:t>
            </w:r>
          </w:p>
        </w:tc>
        <w:tc>
          <w:tcPr>
            <w:tcW w:w="1950" w:type="dxa"/>
            <w:tcBorders>
              <w:top w:val="nil"/>
              <w:left w:val="nil"/>
              <w:bottom w:val="nil"/>
              <w:right w:val="nil"/>
            </w:tcBorders>
            <w:shd w:val="clear" w:color="D9D9D9" w:fill="D9D9D9"/>
            <w:noWrap/>
            <w:vAlign w:val="bottom"/>
            <w:hideMark/>
          </w:tcPr>
          <w:p w14:paraId="2CE0DA5C"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D9D9D9" w:fill="D9D9D9"/>
            <w:noWrap/>
            <w:vAlign w:val="bottom"/>
            <w:hideMark/>
          </w:tcPr>
          <w:p w14:paraId="4925D962"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6281F809" w14:textId="77777777" w:rsidTr="003E2CCD">
        <w:trPr>
          <w:trHeight w:val="258"/>
        </w:trPr>
        <w:tc>
          <w:tcPr>
            <w:tcW w:w="4888" w:type="dxa"/>
            <w:tcBorders>
              <w:top w:val="nil"/>
              <w:left w:val="nil"/>
              <w:bottom w:val="nil"/>
              <w:right w:val="nil"/>
            </w:tcBorders>
            <w:shd w:val="clear" w:color="auto" w:fill="auto"/>
            <w:vAlign w:val="center"/>
            <w:hideMark/>
          </w:tcPr>
          <w:p w14:paraId="50193577"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Veículos de tração mecânica</w:t>
            </w:r>
          </w:p>
        </w:tc>
        <w:tc>
          <w:tcPr>
            <w:tcW w:w="1950" w:type="dxa"/>
            <w:tcBorders>
              <w:top w:val="nil"/>
              <w:left w:val="nil"/>
              <w:bottom w:val="nil"/>
              <w:right w:val="nil"/>
            </w:tcBorders>
            <w:shd w:val="clear" w:color="auto" w:fill="auto"/>
            <w:noWrap/>
            <w:vAlign w:val="bottom"/>
            <w:hideMark/>
          </w:tcPr>
          <w:p w14:paraId="7224F90F"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auto" w:fill="auto"/>
            <w:noWrap/>
            <w:vAlign w:val="bottom"/>
            <w:hideMark/>
          </w:tcPr>
          <w:p w14:paraId="0F73A4B2"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24D2DB47" w14:textId="77777777" w:rsidTr="003E2CCD">
        <w:trPr>
          <w:trHeight w:val="258"/>
        </w:trPr>
        <w:tc>
          <w:tcPr>
            <w:tcW w:w="4888" w:type="dxa"/>
            <w:tcBorders>
              <w:top w:val="nil"/>
              <w:left w:val="nil"/>
              <w:bottom w:val="nil"/>
              <w:right w:val="nil"/>
            </w:tcBorders>
            <w:shd w:val="clear" w:color="000000" w:fill="D9D9D9"/>
            <w:vAlign w:val="center"/>
            <w:hideMark/>
          </w:tcPr>
          <w:p w14:paraId="2F155407"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Aeronaves</w:t>
            </w:r>
          </w:p>
        </w:tc>
        <w:tc>
          <w:tcPr>
            <w:tcW w:w="1950" w:type="dxa"/>
            <w:tcBorders>
              <w:top w:val="nil"/>
              <w:left w:val="nil"/>
              <w:bottom w:val="nil"/>
              <w:right w:val="nil"/>
            </w:tcBorders>
            <w:shd w:val="clear" w:color="D9D9D9" w:fill="D9D9D9"/>
            <w:noWrap/>
            <w:vAlign w:val="bottom"/>
            <w:hideMark/>
          </w:tcPr>
          <w:p w14:paraId="60455374"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14:paraId="5E9F6AD8"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37265C8E" w14:textId="77777777" w:rsidTr="003E2CCD">
        <w:trPr>
          <w:trHeight w:val="258"/>
        </w:trPr>
        <w:tc>
          <w:tcPr>
            <w:tcW w:w="4888" w:type="dxa"/>
            <w:tcBorders>
              <w:top w:val="nil"/>
              <w:left w:val="nil"/>
              <w:bottom w:val="nil"/>
              <w:right w:val="nil"/>
            </w:tcBorders>
            <w:shd w:val="clear" w:color="auto" w:fill="auto"/>
            <w:vAlign w:val="center"/>
            <w:hideMark/>
          </w:tcPr>
          <w:p w14:paraId="48330178"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Pecas não incorporáveis a imóveis</w:t>
            </w:r>
          </w:p>
        </w:tc>
        <w:tc>
          <w:tcPr>
            <w:tcW w:w="1950" w:type="dxa"/>
            <w:tcBorders>
              <w:top w:val="nil"/>
              <w:left w:val="nil"/>
              <w:bottom w:val="nil"/>
              <w:right w:val="nil"/>
            </w:tcBorders>
            <w:shd w:val="clear" w:color="auto" w:fill="auto"/>
            <w:noWrap/>
            <w:vAlign w:val="bottom"/>
            <w:hideMark/>
          </w:tcPr>
          <w:p w14:paraId="67CC27CA"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14:paraId="1E1F705D"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C19ED" w:rsidRPr="001A0BCE" w14:paraId="19E68F28" w14:textId="77777777" w:rsidTr="003E2CCD">
        <w:trPr>
          <w:trHeight w:val="258"/>
        </w:trPr>
        <w:tc>
          <w:tcPr>
            <w:tcW w:w="4888" w:type="dxa"/>
            <w:tcBorders>
              <w:top w:val="nil"/>
              <w:left w:val="nil"/>
              <w:bottom w:val="single" w:sz="4" w:space="0" w:color="000000"/>
              <w:right w:val="nil"/>
            </w:tcBorders>
            <w:shd w:val="clear" w:color="000000" w:fill="D9D9D9"/>
            <w:vAlign w:val="center"/>
            <w:hideMark/>
          </w:tcPr>
          <w:p w14:paraId="55B972F9" w14:textId="77777777" w:rsidR="004C19ED" w:rsidRPr="001A0BCE" w:rsidRDefault="004C19ED" w:rsidP="003E2CCD">
            <w:pPr>
              <w:jc w:val="left"/>
              <w:rPr>
                <w:rFonts w:eastAsia="Times New Roman" w:cs="Arial"/>
                <w:color w:val="000000"/>
                <w:szCs w:val="20"/>
                <w:lang w:eastAsia="pt-BR"/>
              </w:rPr>
            </w:pPr>
            <w:r w:rsidRPr="001A0BCE">
              <w:rPr>
                <w:rFonts w:eastAsia="Times New Roman" w:cs="Arial"/>
                <w:color w:val="000000"/>
                <w:szCs w:val="20"/>
                <w:lang w:eastAsia="pt-BR"/>
              </w:rPr>
              <w:t>Material de uso duradouro</w:t>
            </w:r>
          </w:p>
        </w:tc>
        <w:tc>
          <w:tcPr>
            <w:tcW w:w="1950" w:type="dxa"/>
            <w:tcBorders>
              <w:top w:val="nil"/>
              <w:left w:val="nil"/>
              <w:bottom w:val="single" w:sz="4" w:space="0" w:color="000000"/>
              <w:right w:val="nil"/>
            </w:tcBorders>
            <w:shd w:val="clear" w:color="D9D9D9" w:fill="D9D9D9"/>
            <w:noWrap/>
            <w:vAlign w:val="bottom"/>
            <w:hideMark/>
          </w:tcPr>
          <w:p w14:paraId="467CADEC"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Não se aplica</w:t>
            </w:r>
          </w:p>
        </w:tc>
        <w:tc>
          <w:tcPr>
            <w:tcW w:w="2257" w:type="dxa"/>
            <w:tcBorders>
              <w:top w:val="nil"/>
              <w:left w:val="nil"/>
              <w:bottom w:val="single" w:sz="4" w:space="0" w:color="000000"/>
              <w:right w:val="nil"/>
            </w:tcBorders>
            <w:shd w:val="clear" w:color="D9D9D9" w:fill="D9D9D9"/>
            <w:noWrap/>
            <w:vAlign w:val="bottom"/>
            <w:hideMark/>
          </w:tcPr>
          <w:p w14:paraId="38290D0D" w14:textId="77777777" w:rsidR="004C19ED" w:rsidRPr="001A0BCE" w:rsidRDefault="004C19ED" w:rsidP="003E2CCD">
            <w:pPr>
              <w:jc w:val="right"/>
              <w:rPr>
                <w:rFonts w:eastAsia="Times New Roman" w:cs="Arial"/>
                <w:color w:val="000000"/>
                <w:szCs w:val="20"/>
                <w:lang w:eastAsia="pt-BR"/>
              </w:rPr>
            </w:pPr>
            <w:r w:rsidRPr="001A0BCE">
              <w:rPr>
                <w:rFonts w:eastAsia="Times New Roman" w:cs="Arial"/>
                <w:color w:val="000000"/>
                <w:szCs w:val="20"/>
                <w:lang w:eastAsia="pt-BR"/>
              </w:rPr>
              <w:t>Não se aplica</w:t>
            </w:r>
          </w:p>
        </w:tc>
      </w:tr>
    </w:tbl>
    <w:p w14:paraId="3D0EA66E" w14:textId="77777777" w:rsidR="004C19ED" w:rsidRPr="001A0BCE" w:rsidRDefault="004C19ED" w:rsidP="004C19ED">
      <w:pPr>
        <w:rPr>
          <w:rFonts w:cs="Arial"/>
          <w:i/>
          <w:szCs w:val="20"/>
        </w:rPr>
      </w:pPr>
      <w:r w:rsidRPr="001A0BCE">
        <w:rPr>
          <w:rFonts w:cs="Arial"/>
          <w:i/>
          <w:szCs w:val="20"/>
        </w:rPr>
        <w:t xml:space="preserve">Fonte: </w:t>
      </w:r>
      <w:r>
        <w:rPr>
          <w:rFonts w:cs="Arial"/>
          <w:i/>
          <w:szCs w:val="20"/>
        </w:rPr>
        <w:t>MCASP</w:t>
      </w:r>
      <w:r w:rsidRPr="001A0BCE">
        <w:rPr>
          <w:rFonts w:cs="Arial"/>
          <w:i/>
          <w:szCs w:val="20"/>
        </w:rPr>
        <w:t>.</w:t>
      </w:r>
    </w:p>
    <w:p w14:paraId="7613ACF0" w14:textId="77777777" w:rsidR="004C19ED" w:rsidRPr="00DE7449" w:rsidRDefault="004C19ED" w:rsidP="004C19ED">
      <w:pPr>
        <w:rPr>
          <w:rFonts w:cs="Arial"/>
          <w:sz w:val="22"/>
        </w:rPr>
      </w:pPr>
    </w:p>
    <w:p w14:paraId="38C539B7" w14:textId="4405A646" w:rsidR="00E27EB1" w:rsidRDefault="00E27EB1" w:rsidP="00E27EB1">
      <w:pPr>
        <w:rPr>
          <w:rFonts w:cs="Arial"/>
          <w:sz w:val="22"/>
        </w:rPr>
      </w:pPr>
      <w:r>
        <w:rPr>
          <w:rFonts w:cs="Arial"/>
          <w:sz w:val="22"/>
        </w:rPr>
        <w:t xml:space="preserve">Na composição dos demais bens móveis, encontra-se inadequadamente, o valor de R$ </w:t>
      </w:r>
      <w:r w:rsidRPr="00807C14">
        <w:rPr>
          <w:rFonts w:cs="Arial"/>
          <w:sz w:val="22"/>
        </w:rPr>
        <w:t>4</w:t>
      </w:r>
      <w:r>
        <w:rPr>
          <w:rFonts w:cs="Arial"/>
          <w:sz w:val="22"/>
        </w:rPr>
        <w:t>.</w:t>
      </w:r>
      <w:r w:rsidRPr="00807C14">
        <w:rPr>
          <w:rFonts w:cs="Arial"/>
          <w:sz w:val="22"/>
        </w:rPr>
        <w:t>630</w:t>
      </w:r>
      <w:r>
        <w:rPr>
          <w:rFonts w:cs="Arial"/>
          <w:sz w:val="22"/>
        </w:rPr>
        <w:t>.</w:t>
      </w:r>
      <w:r w:rsidRPr="00807C14">
        <w:rPr>
          <w:rFonts w:cs="Arial"/>
          <w:sz w:val="22"/>
        </w:rPr>
        <w:t>366,79</w:t>
      </w:r>
      <w:r w:rsidR="003C4156">
        <w:rPr>
          <w:rFonts w:cs="Arial"/>
          <w:sz w:val="22"/>
        </w:rPr>
        <w:t>, que foram transferid</w:t>
      </w:r>
      <w:r w:rsidR="00DB4B3B">
        <w:rPr>
          <w:rFonts w:cs="Arial"/>
          <w:sz w:val="22"/>
        </w:rPr>
        <w:t>o</w:t>
      </w:r>
      <w:r w:rsidR="003C4156">
        <w:rPr>
          <w:rFonts w:cs="Arial"/>
          <w:sz w:val="22"/>
        </w:rPr>
        <w:t>s para bens imóveis a classificar no início de 2022, p</w:t>
      </w:r>
      <w:r>
        <w:rPr>
          <w:rFonts w:cs="Arial"/>
          <w:sz w:val="22"/>
        </w:rPr>
        <w:t>ois são os imóveis onde estão localizados o BDEP e o Núcle</w:t>
      </w:r>
      <w:r w:rsidR="003C4156">
        <w:rPr>
          <w:rFonts w:cs="Arial"/>
          <w:sz w:val="22"/>
        </w:rPr>
        <w:t>o</w:t>
      </w:r>
      <w:r>
        <w:rPr>
          <w:rFonts w:cs="Arial"/>
          <w:sz w:val="22"/>
        </w:rPr>
        <w:t xml:space="preserve"> de Porto Alegre, </w:t>
      </w:r>
      <w:r w:rsidR="003C4156">
        <w:rPr>
          <w:rFonts w:cs="Arial"/>
          <w:sz w:val="22"/>
        </w:rPr>
        <w:t xml:space="preserve">e </w:t>
      </w:r>
      <w:r w:rsidR="00DB4B3B">
        <w:rPr>
          <w:rFonts w:cs="Arial"/>
          <w:sz w:val="22"/>
        </w:rPr>
        <w:t xml:space="preserve">que </w:t>
      </w:r>
      <w:r>
        <w:rPr>
          <w:rFonts w:cs="Arial"/>
          <w:sz w:val="22"/>
        </w:rPr>
        <w:t xml:space="preserve">se encontram em fase de levantamento de informações, após contato inicial com os proprietários dos imóveis correspondentes, aguardando transferência no </w:t>
      </w:r>
      <w:proofErr w:type="spellStart"/>
      <w:r>
        <w:rPr>
          <w:rFonts w:cs="Arial"/>
          <w:sz w:val="22"/>
        </w:rPr>
        <w:t>SPIUnet</w:t>
      </w:r>
      <w:proofErr w:type="spellEnd"/>
      <w:r>
        <w:rPr>
          <w:rFonts w:cs="Arial"/>
          <w:sz w:val="22"/>
        </w:rPr>
        <w:t xml:space="preserve"> e relatórios.</w:t>
      </w:r>
    </w:p>
    <w:p w14:paraId="4EEB6D19" w14:textId="77777777" w:rsidR="00E27EB1" w:rsidRDefault="00E27EB1" w:rsidP="004C19ED">
      <w:pPr>
        <w:rPr>
          <w:rFonts w:cs="Arial"/>
          <w:sz w:val="22"/>
        </w:rPr>
      </w:pPr>
    </w:p>
    <w:p w14:paraId="6BDE715D" w14:textId="59F9602C" w:rsidR="004C19ED" w:rsidRPr="00DE7449" w:rsidRDefault="004C19ED" w:rsidP="004C19ED">
      <w:pPr>
        <w:rPr>
          <w:rFonts w:cs="Arial"/>
          <w:sz w:val="22"/>
        </w:rPr>
      </w:pPr>
      <w:r>
        <w:rPr>
          <w:rFonts w:cs="Arial"/>
          <w:sz w:val="22"/>
        </w:rPr>
        <w:t xml:space="preserve">Atualmente, estamos envidando esforços na implementação do sistema SIADS, para que, ainda durante o primeiro semestre de 2022, o mesmo esteja disponível para uso. Dessa forma, esperamos corrigir as falhas nas contas do RMB da UG 323031 e também proceder a depreciação dos bens </w:t>
      </w:r>
      <w:r w:rsidRPr="00DE7449">
        <w:rPr>
          <w:rFonts w:cs="Arial"/>
          <w:sz w:val="22"/>
        </w:rPr>
        <w:t>adquiridos anteriormente ao ano de 2010</w:t>
      </w:r>
      <w:r>
        <w:rPr>
          <w:rFonts w:cs="Arial"/>
          <w:sz w:val="22"/>
        </w:rPr>
        <w:t>, além da reavaliação d</w:t>
      </w:r>
      <w:r w:rsidRPr="00DE7449">
        <w:rPr>
          <w:rFonts w:cs="Arial"/>
          <w:sz w:val="22"/>
        </w:rPr>
        <w:t>os bens que já se encontram totalmente depreciados ou registrados por valor simbólico devido ao feito monetário do plano real</w:t>
      </w:r>
      <w:r>
        <w:rPr>
          <w:rFonts w:cs="Arial"/>
          <w:sz w:val="22"/>
        </w:rPr>
        <w:t xml:space="preserve"> (1994). </w:t>
      </w:r>
    </w:p>
    <w:p w14:paraId="4FAFF87E" w14:textId="77777777" w:rsidR="004C19ED" w:rsidRDefault="004C19ED" w:rsidP="004C19ED">
      <w:pPr>
        <w:rPr>
          <w:rFonts w:cs="Arial"/>
          <w:b/>
          <w:sz w:val="22"/>
        </w:rPr>
      </w:pPr>
    </w:p>
    <w:p w14:paraId="2CDCCF6B" w14:textId="77777777" w:rsidR="004C19ED" w:rsidRPr="0037110A" w:rsidRDefault="004C19ED" w:rsidP="004C19ED">
      <w:pPr>
        <w:spacing w:after="160" w:line="259" w:lineRule="auto"/>
        <w:jc w:val="left"/>
        <w:rPr>
          <w:rFonts w:cs="Arial"/>
          <w:b/>
          <w:sz w:val="22"/>
        </w:rPr>
      </w:pPr>
      <w:r>
        <w:rPr>
          <w:rFonts w:cs="Arial"/>
          <w:b/>
          <w:sz w:val="22"/>
        </w:rPr>
        <w:br w:type="page"/>
      </w:r>
      <w:r>
        <w:rPr>
          <w:rFonts w:cs="Arial"/>
          <w:b/>
          <w:sz w:val="22"/>
        </w:rPr>
        <w:lastRenderedPageBreak/>
        <w:t xml:space="preserve">3.2 </w:t>
      </w:r>
      <w:r w:rsidRPr="0037110A">
        <w:rPr>
          <w:rFonts w:cs="Arial"/>
          <w:b/>
          <w:sz w:val="22"/>
        </w:rPr>
        <w:t>Bens Imóveis</w:t>
      </w:r>
    </w:p>
    <w:p w14:paraId="2E0E06F3" w14:textId="77777777" w:rsidR="004C19ED" w:rsidRPr="0037110A" w:rsidRDefault="004C19ED" w:rsidP="004C19ED">
      <w:pPr>
        <w:rPr>
          <w:rFonts w:cs="Arial"/>
          <w:sz w:val="22"/>
        </w:rPr>
      </w:pPr>
    </w:p>
    <w:p w14:paraId="6B2D7244" w14:textId="77777777" w:rsidR="004C19ED" w:rsidRPr="0037110A" w:rsidRDefault="004C19ED" w:rsidP="004C19ED">
      <w:pPr>
        <w:rPr>
          <w:rFonts w:cs="Arial"/>
          <w:sz w:val="22"/>
        </w:rPr>
      </w:pPr>
      <w:r w:rsidRPr="0037110A">
        <w:rPr>
          <w:rFonts w:cs="Arial"/>
          <w:sz w:val="22"/>
        </w:rPr>
        <w:t>Os Bens Imóveis da AN</w:t>
      </w:r>
      <w:r>
        <w:rPr>
          <w:rFonts w:cs="Arial"/>
          <w:sz w:val="22"/>
        </w:rPr>
        <w:t>P</w:t>
      </w:r>
      <w:r w:rsidRPr="0037110A">
        <w:rPr>
          <w:rFonts w:cs="Arial"/>
          <w:sz w:val="22"/>
        </w:rPr>
        <w:t xml:space="preserve"> em 3</w:t>
      </w:r>
      <w:r>
        <w:rPr>
          <w:rFonts w:cs="Arial"/>
          <w:sz w:val="22"/>
        </w:rPr>
        <w:t>1</w:t>
      </w:r>
      <w:r w:rsidRPr="0037110A">
        <w:rPr>
          <w:rFonts w:cs="Arial"/>
          <w:sz w:val="22"/>
        </w:rPr>
        <w:t>/</w:t>
      </w:r>
      <w:r>
        <w:rPr>
          <w:rFonts w:cs="Arial"/>
          <w:sz w:val="22"/>
        </w:rPr>
        <w:t>12</w:t>
      </w:r>
      <w:r w:rsidRPr="0037110A">
        <w:rPr>
          <w:rFonts w:cs="Arial"/>
          <w:sz w:val="22"/>
        </w:rPr>
        <w:t>/20</w:t>
      </w:r>
      <w:r>
        <w:rPr>
          <w:rFonts w:cs="Arial"/>
          <w:sz w:val="22"/>
        </w:rPr>
        <w:t>21</w:t>
      </w:r>
      <w:r w:rsidRPr="0037110A">
        <w:rPr>
          <w:rFonts w:cs="Arial"/>
          <w:sz w:val="22"/>
        </w:rPr>
        <w:t xml:space="preserve"> totalizavam </w:t>
      </w:r>
      <w:r>
        <w:rPr>
          <w:rFonts w:cs="Arial"/>
          <w:sz w:val="22"/>
        </w:rPr>
        <w:t xml:space="preserve">pouco mais </w:t>
      </w:r>
      <w:r w:rsidRPr="009B02B1">
        <w:rPr>
          <w:rFonts w:cs="Arial"/>
          <w:sz w:val="22"/>
        </w:rPr>
        <w:t>de R$ 132 milhões</w:t>
      </w:r>
      <w:r>
        <w:rPr>
          <w:rFonts w:cs="Arial"/>
          <w:sz w:val="22"/>
        </w:rPr>
        <w:t xml:space="preserve"> e </w:t>
      </w:r>
      <w:r w:rsidRPr="0037110A">
        <w:rPr>
          <w:rFonts w:cs="Arial"/>
          <w:sz w:val="22"/>
        </w:rPr>
        <w:t>estão distribuídos nas contas contábeis demonstradas na tabela a seguir.</w:t>
      </w:r>
    </w:p>
    <w:p w14:paraId="49857A50" w14:textId="77777777" w:rsidR="004C19ED" w:rsidRPr="0037110A" w:rsidRDefault="004C19ED" w:rsidP="004C19ED">
      <w:pPr>
        <w:rPr>
          <w:rFonts w:cs="Arial"/>
          <w:b/>
          <w:sz w:val="22"/>
        </w:rPr>
      </w:pPr>
    </w:p>
    <w:p w14:paraId="20B22036" w14:textId="77777777" w:rsidR="004C19ED" w:rsidRDefault="004C19ED" w:rsidP="004C19ED">
      <w:pPr>
        <w:rPr>
          <w:rFonts w:cs="Arial"/>
          <w:b/>
          <w:sz w:val="22"/>
        </w:rPr>
      </w:pPr>
      <w:r w:rsidRPr="00E65DFE">
        <w:rPr>
          <w:rFonts w:cs="Arial"/>
          <w:b/>
          <w:sz w:val="22"/>
        </w:rPr>
        <w:t xml:space="preserve">Tabela </w:t>
      </w:r>
      <w:r>
        <w:rPr>
          <w:rFonts w:cs="Arial"/>
          <w:b/>
          <w:sz w:val="22"/>
        </w:rPr>
        <w:t xml:space="preserve">8 </w:t>
      </w:r>
      <w:r w:rsidRPr="0037110A">
        <w:rPr>
          <w:rFonts w:cs="Arial"/>
          <w:b/>
          <w:sz w:val="22"/>
        </w:rPr>
        <w:t xml:space="preserve">– Bens Imóveis </w:t>
      </w:r>
      <w:r>
        <w:rPr>
          <w:rFonts w:cs="Arial"/>
          <w:b/>
          <w:sz w:val="22"/>
        </w:rPr>
        <w:t>–</w:t>
      </w:r>
      <w:r w:rsidRPr="0037110A">
        <w:rPr>
          <w:rFonts w:cs="Arial"/>
          <w:b/>
          <w:sz w:val="22"/>
        </w:rPr>
        <w:t xml:space="preserve"> Composição</w:t>
      </w:r>
      <w:r>
        <w:rPr>
          <w:rFonts w:cs="Arial"/>
          <w:b/>
          <w:sz w:val="22"/>
        </w:rPr>
        <w:t>.</w:t>
      </w:r>
    </w:p>
    <w:p w14:paraId="6C8A8697" w14:textId="77777777" w:rsidR="004C19ED" w:rsidRDefault="004C19ED" w:rsidP="004C19ED">
      <w:pPr>
        <w:rPr>
          <w:rFonts w:cs="Arial"/>
          <w:sz w:val="22"/>
        </w:rPr>
      </w:pPr>
      <w:r>
        <w:rPr>
          <w:rFonts w:cs="Arial"/>
          <w:sz w:val="22"/>
        </w:rPr>
        <w:t xml:space="preserve">                                                                                                                                          </w:t>
      </w:r>
      <w:r w:rsidRPr="001C614B">
        <w:rPr>
          <w:rFonts w:cs="Arial"/>
          <w:sz w:val="22"/>
        </w:rPr>
        <w:t>R$</w:t>
      </w:r>
    </w:p>
    <w:tbl>
      <w:tblPr>
        <w:tblW w:w="9155" w:type="dxa"/>
        <w:tblCellMar>
          <w:left w:w="70" w:type="dxa"/>
          <w:right w:w="70" w:type="dxa"/>
        </w:tblCellMar>
        <w:tblLook w:val="04A0" w:firstRow="1" w:lastRow="0" w:firstColumn="1" w:lastColumn="0" w:noHBand="0" w:noVBand="1"/>
      </w:tblPr>
      <w:tblGrid>
        <w:gridCol w:w="4981"/>
        <w:gridCol w:w="1531"/>
        <w:gridCol w:w="1531"/>
        <w:gridCol w:w="1112"/>
      </w:tblGrid>
      <w:tr w:rsidR="004C19ED" w:rsidRPr="009E71B9" w14:paraId="305CF517" w14:textId="77777777" w:rsidTr="003E2CCD">
        <w:trPr>
          <w:trHeight w:val="269"/>
        </w:trPr>
        <w:tc>
          <w:tcPr>
            <w:tcW w:w="4981" w:type="dxa"/>
            <w:tcBorders>
              <w:top w:val="single" w:sz="4" w:space="0" w:color="000000"/>
              <w:left w:val="nil"/>
              <w:bottom w:val="single" w:sz="4" w:space="0" w:color="000000"/>
              <w:right w:val="nil"/>
            </w:tcBorders>
            <w:shd w:val="clear" w:color="auto" w:fill="auto"/>
            <w:noWrap/>
            <w:vAlign w:val="bottom"/>
            <w:hideMark/>
          </w:tcPr>
          <w:p w14:paraId="195A39EE" w14:textId="77777777" w:rsidR="004C19ED" w:rsidRPr="009E71B9" w:rsidRDefault="004C19ED" w:rsidP="003E2CCD">
            <w:pPr>
              <w:jc w:val="left"/>
              <w:rPr>
                <w:rFonts w:eastAsia="Times New Roman" w:cs="Arial"/>
                <w:b/>
                <w:bCs/>
                <w:color w:val="FFFFFF"/>
                <w:szCs w:val="20"/>
                <w:lang w:eastAsia="pt-BR"/>
              </w:rPr>
            </w:pPr>
            <w:r w:rsidRPr="009E71B9">
              <w:rPr>
                <w:rFonts w:eastAsia="Times New Roman" w:cs="Arial"/>
                <w:b/>
                <w:bCs/>
                <w:color w:val="FFFFFF"/>
                <w:szCs w:val="20"/>
                <w:lang w:eastAsia="pt-BR"/>
              </w:rPr>
              <w:t>Colunas1</w:t>
            </w:r>
          </w:p>
        </w:tc>
        <w:tc>
          <w:tcPr>
            <w:tcW w:w="1531" w:type="dxa"/>
            <w:tcBorders>
              <w:top w:val="single" w:sz="4" w:space="0" w:color="000000"/>
              <w:left w:val="nil"/>
              <w:bottom w:val="single" w:sz="4" w:space="0" w:color="000000"/>
              <w:right w:val="nil"/>
            </w:tcBorders>
            <w:shd w:val="clear" w:color="auto" w:fill="auto"/>
            <w:noWrap/>
            <w:vAlign w:val="bottom"/>
            <w:hideMark/>
          </w:tcPr>
          <w:p w14:paraId="356D28AB" w14:textId="77777777" w:rsidR="004C19ED" w:rsidRPr="009E71B9" w:rsidRDefault="004C19ED" w:rsidP="003E2CCD">
            <w:pPr>
              <w:jc w:val="right"/>
              <w:rPr>
                <w:rFonts w:eastAsia="Times New Roman" w:cs="Arial"/>
                <w:b/>
                <w:bCs/>
                <w:color w:val="000000"/>
                <w:szCs w:val="20"/>
                <w:lang w:eastAsia="pt-BR"/>
              </w:rPr>
            </w:pPr>
            <w:r w:rsidRPr="009E71B9">
              <w:rPr>
                <w:rFonts w:eastAsia="Times New Roman" w:cs="Arial"/>
                <w:b/>
                <w:bCs/>
                <w:color w:val="000000"/>
                <w:szCs w:val="20"/>
                <w:lang w:eastAsia="pt-BR"/>
              </w:rPr>
              <w:t>3</w:t>
            </w:r>
            <w:r>
              <w:rPr>
                <w:rFonts w:eastAsia="Times New Roman" w:cs="Arial"/>
                <w:b/>
                <w:bCs/>
                <w:color w:val="000000"/>
                <w:szCs w:val="20"/>
                <w:lang w:eastAsia="pt-BR"/>
              </w:rPr>
              <w:t>1</w:t>
            </w:r>
            <w:r w:rsidRPr="009E71B9">
              <w:rPr>
                <w:rFonts w:eastAsia="Times New Roman" w:cs="Arial"/>
                <w:b/>
                <w:bCs/>
                <w:color w:val="000000"/>
                <w:szCs w:val="20"/>
                <w:lang w:eastAsia="pt-BR"/>
              </w:rPr>
              <w:t>/</w:t>
            </w:r>
            <w:r>
              <w:rPr>
                <w:rFonts w:eastAsia="Times New Roman" w:cs="Arial"/>
                <w:b/>
                <w:bCs/>
                <w:color w:val="000000"/>
                <w:szCs w:val="20"/>
                <w:lang w:eastAsia="pt-BR"/>
              </w:rPr>
              <w:t>12</w:t>
            </w:r>
            <w:r w:rsidRPr="009E71B9">
              <w:rPr>
                <w:rFonts w:eastAsia="Times New Roman" w:cs="Arial"/>
                <w:b/>
                <w:bCs/>
                <w:color w:val="000000"/>
                <w:szCs w:val="20"/>
                <w:lang w:eastAsia="pt-BR"/>
              </w:rPr>
              <w:t>/20</w:t>
            </w:r>
            <w:r>
              <w:rPr>
                <w:rFonts w:eastAsia="Times New Roman" w:cs="Arial"/>
                <w:b/>
                <w:bCs/>
                <w:color w:val="000000"/>
                <w:szCs w:val="20"/>
                <w:lang w:eastAsia="pt-BR"/>
              </w:rPr>
              <w:t>21</w:t>
            </w:r>
          </w:p>
        </w:tc>
        <w:tc>
          <w:tcPr>
            <w:tcW w:w="1531" w:type="dxa"/>
            <w:tcBorders>
              <w:top w:val="single" w:sz="4" w:space="0" w:color="000000"/>
              <w:left w:val="nil"/>
              <w:bottom w:val="single" w:sz="4" w:space="0" w:color="000000"/>
              <w:right w:val="nil"/>
            </w:tcBorders>
            <w:shd w:val="clear" w:color="auto" w:fill="auto"/>
            <w:noWrap/>
            <w:vAlign w:val="bottom"/>
            <w:hideMark/>
          </w:tcPr>
          <w:p w14:paraId="37BDED5B" w14:textId="77777777" w:rsidR="004C19ED" w:rsidRPr="009E71B9" w:rsidRDefault="004C19ED" w:rsidP="003E2CCD">
            <w:pPr>
              <w:jc w:val="right"/>
              <w:rPr>
                <w:rFonts w:eastAsia="Times New Roman" w:cs="Arial"/>
                <w:b/>
                <w:bCs/>
                <w:color w:val="000000"/>
                <w:szCs w:val="20"/>
                <w:lang w:eastAsia="pt-BR"/>
              </w:rPr>
            </w:pPr>
            <w:r w:rsidRPr="009E71B9">
              <w:rPr>
                <w:rFonts w:eastAsia="Times New Roman" w:cs="Arial"/>
                <w:b/>
                <w:bCs/>
                <w:color w:val="000000"/>
                <w:szCs w:val="20"/>
                <w:lang w:eastAsia="pt-BR"/>
              </w:rPr>
              <w:t>31/12/20</w:t>
            </w:r>
            <w:r>
              <w:rPr>
                <w:rFonts w:eastAsia="Times New Roman" w:cs="Arial"/>
                <w:b/>
                <w:bCs/>
                <w:color w:val="000000"/>
                <w:szCs w:val="20"/>
                <w:lang w:eastAsia="pt-BR"/>
              </w:rPr>
              <w:t>20</w:t>
            </w:r>
          </w:p>
        </w:tc>
        <w:tc>
          <w:tcPr>
            <w:tcW w:w="1112" w:type="dxa"/>
            <w:tcBorders>
              <w:top w:val="single" w:sz="4" w:space="0" w:color="000000"/>
              <w:left w:val="nil"/>
              <w:bottom w:val="single" w:sz="4" w:space="0" w:color="000000"/>
              <w:right w:val="nil"/>
            </w:tcBorders>
            <w:shd w:val="clear" w:color="auto" w:fill="auto"/>
            <w:noWrap/>
            <w:vAlign w:val="bottom"/>
            <w:hideMark/>
          </w:tcPr>
          <w:p w14:paraId="0C478F9B" w14:textId="77777777" w:rsidR="004C19ED" w:rsidRPr="009E71B9" w:rsidRDefault="004C19ED" w:rsidP="003E2CCD">
            <w:pPr>
              <w:jc w:val="right"/>
              <w:rPr>
                <w:rFonts w:eastAsia="Times New Roman" w:cs="Arial"/>
                <w:b/>
                <w:bCs/>
                <w:color w:val="000000"/>
                <w:szCs w:val="20"/>
                <w:lang w:eastAsia="pt-BR"/>
              </w:rPr>
            </w:pPr>
            <w:r w:rsidRPr="009E71B9">
              <w:rPr>
                <w:rFonts w:eastAsia="Times New Roman" w:cs="Arial"/>
                <w:b/>
                <w:bCs/>
                <w:color w:val="000000"/>
                <w:szCs w:val="20"/>
                <w:lang w:eastAsia="pt-BR"/>
              </w:rPr>
              <w:t>AH (%)</w:t>
            </w:r>
          </w:p>
        </w:tc>
      </w:tr>
      <w:tr w:rsidR="004C19ED" w:rsidRPr="009E71B9" w14:paraId="4E4A7EBB" w14:textId="77777777" w:rsidTr="003E2CCD">
        <w:trPr>
          <w:trHeight w:val="269"/>
        </w:trPr>
        <w:tc>
          <w:tcPr>
            <w:tcW w:w="4981" w:type="dxa"/>
            <w:tcBorders>
              <w:top w:val="nil"/>
              <w:left w:val="nil"/>
              <w:bottom w:val="nil"/>
              <w:right w:val="nil"/>
            </w:tcBorders>
            <w:shd w:val="clear" w:color="000000" w:fill="D9D9D9"/>
            <w:vAlign w:val="center"/>
            <w:hideMark/>
          </w:tcPr>
          <w:p w14:paraId="79334DA4" w14:textId="77777777" w:rsidR="004C19ED" w:rsidRPr="009E71B9" w:rsidRDefault="004C19ED" w:rsidP="003E2CCD">
            <w:pPr>
              <w:jc w:val="left"/>
              <w:rPr>
                <w:rFonts w:eastAsia="Times New Roman" w:cs="Arial"/>
                <w:color w:val="000000"/>
                <w:szCs w:val="20"/>
                <w:lang w:eastAsia="pt-BR"/>
              </w:rPr>
            </w:pPr>
            <w:r w:rsidRPr="009E71B9">
              <w:rPr>
                <w:rFonts w:eastAsia="Times New Roman" w:cs="Arial"/>
                <w:color w:val="000000"/>
                <w:szCs w:val="20"/>
                <w:lang w:eastAsia="pt-BR"/>
              </w:rPr>
              <w:t xml:space="preserve">Bens </w:t>
            </w:r>
            <w:r>
              <w:rPr>
                <w:rFonts w:eastAsia="Times New Roman" w:cs="Arial"/>
                <w:color w:val="000000"/>
                <w:szCs w:val="20"/>
                <w:lang w:eastAsia="pt-BR"/>
              </w:rPr>
              <w:t>d</w:t>
            </w:r>
            <w:r w:rsidRPr="009E71B9">
              <w:rPr>
                <w:rFonts w:eastAsia="Times New Roman" w:cs="Arial"/>
                <w:color w:val="000000"/>
                <w:szCs w:val="20"/>
                <w:lang w:eastAsia="pt-BR"/>
              </w:rPr>
              <w:t xml:space="preserve">e </w:t>
            </w:r>
            <w:r>
              <w:rPr>
                <w:rFonts w:eastAsia="Times New Roman" w:cs="Arial"/>
                <w:color w:val="000000"/>
                <w:szCs w:val="20"/>
                <w:lang w:eastAsia="pt-BR"/>
              </w:rPr>
              <w:t>U</w:t>
            </w:r>
            <w:r w:rsidRPr="009E71B9">
              <w:rPr>
                <w:rFonts w:eastAsia="Times New Roman" w:cs="Arial"/>
                <w:color w:val="000000"/>
                <w:szCs w:val="20"/>
                <w:lang w:eastAsia="pt-BR"/>
              </w:rPr>
              <w:t xml:space="preserve">so Especial Registrados </w:t>
            </w:r>
            <w:r>
              <w:rPr>
                <w:rFonts w:eastAsia="Times New Roman" w:cs="Arial"/>
                <w:color w:val="000000"/>
                <w:szCs w:val="20"/>
                <w:lang w:eastAsia="pt-BR"/>
              </w:rPr>
              <w:t>n</w:t>
            </w:r>
            <w:r w:rsidRPr="009E71B9">
              <w:rPr>
                <w:rFonts w:eastAsia="Times New Roman" w:cs="Arial"/>
                <w:color w:val="000000"/>
                <w:szCs w:val="20"/>
                <w:lang w:eastAsia="pt-BR"/>
              </w:rPr>
              <w:t xml:space="preserve">o </w:t>
            </w:r>
            <w:proofErr w:type="spellStart"/>
            <w:r w:rsidRPr="009E71B9">
              <w:rPr>
                <w:rFonts w:eastAsia="Times New Roman" w:cs="Arial"/>
                <w:color w:val="000000"/>
                <w:szCs w:val="20"/>
                <w:lang w:eastAsia="pt-BR"/>
              </w:rPr>
              <w:t>Spiunet</w:t>
            </w:r>
            <w:proofErr w:type="spellEnd"/>
          </w:p>
        </w:tc>
        <w:tc>
          <w:tcPr>
            <w:tcW w:w="1531" w:type="dxa"/>
            <w:tcBorders>
              <w:top w:val="nil"/>
              <w:left w:val="nil"/>
              <w:bottom w:val="nil"/>
              <w:right w:val="nil"/>
            </w:tcBorders>
            <w:shd w:val="clear" w:color="D9D9D9" w:fill="D9D9D9"/>
            <w:noWrap/>
            <w:vAlign w:val="bottom"/>
          </w:tcPr>
          <w:p w14:paraId="4036880F" w14:textId="77777777" w:rsidR="004C19ED" w:rsidRPr="009E71B9" w:rsidRDefault="004C19ED" w:rsidP="003E2CCD">
            <w:pPr>
              <w:jc w:val="right"/>
              <w:rPr>
                <w:rFonts w:eastAsia="Times New Roman" w:cs="Arial"/>
                <w:color w:val="000000"/>
                <w:szCs w:val="20"/>
                <w:lang w:eastAsia="pt-BR"/>
              </w:rPr>
            </w:pPr>
            <w:r w:rsidRPr="00214D7F">
              <w:rPr>
                <w:rFonts w:eastAsia="Times New Roman" w:cs="Arial"/>
                <w:color w:val="000000"/>
                <w:szCs w:val="20"/>
                <w:lang w:eastAsia="pt-BR"/>
              </w:rPr>
              <w:t>133</w:t>
            </w:r>
            <w:r>
              <w:rPr>
                <w:rFonts w:eastAsia="Times New Roman" w:cs="Arial"/>
                <w:color w:val="000000"/>
                <w:szCs w:val="20"/>
                <w:lang w:eastAsia="pt-BR"/>
              </w:rPr>
              <w:t>.</w:t>
            </w:r>
            <w:r w:rsidRPr="00214D7F">
              <w:rPr>
                <w:rFonts w:eastAsia="Times New Roman" w:cs="Arial"/>
                <w:color w:val="000000"/>
                <w:szCs w:val="20"/>
                <w:lang w:eastAsia="pt-BR"/>
              </w:rPr>
              <w:t>435</w:t>
            </w:r>
            <w:r>
              <w:rPr>
                <w:rFonts w:eastAsia="Times New Roman" w:cs="Arial"/>
                <w:color w:val="000000"/>
                <w:szCs w:val="20"/>
                <w:lang w:eastAsia="pt-BR"/>
              </w:rPr>
              <w:t>.</w:t>
            </w:r>
            <w:r w:rsidRPr="00214D7F">
              <w:rPr>
                <w:rFonts w:eastAsia="Times New Roman" w:cs="Arial"/>
                <w:color w:val="000000"/>
                <w:szCs w:val="20"/>
                <w:lang w:eastAsia="pt-BR"/>
              </w:rPr>
              <w:t>761,43</w:t>
            </w:r>
          </w:p>
        </w:tc>
        <w:tc>
          <w:tcPr>
            <w:tcW w:w="1531" w:type="dxa"/>
            <w:tcBorders>
              <w:top w:val="nil"/>
              <w:left w:val="nil"/>
              <w:bottom w:val="nil"/>
              <w:right w:val="nil"/>
            </w:tcBorders>
            <w:shd w:val="clear" w:color="D9D9D9" w:fill="D9D9D9"/>
            <w:noWrap/>
            <w:vAlign w:val="bottom"/>
          </w:tcPr>
          <w:p w14:paraId="070E8E7B" w14:textId="77777777" w:rsidR="004C19ED" w:rsidRPr="009E71B9" w:rsidRDefault="004C19ED" w:rsidP="003E2CCD">
            <w:pPr>
              <w:jc w:val="right"/>
              <w:rPr>
                <w:rFonts w:eastAsia="Times New Roman" w:cs="Arial"/>
                <w:color w:val="000000"/>
                <w:szCs w:val="20"/>
                <w:lang w:eastAsia="pt-BR"/>
              </w:rPr>
            </w:pPr>
            <w:r w:rsidRPr="003B7E32">
              <w:rPr>
                <w:rFonts w:eastAsia="Times New Roman" w:cs="Arial"/>
                <w:color w:val="000000"/>
                <w:szCs w:val="20"/>
                <w:lang w:eastAsia="pt-BR"/>
              </w:rPr>
              <w:t>132</w:t>
            </w:r>
            <w:r>
              <w:rPr>
                <w:rFonts w:eastAsia="Times New Roman" w:cs="Arial"/>
                <w:color w:val="000000"/>
                <w:szCs w:val="20"/>
                <w:lang w:eastAsia="pt-BR"/>
              </w:rPr>
              <w:t>.</w:t>
            </w:r>
            <w:r w:rsidRPr="003B7E32">
              <w:rPr>
                <w:rFonts w:eastAsia="Times New Roman" w:cs="Arial"/>
                <w:color w:val="000000"/>
                <w:szCs w:val="20"/>
                <w:lang w:eastAsia="pt-BR"/>
              </w:rPr>
              <w:t>986</w:t>
            </w:r>
            <w:r>
              <w:rPr>
                <w:rFonts w:eastAsia="Times New Roman" w:cs="Arial"/>
                <w:color w:val="000000"/>
                <w:szCs w:val="20"/>
                <w:lang w:eastAsia="pt-BR"/>
              </w:rPr>
              <w:t>.</w:t>
            </w:r>
            <w:r w:rsidRPr="003B7E32">
              <w:rPr>
                <w:rFonts w:eastAsia="Times New Roman" w:cs="Arial"/>
                <w:color w:val="000000"/>
                <w:szCs w:val="20"/>
                <w:lang w:eastAsia="pt-BR"/>
              </w:rPr>
              <w:t>779,85</w:t>
            </w:r>
          </w:p>
        </w:tc>
        <w:tc>
          <w:tcPr>
            <w:tcW w:w="1112" w:type="dxa"/>
            <w:tcBorders>
              <w:top w:val="nil"/>
              <w:left w:val="nil"/>
              <w:bottom w:val="nil"/>
              <w:right w:val="nil"/>
            </w:tcBorders>
            <w:shd w:val="clear" w:color="D9D9D9" w:fill="D9D9D9"/>
            <w:noWrap/>
            <w:vAlign w:val="bottom"/>
            <w:hideMark/>
          </w:tcPr>
          <w:p w14:paraId="547CAECB" w14:textId="77777777" w:rsidR="004C19ED" w:rsidRPr="009E71B9"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r w:rsidRPr="009E71B9">
              <w:rPr>
                <w:rFonts w:eastAsia="Times New Roman" w:cs="Arial"/>
                <w:color w:val="000000"/>
                <w:szCs w:val="20"/>
                <w:lang w:eastAsia="pt-BR"/>
              </w:rPr>
              <w:t>,</w:t>
            </w:r>
            <w:r>
              <w:rPr>
                <w:rFonts w:eastAsia="Times New Roman" w:cs="Arial"/>
                <w:color w:val="000000"/>
                <w:szCs w:val="20"/>
                <w:lang w:eastAsia="pt-BR"/>
              </w:rPr>
              <w:t>34</w:t>
            </w:r>
          </w:p>
        </w:tc>
      </w:tr>
      <w:tr w:rsidR="004C19ED" w:rsidRPr="009E71B9" w14:paraId="01CD8105" w14:textId="77777777" w:rsidTr="003E2CCD">
        <w:trPr>
          <w:trHeight w:val="269"/>
        </w:trPr>
        <w:tc>
          <w:tcPr>
            <w:tcW w:w="4981" w:type="dxa"/>
            <w:tcBorders>
              <w:top w:val="nil"/>
              <w:left w:val="nil"/>
              <w:bottom w:val="nil"/>
              <w:right w:val="nil"/>
            </w:tcBorders>
            <w:shd w:val="clear" w:color="auto" w:fill="auto"/>
            <w:vAlign w:val="center"/>
          </w:tcPr>
          <w:p w14:paraId="1AECB5BC" w14:textId="77777777" w:rsidR="004C19ED" w:rsidRPr="009E71B9" w:rsidRDefault="004C19ED" w:rsidP="003E2CCD">
            <w:pPr>
              <w:jc w:val="left"/>
              <w:rPr>
                <w:rFonts w:eastAsia="Times New Roman" w:cs="Arial"/>
                <w:color w:val="000000"/>
                <w:szCs w:val="20"/>
                <w:lang w:eastAsia="pt-BR"/>
              </w:rPr>
            </w:pPr>
            <w:r>
              <w:rPr>
                <w:rFonts w:eastAsia="Times New Roman" w:cs="Arial"/>
                <w:color w:val="000000"/>
                <w:szCs w:val="20"/>
                <w:lang w:eastAsia="pt-BR"/>
              </w:rPr>
              <w:t>Bens Imóveis em Andamento</w:t>
            </w:r>
          </w:p>
        </w:tc>
        <w:tc>
          <w:tcPr>
            <w:tcW w:w="1531" w:type="dxa"/>
            <w:tcBorders>
              <w:top w:val="nil"/>
              <w:left w:val="nil"/>
              <w:bottom w:val="nil"/>
              <w:right w:val="nil"/>
            </w:tcBorders>
            <w:shd w:val="clear" w:color="auto" w:fill="auto"/>
            <w:noWrap/>
            <w:vAlign w:val="bottom"/>
          </w:tcPr>
          <w:p w14:paraId="0604B30F" w14:textId="77777777" w:rsidR="004C19ED" w:rsidRPr="009E71B9" w:rsidRDefault="004C19ED" w:rsidP="003E2CCD">
            <w:pPr>
              <w:jc w:val="right"/>
              <w:rPr>
                <w:rFonts w:eastAsia="Times New Roman" w:cs="Arial"/>
                <w:color w:val="000000"/>
                <w:szCs w:val="20"/>
                <w:lang w:eastAsia="pt-BR"/>
              </w:rPr>
            </w:pPr>
            <w:r>
              <w:rPr>
                <w:rFonts w:eastAsia="Times New Roman" w:cs="Arial"/>
                <w:color w:val="000000"/>
                <w:szCs w:val="20"/>
                <w:lang w:eastAsia="pt-BR"/>
              </w:rPr>
              <w:t>17.700,00</w:t>
            </w:r>
          </w:p>
        </w:tc>
        <w:tc>
          <w:tcPr>
            <w:tcW w:w="1531" w:type="dxa"/>
            <w:tcBorders>
              <w:top w:val="nil"/>
              <w:left w:val="nil"/>
              <w:bottom w:val="nil"/>
              <w:right w:val="nil"/>
            </w:tcBorders>
            <w:shd w:val="clear" w:color="auto" w:fill="auto"/>
            <w:noWrap/>
            <w:vAlign w:val="bottom"/>
          </w:tcPr>
          <w:p w14:paraId="7D55FE0B" w14:textId="77777777" w:rsidR="004C19ED" w:rsidRPr="009E71B9" w:rsidRDefault="004C19ED" w:rsidP="003E2CCD">
            <w:pPr>
              <w:jc w:val="right"/>
              <w:rPr>
                <w:rFonts w:eastAsia="Times New Roman" w:cs="Arial"/>
                <w:color w:val="000000"/>
                <w:szCs w:val="20"/>
                <w:lang w:eastAsia="pt-BR"/>
              </w:rPr>
            </w:pPr>
            <w:r>
              <w:rPr>
                <w:rFonts w:eastAsia="Times New Roman" w:cs="Arial"/>
                <w:color w:val="000000"/>
                <w:szCs w:val="20"/>
                <w:lang w:eastAsia="pt-BR"/>
              </w:rPr>
              <w:t>1200,00</w:t>
            </w:r>
          </w:p>
        </w:tc>
        <w:tc>
          <w:tcPr>
            <w:tcW w:w="1112" w:type="dxa"/>
            <w:tcBorders>
              <w:top w:val="nil"/>
              <w:left w:val="nil"/>
              <w:bottom w:val="nil"/>
              <w:right w:val="nil"/>
            </w:tcBorders>
            <w:shd w:val="clear" w:color="auto" w:fill="auto"/>
            <w:noWrap/>
            <w:vAlign w:val="bottom"/>
          </w:tcPr>
          <w:p w14:paraId="66FFE3A8" w14:textId="77777777" w:rsidR="004C19ED" w:rsidRPr="009E71B9" w:rsidRDefault="004C19ED" w:rsidP="003E2CCD">
            <w:pPr>
              <w:jc w:val="right"/>
              <w:rPr>
                <w:rFonts w:eastAsia="Times New Roman" w:cs="Arial"/>
                <w:color w:val="000000"/>
                <w:szCs w:val="20"/>
                <w:lang w:eastAsia="pt-BR"/>
              </w:rPr>
            </w:pPr>
            <w:r>
              <w:rPr>
                <w:rFonts w:eastAsia="Times New Roman" w:cs="Arial"/>
                <w:color w:val="000000"/>
                <w:szCs w:val="20"/>
                <w:lang w:eastAsia="pt-BR"/>
              </w:rPr>
              <w:t>1375,00</w:t>
            </w:r>
          </w:p>
        </w:tc>
      </w:tr>
      <w:tr w:rsidR="004C19ED" w:rsidRPr="009E71B9" w14:paraId="3CD336F5" w14:textId="77777777" w:rsidTr="003E2CCD">
        <w:trPr>
          <w:trHeight w:val="269"/>
        </w:trPr>
        <w:tc>
          <w:tcPr>
            <w:tcW w:w="4981" w:type="dxa"/>
            <w:tcBorders>
              <w:top w:val="nil"/>
              <w:left w:val="nil"/>
              <w:bottom w:val="nil"/>
              <w:right w:val="nil"/>
            </w:tcBorders>
            <w:shd w:val="clear" w:color="auto" w:fill="D9D9D9" w:themeFill="background1" w:themeFillShade="D9"/>
            <w:vAlign w:val="center"/>
            <w:hideMark/>
          </w:tcPr>
          <w:p w14:paraId="43DB6041" w14:textId="77777777" w:rsidR="004C19ED" w:rsidRPr="009E71B9" w:rsidRDefault="004C19ED" w:rsidP="003E2CCD">
            <w:pPr>
              <w:jc w:val="left"/>
              <w:rPr>
                <w:rFonts w:eastAsia="Times New Roman" w:cs="Arial"/>
                <w:color w:val="000000"/>
                <w:szCs w:val="20"/>
                <w:lang w:eastAsia="pt-BR"/>
              </w:rPr>
            </w:pPr>
            <w:r w:rsidRPr="009E71B9">
              <w:rPr>
                <w:rFonts w:eastAsia="Times New Roman" w:cs="Arial"/>
                <w:color w:val="000000"/>
                <w:szCs w:val="20"/>
                <w:lang w:eastAsia="pt-BR"/>
              </w:rPr>
              <w:t xml:space="preserve">Benfeitorias </w:t>
            </w:r>
            <w:r>
              <w:rPr>
                <w:rFonts w:eastAsia="Times New Roman" w:cs="Arial"/>
                <w:color w:val="000000"/>
                <w:szCs w:val="20"/>
                <w:lang w:eastAsia="pt-BR"/>
              </w:rPr>
              <w:t>e</w:t>
            </w:r>
            <w:r w:rsidRPr="009E71B9">
              <w:rPr>
                <w:rFonts w:eastAsia="Times New Roman" w:cs="Arial"/>
                <w:color w:val="000000"/>
                <w:szCs w:val="20"/>
                <w:lang w:eastAsia="pt-BR"/>
              </w:rPr>
              <w:t xml:space="preserve">m Propriedade </w:t>
            </w:r>
            <w:r>
              <w:rPr>
                <w:rFonts w:eastAsia="Times New Roman" w:cs="Arial"/>
                <w:color w:val="000000"/>
                <w:szCs w:val="20"/>
                <w:lang w:eastAsia="pt-BR"/>
              </w:rPr>
              <w:t>d</w:t>
            </w:r>
            <w:r w:rsidRPr="009E71B9">
              <w:rPr>
                <w:rFonts w:eastAsia="Times New Roman" w:cs="Arial"/>
                <w:color w:val="000000"/>
                <w:szCs w:val="20"/>
                <w:lang w:eastAsia="pt-BR"/>
              </w:rPr>
              <w:t>e Terceiros</w:t>
            </w:r>
          </w:p>
        </w:tc>
        <w:tc>
          <w:tcPr>
            <w:tcW w:w="1531" w:type="dxa"/>
            <w:tcBorders>
              <w:top w:val="nil"/>
              <w:left w:val="nil"/>
              <w:bottom w:val="nil"/>
              <w:right w:val="nil"/>
            </w:tcBorders>
            <w:shd w:val="clear" w:color="auto" w:fill="D9D9D9" w:themeFill="background1" w:themeFillShade="D9"/>
            <w:noWrap/>
            <w:vAlign w:val="bottom"/>
          </w:tcPr>
          <w:p w14:paraId="52086360" w14:textId="77777777" w:rsidR="004C19ED" w:rsidRPr="009E71B9" w:rsidRDefault="004C19ED" w:rsidP="003E2CCD">
            <w:pPr>
              <w:jc w:val="right"/>
              <w:rPr>
                <w:rFonts w:eastAsia="Times New Roman" w:cs="Arial"/>
                <w:color w:val="000000"/>
                <w:szCs w:val="20"/>
                <w:lang w:eastAsia="pt-BR"/>
              </w:rPr>
            </w:pPr>
            <w:r w:rsidRPr="009B02B1">
              <w:rPr>
                <w:rFonts w:eastAsia="Times New Roman" w:cs="Arial"/>
                <w:color w:val="000000"/>
                <w:szCs w:val="20"/>
                <w:lang w:eastAsia="pt-BR"/>
              </w:rPr>
              <w:t>464</w:t>
            </w:r>
            <w:r>
              <w:rPr>
                <w:rFonts w:eastAsia="Times New Roman" w:cs="Arial"/>
                <w:color w:val="000000"/>
                <w:szCs w:val="20"/>
                <w:lang w:eastAsia="pt-BR"/>
              </w:rPr>
              <w:t>.</w:t>
            </w:r>
            <w:r w:rsidRPr="009B02B1">
              <w:rPr>
                <w:rFonts w:eastAsia="Times New Roman" w:cs="Arial"/>
                <w:color w:val="000000"/>
                <w:szCs w:val="20"/>
                <w:lang w:eastAsia="pt-BR"/>
              </w:rPr>
              <w:t>793,00</w:t>
            </w:r>
          </w:p>
        </w:tc>
        <w:tc>
          <w:tcPr>
            <w:tcW w:w="1531" w:type="dxa"/>
            <w:tcBorders>
              <w:top w:val="nil"/>
              <w:left w:val="nil"/>
              <w:bottom w:val="nil"/>
              <w:right w:val="nil"/>
            </w:tcBorders>
            <w:shd w:val="clear" w:color="auto" w:fill="D9D9D9" w:themeFill="background1" w:themeFillShade="D9"/>
            <w:noWrap/>
            <w:vAlign w:val="bottom"/>
          </w:tcPr>
          <w:p w14:paraId="26D9287A" w14:textId="77777777" w:rsidR="004C19ED" w:rsidRPr="009E71B9" w:rsidRDefault="004C19ED" w:rsidP="003E2CCD">
            <w:pPr>
              <w:jc w:val="right"/>
              <w:rPr>
                <w:rFonts w:eastAsia="Times New Roman" w:cs="Arial"/>
                <w:color w:val="000000"/>
                <w:szCs w:val="20"/>
                <w:lang w:eastAsia="pt-BR"/>
              </w:rPr>
            </w:pPr>
            <w:r>
              <w:rPr>
                <w:rFonts w:eastAsia="Times New Roman" w:cs="Arial"/>
                <w:color w:val="000000"/>
                <w:szCs w:val="20"/>
                <w:lang w:eastAsia="pt-BR"/>
              </w:rPr>
              <w:t>456.793,00</w:t>
            </w:r>
          </w:p>
        </w:tc>
        <w:tc>
          <w:tcPr>
            <w:tcW w:w="1112" w:type="dxa"/>
            <w:tcBorders>
              <w:top w:val="nil"/>
              <w:left w:val="nil"/>
              <w:bottom w:val="nil"/>
              <w:right w:val="nil"/>
            </w:tcBorders>
            <w:shd w:val="clear" w:color="auto" w:fill="D9D9D9" w:themeFill="background1" w:themeFillShade="D9"/>
            <w:noWrap/>
            <w:vAlign w:val="bottom"/>
            <w:hideMark/>
          </w:tcPr>
          <w:p w14:paraId="73F2988C" w14:textId="77777777" w:rsidR="004C19ED" w:rsidRPr="009E71B9" w:rsidRDefault="004C19ED" w:rsidP="003E2CCD">
            <w:pPr>
              <w:jc w:val="right"/>
              <w:rPr>
                <w:rFonts w:eastAsia="Times New Roman" w:cs="Arial"/>
                <w:color w:val="000000"/>
                <w:szCs w:val="20"/>
                <w:lang w:eastAsia="pt-BR"/>
              </w:rPr>
            </w:pPr>
            <w:r>
              <w:rPr>
                <w:rFonts w:eastAsia="Times New Roman" w:cs="Arial"/>
                <w:color w:val="000000"/>
                <w:szCs w:val="20"/>
                <w:lang w:eastAsia="pt-BR"/>
              </w:rPr>
              <w:t>1,75</w:t>
            </w:r>
          </w:p>
        </w:tc>
      </w:tr>
      <w:tr w:rsidR="004C19ED" w:rsidRPr="009E71B9" w14:paraId="46A86952" w14:textId="77777777" w:rsidTr="003E2CCD">
        <w:trPr>
          <w:trHeight w:val="269"/>
        </w:trPr>
        <w:tc>
          <w:tcPr>
            <w:tcW w:w="4981" w:type="dxa"/>
            <w:tcBorders>
              <w:top w:val="nil"/>
              <w:left w:val="nil"/>
              <w:bottom w:val="nil"/>
              <w:right w:val="nil"/>
            </w:tcBorders>
            <w:shd w:val="clear" w:color="auto" w:fill="FFFFFF" w:themeFill="background1"/>
            <w:vAlign w:val="center"/>
            <w:hideMark/>
          </w:tcPr>
          <w:p w14:paraId="0DF037D6" w14:textId="77777777" w:rsidR="004C19ED" w:rsidRPr="009E71B9" w:rsidRDefault="004C19ED" w:rsidP="003E2CCD">
            <w:pPr>
              <w:jc w:val="left"/>
              <w:rPr>
                <w:rFonts w:eastAsia="Times New Roman" w:cs="Arial"/>
                <w:color w:val="000000"/>
                <w:szCs w:val="20"/>
                <w:lang w:eastAsia="pt-BR"/>
              </w:rPr>
            </w:pPr>
            <w:r w:rsidRPr="009E71B9">
              <w:rPr>
                <w:rFonts w:eastAsia="Times New Roman" w:cs="Arial"/>
                <w:color w:val="000000"/>
                <w:szCs w:val="20"/>
                <w:lang w:eastAsia="pt-BR"/>
              </w:rPr>
              <w:t>Depreciação Acumulada - Bens Imóveis</w:t>
            </w:r>
          </w:p>
        </w:tc>
        <w:tc>
          <w:tcPr>
            <w:tcW w:w="1531" w:type="dxa"/>
            <w:tcBorders>
              <w:top w:val="nil"/>
              <w:left w:val="nil"/>
              <w:bottom w:val="nil"/>
              <w:right w:val="nil"/>
            </w:tcBorders>
            <w:shd w:val="clear" w:color="auto" w:fill="FFFFFF" w:themeFill="background1"/>
            <w:noWrap/>
            <w:vAlign w:val="bottom"/>
          </w:tcPr>
          <w:p w14:paraId="539AD69F" w14:textId="77777777" w:rsidR="004C19ED" w:rsidRPr="009E71B9" w:rsidRDefault="004C19ED" w:rsidP="003E2CCD">
            <w:pPr>
              <w:jc w:val="right"/>
              <w:rPr>
                <w:rFonts w:eastAsia="Times New Roman" w:cs="Arial"/>
                <w:color w:val="000000"/>
                <w:szCs w:val="20"/>
                <w:lang w:eastAsia="pt-BR"/>
              </w:rPr>
            </w:pPr>
            <w:r w:rsidRPr="00387A5D">
              <w:rPr>
                <w:rFonts w:cs="Arial"/>
                <w:color w:val="FF0000"/>
                <w:szCs w:val="20"/>
              </w:rPr>
              <w:t>-1.513.219,67</w:t>
            </w:r>
          </w:p>
        </w:tc>
        <w:tc>
          <w:tcPr>
            <w:tcW w:w="1531" w:type="dxa"/>
            <w:tcBorders>
              <w:top w:val="nil"/>
              <w:left w:val="nil"/>
              <w:bottom w:val="nil"/>
              <w:right w:val="nil"/>
            </w:tcBorders>
            <w:shd w:val="clear" w:color="auto" w:fill="FFFFFF" w:themeFill="background1"/>
            <w:noWrap/>
            <w:vAlign w:val="bottom"/>
          </w:tcPr>
          <w:p w14:paraId="76286F58" w14:textId="77777777" w:rsidR="004C19ED" w:rsidRPr="009E71B9" w:rsidRDefault="004C19ED" w:rsidP="003E2CCD">
            <w:pPr>
              <w:jc w:val="right"/>
              <w:rPr>
                <w:rFonts w:eastAsia="Times New Roman" w:cs="Arial"/>
                <w:color w:val="000000"/>
                <w:szCs w:val="20"/>
                <w:lang w:eastAsia="pt-BR"/>
              </w:rPr>
            </w:pPr>
            <w:r w:rsidRPr="00214D7F">
              <w:rPr>
                <w:rFonts w:eastAsia="Times New Roman" w:cs="Arial"/>
                <w:color w:val="FF0000"/>
                <w:szCs w:val="20"/>
                <w:lang w:eastAsia="pt-BR"/>
              </w:rPr>
              <w:t>-1.423.740,11</w:t>
            </w:r>
          </w:p>
        </w:tc>
        <w:tc>
          <w:tcPr>
            <w:tcW w:w="1112" w:type="dxa"/>
            <w:tcBorders>
              <w:top w:val="nil"/>
              <w:left w:val="nil"/>
              <w:bottom w:val="nil"/>
              <w:right w:val="nil"/>
            </w:tcBorders>
            <w:shd w:val="clear" w:color="auto" w:fill="FFFFFF" w:themeFill="background1"/>
            <w:noWrap/>
            <w:vAlign w:val="bottom"/>
            <w:hideMark/>
          </w:tcPr>
          <w:p w14:paraId="08447E28" w14:textId="77777777" w:rsidR="004C19ED" w:rsidRPr="009E71B9" w:rsidRDefault="004C19ED" w:rsidP="003E2CCD">
            <w:pPr>
              <w:jc w:val="right"/>
              <w:rPr>
                <w:rFonts w:eastAsia="Times New Roman" w:cs="Arial"/>
                <w:color w:val="000000"/>
                <w:szCs w:val="20"/>
                <w:lang w:eastAsia="pt-BR"/>
              </w:rPr>
            </w:pPr>
            <w:r>
              <w:rPr>
                <w:rFonts w:eastAsia="Times New Roman" w:cs="Arial"/>
                <w:color w:val="000000"/>
                <w:szCs w:val="20"/>
                <w:lang w:eastAsia="pt-BR"/>
              </w:rPr>
              <w:t>-6,28</w:t>
            </w:r>
          </w:p>
        </w:tc>
      </w:tr>
      <w:tr w:rsidR="004C19ED" w:rsidRPr="009E71B9" w14:paraId="24854D32" w14:textId="77777777" w:rsidTr="003E2CCD">
        <w:trPr>
          <w:trHeight w:val="269"/>
        </w:trPr>
        <w:tc>
          <w:tcPr>
            <w:tcW w:w="4981" w:type="dxa"/>
            <w:tcBorders>
              <w:top w:val="nil"/>
              <w:left w:val="nil"/>
              <w:bottom w:val="nil"/>
              <w:right w:val="nil"/>
            </w:tcBorders>
            <w:shd w:val="clear" w:color="auto" w:fill="D9D9D9" w:themeFill="background1" w:themeFillShade="D9"/>
            <w:vAlign w:val="center"/>
            <w:hideMark/>
          </w:tcPr>
          <w:p w14:paraId="45DD4FBF" w14:textId="77777777" w:rsidR="004C19ED" w:rsidRPr="009E71B9" w:rsidRDefault="004C19ED" w:rsidP="003E2CCD">
            <w:pPr>
              <w:jc w:val="left"/>
              <w:rPr>
                <w:rFonts w:eastAsia="Times New Roman" w:cs="Arial"/>
                <w:color w:val="000000"/>
                <w:szCs w:val="20"/>
                <w:lang w:eastAsia="pt-BR"/>
              </w:rPr>
            </w:pPr>
            <w:r w:rsidRPr="009E71B9">
              <w:rPr>
                <w:rFonts w:eastAsia="Times New Roman" w:cs="Arial"/>
                <w:color w:val="000000"/>
                <w:szCs w:val="20"/>
                <w:lang w:eastAsia="pt-BR"/>
              </w:rPr>
              <w:t>Amortização Acumulada - Bens Imóveis</w:t>
            </w:r>
          </w:p>
        </w:tc>
        <w:tc>
          <w:tcPr>
            <w:tcW w:w="1531" w:type="dxa"/>
            <w:tcBorders>
              <w:top w:val="nil"/>
              <w:left w:val="nil"/>
              <w:bottom w:val="nil"/>
              <w:right w:val="nil"/>
            </w:tcBorders>
            <w:shd w:val="clear" w:color="auto" w:fill="D9D9D9" w:themeFill="background1" w:themeFillShade="D9"/>
            <w:noWrap/>
            <w:vAlign w:val="bottom"/>
          </w:tcPr>
          <w:p w14:paraId="56492DE0" w14:textId="77777777" w:rsidR="004C19ED" w:rsidRPr="009E71B9"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1531" w:type="dxa"/>
            <w:tcBorders>
              <w:top w:val="nil"/>
              <w:left w:val="nil"/>
              <w:bottom w:val="nil"/>
              <w:right w:val="nil"/>
            </w:tcBorders>
            <w:shd w:val="clear" w:color="auto" w:fill="D9D9D9" w:themeFill="background1" w:themeFillShade="D9"/>
            <w:noWrap/>
            <w:vAlign w:val="bottom"/>
          </w:tcPr>
          <w:p w14:paraId="5071BBE5" w14:textId="77777777" w:rsidR="004C19ED" w:rsidRPr="009E71B9"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1112" w:type="dxa"/>
            <w:tcBorders>
              <w:top w:val="nil"/>
              <w:left w:val="nil"/>
              <w:bottom w:val="nil"/>
              <w:right w:val="nil"/>
            </w:tcBorders>
            <w:shd w:val="clear" w:color="auto" w:fill="D9D9D9" w:themeFill="background1" w:themeFillShade="D9"/>
            <w:noWrap/>
            <w:vAlign w:val="bottom"/>
            <w:hideMark/>
          </w:tcPr>
          <w:p w14:paraId="36423202" w14:textId="77777777" w:rsidR="004C19ED" w:rsidRPr="009E71B9" w:rsidRDefault="004C19ED" w:rsidP="003E2CCD">
            <w:pPr>
              <w:jc w:val="right"/>
              <w:rPr>
                <w:rFonts w:eastAsia="Times New Roman" w:cs="Arial"/>
                <w:color w:val="000000"/>
                <w:szCs w:val="20"/>
                <w:lang w:eastAsia="pt-BR"/>
              </w:rPr>
            </w:pPr>
          </w:p>
        </w:tc>
      </w:tr>
      <w:tr w:rsidR="004C19ED" w:rsidRPr="00384B49" w14:paraId="6D892452" w14:textId="77777777" w:rsidTr="003E2CCD">
        <w:trPr>
          <w:trHeight w:val="269"/>
        </w:trPr>
        <w:tc>
          <w:tcPr>
            <w:tcW w:w="4981" w:type="dxa"/>
            <w:tcBorders>
              <w:top w:val="nil"/>
              <w:left w:val="nil"/>
              <w:bottom w:val="single" w:sz="4" w:space="0" w:color="000000"/>
              <w:right w:val="nil"/>
            </w:tcBorders>
            <w:shd w:val="clear" w:color="auto" w:fill="FFFFFF" w:themeFill="background1"/>
            <w:noWrap/>
            <w:vAlign w:val="bottom"/>
            <w:hideMark/>
          </w:tcPr>
          <w:p w14:paraId="28EF422B" w14:textId="77777777" w:rsidR="004C19ED" w:rsidRPr="00384B49" w:rsidRDefault="004C19ED" w:rsidP="003E2CCD">
            <w:pPr>
              <w:jc w:val="left"/>
              <w:rPr>
                <w:rFonts w:eastAsia="Times New Roman" w:cs="Arial"/>
                <w:b/>
                <w:bCs/>
                <w:color w:val="000000"/>
                <w:szCs w:val="20"/>
                <w:lang w:eastAsia="pt-BR"/>
              </w:rPr>
            </w:pPr>
            <w:r w:rsidRPr="00384B49">
              <w:rPr>
                <w:rFonts w:eastAsia="Times New Roman" w:cs="Arial"/>
                <w:b/>
                <w:bCs/>
                <w:color w:val="000000"/>
                <w:szCs w:val="20"/>
                <w:lang w:eastAsia="pt-BR"/>
              </w:rPr>
              <w:t>Total</w:t>
            </w:r>
          </w:p>
        </w:tc>
        <w:tc>
          <w:tcPr>
            <w:tcW w:w="1531" w:type="dxa"/>
            <w:tcBorders>
              <w:top w:val="nil"/>
              <w:left w:val="nil"/>
              <w:bottom w:val="single" w:sz="4" w:space="0" w:color="000000"/>
              <w:right w:val="nil"/>
            </w:tcBorders>
            <w:shd w:val="clear" w:color="auto" w:fill="FFFFFF" w:themeFill="background1"/>
            <w:noWrap/>
            <w:vAlign w:val="bottom"/>
          </w:tcPr>
          <w:p w14:paraId="7DCA3EA3" w14:textId="77777777" w:rsidR="004C19ED" w:rsidRPr="00384B49" w:rsidRDefault="004C19ED" w:rsidP="003E2CCD">
            <w:pPr>
              <w:rPr>
                <w:rFonts w:eastAsia="Times New Roman" w:cs="Arial"/>
                <w:b/>
                <w:bCs/>
                <w:color w:val="000000"/>
                <w:szCs w:val="20"/>
                <w:lang w:eastAsia="pt-BR"/>
              </w:rPr>
            </w:pPr>
            <w:r>
              <w:rPr>
                <w:rFonts w:eastAsia="Times New Roman" w:cs="Arial"/>
                <w:b/>
                <w:bCs/>
                <w:color w:val="000000"/>
                <w:szCs w:val="20"/>
                <w:lang w:eastAsia="pt-BR"/>
              </w:rPr>
              <w:t>132.405.034,76</w:t>
            </w:r>
          </w:p>
        </w:tc>
        <w:tc>
          <w:tcPr>
            <w:tcW w:w="1531" w:type="dxa"/>
            <w:tcBorders>
              <w:top w:val="nil"/>
              <w:left w:val="nil"/>
              <w:bottom w:val="single" w:sz="4" w:space="0" w:color="000000"/>
              <w:right w:val="nil"/>
            </w:tcBorders>
            <w:shd w:val="clear" w:color="auto" w:fill="FFFFFF" w:themeFill="background1"/>
            <w:noWrap/>
            <w:vAlign w:val="bottom"/>
          </w:tcPr>
          <w:p w14:paraId="52D1FD4F" w14:textId="77777777" w:rsidR="004C19ED" w:rsidRPr="00384B49" w:rsidRDefault="004C19ED" w:rsidP="003E2CCD">
            <w:pPr>
              <w:jc w:val="right"/>
              <w:rPr>
                <w:rFonts w:eastAsia="Times New Roman" w:cs="Arial"/>
                <w:b/>
                <w:bCs/>
                <w:color w:val="000000"/>
                <w:szCs w:val="20"/>
                <w:lang w:eastAsia="pt-BR"/>
              </w:rPr>
            </w:pPr>
            <w:r w:rsidRPr="003B7E32">
              <w:rPr>
                <w:rFonts w:cs="Arial"/>
                <w:b/>
                <w:color w:val="000000"/>
                <w:szCs w:val="20"/>
              </w:rPr>
              <w:t>132.021.032,7</w:t>
            </w:r>
            <w:r>
              <w:rPr>
                <w:rFonts w:cs="Arial"/>
                <w:b/>
                <w:color w:val="000000"/>
                <w:szCs w:val="20"/>
              </w:rPr>
              <w:t>4</w:t>
            </w:r>
          </w:p>
        </w:tc>
        <w:tc>
          <w:tcPr>
            <w:tcW w:w="1112" w:type="dxa"/>
            <w:tcBorders>
              <w:top w:val="nil"/>
              <w:left w:val="nil"/>
              <w:bottom w:val="single" w:sz="4" w:space="0" w:color="000000"/>
              <w:right w:val="nil"/>
            </w:tcBorders>
            <w:shd w:val="clear" w:color="auto" w:fill="FFFFFF" w:themeFill="background1"/>
            <w:noWrap/>
            <w:vAlign w:val="bottom"/>
          </w:tcPr>
          <w:p w14:paraId="5CEF908C" w14:textId="77777777" w:rsidR="004C19ED" w:rsidRPr="00384B49"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0,29</w:t>
            </w:r>
          </w:p>
        </w:tc>
      </w:tr>
    </w:tbl>
    <w:p w14:paraId="41435959" w14:textId="77777777" w:rsidR="004C19ED" w:rsidRPr="009E71B9" w:rsidRDefault="004C19ED" w:rsidP="004C19ED">
      <w:pPr>
        <w:rPr>
          <w:rFonts w:cs="Arial"/>
          <w:i/>
          <w:szCs w:val="20"/>
        </w:rPr>
      </w:pPr>
      <w:r w:rsidRPr="009E71B9">
        <w:rPr>
          <w:rFonts w:cs="Arial"/>
          <w:i/>
          <w:szCs w:val="20"/>
        </w:rPr>
        <w:t>Fonte: SIAFI, 20</w:t>
      </w:r>
      <w:r>
        <w:rPr>
          <w:rFonts w:cs="Arial"/>
          <w:i/>
          <w:szCs w:val="20"/>
        </w:rPr>
        <w:t>21</w:t>
      </w:r>
      <w:r w:rsidRPr="009E71B9">
        <w:rPr>
          <w:rFonts w:cs="Arial"/>
          <w:i/>
          <w:szCs w:val="20"/>
        </w:rPr>
        <w:t xml:space="preserve"> e 20</w:t>
      </w:r>
      <w:r>
        <w:rPr>
          <w:rFonts w:cs="Arial"/>
          <w:i/>
          <w:szCs w:val="20"/>
        </w:rPr>
        <w:t>20</w:t>
      </w:r>
      <w:r w:rsidRPr="009E71B9">
        <w:rPr>
          <w:rFonts w:cs="Arial"/>
          <w:i/>
          <w:szCs w:val="20"/>
        </w:rPr>
        <w:t>.</w:t>
      </w:r>
    </w:p>
    <w:p w14:paraId="4FC7730A" w14:textId="77777777" w:rsidR="004C19ED" w:rsidRPr="0037110A" w:rsidRDefault="004C19ED" w:rsidP="004C19ED">
      <w:pPr>
        <w:rPr>
          <w:rFonts w:cs="Arial"/>
          <w:sz w:val="22"/>
        </w:rPr>
      </w:pPr>
    </w:p>
    <w:p w14:paraId="319519F4" w14:textId="77777777" w:rsidR="004C19ED" w:rsidRDefault="004C19ED" w:rsidP="004C19ED">
      <w:pPr>
        <w:rPr>
          <w:rFonts w:cs="Arial"/>
          <w:sz w:val="22"/>
        </w:rPr>
      </w:pPr>
      <w:r w:rsidRPr="0037110A">
        <w:rPr>
          <w:rFonts w:cs="Arial"/>
          <w:sz w:val="22"/>
        </w:rPr>
        <w:t>A depreciação dos Bens Imóveis é apurada utilizando-se o método descrito na Portaria Conjunta STN/SPU N. 03, de 10 de dezembro de 2014, cujos valores são apropriados pela S</w:t>
      </w:r>
      <w:r>
        <w:rPr>
          <w:rFonts w:cs="Arial"/>
          <w:sz w:val="22"/>
        </w:rPr>
        <w:t xml:space="preserve">ecretaria do Tesouro Nacional </w:t>
      </w:r>
      <w:r w:rsidRPr="0037110A">
        <w:rPr>
          <w:rFonts w:cs="Arial"/>
          <w:sz w:val="22"/>
        </w:rPr>
        <w:t>com base em informações prestadas pela Secretaria de Patrimônio da União.</w:t>
      </w:r>
    </w:p>
    <w:p w14:paraId="40117EE1" w14:textId="77777777" w:rsidR="004C19ED" w:rsidRDefault="004C19ED" w:rsidP="004C19ED">
      <w:pPr>
        <w:rPr>
          <w:rFonts w:cs="Arial"/>
          <w:sz w:val="22"/>
        </w:rPr>
      </w:pPr>
    </w:p>
    <w:p w14:paraId="7A3D6463" w14:textId="77777777" w:rsidR="004C19ED" w:rsidRDefault="004C19ED" w:rsidP="004C19ED">
      <w:pPr>
        <w:rPr>
          <w:rFonts w:cs="Arial"/>
          <w:b/>
          <w:sz w:val="22"/>
        </w:rPr>
      </w:pPr>
      <w:r>
        <w:rPr>
          <w:rFonts w:cs="Arial"/>
          <w:sz w:val="22"/>
        </w:rPr>
        <w:t xml:space="preserve">O método de depreciação previsto na referida norma conjunta é a Parábola de </w:t>
      </w:r>
      <w:proofErr w:type="spellStart"/>
      <w:r>
        <w:rPr>
          <w:rFonts w:cs="Arial"/>
          <w:sz w:val="22"/>
        </w:rPr>
        <w:t>Kuntzle</w:t>
      </w:r>
      <w:proofErr w:type="spellEnd"/>
      <w:r>
        <w:rPr>
          <w:rFonts w:cs="Arial"/>
          <w:sz w:val="22"/>
        </w:rPr>
        <w:t xml:space="preserve">, expressa pela seguinte fórmula: </w:t>
      </w:r>
      <w:proofErr w:type="spellStart"/>
      <w:r w:rsidRPr="00384B49">
        <w:rPr>
          <w:rFonts w:cs="Arial"/>
          <w:b/>
          <w:sz w:val="22"/>
        </w:rPr>
        <w:t>Kd</w:t>
      </w:r>
      <w:proofErr w:type="spellEnd"/>
      <w:r w:rsidRPr="00384B49">
        <w:rPr>
          <w:rFonts w:cs="Arial"/>
          <w:b/>
          <w:sz w:val="22"/>
        </w:rPr>
        <w:t xml:space="preserve"> = (n² - x²) / n², onde:</w:t>
      </w:r>
    </w:p>
    <w:p w14:paraId="20412453" w14:textId="77777777" w:rsidR="004C19ED" w:rsidRPr="00384B49" w:rsidRDefault="004C19ED" w:rsidP="004C19ED">
      <w:pPr>
        <w:rPr>
          <w:rFonts w:cs="Arial"/>
          <w:b/>
          <w:sz w:val="22"/>
        </w:rPr>
      </w:pPr>
    </w:p>
    <w:p w14:paraId="7E1B4F74" w14:textId="77777777" w:rsidR="004C19ED" w:rsidRDefault="004C19ED" w:rsidP="004C19ED">
      <w:pPr>
        <w:autoSpaceDE w:val="0"/>
        <w:autoSpaceDN w:val="0"/>
        <w:adjustRightInd w:val="0"/>
        <w:jc w:val="left"/>
        <w:rPr>
          <w:rFonts w:cs="Arial"/>
          <w:sz w:val="22"/>
        </w:rPr>
      </w:pPr>
      <w:proofErr w:type="spellStart"/>
      <w:r w:rsidRPr="00384B49">
        <w:rPr>
          <w:rFonts w:cs="Arial"/>
          <w:b/>
          <w:sz w:val="22"/>
        </w:rPr>
        <w:t>Kd</w:t>
      </w:r>
      <w:proofErr w:type="spellEnd"/>
      <w:r w:rsidRPr="009E71B9">
        <w:rPr>
          <w:rFonts w:cs="Arial"/>
          <w:sz w:val="22"/>
        </w:rPr>
        <w:t xml:space="preserve"> = coeficiente de depreciação</w:t>
      </w:r>
      <w:r>
        <w:rPr>
          <w:rFonts w:cs="Arial"/>
          <w:sz w:val="22"/>
        </w:rPr>
        <w:t xml:space="preserve"> </w:t>
      </w:r>
      <w:r w:rsidRPr="00384B49">
        <w:rPr>
          <w:rFonts w:cs="Arial"/>
          <w:b/>
          <w:sz w:val="22"/>
        </w:rPr>
        <w:t>n</w:t>
      </w:r>
      <w:r w:rsidRPr="009E71B9">
        <w:rPr>
          <w:rFonts w:cs="Arial"/>
          <w:sz w:val="22"/>
        </w:rPr>
        <w:t xml:space="preserve"> = vida útil da acessão</w:t>
      </w:r>
      <w:r>
        <w:rPr>
          <w:rFonts w:cs="Arial"/>
          <w:sz w:val="22"/>
        </w:rPr>
        <w:t xml:space="preserve"> </w:t>
      </w:r>
      <w:r w:rsidRPr="00384B49">
        <w:rPr>
          <w:rFonts w:cs="Arial"/>
          <w:b/>
          <w:sz w:val="22"/>
        </w:rPr>
        <w:t>x</w:t>
      </w:r>
      <w:r w:rsidRPr="009E71B9">
        <w:rPr>
          <w:rFonts w:cs="Arial"/>
          <w:sz w:val="22"/>
        </w:rPr>
        <w:t xml:space="preserve"> = vida útil transcorrida da acessão</w:t>
      </w:r>
    </w:p>
    <w:p w14:paraId="78C40408" w14:textId="77777777" w:rsidR="004C19ED" w:rsidRDefault="004C19ED" w:rsidP="004C19ED">
      <w:pPr>
        <w:rPr>
          <w:rFonts w:cs="Arial"/>
          <w:sz w:val="22"/>
        </w:rPr>
      </w:pPr>
    </w:p>
    <w:p w14:paraId="12DBA085" w14:textId="77777777" w:rsidR="004C19ED" w:rsidRPr="009E71B9" w:rsidRDefault="004C19ED" w:rsidP="004C19ED">
      <w:pPr>
        <w:rPr>
          <w:rFonts w:cs="Arial"/>
          <w:sz w:val="22"/>
        </w:rPr>
      </w:pPr>
      <w:r w:rsidRPr="000B400B">
        <w:rPr>
          <w:rFonts w:cs="Arial"/>
          <w:sz w:val="22"/>
        </w:rPr>
        <w:t xml:space="preserve">A variação de </w:t>
      </w:r>
      <w:r>
        <w:rPr>
          <w:rFonts w:cs="Arial"/>
          <w:sz w:val="22"/>
        </w:rPr>
        <w:t>6,49</w:t>
      </w:r>
      <w:r w:rsidRPr="000B400B">
        <w:rPr>
          <w:rFonts w:cs="Arial"/>
          <w:sz w:val="22"/>
        </w:rPr>
        <w:t>% nos bens registrados se deu por conta da reavaliação</w:t>
      </w:r>
      <w:r>
        <w:rPr>
          <w:rFonts w:cs="Arial"/>
          <w:sz w:val="22"/>
        </w:rPr>
        <w:t xml:space="preserve"> do imóvel da </w:t>
      </w:r>
      <w:proofErr w:type="spellStart"/>
      <w:r>
        <w:rPr>
          <w:rFonts w:cs="Arial"/>
          <w:sz w:val="22"/>
        </w:rPr>
        <w:t>ug</w:t>
      </w:r>
      <w:proofErr w:type="spellEnd"/>
      <w:r>
        <w:rPr>
          <w:rFonts w:cs="Arial"/>
          <w:sz w:val="22"/>
        </w:rPr>
        <w:t xml:space="preserve"> 323031 (R$ 8,1 milhões), </w:t>
      </w:r>
      <w:r w:rsidRPr="000B400B">
        <w:rPr>
          <w:rFonts w:cs="Arial"/>
          <w:sz w:val="22"/>
        </w:rPr>
        <w:t>que deve ocorrer segundo a portaria 703/2014 da SPU</w:t>
      </w:r>
      <w:r>
        <w:rPr>
          <w:rFonts w:cs="Arial"/>
          <w:sz w:val="22"/>
        </w:rPr>
        <w:t>/STN</w:t>
      </w:r>
      <w:r w:rsidRPr="000B400B">
        <w:rPr>
          <w:rFonts w:cs="Arial"/>
          <w:sz w:val="22"/>
        </w:rPr>
        <w:t>.</w:t>
      </w:r>
    </w:p>
    <w:p w14:paraId="0EA9BA4D" w14:textId="77777777" w:rsidR="004C19ED" w:rsidRDefault="004C19ED" w:rsidP="004C19ED">
      <w:pPr>
        <w:rPr>
          <w:rFonts w:cs="Arial"/>
          <w:sz w:val="22"/>
        </w:rPr>
      </w:pPr>
    </w:p>
    <w:p w14:paraId="205CE75A" w14:textId="77777777" w:rsidR="004C19ED" w:rsidRPr="0037110A" w:rsidRDefault="004C19ED" w:rsidP="004C19ED">
      <w:pPr>
        <w:rPr>
          <w:rFonts w:cs="Arial"/>
          <w:sz w:val="22"/>
        </w:rPr>
      </w:pPr>
      <w:r w:rsidRPr="009B02B1">
        <w:rPr>
          <w:rFonts w:cs="Arial"/>
          <w:sz w:val="22"/>
        </w:rPr>
        <w:t>As Benfeitorias em Imóveis de Terceiros (123210800) estão sendo executadas em imóveis locados ou posto em comodato para a ANP e a amortização se dará pelo prazo da vigência dos contratos.</w:t>
      </w:r>
    </w:p>
    <w:p w14:paraId="27243732" w14:textId="77777777" w:rsidR="004C19ED" w:rsidRPr="0037110A" w:rsidRDefault="004C19ED" w:rsidP="004C19ED">
      <w:pPr>
        <w:rPr>
          <w:rFonts w:cs="Arial"/>
          <w:sz w:val="22"/>
        </w:rPr>
      </w:pPr>
    </w:p>
    <w:p w14:paraId="3366484A" w14:textId="77777777" w:rsidR="004C19ED" w:rsidRDefault="004C19ED" w:rsidP="004C19ED">
      <w:pPr>
        <w:rPr>
          <w:rFonts w:cs="Arial"/>
          <w:sz w:val="22"/>
        </w:rPr>
      </w:pPr>
      <w:r>
        <w:rPr>
          <w:rFonts w:cs="Arial"/>
          <w:sz w:val="22"/>
        </w:rPr>
        <w:t>Segue a lista de bens Imóveis da ANP:</w:t>
      </w:r>
    </w:p>
    <w:p w14:paraId="75F01187" w14:textId="77777777" w:rsidR="004C19ED" w:rsidRPr="0037110A" w:rsidRDefault="004C19ED" w:rsidP="004C19ED">
      <w:pPr>
        <w:rPr>
          <w:rFonts w:cs="Arial"/>
          <w:sz w:val="22"/>
        </w:rPr>
      </w:pPr>
    </w:p>
    <w:p w14:paraId="15DD4F4C" w14:textId="77777777" w:rsidR="004C19ED" w:rsidRPr="00E65DFE" w:rsidRDefault="004C19ED" w:rsidP="004C19ED">
      <w:pPr>
        <w:rPr>
          <w:rFonts w:cs="Arial"/>
          <w:b/>
          <w:sz w:val="22"/>
        </w:rPr>
      </w:pPr>
      <w:r w:rsidRPr="00DC2695">
        <w:rPr>
          <w:rFonts w:cs="Arial"/>
          <w:b/>
          <w:sz w:val="22"/>
        </w:rPr>
        <w:t xml:space="preserve">Tabela </w:t>
      </w:r>
      <w:r>
        <w:rPr>
          <w:rFonts w:cs="Arial"/>
          <w:b/>
          <w:sz w:val="22"/>
        </w:rPr>
        <w:t xml:space="preserve">9 </w:t>
      </w:r>
      <w:r w:rsidRPr="00DC2695">
        <w:rPr>
          <w:rFonts w:cs="Arial"/>
          <w:b/>
          <w:sz w:val="22"/>
        </w:rPr>
        <w:t xml:space="preserve">- </w:t>
      </w:r>
      <w:r>
        <w:rPr>
          <w:rFonts w:cs="Arial"/>
          <w:b/>
          <w:sz w:val="22"/>
        </w:rPr>
        <w:t xml:space="preserve">Lista de </w:t>
      </w:r>
      <w:r w:rsidRPr="00DC2695">
        <w:rPr>
          <w:rFonts w:cs="Arial"/>
          <w:b/>
          <w:sz w:val="22"/>
        </w:rPr>
        <w:t>Bens Imóveis – Identificação e Localização.</w:t>
      </w:r>
    </w:p>
    <w:p w14:paraId="6637D5C6" w14:textId="77777777" w:rsidR="004C19ED" w:rsidRDefault="004C19ED" w:rsidP="004C19ED">
      <w:pPr>
        <w:rPr>
          <w:rFonts w:cs="Arial"/>
          <w:sz w:val="22"/>
        </w:rPr>
      </w:pPr>
    </w:p>
    <w:tbl>
      <w:tblPr>
        <w:tblW w:w="7700" w:type="dxa"/>
        <w:tblInd w:w="-10" w:type="dxa"/>
        <w:tblCellMar>
          <w:left w:w="70" w:type="dxa"/>
          <w:right w:w="70" w:type="dxa"/>
        </w:tblCellMar>
        <w:tblLook w:val="04A0" w:firstRow="1" w:lastRow="0" w:firstColumn="1" w:lastColumn="0" w:noHBand="0" w:noVBand="1"/>
      </w:tblPr>
      <w:tblGrid>
        <w:gridCol w:w="1885"/>
        <w:gridCol w:w="3438"/>
        <w:gridCol w:w="2377"/>
      </w:tblGrid>
      <w:tr w:rsidR="004C19ED" w:rsidRPr="00833F42" w14:paraId="6DF26238" w14:textId="77777777" w:rsidTr="003E2CCD">
        <w:trPr>
          <w:trHeight w:val="320"/>
        </w:trPr>
        <w:tc>
          <w:tcPr>
            <w:tcW w:w="1885" w:type="dxa"/>
            <w:tcBorders>
              <w:top w:val="single" w:sz="8" w:space="0" w:color="000000"/>
              <w:left w:val="single" w:sz="8" w:space="0" w:color="000000"/>
              <w:bottom w:val="single" w:sz="8" w:space="0" w:color="000000"/>
              <w:right w:val="single" w:sz="8" w:space="0" w:color="auto"/>
            </w:tcBorders>
            <w:shd w:val="clear" w:color="auto" w:fill="auto"/>
            <w:vAlign w:val="center"/>
            <w:hideMark/>
          </w:tcPr>
          <w:p w14:paraId="0710EB7E" w14:textId="77777777" w:rsidR="004C19ED" w:rsidRPr="00833F42" w:rsidRDefault="004C19ED" w:rsidP="003E2CCD">
            <w:pPr>
              <w:jc w:val="center"/>
              <w:rPr>
                <w:rFonts w:eastAsia="Times New Roman" w:cs="Arial"/>
                <w:b/>
                <w:bCs/>
                <w:color w:val="000000"/>
                <w:szCs w:val="20"/>
                <w:lang w:eastAsia="pt-BR"/>
              </w:rPr>
            </w:pPr>
            <w:r w:rsidRPr="00833F42">
              <w:rPr>
                <w:rFonts w:eastAsia="Times New Roman" w:cs="Arial"/>
                <w:b/>
                <w:bCs/>
                <w:color w:val="000000"/>
                <w:szCs w:val="20"/>
                <w:lang w:eastAsia="pt-BR"/>
              </w:rPr>
              <w:t>Unidade Gestora</w:t>
            </w:r>
          </w:p>
        </w:tc>
        <w:tc>
          <w:tcPr>
            <w:tcW w:w="3438" w:type="dxa"/>
            <w:tcBorders>
              <w:top w:val="single" w:sz="8" w:space="0" w:color="000000"/>
              <w:left w:val="nil"/>
              <w:bottom w:val="single" w:sz="8" w:space="0" w:color="auto"/>
              <w:right w:val="single" w:sz="8" w:space="0" w:color="auto"/>
            </w:tcBorders>
            <w:shd w:val="clear" w:color="auto" w:fill="auto"/>
            <w:vAlign w:val="center"/>
            <w:hideMark/>
          </w:tcPr>
          <w:p w14:paraId="2F26FD18" w14:textId="77777777" w:rsidR="004C19ED" w:rsidRPr="00833F42" w:rsidRDefault="004C19ED" w:rsidP="003E2CCD">
            <w:pPr>
              <w:jc w:val="center"/>
              <w:rPr>
                <w:rFonts w:eastAsia="Times New Roman" w:cs="Arial"/>
                <w:b/>
                <w:bCs/>
                <w:color w:val="000000"/>
                <w:szCs w:val="20"/>
                <w:lang w:eastAsia="pt-BR"/>
              </w:rPr>
            </w:pPr>
            <w:r w:rsidRPr="00833F42">
              <w:rPr>
                <w:rFonts w:eastAsia="Times New Roman" w:cs="Arial"/>
                <w:b/>
                <w:bCs/>
                <w:color w:val="000000"/>
                <w:szCs w:val="20"/>
                <w:lang w:eastAsia="pt-BR"/>
              </w:rPr>
              <w:t>Endereço</w:t>
            </w:r>
          </w:p>
        </w:tc>
        <w:tc>
          <w:tcPr>
            <w:tcW w:w="2377" w:type="dxa"/>
            <w:tcBorders>
              <w:top w:val="single" w:sz="8" w:space="0" w:color="000000"/>
              <w:left w:val="nil"/>
              <w:bottom w:val="single" w:sz="8" w:space="0" w:color="auto"/>
              <w:right w:val="single" w:sz="8" w:space="0" w:color="auto"/>
            </w:tcBorders>
            <w:shd w:val="clear" w:color="auto" w:fill="auto"/>
            <w:vAlign w:val="center"/>
            <w:hideMark/>
          </w:tcPr>
          <w:p w14:paraId="05C83DAA" w14:textId="77777777" w:rsidR="004C19ED" w:rsidRPr="00833F42" w:rsidRDefault="004C19ED" w:rsidP="003E2CCD">
            <w:pPr>
              <w:jc w:val="center"/>
              <w:rPr>
                <w:rFonts w:eastAsia="Times New Roman" w:cs="Arial"/>
                <w:b/>
                <w:bCs/>
                <w:color w:val="000000"/>
                <w:szCs w:val="20"/>
                <w:lang w:eastAsia="pt-BR"/>
              </w:rPr>
            </w:pPr>
            <w:r w:rsidRPr="00833F42">
              <w:rPr>
                <w:rFonts w:eastAsia="Times New Roman" w:cs="Arial"/>
                <w:b/>
                <w:bCs/>
                <w:color w:val="000000"/>
                <w:szCs w:val="20"/>
                <w:lang w:eastAsia="pt-BR"/>
              </w:rPr>
              <w:t>RIP</w:t>
            </w:r>
          </w:p>
        </w:tc>
      </w:tr>
      <w:tr w:rsidR="004C19ED" w:rsidRPr="00833F42" w14:paraId="6A724880" w14:textId="77777777" w:rsidTr="003E2CCD">
        <w:trPr>
          <w:trHeight w:val="533"/>
        </w:trPr>
        <w:tc>
          <w:tcPr>
            <w:tcW w:w="1885" w:type="dxa"/>
            <w:tcBorders>
              <w:top w:val="nil"/>
              <w:left w:val="single" w:sz="8" w:space="0" w:color="000000"/>
              <w:bottom w:val="single" w:sz="8" w:space="0" w:color="auto"/>
              <w:right w:val="single" w:sz="8" w:space="0" w:color="auto"/>
            </w:tcBorders>
            <w:shd w:val="clear" w:color="000000" w:fill="D9D9D9"/>
            <w:vAlign w:val="center"/>
            <w:hideMark/>
          </w:tcPr>
          <w:p w14:paraId="06AEF8C8" w14:textId="77777777" w:rsidR="004C19ED" w:rsidRPr="00833F42" w:rsidRDefault="004C19ED" w:rsidP="003E2CCD">
            <w:pPr>
              <w:jc w:val="center"/>
              <w:rPr>
                <w:rFonts w:eastAsia="Times New Roman" w:cs="Arial"/>
                <w:color w:val="000000"/>
                <w:szCs w:val="20"/>
                <w:lang w:eastAsia="pt-BR"/>
              </w:rPr>
            </w:pPr>
            <w:r>
              <w:rPr>
                <w:rFonts w:eastAsia="Times New Roman" w:cs="Arial"/>
                <w:color w:val="000000"/>
                <w:szCs w:val="20"/>
                <w:lang w:eastAsia="pt-BR"/>
              </w:rPr>
              <w:t>323030</w:t>
            </w:r>
          </w:p>
        </w:tc>
        <w:tc>
          <w:tcPr>
            <w:tcW w:w="3438" w:type="dxa"/>
            <w:tcBorders>
              <w:top w:val="nil"/>
              <w:left w:val="nil"/>
              <w:bottom w:val="single" w:sz="8" w:space="0" w:color="auto"/>
              <w:right w:val="single" w:sz="8" w:space="0" w:color="auto"/>
            </w:tcBorders>
            <w:shd w:val="clear" w:color="000000" w:fill="D9D9D9"/>
            <w:vAlign w:val="center"/>
            <w:hideMark/>
          </w:tcPr>
          <w:p w14:paraId="018ABCA5" w14:textId="77777777" w:rsidR="004C19ED" w:rsidRPr="00833F42" w:rsidRDefault="004C19ED" w:rsidP="003E2CCD">
            <w:pPr>
              <w:rPr>
                <w:rFonts w:eastAsia="Times New Roman" w:cs="Arial"/>
                <w:color w:val="000000"/>
                <w:szCs w:val="20"/>
                <w:lang w:eastAsia="pt-BR"/>
              </w:rPr>
            </w:pPr>
            <w:r w:rsidRPr="00E40077">
              <w:rPr>
                <w:rFonts w:eastAsia="Times New Roman" w:cs="Arial"/>
                <w:color w:val="000000"/>
                <w:szCs w:val="20"/>
                <w:lang w:eastAsia="pt-BR"/>
              </w:rPr>
              <w:t>Setor de Grandes Áreas Norte 603 - Asa Norte, Brasília - DF</w:t>
            </w:r>
          </w:p>
        </w:tc>
        <w:tc>
          <w:tcPr>
            <w:tcW w:w="2377" w:type="dxa"/>
            <w:tcBorders>
              <w:top w:val="nil"/>
              <w:left w:val="nil"/>
              <w:bottom w:val="single" w:sz="8" w:space="0" w:color="auto"/>
              <w:right w:val="single" w:sz="8" w:space="0" w:color="auto"/>
            </w:tcBorders>
            <w:shd w:val="clear" w:color="000000" w:fill="D9D9D9"/>
            <w:noWrap/>
            <w:vAlign w:val="center"/>
            <w:hideMark/>
          </w:tcPr>
          <w:p w14:paraId="4273AAF5" w14:textId="77777777" w:rsidR="004C19ED" w:rsidRPr="00833F42" w:rsidRDefault="004C19ED" w:rsidP="003E2CCD">
            <w:pPr>
              <w:jc w:val="right"/>
              <w:rPr>
                <w:rFonts w:eastAsia="Times New Roman" w:cs="Arial"/>
                <w:color w:val="000000"/>
                <w:szCs w:val="20"/>
                <w:lang w:eastAsia="pt-BR"/>
              </w:rPr>
            </w:pPr>
            <w:r w:rsidRPr="00DB7F4B">
              <w:rPr>
                <w:rFonts w:eastAsia="Times New Roman" w:cs="Arial"/>
                <w:color w:val="000000"/>
                <w:szCs w:val="20"/>
                <w:lang w:eastAsia="pt-BR"/>
              </w:rPr>
              <w:t>9701001725000</w:t>
            </w:r>
          </w:p>
        </w:tc>
      </w:tr>
      <w:tr w:rsidR="004C19ED" w:rsidRPr="00833F42" w14:paraId="73E6AF24" w14:textId="77777777" w:rsidTr="003E2CCD">
        <w:trPr>
          <w:trHeight w:val="533"/>
        </w:trPr>
        <w:tc>
          <w:tcPr>
            <w:tcW w:w="1885" w:type="dxa"/>
            <w:tcBorders>
              <w:top w:val="nil"/>
              <w:left w:val="single" w:sz="8" w:space="0" w:color="000000"/>
              <w:bottom w:val="single" w:sz="8" w:space="0" w:color="auto"/>
              <w:right w:val="single" w:sz="8" w:space="0" w:color="auto"/>
            </w:tcBorders>
            <w:shd w:val="clear" w:color="000000" w:fill="FFFFFF"/>
            <w:vAlign w:val="center"/>
            <w:hideMark/>
          </w:tcPr>
          <w:p w14:paraId="3D545774" w14:textId="77777777" w:rsidR="004C19ED" w:rsidRPr="00833F42" w:rsidRDefault="004C19ED" w:rsidP="003E2CCD">
            <w:pPr>
              <w:jc w:val="center"/>
              <w:rPr>
                <w:rFonts w:eastAsia="Times New Roman" w:cs="Arial"/>
                <w:color w:val="000000"/>
                <w:szCs w:val="20"/>
                <w:lang w:eastAsia="pt-BR"/>
              </w:rPr>
            </w:pPr>
            <w:r>
              <w:rPr>
                <w:rFonts w:eastAsia="Times New Roman" w:cs="Arial"/>
                <w:color w:val="000000"/>
                <w:szCs w:val="20"/>
                <w:lang w:eastAsia="pt-BR"/>
              </w:rPr>
              <w:t>323031</w:t>
            </w:r>
          </w:p>
        </w:tc>
        <w:tc>
          <w:tcPr>
            <w:tcW w:w="3438" w:type="dxa"/>
            <w:tcBorders>
              <w:top w:val="nil"/>
              <w:left w:val="nil"/>
              <w:bottom w:val="single" w:sz="8" w:space="0" w:color="auto"/>
              <w:right w:val="single" w:sz="8" w:space="0" w:color="auto"/>
            </w:tcBorders>
            <w:shd w:val="clear" w:color="000000" w:fill="FFFFFF"/>
            <w:vAlign w:val="center"/>
            <w:hideMark/>
          </w:tcPr>
          <w:p w14:paraId="67ABC7C4" w14:textId="77777777" w:rsidR="004C19ED" w:rsidRPr="00833F42" w:rsidRDefault="004C19ED" w:rsidP="003E2CCD">
            <w:pPr>
              <w:jc w:val="left"/>
              <w:rPr>
                <w:rFonts w:eastAsia="Times New Roman" w:cs="Arial"/>
                <w:color w:val="000000"/>
                <w:szCs w:val="20"/>
                <w:lang w:eastAsia="pt-BR"/>
              </w:rPr>
            </w:pPr>
            <w:proofErr w:type="spellStart"/>
            <w:r w:rsidRPr="00833F42">
              <w:rPr>
                <w:rFonts w:eastAsia="Times New Roman" w:cs="Arial"/>
                <w:color w:val="000000"/>
                <w:szCs w:val="20"/>
                <w:lang w:eastAsia="pt-BR"/>
              </w:rPr>
              <w:t>A</w:t>
            </w:r>
            <w:r>
              <w:rPr>
                <w:rFonts w:eastAsia="Times New Roman" w:cs="Arial"/>
                <w:color w:val="000000"/>
                <w:szCs w:val="20"/>
                <w:lang w:eastAsia="pt-BR"/>
              </w:rPr>
              <w:t>v</w:t>
            </w:r>
            <w:proofErr w:type="spellEnd"/>
            <w:r>
              <w:rPr>
                <w:rFonts w:eastAsia="Times New Roman" w:cs="Arial"/>
                <w:color w:val="000000"/>
                <w:szCs w:val="20"/>
                <w:lang w:eastAsia="pt-BR"/>
              </w:rPr>
              <w:t xml:space="preserve"> Rio Branco 65 – 12 ao 22 andar</w:t>
            </w:r>
            <w:r w:rsidRPr="00833F42">
              <w:rPr>
                <w:rFonts w:eastAsia="Times New Roman" w:cs="Arial"/>
                <w:color w:val="000000"/>
                <w:szCs w:val="20"/>
                <w:lang w:eastAsia="pt-BR"/>
              </w:rPr>
              <w:t>e</w:t>
            </w:r>
            <w:r>
              <w:rPr>
                <w:rFonts w:eastAsia="Times New Roman" w:cs="Arial"/>
                <w:color w:val="000000"/>
                <w:szCs w:val="20"/>
                <w:lang w:eastAsia="pt-BR"/>
              </w:rPr>
              <w:t xml:space="preserve">s – Rio de </w:t>
            </w:r>
            <w:r w:rsidRPr="00833F42">
              <w:rPr>
                <w:rFonts w:eastAsia="Times New Roman" w:cs="Arial"/>
                <w:color w:val="000000"/>
                <w:szCs w:val="20"/>
                <w:lang w:eastAsia="pt-BR"/>
              </w:rPr>
              <w:t>Janeiro/RJ</w:t>
            </w:r>
          </w:p>
        </w:tc>
        <w:tc>
          <w:tcPr>
            <w:tcW w:w="2377" w:type="dxa"/>
            <w:tcBorders>
              <w:top w:val="nil"/>
              <w:left w:val="nil"/>
              <w:bottom w:val="single" w:sz="8" w:space="0" w:color="auto"/>
              <w:right w:val="single" w:sz="8" w:space="0" w:color="auto"/>
            </w:tcBorders>
            <w:shd w:val="clear" w:color="000000" w:fill="FFFFFF"/>
            <w:noWrap/>
            <w:vAlign w:val="center"/>
            <w:hideMark/>
          </w:tcPr>
          <w:p w14:paraId="441BA71C" w14:textId="77777777" w:rsidR="004C19ED" w:rsidRPr="00833F42" w:rsidRDefault="004C19ED" w:rsidP="003E2CCD">
            <w:pPr>
              <w:jc w:val="right"/>
              <w:rPr>
                <w:rFonts w:eastAsia="Times New Roman" w:cs="Arial"/>
                <w:color w:val="000000"/>
                <w:szCs w:val="20"/>
                <w:lang w:eastAsia="pt-BR"/>
              </w:rPr>
            </w:pPr>
            <w:r w:rsidRPr="00B770D7">
              <w:rPr>
                <w:rFonts w:eastAsia="Times New Roman" w:cs="Arial"/>
                <w:color w:val="000000"/>
                <w:szCs w:val="20"/>
                <w:lang w:eastAsia="pt-BR"/>
              </w:rPr>
              <w:t>6001028615000</w:t>
            </w:r>
          </w:p>
        </w:tc>
      </w:tr>
    </w:tbl>
    <w:p w14:paraId="73D9ED57" w14:textId="77777777" w:rsidR="004C19ED" w:rsidRDefault="004C19ED" w:rsidP="004C19ED">
      <w:pPr>
        <w:rPr>
          <w:rFonts w:cs="Arial"/>
          <w:i/>
          <w:szCs w:val="20"/>
        </w:rPr>
      </w:pPr>
    </w:p>
    <w:p w14:paraId="0A7306CA" w14:textId="77777777" w:rsidR="004C19ED" w:rsidRDefault="004C19ED" w:rsidP="004C19ED">
      <w:pPr>
        <w:rPr>
          <w:rFonts w:cs="Arial"/>
          <w:i/>
          <w:szCs w:val="20"/>
        </w:rPr>
      </w:pPr>
      <w:r w:rsidRPr="00E40077">
        <w:rPr>
          <w:rFonts w:cs="Arial"/>
          <w:i/>
          <w:szCs w:val="20"/>
        </w:rPr>
        <w:t>Fonte: SPIUNET</w:t>
      </w:r>
      <w:r w:rsidRPr="00E40077">
        <w:rPr>
          <w:rFonts w:cs="Arial"/>
          <w:szCs w:val="20"/>
        </w:rPr>
        <w:t>/</w:t>
      </w:r>
      <w:r w:rsidRPr="00E40077">
        <w:rPr>
          <w:rFonts w:cs="Arial"/>
          <w:i/>
          <w:szCs w:val="20"/>
        </w:rPr>
        <w:t>SIAFI</w:t>
      </w:r>
      <w:bookmarkEnd w:id="2"/>
    </w:p>
    <w:p w14:paraId="79D82150" w14:textId="77777777" w:rsidR="004C19ED" w:rsidRDefault="004C19ED" w:rsidP="004C19ED">
      <w:pPr>
        <w:rPr>
          <w:rFonts w:cs="Arial"/>
          <w:i/>
          <w:szCs w:val="20"/>
        </w:rPr>
      </w:pPr>
    </w:p>
    <w:p w14:paraId="7382E129" w14:textId="77777777" w:rsidR="004C19ED" w:rsidRPr="007C5FAB" w:rsidRDefault="004C19ED" w:rsidP="004C19ED">
      <w:pPr>
        <w:rPr>
          <w:rFonts w:cs="Arial"/>
          <w:b/>
          <w:iCs/>
          <w:color w:val="FF0000"/>
          <w:sz w:val="22"/>
        </w:rPr>
      </w:pPr>
      <w:r w:rsidRPr="009B02B1">
        <w:rPr>
          <w:rFonts w:cs="Arial"/>
          <w:iCs/>
          <w:sz w:val="22"/>
        </w:rPr>
        <w:t>Os bens recebidos em forma de cessão gratuita ou comodato estão listados na tabela 25.</w:t>
      </w:r>
    </w:p>
    <w:p w14:paraId="05C17D4B" w14:textId="14B734C9" w:rsidR="004C19ED" w:rsidRDefault="004C19ED" w:rsidP="004C19ED">
      <w:pPr>
        <w:rPr>
          <w:rFonts w:eastAsia="Times New Roman" w:cs="Arial"/>
          <w:sz w:val="22"/>
        </w:rPr>
      </w:pPr>
    </w:p>
    <w:p w14:paraId="287FFC01" w14:textId="77777777" w:rsidR="004C19ED" w:rsidRDefault="004C19ED" w:rsidP="004C19ED">
      <w:pPr>
        <w:rPr>
          <w:rFonts w:cs="Arial"/>
          <w:b/>
          <w:sz w:val="22"/>
        </w:rPr>
      </w:pPr>
    </w:p>
    <w:p w14:paraId="50F38815" w14:textId="77777777" w:rsidR="004C19ED" w:rsidRPr="00C0371B" w:rsidRDefault="004C19ED" w:rsidP="004C19ED">
      <w:pPr>
        <w:rPr>
          <w:rFonts w:cs="Arial"/>
          <w:b/>
          <w:sz w:val="22"/>
        </w:rPr>
      </w:pPr>
      <w:r w:rsidRPr="00C0371B">
        <w:rPr>
          <w:rFonts w:cs="Arial"/>
          <w:b/>
          <w:sz w:val="22"/>
        </w:rPr>
        <w:t>Nota 0</w:t>
      </w:r>
      <w:r>
        <w:rPr>
          <w:rFonts w:cs="Arial"/>
          <w:b/>
          <w:sz w:val="22"/>
        </w:rPr>
        <w:t>4</w:t>
      </w:r>
      <w:r w:rsidRPr="00C0371B">
        <w:rPr>
          <w:rFonts w:cs="Arial"/>
          <w:b/>
          <w:sz w:val="22"/>
        </w:rPr>
        <w:t xml:space="preserve"> – </w:t>
      </w:r>
      <w:r>
        <w:rPr>
          <w:rFonts w:cs="Arial"/>
          <w:b/>
          <w:sz w:val="22"/>
        </w:rPr>
        <w:t>Intangível</w:t>
      </w:r>
    </w:p>
    <w:p w14:paraId="29B85FAD" w14:textId="77777777" w:rsidR="004C19ED" w:rsidRPr="00C0371B" w:rsidRDefault="004C19ED" w:rsidP="004C19ED">
      <w:pPr>
        <w:rPr>
          <w:rFonts w:cs="Arial"/>
          <w:sz w:val="22"/>
        </w:rPr>
      </w:pPr>
    </w:p>
    <w:p w14:paraId="213B45B8" w14:textId="77777777" w:rsidR="004C19ED" w:rsidRPr="00C0371B" w:rsidRDefault="004C19ED" w:rsidP="004C19ED">
      <w:pPr>
        <w:rPr>
          <w:rFonts w:cs="Arial"/>
          <w:sz w:val="22"/>
        </w:rPr>
      </w:pPr>
      <w:r>
        <w:rPr>
          <w:rFonts w:cs="Arial"/>
          <w:sz w:val="22"/>
        </w:rPr>
        <w:lastRenderedPageBreak/>
        <w:t xml:space="preserve">O Ativo Intangível da ANP, em 31/12/2021, totalizava </w:t>
      </w:r>
      <w:r w:rsidRPr="00DC3864">
        <w:rPr>
          <w:rFonts w:cs="Arial"/>
          <w:sz w:val="22"/>
        </w:rPr>
        <w:t>pouco mais de R$ 30 milhões</w:t>
      </w:r>
      <w:r>
        <w:rPr>
          <w:rFonts w:cs="Arial"/>
          <w:sz w:val="22"/>
        </w:rPr>
        <w:t xml:space="preserve"> em Softwares e Marcas e Patentes está distribuído conforme tabela a seguir:</w:t>
      </w:r>
    </w:p>
    <w:p w14:paraId="79EE5D76" w14:textId="77777777" w:rsidR="004C19ED" w:rsidRPr="00C0371B" w:rsidRDefault="004C19ED" w:rsidP="004C19ED">
      <w:pPr>
        <w:rPr>
          <w:rFonts w:cs="Arial"/>
          <w:sz w:val="22"/>
        </w:rPr>
      </w:pPr>
    </w:p>
    <w:p w14:paraId="48846BDB" w14:textId="77777777" w:rsidR="004C19ED" w:rsidRDefault="004C19ED" w:rsidP="004C19ED">
      <w:pPr>
        <w:rPr>
          <w:rFonts w:cs="Arial"/>
          <w:b/>
          <w:sz w:val="22"/>
        </w:rPr>
      </w:pPr>
      <w:r w:rsidRPr="00C0371B">
        <w:rPr>
          <w:rFonts w:cs="Arial"/>
          <w:b/>
          <w:sz w:val="22"/>
        </w:rPr>
        <w:t>Tabela</w:t>
      </w:r>
      <w:r>
        <w:rPr>
          <w:rFonts w:cs="Arial"/>
          <w:b/>
          <w:sz w:val="22"/>
        </w:rPr>
        <w:t xml:space="preserve"> 10</w:t>
      </w:r>
      <w:r w:rsidRPr="00C0371B">
        <w:rPr>
          <w:rFonts w:cs="Arial"/>
          <w:b/>
          <w:sz w:val="22"/>
        </w:rPr>
        <w:t xml:space="preserve"> – </w:t>
      </w:r>
      <w:r>
        <w:rPr>
          <w:rFonts w:cs="Arial"/>
          <w:b/>
          <w:sz w:val="22"/>
        </w:rPr>
        <w:t>Intangível</w:t>
      </w:r>
      <w:r w:rsidRPr="00C0371B">
        <w:rPr>
          <w:rFonts w:cs="Arial"/>
          <w:b/>
          <w:sz w:val="22"/>
        </w:rPr>
        <w:t xml:space="preserve"> – </w:t>
      </w:r>
      <w:r>
        <w:rPr>
          <w:rFonts w:cs="Arial"/>
          <w:b/>
          <w:sz w:val="22"/>
        </w:rPr>
        <w:t>Composição.</w:t>
      </w:r>
    </w:p>
    <w:p w14:paraId="1B2A914B" w14:textId="77777777" w:rsidR="004C19ED" w:rsidRDefault="004C19ED" w:rsidP="004C19ED">
      <w:pPr>
        <w:jc w:val="center"/>
        <w:rPr>
          <w:rFonts w:cs="Arial"/>
          <w:sz w:val="22"/>
        </w:rPr>
      </w:pPr>
      <w:r>
        <w:rPr>
          <w:rFonts w:cs="Arial"/>
          <w:sz w:val="22"/>
        </w:rPr>
        <w:t xml:space="preserve">                                                                                                                                          </w:t>
      </w:r>
      <w:r w:rsidRPr="00AB7853">
        <w:rPr>
          <w:rFonts w:cs="Arial"/>
          <w:sz w:val="22"/>
        </w:rPr>
        <w:t>R$</w:t>
      </w:r>
    </w:p>
    <w:tbl>
      <w:tblPr>
        <w:tblW w:w="9103" w:type="dxa"/>
        <w:tblCellMar>
          <w:left w:w="70" w:type="dxa"/>
          <w:right w:w="70" w:type="dxa"/>
        </w:tblCellMar>
        <w:tblLook w:val="04A0" w:firstRow="1" w:lastRow="0" w:firstColumn="1" w:lastColumn="0" w:noHBand="0" w:noVBand="1"/>
      </w:tblPr>
      <w:tblGrid>
        <w:gridCol w:w="4895"/>
        <w:gridCol w:w="1605"/>
        <w:gridCol w:w="1605"/>
        <w:gridCol w:w="998"/>
      </w:tblGrid>
      <w:tr w:rsidR="004C19ED" w:rsidRPr="00486631" w14:paraId="3D7508D4" w14:textId="77777777" w:rsidTr="003E2CCD">
        <w:trPr>
          <w:trHeight w:val="269"/>
        </w:trPr>
        <w:tc>
          <w:tcPr>
            <w:tcW w:w="4895" w:type="dxa"/>
            <w:tcBorders>
              <w:top w:val="single" w:sz="8" w:space="0" w:color="000000"/>
              <w:left w:val="nil"/>
              <w:bottom w:val="single" w:sz="8" w:space="0" w:color="000000"/>
              <w:right w:val="nil"/>
            </w:tcBorders>
            <w:shd w:val="clear" w:color="auto" w:fill="auto"/>
            <w:noWrap/>
            <w:vAlign w:val="center"/>
            <w:hideMark/>
          </w:tcPr>
          <w:p w14:paraId="4B14B0D4" w14:textId="77777777" w:rsidR="004C19ED" w:rsidRPr="00486631" w:rsidRDefault="004C19ED" w:rsidP="003E2CCD">
            <w:pPr>
              <w:jc w:val="left"/>
              <w:rPr>
                <w:rFonts w:eastAsia="Times New Roman" w:cs="Arial"/>
                <w:b/>
                <w:bCs/>
                <w:color w:val="FFFFFF"/>
                <w:szCs w:val="20"/>
                <w:lang w:eastAsia="pt-BR"/>
              </w:rPr>
            </w:pPr>
            <w:r w:rsidRPr="00447D67">
              <w:rPr>
                <w:rFonts w:eastAsia="Times New Roman" w:cs="Arial"/>
                <w:b/>
                <w:bCs/>
                <w:szCs w:val="20"/>
                <w:lang w:eastAsia="pt-BR"/>
              </w:rPr>
              <w:t>INTANGÍVEL</w:t>
            </w:r>
          </w:p>
        </w:tc>
        <w:tc>
          <w:tcPr>
            <w:tcW w:w="1605" w:type="dxa"/>
            <w:tcBorders>
              <w:top w:val="single" w:sz="8" w:space="0" w:color="000000"/>
              <w:left w:val="nil"/>
              <w:bottom w:val="single" w:sz="8" w:space="0" w:color="000000"/>
              <w:right w:val="nil"/>
            </w:tcBorders>
            <w:shd w:val="clear" w:color="auto" w:fill="auto"/>
            <w:noWrap/>
            <w:vAlign w:val="center"/>
            <w:hideMark/>
          </w:tcPr>
          <w:p w14:paraId="73D092E6" w14:textId="77777777" w:rsidR="004C19ED" w:rsidRPr="00486631" w:rsidRDefault="004C19ED" w:rsidP="003E2CCD">
            <w:pPr>
              <w:jc w:val="right"/>
              <w:rPr>
                <w:rFonts w:eastAsia="Times New Roman" w:cs="Arial"/>
                <w:b/>
                <w:bCs/>
                <w:color w:val="000000"/>
                <w:szCs w:val="20"/>
                <w:lang w:eastAsia="pt-BR"/>
              </w:rPr>
            </w:pPr>
            <w:r w:rsidRPr="00486631">
              <w:rPr>
                <w:rFonts w:eastAsia="Times New Roman" w:cs="Arial"/>
                <w:b/>
                <w:bCs/>
                <w:color w:val="000000"/>
                <w:szCs w:val="20"/>
                <w:lang w:eastAsia="pt-BR"/>
              </w:rPr>
              <w:t>3</w:t>
            </w:r>
            <w:r>
              <w:rPr>
                <w:rFonts w:eastAsia="Times New Roman" w:cs="Arial"/>
                <w:b/>
                <w:bCs/>
                <w:color w:val="000000"/>
                <w:szCs w:val="20"/>
                <w:lang w:eastAsia="pt-BR"/>
              </w:rPr>
              <w:t>1</w:t>
            </w:r>
            <w:r w:rsidRPr="00486631">
              <w:rPr>
                <w:rFonts w:eastAsia="Times New Roman" w:cs="Arial"/>
                <w:b/>
                <w:bCs/>
                <w:color w:val="000000"/>
                <w:szCs w:val="20"/>
                <w:lang w:eastAsia="pt-BR"/>
              </w:rPr>
              <w:t>/</w:t>
            </w:r>
            <w:r>
              <w:rPr>
                <w:rFonts w:eastAsia="Times New Roman" w:cs="Arial"/>
                <w:b/>
                <w:bCs/>
                <w:color w:val="000000"/>
                <w:szCs w:val="20"/>
                <w:lang w:eastAsia="pt-BR"/>
              </w:rPr>
              <w:t>12</w:t>
            </w:r>
            <w:r w:rsidRPr="00486631">
              <w:rPr>
                <w:rFonts w:eastAsia="Times New Roman" w:cs="Arial"/>
                <w:b/>
                <w:bCs/>
                <w:color w:val="000000"/>
                <w:szCs w:val="20"/>
                <w:lang w:eastAsia="pt-BR"/>
              </w:rPr>
              <w:t>/20</w:t>
            </w:r>
            <w:r>
              <w:rPr>
                <w:rFonts w:eastAsia="Times New Roman" w:cs="Arial"/>
                <w:b/>
                <w:bCs/>
                <w:color w:val="000000"/>
                <w:szCs w:val="20"/>
                <w:lang w:eastAsia="pt-BR"/>
              </w:rPr>
              <w:t>21</w:t>
            </w:r>
          </w:p>
        </w:tc>
        <w:tc>
          <w:tcPr>
            <w:tcW w:w="1605" w:type="dxa"/>
            <w:tcBorders>
              <w:top w:val="single" w:sz="8" w:space="0" w:color="000000"/>
              <w:left w:val="nil"/>
              <w:bottom w:val="single" w:sz="8" w:space="0" w:color="000000"/>
              <w:right w:val="nil"/>
            </w:tcBorders>
            <w:shd w:val="clear" w:color="auto" w:fill="auto"/>
            <w:noWrap/>
            <w:vAlign w:val="center"/>
            <w:hideMark/>
          </w:tcPr>
          <w:p w14:paraId="23A07240" w14:textId="77777777" w:rsidR="004C19ED" w:rsidRPr="00486631" w:rsidRDefault="004C19ED" w:rsidP="003E2CCD">
            <w:pPr>
              <w:jc w:val="right"/>
              <w:rPr>
                <w:rFonts w:eastAsia="Times New Roman" w:cs="Arial"/>
                <w:b/>
                <w:bCs/>
                <w:color w:val="000000"/>
                <w:szCs w:val="20"/>
                <w:lang w:eastAsia="pt-BR"/>
              </w:rPr>
            </w:pPr>
            <w:r w:rsidRPr="00486631">
              <w:rPr>
                <w:rFonts w:eastAsia="Times New Roman" w:cs="Arial"/>
                <w:b/>
                <w:bCs/>
                <w:color w:val="000000"/>
                <w:szCs w:val="20"/>
                <w:lang w:eastAsia="pt-BR"/>
              </w:rPr>
              <w:t>31/12/20</w:t>
            </w:r>
            <w:r>
              <w:rPr>
                <w:rFonts w:eastAsia="Times New Roman" w:cs="Arial"/>
                <w:b/>
                <w:bCs/>
                <w:color w:val="000000"/>
                <w:szCs w:val="20"/>
                <w:lang w:eastAsia="pt-BR"/>
              </w:rPr>
              <w:t>20</w:t>
            </w:r>
          </w:p>
        </w:tc>
        <w:tc>
          <w:tcPr>
            <w:tcW w:w="998" w:type="dxa"/>
            <w:tcBorders>
              <w:top w:val="single" w:sz="8" w:space="0" w:color="000000"/>
              <w:left w:val="nil"/>
              <w:bottom w:val="single" w:sz="8" w:space="0" w:color="000000"/>
              <w:right w:val="nil"/>
            </w:tcBorders>
            <w:shd w:val="clear" w:color="auto" w:fill="auto"/>
            <w:noWrap/>
            <w:vAlign w:val="center"/>
            <w:hideMark/>
          </w:tcPr>
          <w:p w14:paraId="5D4BBBEB" w14:textId="77777777" w:rsidR="004C19ED" w:rsidRPr="00486631" w:rsidRDefault="004C19ED" w:rsidP="003E2CCD">
            <w:pPr>
              <w:jc w:val="right"/>
              <w:rPr>
                <w:rFonts w:eastAsia="Times New Roman" w:cs="Arial"/>
                <w:b/>
                <w:bCs/>
                <w:color w:val="000000"/>
                <w:szCs w:val="20"/>
                <w:lang w:eastAsia="pt-BR"/>
              </w:rPr>
            </w:pPr>
            <w:r w:rsidRPr="00486631">
              <w:rPr>
                <w:rFonts w:eastAsia="Times New Roman" w:cs="Arial"/>
                <w:b/>
                <w:bCs/>
                <w:color w:val="000000"/>
                <w:szCs w:val="20"/>
                <w:lang w:eastAsia="pt-BR"/>
              </w:rPr>
              <w:t>AH (%)</w:t>
            </w:r>
          </w:p>
        </w:tc>
      </w:tr>
      <w:tr w:rsidR="004C19ED" w:rsidRPr="00486631" w14:paraId="0F78DD3E" w14:textId="77777777" w:rsidTr="003E2CCD">
        <w:trPr>
          <w:trHeight w:val="254"/>
        </w:trPr>
        <w:tc>
          <w:tcPr>
            <w:tcW w:w="4895" w:type="dxa"/>
            <w:tcBorders>
              <w:top w:val="nil"/>
              <w:left w:val="nil"/>
              <w:bottom w:val="nil"/>
              <w:right w:val="nil"/>
            </w:tcBorders>
            <w:shd w:val="clear" w:color="auto" w:fill="FFFFFF" w:themeFill="background1"/>
            <w:vAlign w:val="center"/>
            <w:hideMark/>
          </w:tcPr>
          <w:p w14:paraId="4DE07A6B" w14:textId="77777777" w:rsidR="004C19ED" w:rsidRPr="00486631" w:rsidRDefault="004C19ED" w:rsidP="003E2CCD">
            <w:pPr>
              <w:jc w:val="left"/>
              <w:rPr>
                <w:rFonts w:eastAsia="Times New Roman" w:cs="Arial"/>
                <w:color w:val="000000"/>
                <w:szCs w:val="20"/>
                <w:lang w:eastAsia="pt-BR"/>
              </w:rPr>
            </w:pPr>
            <w:r w:rsidRPr="00486631">
              <w:rPr>
                <w:rFonts w:eastAsia="Times New Roman" w:cs="Arial"/>
                <w:color w:val="000000"/>
                <w:szCs w:val="20"/>
                <w:lang w:eastAsia="pt-BR"/>
              </w:rPr>
              <w:t>Softwares com Vida Útil Indefinida</w:t>
            </w:r>
          </w:p>
        </w:tc>
        <w:tc>
          <w:tcPr>
            <w:tcW w:w="1605" w:type="dxa"/>
            <w:tcBorders>
              <w:top w:val="nil"/>
              <w:left w:val="nil"/>
              <w:bottom w:val="nil"/>
              <w:right w:val="nil"/>
            </w:tcBorders>
            <w:shd w:val="clear" w:color="auto" w:fill="FFFFFF" w:themeFill="background1"/>
            <w:noWrap/>
            <w:vAlign w:val="center"/>
          </w:tcPr>
          <w:p w14:paraId="37C526B3" w14:textId="77777777" w:rsidR="004C19ED" w:rsidRPr="00486631" w:rsidRDefault="004C19ED" w:rsidP="003E2CCD">
            <w:pPr>
              <w:jc w:val="right"/>
              <w:rPr>
                <w:rFonts w:eastAsia="Times New Roman" w:cs="Arial"/>
                <w:color w:val="000000"/>
                <w:szCs w:val="20"/>
                <w:lang w:eastAsia="pt-BR"/>
              </w:rPr>
            </w:pPr>
            <w:r w:rsidRPr="00DC3864">
              <w:rPr>
                <w:rFonts w:eastAsia="Times New Roman" w:cs="Arial"/>
                <w:color w:val="000000"/>
                <w:szCs w:val="20"/>
                <w:lang w:eastAsia="pt-BR"/>
              </w:rPr>
              <w:t>30</w:t>
            </w:r>
            <w:r>
              <w:rPr>
                <w:rFonts w:eastAsia="Times New Roman" w:cs="Arial"/>
                <w:color w:val="000000"/>
                <w:szCs w:val="20"/>
                <w:lang w:eastAsia="pt-BR"/>
              </w:rPr>
              <w:t>.</w:t>
            </w:r>
            <w:r w:rsidRPr="00DC3864">
              <w:rPr>
                <w:rFonts w:eastAsia="Times New Roman" w:cs="Arial"/>
                <w:color w:val="000000"/>
                <w:szCs w:val="20"/>
                <w:lang w:eastAsia="pt-BR"/>
              </w:rPr>
              <w:t>845</w:t>
            </w:r>
            <w:r>
              <w:rPr>
                <w:rFonts w:eastAsia="Times New Roman" w:cs="Arial"/>
                <w:color w:val="000000"/>
                <w:szCs w:val="20"/>
                <w:lang w:eastAsia="pt-BR"/>
              </w:rPr>
              <w:t>.</w:t>
            </w:r>
            <w:r w:rsidRPr="00DC3864">
              <w:rPr>
                <w:rFonts w:eastAsia="Times New Roman" w:cs="Arial"/>
                <w:color w:val="000000"/>
                <w:szCs w:val="20"/>
                <w:lang w:eastAsia="pt-BR"/>
              </w:rPr>
              <w:t>303,28</w:t>
            </w:r>
          </w:p>
        </w:tc>
        <w:tc>
          <w:tcPr>
            <w:tcW w:w="1605" w:type="dxa"/>
            <w:tcBorders>
              <w:top w:val="nil"/>
              <w:left w:val="nil"/>
              <w:bottom w:val="nil"/>
              <w:right w:val="nil"/>
            </w:tcBorders>
            <w:shd w:val="clear" w:color="auto" w:fill="FFFFFF" w:themeFill="background1"/>
            <w:noWrap/>
            <w:vAlign w:val="center"/>
            <w:hideMark/>
          </w:tcPr>
          <w:p w14:paraId="216A73FA" w14:textId="77777777" w:rsidR="004C19ED" w:rsidRPr="00486631" w:rsidRDefault="004C19ED" w:rsidP="003E2CCD">
            <w:pPr>
              <w:jc w:val="right"/>
              <w:rPr>
                <w:rFonts w:eastAsia="Times New Roman" w:cs="Arial"/>
                <w:color w:val="000000"/>
                <w:szCs w:val="20"/>
                <w:lang w:eastAsia="pt-BR"/>
              </w:rPr>
            </w:pPr>
            <w:r w:rsidRPr="00447D67">
              <w:rPr>
                <w:rFonts w:eastAsia="Times New Roman" w:cs="Arial"/>
                <w:color w:val="000000"/>
                <w:szCs w:val="20"/>
                <w:lang w:eastAsia="pt-BR"/>
              </w:rPr>
              <w:t>26</w:t>
            </w:r>
            <w:r>
              <w:rPr>
                <w:rFonts w:eastAsia="Times New Roman" w:cs="Arial"/>
                <w:color w:val="000000"/>
                <w:szCs w:val="20"/>
                <w:lang w:eastAsia="pt-BR"/>
              </w:rPr>
              <w:t>.</w:t>
            </w:r>
            <w:r w:rsidRPr="00447D67">
              <w:rPr>
                <w:rFonts w:eastAsia="Times New Roman" w:cs="Arial"/>
                <w:color w:val="000000"/>
                <w:szCs w:val="20"/>
                <w:lang w:eastAsia="pt-BR"/>
              </w:rPr>
              <w:t>848</w:t>
            </w:r>
            <w:r>
              <w:rPr>
                <w:rFonts w:eastAsia="Times New Roman" w:cs="Arial"/>
                <w:color w:val="000000"/>
                <w:szCs w:val="20"/>
                <w:lang w:eastAsia="pt-BR"/>
              </w:rPr>
              <w:t>.</w:t>
            </w:r>
            <w:r w:rsidRPr="00447D67">
              <w:rPr>
                <w:rFonts w:eastAsia="Times New Roman" w:cs="Arial"/>
                <w:color w:val="000000"/>
                <w:szCs w:val="20"/>
                <w:lang w:eastAsia="pt-BR"/>
              </w:rPr>
              <w:t>371,93</w:t>
            </w:r>
          </w:p>
        </w:tc>
        <w:tc>
          <w:tcPr>
            <w:tcW w:w="998" w:type="dxa"/>
            <w:tcBorders>
              <w:top w:val="nil"/>
              <w:left w:val="nil"/>
              <w:bottom w:val="nil"/>
              <w:right w:val="nil"/>
            </w:tcBorders>
            <w:shd w:val="clear" w:color="auto" w:fill="FFFFFF" w:themeFill="background1"/>
            <w:noWrap/>
            <w:vAlign w:val="center"/>
            <w:hideMark/>
          </w:tcPr>
          <w:p w14:paraId="0BEFF439" w14:textId="77777777" w:rsidR="004C19ED" w:rsidRPr="00486631" w:rsidRDefault="004C19ED" w:rsidP="003E2CCD">
            <w:pPr>
              <w:jc w:val="right"/>
              <w:rPr>
                <w:rFonts w:eastAsia="Times New Roman" w:cs="Arial"/>
                <w:color w:val="000000"/>
                <w:szCs w:val="20"/>
                <w:lang w:eastAsia="pt-BR"/>
              </w:rPr>
            </w:pPr>
            <w:r>
              <w:rPr>
                <w:rFonts w:eastAsia="Times New Roman" w:cs="Arial"/>
                <w:color w:val="000000"/>
                <w:szCs w:val="20"/>
                <w:lang w:eastAsia="pt-BR"/>
              </w:rPr>
              <w:t>14,89</w:t>
            </w:r>
          </w:p>
        </w:tc>
      </w:tr>
      <w:tr w:rsidR="004C19ED" w:rsidRPr="00486631" w14:paraId="76FA5E6E" w14:textId="77777777" w:rsidTr="003E2CCD">
        <w:trPr>
          <w:trHeight w:val="254"/>
        </w:trPr>
        <w:tc>
          <w:tcPr>
            <w:tcW w:w="4895" w:type="dxa"/>
            <w:tcBorders>
              <w:top w:val="nil"/>
              <w:left w:val="nil"/>
              <w:bottom w:val="nil"/>
              <w:right w:val="nil"/>
            </w:tcBorders>
            <w:shd w:val="clear" w:color="000000" w:fill="D9D9D9"/>
            <w:vAlign w:val="center"/>
          </w:tcPr>
          <w:p w14:paraId="2ACC3F48" w14:textId="77777777" w:rsidR="004C19ED" w:rsidRPr="00486631" w:rsidRDefault="004C19ED" w:rsidP="003E2CCD">
            <w:pPr>
              <w:jc w:val="left"/>
              <w:rPr>
                <w:rFonts w:eastAsia="Times New Roman" w:cs="Arial"/>
                <w:color w:val="000000"/>
                <w:szCs w:val="20"/>
                <w:lang w:eastAsia="pt-BR"/>
              </w:rPr>
            </w:pPr>
            <w:r>
              <w:rPr>
                <w:rFonts w:eastAsia="Times New Roman" w:cs="Arial"/>
                <w:color w:val="000000"/>
                <w:szCs w:val="20"/>
                <w:lang w:eastAsia="pt-BR"/>
              </w:rPr>
              <w:t>Softwares em Desenvolvimento</w:t>
            </w:r>
          </w:p>
        </w:tc>
        <w:tc>
          <w:tcPr>
            <w:tcW w:w="1605" w:type="dxa"/>
            <w:tcBorders>
              <w:top w:val="nil"/>
              <w:left w:val="nil"/>
              <w:bottom w:val="nil"/>
              <w:right w:val="nil"/>
            </w:tcBorders>
            <w:shd w:val="clear" w:color="000000" w:fill="D9D9D9"/>
            <w:noWrap/>
            <w:vAlign w:val="center"/>
          </w:tcPr>
          <w:p w14:paraId="78A489FD"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1605" w:type="dxa"/>
            <w:tcBorders>
              <w:top w:val="nil"/>
              <w:left w:val="nil"/>
              <w:bottom w:val="nil"/>
              <w:right w:val="nil"/>
            </w:tcBorders>
            <w:shd w:val="clear" w:color="000000" w:fill="D9D9D9"/>
            <w:noWrap/>
            <w:vAlign w:val="center"/>
          </w:tcPr>
          <w:p w14:paraId="5B4EB122" w14:textId="77777777" w:rsidR="004C19ED" w:rsidRDefault="004C19ED" w:rsidP="003E2CCD">
            <w:pPr>
              <w:jc w:val="right"/>
              <w:rPr>
                <w:rFonts w:eastAsia="Times New Roman" w:cs="Arial"/>
                <w:color w:val="000000"/>
                <w:szCs w:val="20"/>
                <w:lang w:eastAsia="pt-BR"/>
              </w:rPr>
            </w:pPr>
            <w:r w:rsidRPr="00447D67">
              <w:rPr>
                <w:rFonts w:eastAsia="Times New Roman" w:cs="Arial"/>
                <w:color w:val="000000"/>
                <w:szCs w:val="20"/>
                <w:lang w:eastAsia="pt-BR"/>
              </w:rPr>
              <w:t>253</w:t>
            </w:r>
            <w:r>
              <w:rPr>
                <w:rFonts w:eastAsia="Times New Roman" w:cs="Arial"/>
                <w:color w:val="000000"/>
                <w:szCs w:val="20"/>
                <w:lang w:eastAsia="pt-BR"/>
              </w:rPr>
              <w:t>.</w:t>
            </w:r>
            <w:r w:rsidRPr="00447D67">
              <w:rPr>
                <w:rFonts w:eastAsia="Times New Roman" w:cs="Arial"/>
                <w:color w:val="000000"/>
                <w:szCs w:val="20"/>
                <w:lang w:eastAsia="pt-BR"/>
              </w:rPr>
              <w:t>270,82</w:t>
            </w:r>
          </w:p>
        </w:tc>
        <w:tc>
          <w:tcPr>
            <w:tcW w:w="998" w:type="dxa"/>
            <w:tcBorders>
              <w:top w:val="nil"/>
              <w:left w:val="nil"/>
              <w:bottom w:val="nil"/>
              <w:right w:val="nil"/>
            </w:tcBorders>
            <w:shd w:val="clear" w:color="000000" w:fill="D9D9D9"/>
            <w:noWrap/>
            <w:vAlign w:val="center"/>
          </w:tcPr>
          <w:p w14:paraId="74EE59DD"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r>
      <w:tr w:rsidR="004C19ED" w:rsidRPr="00486631" w14:paraId="3293A3DA" w14:textId="77777777" w:rsidTr="003E2CCD">
        <w:trPr>
          <w:trHeight w:val="254"/>
        </w:trPr>
        <w:tc>
          <w:tcPr>
            <w:tcW w:w="4895" w:type="dxa"/>
            <w:tcBorders>
              <w:top w:val="nil"/>
              <w:left w:val="nil"/>
              <w:bottom w:val="nil"/>
              <w:right w:val="nil"/>
            </w:tcBorders>
            <w:shd w:val="clear" w:color="auto" w:fill="auto"/>
            <w:vAlign w:val="center"/>
            <w:hideMark/>
          </w:tcPr>
          <w:p w14:paraId="7E059892" w14:textId="77777777" w:rsidR="004C19ED" w:rsidRPr="00486631" w:rsidRDefault="004C19ED" w:rsidP="003E2CCD">
            <w:pPr>
              <w:jc w:val="left"/>
              <w:rPr>
                <w:rFonts w:eastAsia="Times New Roman" w:cs="Arial"/>
                <w:color w:val="000000"/>
                <w:szCs w:val="20"/>
                <w:lang w:eastAsia="pt-BR"/>
              </w:rPr>
            </w:pPr>
            <w:r w:rsidRPr="00486631">
              <w:rPr>
                <w:rFonts w:eastAsia="Times New Roman" w:cs="Arial"/>
                <w:color w:val="000000"/>
                <w:szCs w:val="20"/>
                <w:lang w:eastAsia="pt-BR"/>
              </w:rPr>
              <w:t>Softwares com Vida Útil Definida</w:t>
            </w:r>
          </w:p>
        </w:tc>
        <w:tc>
          <w:tcPr>
            <w:tcW w:w="1605" w:type="dxa"/>
            <w:tcBorders>
              <w:top w:val="nil"/>
              <w:left w:val="nil"/>
              <w:bottom w:val="nil"/>
              <w:right w:val="nil"/>
            </w:tcBorders>
            <w:shd w:val="clear" w:color="auto" w:fill="auto"/>
            <w:noWrap/>
            <w:vAlign w:val="center"/>
          </w:tcPr>
          <w:p w14:paraId="37BB078F" w14:textId="77777777" w:rsidR="004C19ED" w:rsidRPr="00486631"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1605" w:type="dxa"/>
            <w:tcBorders>
              <w:top w:val="nil"/>
              <w:left w:val="nil"/>
              <w:bottom w:val="nil"/>
              <w:right w:val="nil"/>
            </w:tcBorders>
            <w:shd w:val="clear" w:color="auto" w:fill="auto"/>
            <w:noWrap/>
            <w:vAlign w:val="center"/>
            <w:hideMark/>
          </w:tcPr>
          <w:p w14:paraId="1D1DCFCB" w14:textId="77777777" w:rsidR="004C19ED" w:rsidRPr="00440FF1" w:rsidRDefault="004C19ED" w:rsidP="003E2CCD">
            <w:pPr>
              <w:jc w:val="right"/>
              <w:rPr>
                <w:rFonts w:eastAsia="Times New Roman" w:cs="Arial"/>
                <w:color w:val="000000"/>
                <w:szCs w:val="20"/>
                <w:lang w:eastAsia="pt-BR"/>
              </w:rPr>
            </w:pPr>
            <w:r w:rsidRPr="00447D67">
              <w:rPr>
                <w:rFonts w:eastAsia="Times New Roman" w:cs="Arial"/>
                <w:color w:val="000000"/>
                <w:szCs w:val="20"/>
                <w:lang w:eastAsia="pt-BR"/>
              </w:rPr>
              <w:t>209</w:t>
            </w:r>
            <w:r>
              <w:rPr>
                <w:rFonts w:eastAsia="Times New Roman" w:cs="Arial"/>
                <w:color w:val="000000"/>
                <w:szCs w:val="20"/>
                <w:lang w:eastAsia="pt-BR"/>
              </w:rPr>
              <w:t>.</w:t>
            </w:r>
            <w:r w:rsidRPr="00447D67">
              <w:rPr>
                <w:rFonts w:eastAsia="Times New Roman" w:cs="Arial"/>
                <w:color w:val="000000"/>
                <w:szCs w:val="20"/>
                <w:lang w:eastAsia="pt-BR"/>
              </w:rPr>
              <w:t>146,04</w:t>
            </w:r>
          </w:p>
        </w:tc>
        <w:tc>
          <w:tcPr>
            <w:tcW w:w="998" w:type="dxa"/>
            <w:tcBorders>
              <w:top w:val="nil"/>
              <w:left w:val="nil"/>
              <w:bottom w:val="nil"/>
              <w:right w:val="nil"/>
            </w:tcBorders>
            <w:shd w:val="clear" w:color="auto" w:fill="auto"/>
            <w:noWrap/>
            <w:vAlign w:val="center"/>
            <w:hideMark/>
          </w:tcPr>
          <w:p w14:paraId="1BB9663B" w14:textId="77777777" w:rsidR="004C19ED" w:rsidRPr="00486631"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r>
      <w:tr w:rsidR="004C19ED" w:rsidRPr="00486631" w14:paraId="75FBC920" w14:textId="77777777" w:rsidTr="003E2CCD">
        <w:trPr>
          <w:trHeight w:val="254"/>
        </w:trPr>
        <w:tc>
          <w:tcPr>
            <w:tcW w:w="4895" w:type="dxa"/>
            <w:tcBorders>
              <w:top w:val="nil"/>
              <w:left w:val="nil"/>
              <w:bottom w:val="nil"/>
              <w:right w:val="nil"/>
            </w:tcBorders>
            <w:shd w:val="clear" w:color="auto" w:fill="auto"/>
            <w:vAlign w:val="center"/>
          </w:tcPr>
          <w:p w14:paraId="6501A16F" w14:textId="77777777" w:rsidR="004C19ED" w:rsidRPr="00486631" w:rsidRDefault="004C19ED" w:rsidP="003E2CCD">
            <w:pPr>
              <w:jc w:val="left"/>
              <w:rPr>
                <w:rFonts w:eastAsia="Times New Roman" w:cs="Arial"/>
                <w:color w:val="000000"/>
                <w:szCs w:val="20"/>
                <w:lang w:eastAsia="pt-BR"/>
              </w:rPr>
            </w:pPr>
          </w:p>
        </w:tc>
        <w:tc>
          <w:tcPr>
            <w:tcW w:w="1605" w:type="dxa"/>
            <w:tcBorders>
              <w:top w:val="nil"/>
              <w:left w:val="nil"/>
              <w:bottom w:val="nil"/>
              <w:right w:val="nil"/>
            </w:tcBorders>
            <w:shd w:val="clear" w:color="auto" w:fill="auto"/>
            <w:noWrap/>
            <w:vAlign w:val="center"/>
          </w:tcPr>
          <w:p w14:paraId="0A9B04DB" w14:textId="77777777" w:rsidR="004C19ED" w:rsidRPr="00CB7906" w:rsidRDefault="004C19ED" w:rsidP="003E2CCD">
            <w:pPr>
              <w:jc w:val="right"/>
              <w:rPr>
                <w:rFonts w:eastAsia="Times New Roman" w:cs="Arial"/>
                <w:color w:val="000000"/>
                <w:szCs w:val="20"/>
                <w:lang w:eastAsia="pt-BR"/>
              </w:rPr>
            </w:pPr>
          </w:p>
        </w:tc>
        <w:tc>
          <w:tcPr>
            <w:tcW w:w="1605" w:type="dxa"/>
            <w:tcBorders>
              <w:top w:val="nil"/>
              <w:left w:val="nil"/>
              <w:bottom w:val="nil"/>
              <w:right w:val="nil"/>
            </w:tcBorders>
            <w:shd w:val="clear" w:color="auto" w:fill="auto"/>
            <w:noWrap/>
            <w:vAlign w:val="center"/>
          </w:tcPr>
          <w:p w14:paraId="7815FDC0" w14:textId="77777777" w:rsidR="004C19ED" w:rsidRDefault="004C19ED" w:rsidP="003E2CCD">
            <w:pPr>
              <w:jc w:val="right"/>
              <w:rPr>
                <w:rFonts w:eastAsia="Times New Roman" w:cs="Arial"/>
                <w:color w:val="000000"/>
                <w:szCs w:val="20"/>
                <w:lang w:eastAsia="pt-BR"/>
              </w:rPr>
            </w:pPr>
          </w:p>
        </w:tc>
        <w:tc>
          <w:tcPr>
            <w:tcW w:w="998" w:type="dxa"/>
            <w:tcBorders>
              <w:top w:val="nil"/>
              <w:left w:val="nil"/>
              <w:bottom w:val="nil"/>
              <w:right w:val="nil"/>
            </w:tcBorders>
            <w:shd w:val="clear" w:color="auto" w:fill="auto"/>
            <w:noWrap/>
            <w:vAlign w:val="center"/>
          </w:tcPr>
          <w:p w14:paraId="7EB4B7CA" w14:textId="77777777" w:rsidR="004C19ED" w:rsidRDefault="004C19ED" w:rsidP="003E2CCD">
            <w:pPr>
              <w:jc w:val="right"/>
              <w:rPr>
                <w:rFonts w:eastAsia="Times New Roman" w:cs="Arial"/>
                <w:color w:val="000000"/>
                <w:szCs w:val="20"/>
                <w:lang w:eastAsia="pt-BR"/>
              </w:rPr>
            </w:pPr>
          </w:p>
        </w:tc>
      </w:tr>
      <w:tr w:rsidR="004C19ED" w:rsidRPr="00486631" w14:paraId="3C465ADA" w14:textId="77777777" w:rsidTr="003E2CCD">
        <w:trPr>
          <w:trHeight w:val="254"/>
        </w:trPr>
        <w:tc>
          <w:tcPr>
            <w:tcW w:w="4895" w:type="dxa"/>
            <w:tcBorders>
              <w:top w:val="nil"/>
              <w:left w:val="nil"/>
              <w:bottom w:val="nil"/>
              <w:right w:val="nil"/>
            </w:tcBorders>
            <w:shd w:val="clear" w:color="000000" w:fill="D9D9D9"/>
            <w:vAlign w:val="center"/>
            <w:hideMark/>
          </w:tcPr>
          <w:p w14:paraId="575FBD7F" w14:textId="77777777" w:rsidR="004C19ED" w:rsidRPr="00486631" w:rsidRDefault="004C19ED" w:rsidP="003E2CCD">
            <w:pPr>
              <w:jc w:val="left"/>
              <w:rPr>
                <w:rFonts w:eastAsia="Times New Roman" w:cs="Arial"/>
                <w:color w:val="000000"/>
                <w:szCs w:val="20"/>
                <w:lang w:eastAsia="pt-BR"/>
              </w:rPr>
            </w:pPr>
            <w:r w:rsidRPr="00486631">
              <w:rPr>
                <w:rFonts w:eastAsia="Times New Roman" w:cs="Arial"/>
                <w:color w:val="000000"/>
                <w:szCs w:val="20"/>
                <w:lang w:eastAsia="pt-BR"/>
              </w:rPr>
              <w:t>Amortização Acumulada</w:t>
            </w:r>
          </w:p>
        </w:tc>
        <w:tc>
          <w:tcPr>
            <w:tcW w:w="1605" w:type="dxa"/>
            <w:tcBorders>
              <w:top w:val="nil"/>
              <w:left w:val="nil"/>
              <w:bottom w:val="nil"/>
              <w:right w:val="nil"/>
            </w:tcBorders>
            <w:shd w:val="clear" w:color="000000" w:fill="D9D9D9"/>
            <w:noWrap/>
            <w:vAlign w:val="center"/>
          </w:tcPr>
          <w:p w14:paraId="0EF58822" w14:textId="77777777" w:rsidR="004C19ED" w:rsidRPr="00486631"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1605" w:type="dxa"/>
            <w:tcBorders>
              <w:top w:val="nil"/>
              <w:left w:val="nil"/>
              <w:bottom w:val="nil"/>
              <w:right w:val="nil"/>
            </w:tcBorders>
            <w:shd w:val="clear" w:color="000000" w:fill="D9D9D9"/>
            <w:noWrap/>
            <w:vAlign w:val="center"/>
            <w:hideMark/>
          </w:tcPr>
          <w:p w14:paraId="7C742F67" w14:textId="77777777" w:rsidR="004C19ED" w:rsidRPr="00486631"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c>
          <w:tcPr>
            <w:tcW w:w="998" w:type="dxa"/>
            <w:tcBorders>
              <w:top w:val="nil"/>
              <w:left w:val="nil"/>
              <w:bottom w:val="nil"/>
              <w:right w:val="nil"/>
            </w:tcBorders>
            <w:shd w:val="clear" w:color="000000" w:fill="D9D9D9"/>
            <w:noWrap/>
            <w:vAlign w:val="center"/>
            <w:hideMark/>
          </w:tcPr>
          <w:p w14:paraId="104B8552" w14:textId="77777777" w:rsidR="004C19ED" w:rsidRPr="00486631"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r>
      <w:tr w:rsidR="004C19ED" w:rsidRPr="007168B6" w14:paraId="3386AC22" w14:textId="77777777" w:rsidTr="003E2CCD">
        <w:trPr>
          <w:trHeight w:val="269"/>
        </w:trPr>
        <w:tc>
          <w:tcPr>
            <w:tcW w:w="4895" w:type="dxa"/>
            <w:tcBorders>
              <w:top w:val="nil"/>
              <w:left w:val="nil"/>
              <w:bottom w:val="single" w:sz="8" w:space="0" w:color="000000"/>
              <w:right w:val="nil"/>
            </w:tcBorders>
            <w:shd w:val="clear" w:color="auto" w:fill="auto"/>
            <w:vAlign w:val="center"/>
          </w:tcPr>
          <w:p w14:paraId="721842A5" w14:textId="77777777" w:rsidR="004C19ED" w:rsidRPr="007168B6" w:rsidRDefault="004C19ED" w:rsidP="003E2CCD">
            <w:pPr>
              <w:jc w:val="left"/>
              <w:rPr>
                <w:rFonts w:eastAsia="Times New Roman" w:cs="Arial"/>
                <w:bCs/>
                <w:color w:val="000000"/>
                <w:szCs w:val="20"/>
                <w:lang w:eastAsia="pt-BR"/>
              </w:rPr>
            </w:pPr>
            <w:r w:rsidRPr="007168B6">
              <w:rPr>
                <w:rFonts w:eastAsia="Times New Roman" w:cs="Arial"/>
                <w:bCs/>
                <w:color w:val="000000"/>
                <w:szCs w:val="20"/>
                <w:lang w:eastAsia="pt-BR"/>
              </w:rPr>
              <w:t>Marcas e patentes</w:t>
            </w:r>
          </w:p>
        </w:tc>
        <w:tc>
          <w:tcPr>
            <w:tcW w:w="1605" w:type="dxa"/>
            <w:tcBorders>
              <w:top w:val="nil"/>
              <w:left w:val="nil"/>
              <w:bottom w:val="single" w:sz="8" w:space="0" w:color="000000"/>
              <w:right w:val="nil"/>
            </w:tcBorders>
            <w:shd w:val="clear" w:color="auto" w:fill="auto"/>
            <w:noWrap/>
            <w:vAlign w:val="center"/>
          </w:tcPr>
          <w:p w14:paraId="27C1B1E6" w14:textId="77777777" w:rsidR="004C19ED" w:rsidRPr="007168B6" w:rsidRDefault="004C19ED" w:rsidP="003E2CCD">
            <w:pPr>
              <w:jc w:val="right"/>
              <w:rPr>
                <w:rFonts w:eastAsia="Times New Roman" w:cs="Arial"/>
                <w:bCs/>
                <w:color w:val="000000"/>
                <w:szCs w:val="20"/>
                <w:lang w:eastAsia="pt-BR"/>
              </w:rPr>
            </w:pPr>
            <w:r>
              <w:rPr>
                <w:rFonts w:eastAsia="Times New Roman" w:cs="Arial"/>
                <w:bCs/>
                <w:color w:val="000000"/>
                <w:szCs w:val="20"/>
                <w:lang w:eastAsia="pt-BR"/>
              </w:rPr>
              <w:t>0</w:t>
            </w:r>
          </w:p>
        </w:tc>
        <w:tc>
          <w:tcPr>
            <w:tcW w:w="1605" w:type="dxa"/>
            <w:tcBorders>
              <w:top w:val="nil"/>
              <w:left w:val="nil"/>
              <w:bottom w:val="single" w:sz="8" w:space="0" w:color="000000"/>
              <w:right w:val="nil"/>
            </w:tcBorders>
            <w:shd w:val="clear" w:color="auto" w:fill="auto"/>
            <w:noWrap/>
            <w:vAlign w:val="center"/>
          </w:tcPr>
          <w:p w14:paraId="4CD28511" w14:textId="77777777" w:rsidR="004C19ED" w:rsidRPr="007168B6" w:rsidRDefault="004C19ED" w:rsidP="003E2CCD">
            <w:pPr>
              <w:jc w:val="right"/>
              <w:rPr>
                <w:rFonts w:eastAsia="Times New Roman" w:cs="Arial"/>
                <w:bCs/>
                <w:color w:val="000000"/>
                <w:szCs w:val="20"/>
                <w:lang w:eastAsia="pt-BR"/>
              </w:rPr>
            </w:pPr>
            <w:r>
              <w:rPr>
                <w:rFonts w:eastAsia="Times New Roman" w:cs="Arial"/>
                <w:bCs/>
                <w:color w:val="000000"/>
                <w:szCs w:val="20"/>
                <w:lang w:eastAsia="pt-BR"/>
              </w:rPr>
              <w:t>3.800,00</w:t>
            </w:r>
          </w:p>
        </w:tc>
        <w:tc>
          <w:tcPr>
            <w:tcW w:w="998" w:type="dxa"/>
            <w:tcBorders>
              <w:top w:val="nil"/>
              <w:left w:val="nil"/>
              <w:bottom w:val="single" w:sz="8" w:space="0" w:color="000000"/>
              <w:right w:val="nil"/>
            </w:tcBorders>
            <w:shd w:val="clear" w:color="auto" w:fill="auto"/>
            <w:noWrap/>
            <w:vAlign w:val="center"/>
          </w:tcPr>
          <w:p w14:paraId="4347C613" w14:textId="77777777" w:rsidR="004C19ED" w:rsidRPr="007168B6" w:rsidRDefault="004C19ED" w:rsidP="003E2CCD">
            <w:pPr>
              <w:jc w:val="right"/>
              <w:rPr>
                <w:rFonts w:eastAsia="Times New Roman" w:cs="Arial"/>
                <w:bCs/>
                <w:color w:val="000000"/>
                <w:szCs w:val="20"/>
                <w:lang w:eastAsia="pt-BR"/>
              </w:rPr>
            </w:pPr>
            <w:r>
              <w:rPr>
                <w:rFonts w:eastAsia="Times New Roman" w:cs="Arial"/>
                <w:bCs/>
                <w:color w:val="000000"/>
                <w:szCs w:val="20"/>
                <w:lang w:eastAsia="pt-BR"/>
              </w:rPr>
              <w:t>0,00</w:t>
            </w:r>
          </w:p>
        </w:tc>
      </w:tr>
      <w:tr w:rsidR="004C19ED" w:rsidRPr="007168B6" w14:paraId="6AE606AE" w14:textId="77777777" w:rsidTr="003E2CCD">
        <w:trPr>
          <w:trHeight w:val="269"/>
        </w:trPr>
        <w:tc>
          <w:tcPr>
            <w:tcW w:w="4895" w:type="dxa"/>
            <w:tcBorders>
              <w:top w:val="nil"/>
              <w:left w:val="nil"/>
              <w:bottom w:val="single" w:sz="8" w:space="0" w:color="000000"/>
              <w:right w:val="nil"/>
            </w:tcBorders>
            <w:shd w:val="clear" w:color="auto" w:fill="D9D9D9" w:themeFill="background1" w:themeFillShade="D9"/>
            <w:vAlign w:val="center"/>
            <w:hideMark/>
          </w:tcPr>
          <w:p w14:paraId="50865709" w14:textId="77777777" w:rsidR="004C19ED" w:rsidRPr="007168B6" w:rsidRDefault="004C19ED" w:rsidP="003E2CCD">
            <w:pPr>
              <w:jc w:val="left"/>
              <w:rPr>
                <w:rFonts w:eastAsia="Times New Roman" w:cs="Arial"/>
                <w:b/>
                <w:bCs/>
                <w:color w:val="000000"/>
                <w:szCs w:val="20"/>
                <w:lang w:eastAsia="pt-BR"/>
              </w:rPr>
            </w:pPr>
            <w:r w:rsidRPr="007168B6">
              <w:rPr>
                <w:rFonts w:eastAsia="Times New Roman" w:cs="Arial"/>
                <w:b/>
                <w:bCs/>
                <w:color w:val="000000"/>
                <w:szCs w:val="20"/>
                <w:lang w:eastAsia="pt-BR"/>
              </w:rPr>
              <w:t xml:space="preserve">Total </w:t>
            </w:r>
          </w:p>
        </w:tc>
        <w:tc>
          <w:tcPr>
            <w:tcW w:w="1605" w:type="dxa"/>
            <w:tcBorders>
              <w:top w:val="nil"/>
              <w:left w:val="nil"/>
              <w:bottom w:val="single" w:sz="8" w:space="0" w:color="000000"/>
              <w:right w:val="nil"/>
            </w:tcBorders>
            <w:shd w:val="clear" w:color="auto" w:fill="D9D9D9" w:themeFill="background1" w:themeFillShade="D9"/>
            <w:noWrap/>
            <w:vAlign w:val="center"/>
          </w:tcPr>
          <w:p w14:paraId="4CC5E76F" w14:textId="77777777" w:rsidR="004C19ED" w:rsidRPr="00DC3864" w:rsidRDefault="004C19ED" w:rsidP="003E2CCD">
            <w:pPr>
              <w:jc w:val="right"/>
              <w:rPr>
                <w:rFonts w:eastAsia="Times New Roman" w:cs="Arial"/>
                <w:b/>
                <w:bCs/>
                <w:color w:val="000000"/>
                <w:szCs w:val="20"/>
                <w:lang w:eastAsia="pt-BR"/>
              </w:rPr>
            </w:pPr>
            <w:r w:rsidRPr="00DC3864">
              <w:rPr>
                <w:rFonts w:eastAsia="Times New Roman" w:cs="Arial"/>
                <w:b/>
                <w:bCs/>
                <w:color w:val="000000"/>
                <w:szCs w:val="20"/>
                <w:lang w:eastAsia="pt-BR"/>
              </w:rPr>
              <w:t>30.845.303,28</w:t>
            </w:r>
          </w:p>
        </w:tc>
        <w:tc>
          <w:tcPr>
            <w:tcW w:w="1605" w:type="dxa"/>
            <w:tcBorders>
              <w:top w:val="nil"/>
              <w:left w:val="nil"/>
              <w:bottom w:val="single" w:sz="8" w:space="0" w:color="000000"/>
              <w:right w:val="nil"/>
            </w:tcBorders>
            <w:shd w:val="clear" w:color="auto" w:fill="D9D9D9" w:themeFill="background1" w:themeFillShade="D9"/>
            <w:noWrap/>
            <w:vAlign w:val="center"/>
            <w:hideMark/>
          </w:tcPr>
          <w:p w14:paraId="5F4C6E21" w14:textId="77777777" w:rsidR="004C19ED" w:rsidRPr="007168B6" w:rsidRDefault="004C19ED" w:rsidP="003E2CCD">
            <w:pPr>
              <w:jc w:val="right"/>
              <w:rPr>
                <w:rFonts w:eastAsia="Times New Roman" w:cs="Arial"/>
                <w:b/>
                <w:bCs/>
                <w:color w:val="000000"/>
                <w:szCs w:val="20"/>
                <w:lang w:eastAsia="pt-BR"/>
              </w:rPr>
            </w:pPr>
            <w:r w:rsidRPr="00447D67">
              <w:rPr>
                <w:rFonts w:eastAsia="Times New Roman" w:cs="Arial"/>
                <w:b/>
                <w:color w:val="000000"/>
                <w:szCs w:val="20"/>
                <w:lang w:eastAsia="pt-BR"/>
              </w:rPr>
              <w:t>27.314.588,79</w:t>
            </w:r>
          </w:p>
        </w:tc>
        <w:tc>
          <w:tcPr>
            <w:tcW w:w="998" w:type="dxa"/>
            <w:tcBorders>
              <w:top w:val="nil"/>
              <w:left w:val="nil"/>
              <w:bottom w:val="single" w:sz="8" w:space="0" w:color="000000"/>
              <w:right w:val="nil"/>
            </w:tcBorders>
            <w:shd w:val="clear" w:color="auto" w:fill="D9D9D9" w:themeFill="background1" w:themeFillShade="D9"/>
            <w:noWrap/>
            <w:vAlign w:val="center"/>
            <w:hideMark/>
          </w:tcPr>
          <w:p w14:paraId="1229DBE8" w14:textId="77777777" w:rsidR="004C19ED" w:rsidRPr="007168B6"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12,06</w:t>
            </w:r>
          </w:p>
        </w:tc>
      </w:tr>
    </w:tbl>
    <w:p w14:paraId="159B3248" w14:textId="77777777" w:rsidR="004C19ED" w:rsidRPr="006046BF" w:rsidRDefault="004C19ED" w:rsidP="004C19ED">
      <w:pPr>
        <w:rPr>
          <w:rFonts w:cs="Arial"/>
          <w:i/>
          <w:szCs w:val="20"/>
        </w:rPr>
      </w:pPr>
      <w:r w:rsidRPr="006046BF">
        <w:rPr>
          <w:rFonts w:cs="Arial"/>
          <w:i/>
          <w:szCs w:val="20"/>
        </w:rPr>
        <w:t xml:space="preserve">Fonte: SIAFI, </w:t>
      </w:r>
      <w:r>
        <w:rPr>
          <w:rFonts w:cs="Arial"/>
          <w:i/>
          <w:szCs w:val="20"/>
        </w:rPr>
        <w:t xml:space="preserve">2021 e </w:t>
      </w:r>
      <w:r w:rsidRPr="006046BF">
        <w:rPr>
          <w:rFonts w:cs="Arial"/>
          <w:i/>
          <w:szCs w:val="20"/>
        </w:rPr>
        <w:t>20</w:t>
      </w:r>
      <w:r>
        <w:rPr>
          <w:rFonts w:cs="Arial"/>
          <w:i/>
          <w:szCs w:val="20"/>
        </w:rPr>
        <w:t>20</w:t>
      </w:r>
      <w:r w:rsidRPr="006046BF">
        <w:rPr>
          <w:rFonts w:cs="Arial"/>
          <w:i/>
          <w:szCs w:val="20"/>
        </w:rPr>
        <w:t>.</w:t>
      </w:r>
    </w:p>
    <w:p w14:paraId="7DE4AB60" w14:textId="77777777" w:rsidR="004C19ED" w:rsidRPr="006046BF" w:rsidRDefault="004C19ED" w:rsidP="004C19ED">
      <w:pPr>
        <w:rPr>
          <w:rFonts w:cs="Arial"/>
          <w:i/>
          <w:szCs w:val="20"/>
        </w:rPr>
      </w:pPr>
    </w:p>
    <w:p w14:paraId="488F7D0F" w14:textId="77777777" w:rsidR="004C19ED" w:rsidRDefault="004C19ED" w:rsidP="004C19ED">
      <w:pPr>
        <w:rPr>
          <w:rFonts w:cs="Arial"/>
          <w:sz w:val="22"/>
        </w:rPr>
      </w:pPr>
      <w:r>
        <w:rPr>
          <w:rFonts w:cs="Arial"/>
          <w:sz w:val="22"/>
        </w:rPr>
        <w:t>Os softwares adquiridos pela ANP, conforme a norma contábil foram mensurados pelo seu custo de produção ou aquisição. O levantamento dos mesmos foi finalizado em 2021 e o desmembramento em vida útil definida ou indefinida encontra-se fidedigno. Ao final de cada período a área de TI é instada a informar quais softwares continuam ou não em uso. Os softwares de vida útil indefinida, de acordo com o MCASP, não devem ser amortizados, uma vez que geram constantes benefícios imediatos e futuros para o órgão.</w:t>
      </w:r>
    </w:p>
    <w:p w14:paraId="43BD739A" w14:textId="77777777" w:rsidR="004C19ED" w:rsidRDefault="004C19ED" w:rsidP="004C19ED">
      <w:pPr>
        <w:rPr>
          <w:rFonts w:cs="Arial"/>
          <w:sz w:val="22"/>
        </w:rPr>
      </w:pPr>
    </w:p>
    <w:p w14:paraId="5608BBE7" w14:textId="77777777" w:rsidR="004C19ED" w:rsidRDefault="004C19ED" w:rsidP="004C19ED">
      <w:pPr>
        <w:rPr>
          <w:rFonts w:cs="Arial"/>
          <w:sz w:val="22"/>
        </w:rPr>
      </w:pPr>
      <w:r>
        <w:rPr>
          <w:rFonts w:cs="Arial"/>
          <w:sz w:val="22"/>
        </w:rPr>
        <w:t xml:space="preserve">Especificamente em relação aos sistemas fabricados internamente pelos servidores ou por meio de empresas contratadas (o qual foram incorretamente registrados em VPD), um processo de levantamento e mensuração dos custos e dos benefícios econômicos futuros ou serviços em potencial, encontra-se em andamento. </w:t>
      </w:r>
    </w:p>
    <w:p w14:paraId="281D6868" w14:textId="77777777" w:rsidR="004C19ED" w:rsidRDefault="004C19ED" w:rsidP="004C19ED">
      <w:pPr>
        <w:rPr>
          <w:rFonts w:cs="Arial"/>
          <w:sz w:val="22"/>
        </w:rPr>
      </w:pPr>
    </w:p>
    <w:p w14:paraId="0B3B2F4F" w14:textId="77777777" w:rsidR="004C19ED" w:rsidRPr="007168B6" w:rsidRDefault="004C19ED" w:rsidP="004C19ED">
      <w:pPr>
        <w:rPr>
          <w:rFonts w:cs="Arial"/>
          <w:sz w:val="22"/>
        </w:rPr>
      </w:pPr>
      <w:r w:rsidRPr="00DC3864">
        <w:rPr>
          <w:rFonts w:cs="Arial"/>
          <w:sz w:val="22"/>
        </w:rPr>
        <w:t>Quanto às marcas e patentes, no ano de 2021 foi informado à contabilizada a desistência e baixa do processo de registro de marca junto ao INPI, pelas áreas responsáveis.</w:t>
      </w:r>
      <w:r>
        <w:rPr>
          <w:rFonts w:cs="Arial"/>
          <w:sz w:val="22"/>
        </w:rPr>
        <w:t xml:space="preserve"> </w:t>
      </w:r>
    </w:p>
    <w:p w14:paraId="78928EC9" w14:textId="77777777" w:rsidR="004C19ED" w:rsidRPr="004015BE" w:rsidRDefault="004C19ED" w:rsidP="004C19ED">
      <w:pPr>
        <w:rPr>
          <w:rFonts w:cs="Arial"/>
          <w:sz w:val="22"/>
        </w:rPr>
      </w:pPr>
    </w:p>
    <w:p w14:paraId="2070CF36" w14:textId="77777777" w:rsidR="004C19ED" w:rsidRDefault="004C19ED" w:rsidP="004C19ED">
      <w:pPr>
        <w:rPr>
          <w:rFonts w:cs="Arial"/>
          <w:b/>
          <w:sz w:val="22"/>
        </w:rPr>
      </w:pPr>
      <w:bookmarkStart w:id="3" w:name="_Hlk31288873"/>
      <w:r w:rsidRPr="00BE0AC8">
        <w:rPr>
          <w:rFonts w:cs="Arial"/>
          <w:b/>
          <w:sz w:val="22"/>
        </w:rPr>
        <w:t xml:space="preserve">Nota 05 – </w:t>
      </w:r>
      <w:r>
        <w:rPr>
          <w:rFonts w:cs="Arial"/>
          <w:b/>
          <w:sz w:val="22"/>
        </w:rPr>
        <w:t>Passivos</w:t>
      </w:r>
    </w:p>
    <w:p w14:paraId="22CA080F" w14:textId="77777777" w:rsidR="004C19ED" w:rsidRDefault="004C19ED" w:rsidP="004C19ED">
      <w:pPr>
        <w:rPr>
          <w:rFonts w:cs="Arial"/>
          <w:b/>
          <w:sz w:val="22"/>
        </w:rPr>
      </w:pPr>
    </w:p>
    <w:p w14:paraId="3BA3FF31" w14:textId="77777777" w:rsidR="004C19ED" w:rsidRPr="00BE0AC8" w:rsidRDefault="004C19ED" w:rsidP="004C19ED">
      <w:pPr>
        <w:rPr>
          <w:rFonts w:cs="Arial"/>
          <w:b/>
          <w:sz w:val="22"/>
        </w:rPr>
      </w:pPr>
      <w:r>
        <w:rPr>
          <w:rFonts w:cs="Arial"/>
          <w:b/>
          <w:sz w:val="22"/>
        </w:rPr>
        <w:t xml:space="preserve">5.1 </w:t>
      </w:r>
      <w:r w:rsidRPr="00BE0AC8">
        <w:rPr>
          <w:rFonts w:cs="Arial"/>
          <w:b/>
          <w:sz w:val="22"/>
        </w:rPr>
        <w:t>Fornecedores e Contas a Pagar</w:t>
      </w:r>
    </w:p>
    <w:p w14:paraId="1D81C92E" w14:textId="77777777" w:rsidR="004C19ED" w:rsidRPr="00BE0AC8" w:rsidRDefault="004C19ED" w:rsidP="004C19ED">
      <w:pPr>
        <w:rPr>
          <w:rFonts w:cs="Arial"/>
          <w:sz w:val="22"/>
        </w:rPr>
      </w:pPr>
    </w:p>
    <w:p w14:paraId="170F9D0A" w14:textId="77777777" w:rsidR="004C19ED" w:rsidRPr="00BE0AC8" w:rsidRDefault="004C19ED" w:rsidP="004C19ED">
      <w:pPr>
        <w:rPr>
          <w:rFonts w:cs="Arial"/>
          <w:sz w:val="22"/>
        </w:rPr>
      </w:pPr>
      <w:r w:rsidRPr="00BE0AC8">
        <w:rPr>
          <w:rFonts w:cs="Arial"/>
          <w:sz w:val="22"/>
        </w:rPr>
        <w:t>Em 3</w:t>
      </w:r>
      <w:r>
        <w:rPr>
          <w:rFonts w:cs="Arial"/>
          <w:sz w:val="22"/>
        </w:rPr>
        <w:t>1</w:t>
      </w:r>
      <w:r w:rsidRPr="00BE0AC8">
        <w:rPr>
          <w:rFonts w:cs="Arial"/>
          <w:sz w:val="22"/>
        </w:rPr>
        <w:t>/</w:t>
      </w:r>
      <w:r>
        <w:rPr>
          <w:rFonts w:cs="Arial"/>
          <w:sz w:val="22"/>
        </w:rPr>
        <w:t>12</w:t>
      </w:r>
      <w:r w:rsidRPr="00BE0AC8">
        <w:rPr>
          <w:rFonts w:cs="Arial"/>
          <w:sz w:val="22"/>
        </w:rPr>
        <w:t>/20</w:t>
      </w:r>
      <w:r>
        <w:rPr>
          <w:rFonts w:cs="Arial"/>
          <w:sz w:val="22"/>
        </w:rPr>
        <w:t>21</w:t>
      </w:r>
      <w:r w:rsidRPr="00BE0AC8">
        <w:rPr>
          <w:rFonts w:cs="Arial"/>
          <w:sz w:val="22"/>
        </w:rPr>
        <w:t>, a A</w:t>
      </w:r>
      <w:r>
        <w:rPr>
          <w:rFonts w:cs="Arial"/>
          <w:sz w:val="22"/>
        </w:rPr>
        <w:t>NP</w:t>
      </w:r>
      <w:r w:rsidRPr="00BE0AC8">
        <w:rPr>
          <w:rFonts w:cs="Arial"/>
          <w:sz w:val="22"/>
        </w:rPr>
        <w:t xml:space="preserve"> possuía um saldo em aberto </w:t>
      </w:r>
      <w:r>
        <w:rPr>
          <w:rFonts w:cs="Arial"/>
          <w:sz w:val="22"/>
        </w:rPr>
        <w:t xml:space="preserve">pouco mais </w:t>
      </w:r>
      <w:r w:rsidRPr="006A0603">
        <w:rPr>
          <w:rFonts w:cs="Arial"/>
          <w:sz w:val="22"/>
        </w:rPr>
        <w:t>de R$ 1,3 milhões relacionados com fornecedores e contas a pagar a curto prazo.</w:t>
      </w:r>
    </w:p>
    <w:p w14:paraId="4D084C5E" w14:textId="77777777" w:rsidR="004C19ED" w:rsidRPr="00BE0AC8" w:rsidRDefault="004C19ED" w:rsidP="004C19ED">
      <w:pPr>
        <w:rPr>
          <w:rFonts w:cs="Arial"/>
          <w:sz w:val="22"/>
        </w:rPr>
      </w:pPr>
    </w:p>
    <w:p w14:paraId="526693C7" w14:textId="77777777" w:rsidR="004C19ED" w:rsidRPr="00BE0AC8" w:rsidRDefault="004C19ED" w:rsidP="004C19ED">
      <w:pPr>
        <w:rPr>
          <w:rFonts w:cs="Arial"/>
          <w:sz w:val="22"/>
        </w:rPr>
      </w:pPr>
      <w:r w:rsidRPr="00BE0AC8">
        <w:rPr>
          <w:rFonts w:cs="Arial"/>
          <w:sz w:val="22"/>
        </w:rPr>
        <w:t xml:space="preserve">A seguir, apresenta-se a tabela, relacionando as obrigações com credores nacionais a curto prazo. </w:t>
      </w:r>
    </w:p>
    <w:p w14:paraId="44402D22" w14:textId="77777777" w:rsidR="004C19ED" w:rsidRPr="00BE0AC8" w:rsidRDefault="004C19ED" w:rsidP="004C19ED">
      <w:pPr>
        <w:rPr>
          <w:rFonts w:cs="Arial"/>
          <w:sz w:val="22"/>
        </w:rPr>
      </w:pPr>
    </w:p>
    <w:p w14:paraId="6D104425" w14:textId="77777777" w:rsidR="004C19ED" w:rsidRDefault="004C19ED" w:rsidP="004C19ED">
      <w:pPr>
        <w:rPr>
          <w:rFonts w:cs="Arial"/>
          <w:b/>
          <w:sz w:val="22"/>
        </w:rPr>
      </w:pPr>
      <w:r w:rsidRPr="00BE0AC8">
        <w:rPr>
          <w:rFonts w:cs="Arial"/>
          <w:b/>
          <w:sz w:val="22"/>
        </w:rPr>
        <w:t>Tabela</w:t>
      </w:r>
      <w:r>
        <w:rPr>
          <w:rFonts w:cs="Arial"/>
          <w:b/>
          <w:sz w:val="22"/>
        </w:rPr>
        <w:t xml:space="preserve"> 11</w:t>
      </w:r>
      <w:r w:rsidRPr="00BE0AC8">
        <w:rPr>
          <w:rFonts w:cs="Arial"/>
          <w:b/>
          <w:sz w:val="22"/>
        </w:rPr>
        <w:t xml:space="preserve"> – Fornecedores e Contas a Pagar – Composição.</w:t>
      </w:r>
    </w:p>
    <w:p w14:paraId="241334A2" w14:textId="77777777" w:rsidR="004C19ED" w:rsidRDefault="004C19ED" w:rsidP="004C19ED">
      <w:pPr>
        <w:rPr>
          <w:rFonts w:cs="Arial"/>
          <w:sz w:val="22"/>
        </w:rPr>
      </w:pPr>
    </w:p>
    <w:tbl>
      <w:tblPr>
        <w:tblW w:w="9096" w:type="dxa"/>
        <w:tblCellMar>
          <w:left w:w="70" w:type="dxa"/>
          <w:right w:w="70" w:type="dxa"/>
        </w:tblCellMar>
        <w:tblLook w:val="04A0" w:firstRow="1" w:lastRow="0" w:firstColumn="1" w:lastColumn="0" w:noHBand="0" w:noVBand="1"/>
      </w:tblPr>
      <w:tblGrid>
        <w:gridCol w:w="2212"/>
        <w:gridCol w:w="2528"/>
        <w:gridCol w:w="2641"/>
        <w:gridCol w:w="1715"/>
      </w:tblGrid>
      <w:tr w:rsidR="004C19ED" w:rsidRPr="005B5484" w14:paraId="7A58A182" w14:textId="77777777" w:rsidTr="003E2CCD">
        <w:trPr>
          <w:trHeight w:val="264"/>
        </w:trPr>
        <w:tc>
          <w:tcPr>
            <w:tcW w:w="2212" w:type="dxa"/>
            <w:tcBorders>
              <w:top w:val="single" w:sz="4" w:space="0" w:color="000000"/>
              <w:left w:val="nil"/>
              <w:bottom w:val="single" w:sz="4" w:space="0" w:color="000000"/>
              <w:right w:val="nil"/>
            </w:tcBorders>
            <w:shd w:val="clear" w:color="auto" w:fill="auto"/>
            <w:noWrap/>
            <w:vAlign w:val="bottom"/>
            <w:hideMark/>
          </w:tcPr>
          <w:p w14:paraId="0FD6E1A1" w14:textId="77777777" w:rsidR="004C19ED" w:rsidRPr="005B5484" w:rsidRDefault="004C19ED" w:rsidP="003E2CCD">
            <w:pPr>
              <w:jc w:val="left"/>
              <w:rPr>
                <w:rFonts w:eastAsia="Times New Roman" w:cs="Arial"/>
                <w:b/>
                <w:bCs/>
                <w:color w:val="FFFFFF"/>
                <w:szCs w:val="20"/>
                <w:lang w:eastAsia="pt-BR"/>
              </w:rPr>
            </w:pPr>
            <w:r w:rsidRPr="005B5484">
              <w:rPr>
                <w:rFonts w:eastAsia="Times New Roman" w:cs="Arial"/>
                <w:b/>
                <w:bCs/>
                <w:color w:val="FFFFFF"/>
                <w:szCs w:val="20"/>
                <w:lang w:eastAsia="pt-BR"/>
              </w:rPr>
              <w:t>Colunas1</w:t>
            </w:r>
          </w:p>
        </w:tc>
        <w:tc>
          <w:tcPr>
            <w:tcW w:w="2528" w:type="dxa"/>
            <w:tcBorders>
              <w:top w:val="single" w:sz="4" w:space="0" w:color="000000"/>
              <w:left w:val="nil"/>
              <w:bottom w:val="single" w:sz="4" w:space="0" w:color="000000"/>
              <w:right w:val="nil"/>
            </w:tcBorders>
            <w:shd w:val="clear" w:color="auto" w:fill="auto"/>
            <w:noWrap/>
            <w:vAlign w:val="bottom"/>
            <w:hideMark/>
          </w:tcPr>
          <w:p w14:paraId="419A887F" w14:textId="77777777" w:rsidR="004C19ED" w:rsidRPr="005B5484" w:rsidRDefault="004C19ED" w:rsidP="003E2CCD">
            <w:pPr>
              <w:jc w:val="right"/>
              <w:rPr>
                <w:rFonts w:eastAsia="Times New Roman" w:cs="Arial"/>
                <w:b/>
                <w:bCs/>
                <w:color w:val="000000"/>
                <w:szCs w:val="20"/>
                <w:lang w:eastAsia="pt-BR"/>
              </w:rPr>
            </w:pPr>
            <w:r w:rsidRPr="005B5484">
              <w:rPr>
                <w:rFonts w:eastAsia="Times New Roman" w:cs="Arial"/>
                <w:b/>
                <w:bCs/>
                <w:color w:val="000000"/>
                <w:szCs w:val="20"/>
                <w:lang w:eastAsia="pt-BR"/>
              </w:rPr>
              <w:t>3</w:t>
            </w:r>
            <w:r>
              <w:rPr>
                <w:rFonts w:eastAsia="Times New Roman" w:cs="Arial"/>
                <w:b/>
                <w:bCs/>
                <w:color w:val="000000"/>
                <w:szCs w:val="20"/>
                <w:lang w:eastAsia="pt-BR"/>
              </w:rPr>
              <w:t>1</w:t>
            </w:r>
            <w:r w:rsidRPr="005B5484">
              <w:rPr>
                <w:rFonts w:eastAsia="Times New Roman" w:cs="Arial"/>
                <w:b/>
                <w:bCs/>
                <w:color w:val="000000"/>
                <w:szCs w:val="20"/>
                <w:lang w:eastAsia="pt-BR"/>
              </w:rPr>
              <w:t>/</w:t>
            </w:r>
            <w:r>
              <w:rPr>
                <w:rFonts w:eastAsia="Times New Roman" w:cs="Arial"/>
                <w:b/>
                <w:bCs/>
                <w:color w:val="000000"/>
                <w:szCs w:val="20"/>
                <w:lang w:eastAsia="pt-BR"/>
              </w:rPr>
              <w:t>12</w:t>
            </w:r>
            <w:r w:rsidRPr="005B5484">
              <w:rPr>
                <w:rFonts w:eastAsia="Times New Roman" w:cs="Arial"/>
                <w:b/>
                <w:bCs/>
                <w:color w:val="000000"/>
                <w:szCs w:val="20"/>
                <w:lang w:eastAsia="pt-BR"/>
              </w:rPr>
              <w:t>/20</w:t>
            </w:r>
            <w:r>
              <w:rPr>
                <w:rFonts w:eastAsia="Times New Roman" w:cs="Arial"/>
                <w:b/>
                <w:bCs/>
                <w:color w:val="000000"/>
                <w:szCs w:val="20"/>
                <w:lang w:eastAsia="pt-BR"/>
              </w:rPr>
              <w:t>21</w:t>
            </w:r>
          </w:p>
        </w:tc>
        <w:tc>
          <w:tcPr>
            <w:tcW w:w="2641" w:type="dxa"/>
            <w:tcBorders>
              <w:top w:val="single" w:sz="4" w:space="0" w:color="000000"/>
              <w:left w:val="nil"/>
              <w:bottom w:val="single" w:sz="4" w:space="0" w:color="000000"/>
              <w:right w:val="nil"/>
            </w:tcBorders>
            <w:shd w:val="clear" w:color="auto" w:fill="auto"/>
            <w:noWrap/>
            <w:vAlign w:val="bottom"/>
            <w:hideMark/>
          </w:tcPr>
          <w:p w14:paraId="60735404" w14:textId="77777777" w:rsidR="004C19ED" w:rsidRPr="005B5484"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31/12/2020</w:t>
            </w:r>
          </w:p>
        </w:tc>
        <w:tc>
          <w:tcPr>
            <w:tcW w:w="1715" w:type="dxa"/>
            <w:tcBorders>
              <w:top w:val="single" w:sz="4" w:space="0" w:color="000000"/>
              <w:left w:val="nil"/>
              <w:bottom w:val="single" w:sz="4" w:space="0" w:color="000000"/>
              <w:right w:val="nil"/>
            </w:tcBorders>
            <w:shd w:val="clear" w:color="auto" w:fill="auto"/>
            <w:noWrap/>
            <w:vAlign w:val="bottom"/>
            <w:hideMark/>
          </w:tcPr>
          <w:p w14:paraId="436AFC2A" w14:textId="77777777" w:rsidR="004C19ED" w:rsidRPr="005B5484" w:rsidRDefault="004C19ED" w:rsidP="003E2CCD">
            <w:pPr>
              <w:jc w:val="right"/>
              <w:rPr>
                <w:rFonts w:eastAsia="Times New Roman" w:cs="Arial"/>
                <w:b/>
                <w:bCs/>
                <w:color w:val="000000"/>
                <w:szCs w:val="20"/>
                <w:lang w:eastAsia="pt-BR"/>
              </w:rPr>
            </w:pPr>
            <w:r w:rsidRPr="005B5484">
              <w:rPr>
                <w:rFonts w:eastAsia="Times New Roman" w:cs="Arial"/>
                <w:b/>
                <w:bCs/>
                <w:color w:val="000000"/>
                <w:szCs w:val="20"/>
                <w:lang w:eastAsia="pt-BR"/>
              </w:rPr>
              <w:t>AH (%)</w:t>
            </w:r>
          </w:p>
        </w:tc>
      </w:tr>
      <w:tr w:rsidR="004C19ED" w:rsidRPr="005B5484" w14:paraId="2F068917" w14:textId="77777777" w:rsidTr="003E2CCD">
        <w:trPr>
          <w:trHeight w:val="264"/>
        </w:trPr>
        <w:tc>
          <w:tcPr>
            <w:tcW w:w="2212" w:type="dxa"/>
            <w:tcBorders>
              <w:top w:val="nil"/>
              <w:left w:val="nil"/>
              <w:bottom w:val="nil"/>
              <w:right w:val="nil"/>
            </w:tcBorders>
            <w:shd w:val="clear" w:color="D9D9D9" w:fill="D9D9D9"/>
            <w:noWrap/>
            <w:vAlign w:val="bottom"/>
            <w:hideMark/>
          </w:tcPr>
          <w:p w14:paraId="3538F8A8" w14:textId="77777777" w:rsidR="004C19ED" w:rsidRPr="005B5484" w:rsidRDefault="004C19ED" w:rsidP="003E2CCD">
            <w:pPr>
              <w:jc w:val="left"/>
              <w:rPr>
                <w:rFonts w:eastAsia="Times New Roman" w:cs="Arial"/>
                <w:color w:val="000000"/>
                <w:szCs w:val="20"/>
                <w:lang w:eastAsia="pt-BR"/>
              </w:rPr>
            </w:pPr>
            <w:r w:rsidRPr="005B5484">
              <w:rPr>
                <w:rFonts w:eastAsia="Times New Roman" w:cs="Arial"/>
                <w:color w:val="000000"/>
                <w:szCs w:val="20"/>
                <w:lang w:eastAsia="pt-BR"/>
              </w:rPr>
              <w:t>Nacionais</w:t>
            </w:r>
          </w:p>
        </w:tc>
        <w:tc>
          <w:tcPr>
            <w:tcW w:w="2528" w:type="dxa"/>
            <w:tcBorders>
              <w:top w:val="nil"/>
              <w:left w:val="nil"/>
              <w:bottom w:val="nil"/>
              <w:right w:val="nil"/>
            </w:tcBorders>
            <w:shd w:val="clear" w:color="D9D9D9" w:fill="D9D9D9"/>
            <w:noWrap/>
            <w:vAlign w:val="bottom"/>
            <w:hideMark/>
          </w:tcPr>
          <w:p w14:paraId="65A80565" w14:textId="77777777" w:rsidR="004C19ED" w:rsidRPr="005B5484" w:rsidRDefault="004C19ED" w:rsidP="003E2CCD">
            <w:pPr>
              <w:jc w:val="right"/>
              <w:rPr>
                <w:rFonts w:eastAsia="Times New Roman" w:cs="Arial"/>
                <w:color w:val="000000"/>
                <w:szCs w:val="20"/>
                <w:lang w:eastAsia="pt-BR"/>
              </w:rPr>
            </w:pPr>
            <w:r w:rsidRPr="006A0603">
              <w:rPr>
                <w:rFonts w:eastAsia="Times New Roman" w:cs="Arial"/>
                <w:color w:val="000000"/>
                <w:szCs w:val="20"/>
                <w:lang w:eastAsia="pt-BR"/>
              </w:rPr>
              <w:t>1</w:t>
            </w:r>
            <w:r>
              <w:rPr>
                <w:rFonts w:eastAsia="Times New Roman" w:cs="Arial"/>
                <w:color w:val="000000"/>
                <w:szCs w:val="20"/>
                <w:lang w:eastAsia="pt-BR"/>
              </w:rPr>
              <w:t>.</w:t>
            </w:r>
            <w:r w:rsidRPr="006A0603">
              <w:rPr>
                <w:rFonts w:eastAsia="Times New Roman" w:cs="Arial"/>
                <w:color w:val="000000"/>
                <w:szCs w:val="20"/>
                <w:lang w:eastAsia="pt-BR"/>
              </w:rPr>
              <w:t>330</w:t>
            </w:r>
            <w:r>
              <w:rPr>
                <w:rFonts w:eastAsia="Times New Roman" w:cs="Arial"/>
                <w:color w:val="000000"/>
                <w:szCs w:val="20"/>
                <w:lang w:eastAsia="pt-BR"/>
              </w:rPr>
              <w:t>.</w:t>
            </w:r>
            <w:r w:rsidRPr="006A0603">
              <w:rPr>
                <w:rFonts w:eastAsia="Times New Roman" w:cs="Arial"/>
                <w:color w:val="000000"/>
                <w:szCs w:val="20"/>
                <w:lang w:eastAsia="pt-BR"/>
              </w:rPr>
              <w:t>364,67</w:t>
            </w:r>
          </w:p>
        </w:tc>
        <w:tc>
          <w:tcPr>
            <w:tcW w:w="2641" w:type="dxa"/>
            <w:tcBorders>
              <w:top w:val="nil"/>
              <w:left w:val="nil"/>
              <w:bottom w:val="nil"/>
              <w:right w:val="nil"/>
            </w:tcBorders>
            <w:shd w:val="clear" w:color="D9D9D9" w:fill="D9D9D9"/>
            <w:noWrap/>
            <w:vAlign w:val="bottom"/>
            <w:hideMark/>
          </w:tcPr>
          <w:p w14:paraId="79E3CEA7" w14:textId="77777777" w:rsidR="004C19ED" w:rsidRPr="005B5484" w:rsidRDefault="004C19ED" w:rsidP="003E2CCD">
            <w:pPr>
              <w:jc w:val="right"/>
              <w:rPr>
                <w:rFonts w:eastAsia="Times New Roman" w:cs="Arial"/>
                <w:color w:val="000000"/>
                <w:szCs w:val="20"/>
                <w:lang w:eastAsia="pt-BR"/>
              </w:rPr>
            </w:pPr>
            <w:r w:rsidRPr="00613045">
              <w:rPr>
                <w:rFonts w:eastAsia="Times New Roman" w:cs="Arial"/>
                <w:color w:val="000000"/>
                <w:szCs w:val="20"/>
                <w:lang w:eastAsia="pt-BR"/>
              </w:rPr>
              <w:t>752.452,31</w:t>
            </w:r>
          </w:p>
        </w:tc>
        <w:tc>
          <w:tcPr>
            <w:tcW w:w="1715" w:type="dxa"/>
            <w:tcBorders>
              <w:top w:val="nil"/>
              <w:left w:val="nil"/>
              <w:bottom w:val="nil"/>
              <w:right w:val="nil"/>
            </w:tcBorders>
            <w:shd w:val="clear" w:color="D9D9D9" w:fill="D9D9D9"/>
            <w:noWrap/>
            <w:vAlign w:val="bottom"/>
            <w:hideMark/>
          </w:tcPr>
          <w:p w14:paraId="337BCA24" w14:textId="77777777" w:rsidR="004C19ED" w:rsidRPr="005B5484" w:rsidRDefault="004C19ED" w:rsidP="003E2CCD">
            <w:pPr>
              <w:jc w:val="right"/>
              <w:rPr>
                <w:rFonts w:eastAsia="Times New Roman" w:cs="Arial"/>
                <w:color w:val="000000"/>
                <w:szCs w:val="20"/>
                <w:lang w:eastAsia="pt-BR"/>
              </w:rPr>
            </w:pPr>
            <w:r>
              <w:rPr>
                <w:rFonts w:eastAsia="Times New Roman" w:cs="Arial"/>
                <w:color w:val="000000"/>
                <w:szCs w:val="20"/>
                <w:lang w:eastAsia="pt-BR"/>
              </w:rPr>
              <w:t>76,80</w:t>
            </w:r>
          </w:p>
        </w:tc>
      </w:tr>
      <w:tr w:rsidR="004C19ED" w:rsidRPr="005B5484" w14:paraId="605E6663" w14:textId="77777777" w:rsidTr="003E2CCD">
        <w:trPr>
          <w:trHeight w:val="264"/>
        </w:trPr>
        <w:tc>
          <w:tcPr>
            <w:tcW w:w="2212" w:type="dxa"/>
            <w:tcBorders>
              <w:top w:val="nil"/>
              <w:left w:val="nil"/>
              <w:bottom w:val="single" w:sz="4" w:space="0" w:color="000000"/>
              <w:right w:val="nil"/>
            </w:tcBorders>
            <w:shd w:val="clear" w:color="auto" w:fill="auto"/>
            <w:noWrap/>
            <w:vAlign w:val="bottom"/>
            <w:hideMark/>
          </w:tcPr>
          <w:p w14:paraId="28C6122C" w14:textId="77777777" w:rsidR="004C19ED" w:rsidRPr="005B5484" w:rsidRDefault="004C19ED" w:rsidP="003E2CCD">
            <w:pPr>
              <w:jc w:val="left"/>
              <w:rPr>
                <w:rFonts w:eastAsia="Times New Roman" w:cs="Arial"/>
                <w:b/>
                <w:color w:val="000000"/>
                <w:szCs w:val="20"/>
                <w:lang w:eastAsia="pt-BR"/>
              </w:rPr>
            </w:pPr>
            <w:r w:rsidRPr="005B5484">
              <w:rPr>
                <w:rFonts w:eastAsia="Times New Roman" w:cs="Arial"/>
                <w:b/>
                <w:color w:val="000000"/>
                <w:szCs w:val="20"/>
                <w:lang w:eastAsia="pt-BR"/>
              </w:rPr>
              <w:t>Total</w:t>
            </w:r>
          </w:p>
        </w:tc>
        <w:tc>
          <w:tcPr>
            <w:tcW w:w="2528" w:type="dxa"/>
            <w:tcBorders>
              <w:top w:val="nil"/>
              <w:left w:val="nil"/>
              <w:bottom w:val="single" w:sz="4" w:space="0" w:color="000000"/>
              <w:right w:val="nil"/>
            </w:tcBorders>
            <w:shd w:val="clear" w:color="auto" w:fill="auto"/>
            <w:noWrap/>
            <w:vAlign w:val="bottom"/>
            <w:hideMark/>
          </w:tcPr>
          <w:p w14:paraId="51B3DB27" w14:textId="77777777" w:rsidR="004C19ED" w:rsidRPr="006A0603" w:rsidRDefault="004C19ED" w:rsidP="003E2CCD">
            <w:pPr>
              <w:jc w:val="right"/>
              <w:rPr>
                <w:rFonts w:eastAsia="Times New Roman" w:cs="Arial"/>
                <w:b/>
                <w:bCs/>
                <w:color w:val="000000"/>
                <w:szCs w:val="20"/>
                <w:lang w:eastAsia="pt-BR"/>
              </w:rPr>
            </w:pPr>
            <w:r w:rsidRPr="006A0603">
              <w:rPr>
                <w:rFonts w:eastAsia="Times New Roman" w:cs="Arial"/>
                <w:b/>
                <w:bCs/>
                <w:color w:val="000000"/>
                <w:szCs w:val="20"/>
                <w:lang w:eastAsia="pt-BR"/>
              </w:rPr>
              <w:t>1.330.364,67</w:t>
            </w:r>
          </w:p>
        </w:tc>
        <w:tc>
          <w:tcPr>
            <w:tcW w:w="2641" w:type="dxa"/>
            <w:tcBorders>
              <w:top w:val="nil"/>
              <w:left w:val="nil"/>
              <w:bottom w:val="single" w:sz="4" w:space="0" w:color="000000"/>
              <w:right w:val="nil"/>
            </w:tcBorders>
            <w:shd w:val="clear" w:color="auto" w:fill="auto"/>
            <w:noWrap/>
            <w:vAlign w:val="bottom"/>
            <w:hideMark/>
          </w:tcPr>
          <w:p w14:paraId="7BEB57B5" w14:textId="77777777" w:rsidR="004C19ED" w:rsidRPr="0022407A" w:rsidRDefault="004C19ED" w:rsidP="003E2CCD">
            <w:pPr>
              <w:jc w:val="right"/>
              <w:rPr>
                <w:rFonts w:eastAsia="Times New Roman" w:cs="Arial"/>
                <w:b/>
                <w:color w:val="000000"/>
                <w:szCs w:val="20"/>
                <w:lang w:eastAsia="pt-BR"/>
              </w:rPr>
            </w:pPr>
            <w:r w:rsidRPr="00613045">
              <w:rPr>
                <w:rFonts w:eastAsia="Times New Roman" w:cs="Arial"/>
                <w:b/>
                <w:color w:val="000000"/>
                <w:szCs w:val="20"/>
                <w:lang w:eastAsia="pt-BR"/>
              </w:rPr>
              <w:t>752.452,31</w:t>
            </w:r>
          </w:p>
        </w:tc>
        <w:tc>
          <w:tcPr>
            <w:tcW w:w="1715" w:type="dxa"/>
            <w:tcBorders>
              <w:top w:val="nil"/>
              <w:left w:val="nil"/>
              <w:bottom w:val="single" w:sz="4" w:space="0" w:color="000000"/>
              <w:right w:val="nil"/>
            </w:tcBorders>
            <w:shd w:val="clear" w:color="auto" w:fill="auto"/>
            <w:noWrap/>
            <w:vAlign w:val="bottom"/>
            <w:hideMark/>
          </w:tcPr>
          <w:p w14:paraId="0E90B437" w14:textId="77777777" w:rsidR="004C19ED" w:rsidRPr="005B5484" w:rsidRDefault="004C19ED" w:rsidP="003E2CCD">
            <w:pPr>
              <w:jc w:val="right"/>
              <w:rPr>
                <w:rFonts w:eastAsia="Times New Roman" w:cs="Arial"/>
                <w:b/>
                <w:color w:val="000000"/>
                <w:szCs w:val="20"/>
                <w:lang w:eastAsia="pt-BR"/>
              </w:rPr>
            </w:pPr>
            <w:r>
              <w:rPr>
                <w:rFonts w:eastAsia="Times New Roman" w:cs="Arial"/>
                <w:b/>
                <w:color w:val="000000"/>
                <w:szCs w:val="20"/>
                <w:lang w:eastAsia="pt-BR"/>
              </w:rPr>
              <w:t>76,80</w:t>
            </w:r>
          </w:p>
        </w:tc>
      </w:tr>
    </w:tbl>
    <w:p w14:paraId="208ADDF3" w14:textId="77777777" w:rsidR="004C19ED" w:rsidRPr="005B5484" w:rsidRDefault="004C19ED" w:rsidP="004C19ED">
      <w:pPr>
        <w:rPr>
          <w:rFonts w:cs="Arial"/>
          <w:i/>
          <w:szCs w:val="20"/>
        </w:rPr>
      </w:pPr>
      <w:r w:rsidRPr="005B5484">
        <w:rPr>
          <w:rFonts w:cs="Arial"/>
          <w:i/>
          <w:szCs w:val="20"/>
        </w:rPr>
        <w:t>Fonte: SIAFI, 20</w:t>
      </w:r>
      <w:r>
        <w:rPr>
          <w:rFonts w:cs="Arial"/>
          <w:i/>
          <w:szCs w:val="20"/>
        </w:rPr>
        <w:t>21</w:t>
      </w:r>
      <w:r w:rsidRPr="005B5484">
        <w:rPr>
          <w:rFonts w:cs="Arial"/>
          <w:i/>
          <w:szCs w:val="20"/>
        </w:rPr>
        <w:t xml:space="preserve"> e 20</w:t>
      </w:r>
      <w:r>
        <w:rPr>
          <w:rFonts w:cs="Arial"/>
          <w:i/>
          <w:szCs w:val="20"/>
        </w:rPr>
        <w:t>20</w:t>
      </w:r>
      <w:r w:rsidRPr="005B5484">
        <w:rPr>
          <w:rFonts w:cs="Arial"/>
          <w:i/>
          <w:szCs w:val="20"/>
        </w:rPr>
        <w:t>.</w:t>
      </w:r>
    </w:p>
    <w:p w14:paraId="0A718208" w14:textId="77777777" w:rsidR="004C19ED" w:rsidRPr="00BE0AC8" w:rsidRDefault="004C19ED" w:rsidP="004C19ED">
      <w:pPr>
        <w:rPr>
          <w:rFonts w:cs="Arial"/>
          <w:sz w:val="22"/>
        </w:rPr>
      </w:pPr>
    </w:p>
    <w:p w14:paraId="3F961CB6" w14:textId="77777777" w:rsidR="004C19ED" w:rsidRDefault="004C19ED" w:rsidP="004C19ED">
      <w:pPr>
        <w:rPr>
          <w:rFonts w:cs="Arial"/>
          <w:sz w:val="22"/>
        </w:rPr>
      </w:pPr>
      <w:r>
        <w:rPr>
          <w:rFonts w:cs="Arial"/>
          <w:sz w:val="22"/>
        </w:rPr>
        <w:t xml:space="preserve">Com a entrada em funcionamento do sistema SIADS (parte almoxarifado) no final de 2021, as notas fiscais de itens para estoque e consumo ao serem inseridas no SIADS geram seu reflexo contábil na conta em liquidação e no passivo de fornecedores, contribuído assim para a melhoria das informações. Ainda assim, apesar de manter um saldo equilibrado dos níveis de contas a pagar em aberto, a ANP ainda carece melhorar as práticas de reconhecimento </w:t>
      </w:r>
      <w:r>
        <w:rPr>
          <w:rFonts w:cs="Arial"/>
          <w:sz w:val="22"/>
        </w:rPr>
        <w:lastRenderedPageBreak/>
        <w:t xml:space="preserve">do passivo de forma tempestiva. Para isso, espera-se que a entrada em funcionamento do sistema </w:t>
      </w:r>
      <w:proofErr w:type="spellStart"/>
      <w:r>
        <w:rPr>
          <w:rFonts w:cs="Arial"/>
          <w:sz w:val="22"/>
        </w:rPr>
        <w:t>Comprasnet</w:t>
      </w:r>
      <w:proofErr w:type="spellEnd"/>
      <w:r>
        <w:rPr>
          <w:rFonts w:cs="Arial"/>
          <w:sz w:val="22"/>
        </w:rPr>
        <w:t xml:space="preserve"> contratos e sua integração com o SIAFI, gere uma maior celeridade e fidedignidade no registro do passivo, haja visto </w:t>
      </w:r>
      <w:r w:rsidRPr="00137ABB">
        <w:rPr>
          <w:rFonts w:cs="Arial"/>
          <w:sz w:val="22"/>
        </w:rPr>
        <w:t xml:space="preserve">que se apresentam </w:t>
      </w:r>
      <w:r>
        <w:rPr>
          <w:rFonts w:cs="Arial"/>
          <w:sz w:val="22"/>
        </w:rPr>
        <w:t xml:space="preserve">itens na </w:t>
      </w:r>
      <w:r w:rsidRPr="00137ABB">
        <w:rPr>
          <w:rFonts w:cs="Arial"/>
          <w:sz w:val="22"/>
        </w:rPr>
        <w:t xml:space="preserve">inscrição de RP - Restos a Pagar Não Processados (RPNP) que poderiam estar </w:t>
      </w:r>
      <w:r>
        <w:rPr>
          <w:rFonts w:cs="Arial"/>
          <w:sz w:val="22"/>
        </w:rPr>
        <w:t xml:space="preserve">na fase </w:t>
      </w:r>
      <w:r w:rsidRPr="00137ABB">
        <w:rPr>
          <w:rFonts w:cs="Arial"/>
          <w:sz w:val="22"/>
        </w:rPr>
        <w:t>Em Liquidação.</w:t>
      </w:r>
      <w:r>
        <w:rPr>
          <w:rFonts w:cs="Arial"/>
          <w:sz w:val="22"/>
        </w:rPr>
        <w:t xml:space="preserve"> </w:t>
      </w:r>
    </w:p>
    <w:p w14:paraId="7CD8479B" w14:textId="77777777" w:rsidR="004C19ED" w:rsidRDefault="004C19ED" w:rsidP="004C19ED">
      <w:pPr>
        <w:rPr>
          <w:rFonts w:cs="Arial"/>
          <w:sz w:val="22"/>
        </w:rPr>
      </w:pPr>
    </w:p>
    <w:p w14:paraId="10400F2E" w14:textId="77777777" w:rsidR="004C19ED" w:rsidRPr="00BE0AC8" w:rsidRDefault="004C19ED" w:rsidP="004C19ED">
      <w:pPr>
        <w:rPr>
          <w:rFonts w:cs="Arial"/>
          <w:sz w:val="22"/>
        </w:rPr>
      </w:pPr>
      <w:r w:rsidRPr="00BE0AC8">
        <w:rPr>
          <w:rFonts w:cs="Arial"/>
          <w:sz w:val="22"/>
        </w:rPr>
        <w:t xml:space="preserve">Na tabela apresentada a seguir, relaciona-se os fornecedores </w:t>
      </w:r>
      <w:r>
        <w:rPr>
          <w:rFonts w:cs="Arial"/>
          <w:sz w:val="22"/>
        </w:rPr>
        <w:t xml:space="preserve">com seus respectivos </w:t>
      </w:r>
      <w:r w:rsidRPr="00BE0AC8">
        <w:rPr>
          <w:rFonts w:cs="Arial"/>
          <w:sz w:val="22"/>
        </w:rPr>
        <w:t>saldo</w:t>
      </w:r>
      <w:r>
        <w:rPr>
          <w:rFonts w:cs="Arial"/>
          <w:sz w:val="22"/>
        </w:rPr>
        <w:t>s</w:t>
      </w:r>
      <w:r w:rsidRPr="00BE0AC8">
        <w:rPr>
          <w:rFonts w:cs="Arial"/>
          <w:sz w:val="22"/>
        </w:rPr>
        <w:t xml:space="preserve"> em aberto na data base de 3</w:t>
      </w:r>
      <w:r>
        <w:rPr>
          <w:rFonts w:cs="Arial"/>
          <w:sz w:val="22"/>
        </w:rPr>
        <w:t>1</w:t>
      </w:r>
      <w:r w:rsidRPr="00BE0AC8">
        <w:rPr>
          <w:rFonts w:cs="Arial"/>
          <w:sz w:val="22"/>
        </w:rPr>
        <w:t>/</w:t>
      </w:r>
      <w:r>
        <w:rPr>
          <w:rFonts w:cs="Arial"/>
          <w:sz w:val="22"/>
        </w:rPr>
        <w:t>12</w:t>
      </w:r>
      <w:r w:rsidRPr="00BE0AC8">
        <w:rPr>
          <w:rFonts w:cs="Arial"/>
          <w:sz w:val="22"/>
        </w:rPr>
        <w:t>/20</w:t>
      </w:r>
      <w:r>
        <w:rPr>
          <w:rFonts w:cs="Arial"/>
          <w:sz w:val="22"/>
        </w:rPr>
        <w:t>21:</w:t>
      </w:r>
    </w:p>
    <w:p w14:paraId="04931395" w14:textId="77777777" w:rsidR="004C19ED" w:rsidRPr="00BE0AC8" w:rsidRDefault="004C19ED" w:rsidP="004C19ED">
      <w:pPr>
        <w:rPr>
          <w:rFonts w:cs="Arial"/>
          <w:b/>
          <w:sz w:val="22"/>
        </w:rPr>
      </w:pPr>
    </w:p>
    <w:p w14:paraId="1962F3A1" w14:textId="77777777" w:rsidR="004C19ED" w:rsidRDefault="004C19ED" w:rsidP="004C19ED">
      <w:pPr>
        <w:rPr>
          <w:rFonts w:cs="Arial"/>
          <w:szCs w:val="20"/>
        </w:rPr>
      </w:pPr>
      <w:r w:rsidRPr="004C025D">
        <w:rPr>
          <w:rFonts w:cs="Arial"/>
          <w:b/>
          <w:sz w:val="22"/>
        </w:rPr>
        <w:t>Tabela 12 – Fornecedores e Contas a Pagar – Por Fornecedor.</w:t>
      </w:r>
      <w:r>
        <w:rPr>
          <w:rFonts w:cs="Arial"/>
          <w:szCs w:val="20"/>
        </w:rPr>
        <w:t xml:space="preserve">                                                                                      </w:t>
      </w:r>
    </w:p>
    <w:p w14:paraId="04291952" w14:textId="77777777" w:rsidR="004C19ED" w:rsidRDefault="004C19ED" w:rsidP="004C19ED">
      <w:pPr>
        <w:jc w:val="center"/>
        <w:rPr>
          <w:rFonts w:cs="Arial"/>
          <w:szCs w:val="20"/>
        </w:rPr>
      </w:pPr>
      <w:r>
        <w:rPr>
          <w:rFonts w:cs="Arial"/>
          <w:szCs w:val="20"/>
        </w:rPr>
        <w:t xml:space="preserve">                                                                                                                                                             R$ </w:t>
      </w:r>
    </w:p>
    <w:tbl>
      <w:tblPr>
        <w:tblW w:w="9113" w:type="dxa"/>
        <w:tblCellMar>
          <w:left w:w="70" w:type="dxa"/>
          <w:right w:w="70" w:type="dxa"/>
        </w:tblCellMar>
        <w:tblLook w:val="04A0" w:firstRow="1" w:lastRow="0" w:firstColumn="1" w:lastColumn="0" w:noHBand="0" w:noVBand="1"/>
      </w:tblPr>
      <w:tblGrid>
        <w:gridCol w:w="3572"/>
        <w:gridCol w:w="2637"/>
        <w:gridCol w:w="2904"/>
      </w:tblGrid>
      <w:tr w:rsidR="004C19ED" w:rsidRPr="00FB54E6" w14:paraId="004A313D" w14:textId="77777777" w:rsidTr="003E2CCD">
        <w:trPr>
          <w:trHeight w:val="249"/>
        </w:trPr>
        <w:tc>
          <w:tcPr>
            <w:tcW w:w="3572" w:type="dxa"/>
            <w:tcBorders>
              <w:top w:val="single" w:sz="4" w:space="0" w:color="000000"/>
              <w:left w:val="nil"/>
              <w:bottom w:val="single" w:sz="4" w:space="0" w:color="000000"/>
              <w:right w:val="nil"/>
            </w:tcBorders>
            <w:shd w:val="clear" w:color="auto" w:fill="auto"/>
            <w:noWrap/>
            <w:vAlign w:val="bottom"/>
            <w:hideMark/>
          </w:tcPr>
          <w:p w14:paraId="37BD0A40" w14:textId="77777777" w:rsidR="004C19ED" w:rsidRPr="00FB54E6" w:rsidRDefault="004C19ED" w:rsidP="003E2CCD">
            <w:pPr>
              <w:jc w:val="left"/>
              <w:rPr>
                <w:rFonts w:eastAsia="Times New Roman" w:cs="Arial"/>
                <w:b/>
                <w:bCs/>
                <w:color w:val="000000"/>
                <w:szCs w:val="20"/>
                <w:lang w:eastAsia="pt-BR"/>
              </w:rPr>
            </w:pPr>
            <w:r w:rsidRPr="00FB54E6">
              <w:rPr>
                <w:rFonts w:eastAsia="Times New Roman" w:cs="Arial"/>
                <w:b/>
                <w:bCs/>
                <w:color w:val="000000"/>
                <w:szCs w:val="20"/>
                <w:lang w:eastAsia="pt-BR"/>
              </w:rPr>
              <w:t>Fornecedor</w:t>
            </w:r>
          </w:p>
        </w:tc>
        <w:tc>
          <w:tcPr>
            <w:tcW w:w="2637" w:type="dxa"/>
            <w:tcBorders>
              <w:top w:val="single" w:sz="4" w:space="0" w:color="000000"/>
              <w:left w:val="nil"/>
              <w:bottom w:val="single" w:sz="4" w:space="0" w:color="000000"/>
              <w:right w:val="nil"/>
            </w:tcBorders>
            <w:shd w:val="clear" w:color="auto" w:fill="auto"/>
            <w:noWrap/>
            <w:vAlign w:val="bottom"/>
            <w:hideMark/>
          </w:tcPr>
          <w:p w14:paraId="6A3EFA36" w14:textId="77777777" w:rsidR="004C19ED" w:rsidRPr="00FB54E6"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3</w:t>
            </w:r>
            <w:r>
              <w:rPr>
                <w:rFonts w:eastAsia="Times New Roman" w:cs="Arial"/>
                <w:b/>
                <w:bCs/>
                <w:color w:val="000000"/>
                <w:szCs w:val="20"/>
                <w:lang w:eastAsia="pt-BR"/>
              </w:rPr>
              <w:t>1</w:t>
            </w:r>
            <w:r w:rsidRPr="00FB54E6">
              <w:rPr>
                <w:rFonts w:eastAsia="Times New Roman" w:cs="Arial"/>
                <w:b/>
                <w:bCs/>
                <w:color w:val="000000"/>
                <w:szCs w:val="20"/>
                <w:lang w:eastAsia="pt-BR"/>
              </w:rPr>
              <w:t>/</w:t>
            </w:r>
            <w:r>
              <w:rPr>
                <w:rFonts w:eastAsia="Times New Roman" w:cs="Arial"/>
                <w:b/>
                <w:bCs/>
                <w:color w:val="000000"/>
                <w:szCs w:val="20"/>
                <w:lang w:eastAsia="pt-BR"/>
              </w:rPr>
              <w:t>12</w:t>
            </w:r>
            <w:r w:rsidRPr="00FB54E6">
              <w:rPr>
                <w:rFonts w:eastAsia="Times New Roman" w:cs="Arial"/>
                <w:b/>
                <w:bCs/>
                <w:color w:val="000000"/>
                <w:szCs w:val="20"/>
                <w:lang w:eastAsia="pt-BR"/>
              </w:rPr>
              <w:t>/20</w:t>
            </w:r>
            <w:r>
              <w:rPr>
                <w:rFonts w:eastAsia="Times New Roman" w:cs="Arial"/>
                <w:b/>
                <w:bCs/>
                <w:color w:val="000000"/>
                <w:szCs w:val="20"/>
                <w:lang w:eastAsia="pt-BR"/>
              </w:rPr>
              <w:t>21</w:t>
            </w:r>
          </w:p>
        </w:tc>
        <w:tc>
          <w:tcPr>
            <w:tcW w:w="2904" w:type="dxa"/>
            <w:tcBorders>
              <w:top w:val="single" w:sz="4" w:space="0" w:color="000000"/>
              <w:left w:val="nil"/>
              <w:bottom w:val="single" w:sz="4" w:space="0" w:color="000000"/>
              <w:right w:val="nil"/>
            </w:tcBorders>
            <w:shd w:val="clear" w:color="auto" w:fill="auto"/>
            <w:noWrap/>
            <w:vAlign w:val="bottom"/>
            <w:hideMark/>
          </w:tcPr>
          <w:p w14:paraId="0D11D5F8" w14:textId="77777777" w:rsidR="004C19ED" w:rsidRPr="00FB54E6"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AV (%)</w:t>
            </w:r>
          </w:p>
        </w:tc>
      </w:tr>
      <w:tr w:rsidR="004C19ED" w:rsidRPr="00FB54E6" w14:paraId="6DB04961" w14:textId="77777777" w:rsidTr="003E2CCD">
        <w:trPr>
          <w:trHeight w:val="249"/>
        </w:trPr>
        <w:tc>
          <w:tcPr>
            <w:tcW w:w="3572" w:type="dxa"/>
            <w:tcBorders>
              <w:top w:val="nil"/>
              <w:left w:val="nil"/>
              <w:bottom w:val="nil"/>
              <w:right w:val="nil"/>
            </w:tcBorders>
            <w:shd w:val="clear" w:color="D9D9D9" w:fill="D9D9D9"/>
            <w:noWrap/>
            <w:vAlign w:val="bottom"/>
            <w:hideMark/>
          </w:tcPr>
          <w:p w14:paraId="394F8FBB" w14:textId="77777777" w:rsidR="004C19ED" w:rsidRPr="00FB54E6" w:rsidRDefault="004C19ED" w:rsidP="003E2CCD">
            <w:pPr>
              <w:jc w:val="left"/>
              <w:rPr>
                <w:rFonts w:eastAsia="Times New Roman" w:cs="Arial"/>
                <w:color w:val="000000"/>
                <w:szCs w:val="20"/>
                <w:lang w:eastAsia="pt-BR"/>
              </w:rPr>
            </w:pPr>
            <w:r>
              <w:rPr>
                <w:rFonts w:eastAsia="Times New Roman" w:cs="Arial"/>
                <w:color w:val="000000"/>
                <w:szCs w:val="20"/>
                <w:lang w:eastAsia="pt-BR"/>
              </w:rPr>
              <w:t xml:space="preserve">Condomínio </w:t>
            </w:r>
            <w:proofErr w:type="spellStart"/>
            <w:r>
              <w:rPr>
                <w:rFonts w:eastAsia="Times New Roman" w:cs="Arial"/>
                <w:color w:val="000000"/>
                <w:szCs w:val="20"/>
                <w:lang w:eastAsia="pt-BR"/>
              </w:rPr>
              <w:t>Visc</w:t>
            </w:r>
            <w:proofErr w:type="spellEnd"/>
            <w:r>
              <w:rPr>
                <w:rFonts w:eastAsia="Times New Roman" w:cs="Arial"/>
                <w:color w:val="000000"/>
                <w:szCs w:val="20"/>
                <w:lang w:eastAsia="pt-BR"/>
              </w:rPr>
              <w:t xml:space="preserve"> Itaboraí</w:t>
            </w:r>
          </w:p>
        </w:tc>
        <w:tc>
          <w:tcPr>
            <w:tcW w:w="2637" w:type="dxa"/>
            <w:tcBorders>
              <w:top w:val="nil"/>
              <w:left w:val="nil"/>
              <w:bottom w:val="nil"/>
              <w:right w:val="nil"/>
            </w:tcBorders>
            <w:shd w:val="clear" w:color="D9D9D9" w:fill="D9D9D9"/>
            <w:noWrap/>
            <w:vAlign w:val="bottom"/>
          </w:tcPr>
          <w:p w14:paraId="3C49D6F8"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900.000,00</w:t>
            </w:r>
          </w:p>
        </w:tc>
        <w:tc>
          <w:tcPr>
            <w:tcW w:w="2904" w:type="dxa"/>
            <w:tcBorders>
              <w:top w:val="nil"/>
              <w:left w:val="nil"/>
              <w:bottom w:val="nil"/>
              <w:right w:val="nil"/>
            </w:tcBorders>
            <w:shd w:val="clear" w:color="D9D9D9" w:fill="D9D9D9"/>
            <w:noWrap/>
            <w:vAlign w:val="bottom"/>
            <w:hideMark/>
          </w:tcPr>
          <w:p w14:paraId="77C8CEBE"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67,65</w:t>
            </w:r>
          </w:p>
        </w:tc>
      </w:tr>
      <w:tr w:rsidR="004C19ED" w:rsidRPr="00FB54E6" w14:paraId="7DF66E5C" w14:textId="77777777" w:rsidTr="003E2CCD">
        <w:trPr>
          <w:trHeight w:val="249"/>
        </w:trPr>
        <w:tc>
          <w:tcPr>
            <w:tcW w:w="3572" w:type="dxa"/>
            <w:tcBorders>
              <w:top w:val="nil"/>
              <w:left w:val="nil"/>
              <w:bottom w:val="nil"/>
              <w:right w:val="nil"/>
            </w:tcBorders>
            <w:shd w:val="clear" w:color="auto" w:fill="auto"/>
            <w:noWrap/>
            <w:vAlign w:val="bottom"/>
            <w:hideMark/>
          </w:tcPr>
          <w:p w14:paraId="1EFBFFE8" w14:textId="77777777" w:rsidR="004C19ED" w:rsidRPr="00FB54E6" w:rsidRDefault="004C19ED" w:rsidP="003E2CCD">
            <w:pPr>
              <w:jc w:val="left"/>
              <w:rPr>
                <w:rFonts w:eastAsia="Times New Roman" w:cs="Arial"/>
                <w:color w:val="000000"/>
                <w:szCs w:val="20"/>
                <w:lang w:eastAsia="pt-BR"/>
              </w:rPr>
            </w:pPr>
            <w:r>
              <w:rPr>
                <w:rFonts w:eastAsia="Times New Roman" w:cs="Arial"/>
                <w:color w:val="000000"/>
                <w:szCs w:val="20"/>
                <w:lang w:eastAsia="pt-BR"/>
              </w:rPr>
              <w:t>VR Transportes</w:t>
            </w:r>
          </w:p>
        </w:tc>
        <w:tc>
          <w:tcPr>
            <w:tcW w:w="2637" w:type="dxa"/>
            <w:tcBorders>
              <w:top w:val="nil"/>
              <w:left w:val="nil"/>
              <w:bottom w:val="nil"/>
              <w:right w:val="nil"/>
            </w:tcBorders>
            <w:shd w:val="clear" w:color="auto" w:fill="auto"/>
            <w:noWrap/>
            <w:vAlign w:val="bottom"/>
          </w:tcPr>
          <w:p w14:paraId="44952FE3"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138.605,31</w:t>
            </w:r>
          </w:p>
        </w:tc>
        <w:tc>
          <w:tcPr>
            <w:tcW w:w="2904" w:type="dxa"/>
            <w:tcBorders>
              <w:top w:val="nil"/>
              <w:left w:val="nil"/>
              <w:bottom w:val="nil"/>
              <w:right w:val="nil"/>
            </w:tcBorders>
            <w:shd w:val="clear" w:color="auto" w:fill="auto"/>
            <w:noWrap/>
            <w:vAlign w:val="bottom"/>
            <w:hideMark/>
          </w:tcPr>
          <w:p w14:paraId="2A5AF1AE"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10,42</w:t>
            </w:r>
          </w:p>
        </w:tc>
      </w:tr>
      <w:tr w:rsidR="004C19ED" w:rsidRPr="00FB54E6" w14:paraId="7455A466" w14:textId="77777777" w:rsidTr="003E2CCD">
        <w:trPr>
          <w:trHeight w:val="249"/>
        </w:trPr>
        <w:tc>
          <w:tcPr>
            <w:tcW w:w="3572" w:type="dxa"/>
            <w:tcBorders>
              <w:top w:val="nil"/>
              <w:left w:val="nil"/>
              <w:bottom w:val="nil"/>
              <w:right w:val="nil"/>
            </w:tcBorders>
            <w:shd w:val="clear" w:color="D9D9D9" w:fill="D9D9D9"/>
            <w:noWrap/>
            <w:vAlign w:val="bottom"/>
            <w:hideMark/>
          </w:tcPr>
          <w:p w14:paraId="71F4AA91" w14:textId="77777777" w:rsidR="004C19ED" w:rsidRPr="00FB54E6" w:rsidRDefault="004C19ED" w:rsidP="003E2CCD">
            <w:pPr>
              <w:jc w:val="left"/>
              <w:rPr>
                <w:rFonts w:eastAsia="Times New Roman" w:cs="Arial"/>
                <w:color w:val="000000"/>
                <w:szCs w:val="20"/>
                <w:lang w:eastAsia="pt-BR"/>
              </w:rPr>
            </w:pPr>
            <w:r>
              <w:rPr>
                <w:rFonts w:eastAsia="Times New Roman" w:cs="Arial"/>
                <w:color w:val="000000"/>
                <w:szCs w:val="20"/>
                <w:lang w:eastAsia="pt-BR"/>
              </w:rPr>
              <w:t>IBTR</w:t>
            </w:r>
          </w:p>
        </w:tc>
        <w:tc>
          <w:tcPr>
            <w:tcW w:w="2637" w:type="dxa"/>
            <w:tcBorders>
              <w:top w:val="nil"/>
              <w:left w:val="nil"/>
              <w:bottom w:val="nil"/>
              <w:right w:val="nil"/>
            </w:tcBorders>
            <w:shd w:val="clear" w:color="D9D9D9" w:fill="D9D9D9"/>
            <w:noWrap/>
            <w:vAlign w:val="bottom"/>
          </w:tcPr>
          <w:p w14:paraId="52407349"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72.166,71</w:t>
            </w:r>
          </w:p>
        </w:tc>
        <w:tc>
          <w:tcPr>
            <w:tcW w:w="2904" w:type="dxa"/>
            <w:tcBorders>
              <w:top w:val="nil"/>
              <w:left w:val="nil"/>
              <w:bottom w:val="nil"/>
              <w:right w:val="nil"/>
            </w:tcBorders>
            <w:shd w:val="clear" w:color="D9D9D9" w:fill="D9D9D9"/>
            <w:noWrap/>
            <w:vAlign w:val="bottom"/>
            <w:hideMark/>
          </w:tcPr>
          <w:p w14:paraId="0D93A60B"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5,42</w:t>
            </w:r>
          </w:p>
        </w:tc>
      </w:tr>
      <w:tr w:rsidR="004C19ED" w:rsidRPr="00FB54E6" w14:paraId="72C7A33E" w14:textId="77777777" w:rsidTr="003E2CCD">
        <w:trPr>
          <w:trHeight w:val="249"/>
        </w:trPr>
        <w:tc>
          <w:tcPr>
            <w:tcW w:w="3572" w:type="dxa"/>
            <w:tcBorders>
              <w:top w:val="nil"/>
              <w:left w:val="nil"/>
              <w:bottom w:val="single" w:sz="4" w:space="0" w:color="000000"/>
              <w:right w:val="nil"/>
            </w:tcBorders>
            <w:shd w:val="clear" w:color="auto" w:fill="auto"/>
            <w:noWrap/>
            <w:vAlign w:val="bottom"/>
            <w:hideMark/>
          </w:tcPr>
          <w:p w14:paraId="1490C3EF" w14:textId="77777777" w:rsidR="004C19ED" w:rsidRPr="00FB54E6" w:rsidRDefault="004C19ED" w:rsidP="003E2CCD">
            <w:pPr>
              <w:jc w:val="left"/>
              <w:rPr>
                <w:rFonts w:eastAsia="Times New Roman" w:cs="Arial"/>
                <w:color w:val="000000"/>
                <w:szCs w:val="20"/>
                <w:lang w:eastAsia="pt-BR"/>
              </w:rPr>
            </w:pPr>
            <w:r w:rsidRPr="00FB54E6">
              <w:rPr>
                <w:rFonts w:eastAsia="Times New Roman" w:cs="Arial"/>
                <w:color w:val="000000"/>
                <w:szCs w:val="20"/>
                <w:lang w:eastAsia="pt-BR"/>
              </w:rPr>
              <w:t>Demais</w:t>
            </w:r>
            <w:r>
              <w:rPr>
                <w:rFonts w:eastAsia="Times New Roman" w:cs="Arial"/>
                <w:color w:val="000000"/>
                <w:szCs w:val="20"/>
                <w:lang w:eastAsia="pt-BR"/>
              </w:rPr>
              <w:t xml:space="preserve"> fornecedores</w:t>
            </w:r>
          </w:p>
        </w:tc>
        <w:tc>
          <w:tcPr>
            <w:tcW w:w="2637" w:type="dxa"/>
            <w:tcBorders>
              <w:top w:val="nil"/>
              <w:left w:val="nil"/>
              <w:bottom w:val="single" w:sz="4" w:space="0" w:color="000000"/>
              <w:right w:val="nil"/>
            </w:tcBorders>
            <w:shd w:val="clear" w:color="auto" w:fill="auto"/>
            <w:noWrap/>
            <w:vAlign w:val="bottom"/>
          </w:tcPr>
          <w:p w14:paraId="10B96A70" w14:textId="77777777" w:rsidR="004C19ED" w:rsidRPr="004C025D" w:rsidRDefault="004C19ED" w:rsidP="003E2CCD">
            <w:pPr>
              <w:jc w:val="right"/>
              <w:rPr>
                <w:rFonts w:cs="Arial"/>
                <w:szCs w:val="20"/>
              </w:rPr>
            </w:pPr>
            <w:r>
              <w:rPr>
                <w:rFonts w:cs="Arial"/>
                <w:szCs w:val="20"/>
              </w:rPr>
              <w:t>219.592,65</w:t>
            </w:r>
          </w:p>
        </w:tc>
        <w:tc>
          <w:tcPr>
            <w:tcW w:w="2904" w:type="dxa"/>
            <w:tcBorders>
              <w:top w:val="nil"/>
              <w:left w:val="nil"/>
              <w:bottom w:val="nil"/>
              <w:right w:val="nil"/>
            </w:tcBorders>
            <w:shd w:val="clear" w:color="auto" w:fill="auto"/>
            <w:noWrap/>
            <w:vAlign w:val="bottom"/>
            <w:hideMark/>
          </w:tcPr>
          <w:p w14:paraId="34351086"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16,51</w:t>
            </w:r>
          </w:p>
        </w:tc>
      </w:tr>
      <w:tr w:rsidR="004C19ED" w:rsidRPr="00FB54E6" w14:paraId="2E0BD59E" w14:textId="77777777" w:rsidTr="003E2CCD">
        <w:trPr>
          <w:trHeight w:val="249"/>
        </w:trPr>
        <w:tc>
          <w:tcPr>
            <w:tcW w:w="3572" w:type="dxa"/>
            <w:tcBorders>
              <w:top w:val="nil"/>
              <w:left w:val="nil"/>
              <w:bottom w:val="single" w:sz="4" w:space="0" w:color="auto"/>
              <w:right w:val="nil"/>
            </w:tcBorders>
            <w:shd w:val="clear" w:color="D9D9D9" w:fill="D9D9D9"/>
            <w:noWrap/>
            <w:vAlign w:val="bottom"/>
            <w:hideMark/>
          </w:tcPr>
          <w:p w14:paraId="6FCE750F" w14:textId="77777777" w:rsidR="004C19ED" w:rsidRPr="00FB54E6" w:rsidRDefault="004C19ED" w:rsidP="003E2CCD">
            <w:pPr>
              <w:jc w:val="left"/>
              <w:rPr>
                <w:rFonts w:eastAsia="Times New Roman" w:cs="Arial"/>
                <w:b/>
                <w:bCs/>
                <w:color w:val="000000"/>
                <w:szCs w:val="20"/>
                <w:lang w:eastAsia="pt-BR"/>
              </w:rPr>
            </w:pPr>
            <w:r w:rsidRPr="00FB54E6">
              <w:rPr>
                <w:rFonts w:eastAsia="Times New Roman" w:cs="Arial"/>
                <w:b/>
                <w:bCs/>
                <w:color w:val="000000"/>
                <w:szCs w:val="20"/>
                <w:lang w:eastAsia="pt-BR"/>
              </w:rPr>
              <w:t>Total</w:t>
            </w:r>
          </w:p>
        </w:tc>
        <w:tc>
          <w:tcPr>
            <w:tcW w:w="2637" w:type="dxa"/>
            <w:tcBorders>
              <w:top w:val="nil"/>
              <w:left w:val="nil"/>
              <w:bottom w:val="single" w:sz="4" w:space="0" w:color="auto"/>
              <w:right w:val="nil"/>
            </w:tcBorders>
            <w:shd w:val="clear" w:color="D9D9D9" w:fill="D9D9D9"/>
            <w:noWrap/>
            <w:vAlign w:val="bottom"/>
            <w:hideMark/>
          </w:tcPr>
          <w:p w14:paraId="5E6DC43F" w14:textId="77777777" w:rsidR="004C19ED" w:rsidRPr="00FB54E6" w:rsidRDefault="004C19ED" w:rsidP="003E2CCD">
            <w:pPr>
              <w:jc w:val="right"/>
              <w:rPr>
                <w:rFonts w:eastAsia="Times New Roman" w:cs="Arial"/>
                <w:b/>
                <w:bCs/>
                <w:color w:val="000000"/>
                <w:szCs w:val="20"/>
                <w:lang w:eastAsia="pt-BR"/>
              </w:rPr>
            </w:pPr>
            <w:r w:rsidRPr="006A0603">
              <w:rPr>
                <w:rFonts w:eastAsia="Times New Roman" w:cs="Arial"/>
                <w:b/>
                <w:bCs/>
                <w:color w:val="000000"/>
                <w:szCs w:val="20"/>
                <w:lang w:eastAsia="pt-BR"/>
              </w:rPr>
              <w:t>1.330.364,67</w:t>
            </w:r>
          </w:p>
        </w:tc>
        <w:tc>
          <w:tcPr>
            <w:tcW w:w="2904" w:type="dxa"/>
            <w:tcBorders>
              <w:top w:val="single" w:sz="4" w:space="0" w:color="000000"/>
              <w:left w:val="nil"/>
              <w:bottom w:val="single" w:sz="4" w:space="0" w:color="auto"/>
              <w:right w:val="nil"/>
            </w:tcBorders>
            <w:shd w:val="clear" w:color="D9D9D9" w:fill="D9D9D9"/>
            <w:noWrap/>
            <w:vAlign w:val="bottom"/>
            <w:hideMark/>
          </w:tcPr>
          <w:p w14:paraId="340E9235" w14:textId="77777777" w:rsidR="004C19ED" w:rsidRPr="00FB54E6"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100,00 </w:t>
            </w:r>
          </w:p>
        </w:tc>
      </w:tr>
    </w:tbl>
    <w:p w14:paraId="170EEA7D" w14:textId="77777777" w:rsidR="004C19ED" w:rsidRPr="00F43675" w:rsidRDefault="004C19ED" w:rsidP="004C19ED">
      <w:pPr>
        <w:jc w:val="left"/>
        <w:rPr>
          <w:rFonts w:cs="Arial"/>
          <w:i/>
          <w:szCs w:val="20"/>
        </w:rPr>
      </w:pPr>
      <w:r w:rsidRPr="00F43675">
        <w:rPr>
          <w:rFonts w:cs="Arial"/>
          <w:i/>
          <w:szCs w:val="20"/>
        </w:rPr>
        <w:t xml:space="preserve"> Fonte: SIAFI, 20</w:t>
      </w:r>
      <w:r>
        <w:rPr>
          <w:rFonts w:cs="Arial"/>
          <w:i/>
          <w:szCs w:val="20"/>
        </w:rPr>
        <w:t>21</w:t>
      </w:r>
      <w:r w:rsidRPr="00F43675">
        <w:rPr>
          <w:rFonts w:cs="Arial"/>
          <w:i/>
          <w:szCs w:val="20"/>
        </w:rPr>
        <w:t>.</w:t>
      </w:r>
    </w:p>
    <w:p w14:paraId="324679F4" w14:textId="77777777" w:rsidR="004C19ED" w:rsidRDefault="004C19ED" w:rsidP="004C19ED">
      <w:pPr>
        <w:rPr>
          <w:rFonts w:cs="Arial"/>
          <w:szCs w:val="20"/>
        </w:rPr>
      </w:pPr>
    </w:p>
    <w:p w14:paraId="54C1567D" w14:textId="77777777" w:rsidR="004C19ED" w:rsidRDefault="004C19ED" w:rsidP="004C19ED">
      <w:pPr>
        <w:tabs>
          <w:tab w:val="left" w:pos="3735"/>
        </w:tabs>
        <w:rPr>
          <w:rFonts w:cs="Arial"/>
          <w:szCs w:val="20"/>
        </w:rPr>
      </w:pPr>
      <w:r>
        <w:rPr>
          <w:rFonts w:cs="Arial"/>
          <w:szCs w:val="20"/>
        </w:rPr>
        <w:tab/>
      </w:r>
    </w:p>
    <w:p w14:paraId="181FD2E1" w14:textId="77777777" w:rsidR="004C19ED" w:rsidRPr="00A3085B" w:rsidRDefault="004C19ED" w:rsidP="004C19ED">
      <w:pPr>
        <w:rPr>
          <w:rFonts w:cs="Arial"/>
          <w:b/>
          <w:sz w:val="22"/>
        </w:rPr>
      </w:pPr>
      <w:r w:rsidRPr="00A3085B">
        <w:rPr>
          <w:rFonts w:cs="Arial"/>
          <w:b/>
          <w:sz w:val="22"/>
        </w:rPr>
        <w:t>5.2 Demais Obrigações de Curto Prazo</w:t>
      </w:r>
    </w:p>
    <w:p w14:paraId="17E9B092" w14:textId="77777777" w:rsidR="004C19ED" w:rsidRPr="00A3085B" w:rsidRDefault="004C19ED" w:rsidP="004C19ED">
      <w:pPr>
        <w:rPr>
          <w:rFonts w:cs="Arial"/>
          <w:b/>
          <w:sz w:val="22"/>
        </w:rPr>
      </w:pPr>
    </w:p>
    <w:p w14:paraId="7B2798AB" w14:textId="77777777" w:rsidR="004C19ED" w:rsidRPr="00A3085B" w:rsidRDefault="004C19ED" w:rsidP="004C19ED">
      <w:pPr>
        <w:rPr>
          <w:rFonts w:cs="Arial"/>
          <w:sz w:val="22"/>
        </w:rPr>
      </w:pPr>
      <w:r w:rsidRPr="00A3085B">
        <w:rPr>
          <w:rFonts w:cs="Arial"/>
          <w:sz w:val="22"/>
        </w:rPr>
        <w:t xml:space="preserve">Valores se referem à impostos e contribuições retidos a serem recolhidos ao tesouro, Retenções da folha de pagamentos (Empréstimos, consignações, pensão alimentícia, Funpresp), garantias recebidas e depositadas na Caixa Econômica Federal (conforme </w:t>
      </w:r>
      <w:r w:rsidRPr="00A3085B">
        <w:rPr>
          <w:rFonts w:cs="Arial"/>
          <w:b/>
          <w:sz w:val="22"/>
        </w:rPr>
        <w:t xml:space="preserve">Nota Explicativa 01, Tabela 2) </w:t>
      </w:r>
      <w:r w:rsidRPr="00A3085B">
        <w:rPr>
          <w:rFonts w:cs="Arial"/>
          <w:sz w:val="22"/>
        </w:rPr>
        <w:t>e precatórios de curto prazo.</w:t>
      </w:r>
    </w:p>
    <w:p w14:paraId="3918CAD6" w14:textId="77777777" w:rsidR="004C19ED" w:rsidRDefault="004C19ED" w:rsidP="004C19ED">
      <w:pPr>
        <w:rPr>
          <w:rFonts w:cs="Arial"/>
          <w:b/>
          <w:sz w:val="22"/>
        </w:rPr>
      </w:pPr>
      <w:r>
        <w:rPr>
          <w:rFonts w:cs="Arial"/>
          <w:b/>
          <w:sz w:val="22"/>
        </w:rPr>
        <w:t xml:space="preserve"> </w:t>
      </w:r>
    </w:p>
    <w:p w14:paraId="072A512E" w14:textId="77777777" w:rsidR="004C19ED" w:rsidRDefault="004C19ED" w:rsidP="004C19ED">
      <w:pPr>
        <w:rPr>
          <w:rFonts w:cs="Arial"/>
          <w:b/>
          <w:sz w:val="22"/>
        </w:rPr>
      </w:pPr>
      <w:r w:rsidRPr="00353F7F">
        <w:rPr>
          <w:rFonts w:cs="Arial"/>
          <w:b/>
          <w:sz w:val="22"/>
        </w:rPr>
        <w:t>5.3 Precatórios</w:t>
      </w:r>
    </w:p>
    <w:p w14:paraId="7D791897" w14:textId="77777777" w:rsidR="004C19ED" w:rsidRDefault="004C19ED" w:rsidP="004C19ED">
      <w:pPr>
        <w:rPr>
          <w:rFonts w:cs="Arial"/>
          <w:b/>
          <w:sz w:val="22"/>
        </w:rPr>
      </w:pPr>
    </w:p>
    <w:p w14:paraId="29B1529E" w14:textId="77777777" w:rsidR="004C19ED" w:rsidRPr="004A6E25" w:rsidRDefault="004C19ED" w:rsidP="004C19ED">
      <w:pPr>
        <w:autoSpaceDE w:val="0"/>
        <w:autoSpaceDN w:val="0"/>
        <w:adjustRightInd w:val="0"/>
        <w:rPr>
          <w:rFonts w:cs="Arial"/>
          <w:sz w:val="22"/>
        </w:rPr>
      </w:pPr>
      <w:r w:rsidRPr="004A6E25">
        <w:rPr>
          <w:rFonts w:cs="Arial"/>
          <w:sz w:val="22"/>
        </w:rPr>
        <w:t>Conforme ofício da Justiça Federal, em cumprimento ao acórdão do TCU 2455/2017 que trata da contabilização de Precatórios e RPV relativos ao FRGPS, a Secretaria de Planejamento e Orçamento - SPO, na qualidade de setorial contábil, editou a Nota Técnica SPO/CJF n. 002/2018, em anexo,</w:t>
      </w:r>
      <w:r>
        <w:rPr>
          <w:rFonts w:cs="Arial"/>
          <w:sz w:val="22"/>
        </w:rPr>
        <w:t xml:space="preserve"> </w:t>
      </w:r>
      <w:r w:rsidRPr="004A6E25">
        <w:rPr>
          <w:rFonts w:cs="Arial"/>
          <w:sz w:val="22"/>
        </w:rPr>
        <w:t xml:space="preserve">a qual uniformiza procedimentos de </w:t>
      </w:r>
      <w:r w:rsidRPr="004A6E25">
        <w:rPr>
          <w:rFonts w:cs="Arial"/>
          <w:b/>
          <w:sz w:val="22"/>
        </w:rPr>
        <w:t>Registro da obrigação de Precatórios e RPV com reflexos no patrimônio da(s) Entidade(s) Devedora(s)</w:t>
      </w:r>
      <w:r w:rsidRPr="004A6E25">
        <w:rPr>
          <w:rFonts w:cs="Arial"/>
          <w:sz w:val="22"/>
        </w:rPr>
        <w:t>.</w:t>
      </w:r>
    </w:p>
    <w:p w14:paraId="12BB3152" w14:textId="77777777" w:rsidR="004C19ED" w:rsidRDefault="004C19ED" w:rsidP="004C19ED">
      <w:pPr>
        <w:autoSpaceDE w:val="0"/>
        <w:autoSpaceDN w:val="0"/>
        <w:adjustRightInd w:val="0"/>
        <w:jc w:val="left"/>
        <w:rPr>
          <w:rFonts w:cs="Arial"/>
          <w:szCs w:val="20"/>
        </w:rPr>
      </w:pPr>
    </w:p>
    <w:p w14:paraId="325FD9ED" w14:textId="77777777" w:rsidR="004C19ED" w:rsidRDefault="004C19ED" w:rsidP="004C19ED">
      <w:pPr>
        <w:autoSpaceDE w:val="0"/>
        <w:autoSpaceDN w:val="0"/>
        <w:adjustRightInd w:val="0"/>
        <w:jc w:val="left"/>
        <w:rPr>
          <w:rFonts w:cs="Arial"/>
          <w:szCs w:val="20"/>
        </w:rPr>
      </w:pPr>
      <w:r>
        <w:rPr>
          <w:rFonts w:cs="Arial"/>
          <w:szCs w:val="20"/>
        </w:rPr>
        <w:t xml:space="preserve">Com isso, foram realizados os devidos registros, tanto de Curto Prazo quanto de Longo Prazo, que seguem: </w:t>
      </w:r>
    </w:p>
    <w:p w14:paraId="22382959" w14:textId="77777777" w:rsidR="004C19ED" w:rsidRPr="004A6E25" w:rsidRDefault="004C19ED" w:rsidP="004C19ED">
      <w:pPr>
        <w:autoSpaceDE w:val="0"/>
        <w:autoSpaceDN w:val="0"/>
        <w:adjustRightInd w:val="0"/>
        <w:jc w:val="left"/>
        <w:rPr>
          <w:rFonts w:cs="Arial"/>
          <w:szCs w:val="20"/>
        </w:rPr>
      </w:pPr>
    </w:p>
    <w:p w14:paraId="5F970369" w14:textId="77777777" w:rsidR="004C19ED" w:rsidRDefault="004C19ED" w:rsidP="004C19ED">
      <w:pPr>
        <w:rPr>
          <w:rFonts w:cs="Arial"/>
          <w:szCs w:val="20"/>
        </w:rPr>
      </w:pPr>
      <w:r w:rsidRPr="004A210B">
        <w:rPr>
          <w:rFonts w:cs="Arial"/>
          <w:b/>
          <w:sz w:val="22"/>
        </w:rPr>
        <w:t>Tabela</w:t>
      </w:r>
      <w:r>
        <w:rPr>
          <w:rFonts w:cs="Arial"/>
          <w:b/>
          <w:sz w:val="22"/>
        </w:rPr>
        <w:t xml:space="preserve"> 13</w:t>
      </w:r>
      <w:r w:rsidRPr="004A210B">
        <w:rPr>
          <w:rFonts w:cs="Arial"/>
          <w:b/>
          <w:sz w:val="22"/>
        </w:rPr>
        <w:t xml:space="preserve"> – Precatórios CP</w:t>
      </w:r>
      <w:r>
        <w:rPr>
          <w:rFonts w:cs="Arial"/>
          <w:b/>
          <w:sz w:val="22"/>
        </w:rPr>
        <w:t xml:space="preserve"> (218911300), </w:t>
      </w:r>
      <w:r w:rsidRPr="004A210B">
        <w:rPr>
          <w:rFonts w:cs="Arial"/>
          <w:b/>
          <w:sz w:val="22"/>
        </w:rPr>
        <w:t>LP</w:t>
      </w:r>
      <w:r>
        <w:rPr>
          <w:rFonts w:cs="Arial"/>
          <w:szCs w:val="20"/>
        </w:rPr>
        <w:t xml:space="preserve"> </w:t>
      </w:r>
      <w:r w:rsidRPr="00D34B46">
        <w:rPr>
          <w:rFonts w:cs="Arial"/>
          <w:b/>
          <w:bCs/>
          <w:szCs w:val="20"/>
        </w:rPr>
        <w:t>(</w:t>
      </w:r>
      <w:r>
        <w:rPr>
          <w:rFonts w:cs="Arial"/>
          <w:b/>
          <w:bCs/>
          <w:szCs w:val="20"/>
        </w:rPr>
        <w:t>221110200/</w:t>
      </w:r>
      <w:r w:rsidRPr="00D34B46">
        <w:rPr>
          <w:rFonts w:cs="Arial"/>
          <w:b/>
          <w:bCs/>
          <w:szCs w:val="20"/>
        </w:rPr>
        <w:t>228911000) x Controle (899910403)</w:t>
      </w:r>
      <w:r>
        <w:rPr>
          <w:rFonts w:cs="Arial"/>
          <w:szCs w:val="20"/>
        </w:rPr>
        <w:t xml:space="preserve">                                                                             </w:t>
      </w:r>
    </w:p>
    <w:p w14:paraId="3F6AC94F" w14:textId="77777777" w:rsidR="004C19ED" w:rsidRDefault="004C19ED" w:rsidP="004C19ED">
      <w:pPr>
        <w:jc w:val="center"/>
        <w:rPr>
          <w:rFonts w:cs="Arial"/>
          <w:szCs w:val="20"/>
        </w:rPr>
      </w:pPr>
      <w:r>
        <w:rPr>
          <w:rFonts w:cs="Arial"/>
          <w:szCs w:val="20"/>
        </w:rPr>
        <w:t xml:space="preserve">                                                                                                                                                             R$ </w:t>
      </w:r>
    </w:p>
    <w:tbl>
      <w:tblPr>
        <w:tblW w:w="9142" w:type="dxa"/>
        <w:tblCellMar>
          <w:left w:w="70" w:type="dxa"/>
          <w:right w:w="70" w:type="dxa"/>
        </w:tblCellMar>
        <w:tblLook w:val="04A0" w:firstRow="1" w:lastRow="0" w:firstColumn="1" w:lastColumn="0" w:noHBand="0" w:noVBand="1"/>
      </w:tblPr>
      <w:tblGrid>
        <w:gridCol w:w="3189"/>
        <w:gridCol w:w="2410"/>
        <w:gridCol w:w="1559"/>
        <w:gridCol w:w="1984"/>
      </w:tblGrid>
      <w:tr w:rsidR="004C19ED" w:rsidRPr="00FB54E6" w14:paraId="4EB45ED4" w14:textId="77777777" w:rsidTr="003E2CCD">
        <w:trPr>
          <w:trHeight w:val="249"/>
        </w:trPr>
        <w:tc>
          <w:tcPr>
            <w:tcW w:w="3189" w:type="dxa"/>
            <w:tcBorders>
              <w:top w:val="single" w:sz="4" w:space="0" w:color="000000"/>
              <w:left w:val="nil"/>
              <w:bottom w:val="single" w:sz="4" w:space="0" w:color="000000"/>
              <w:right w:val="nil"/>
            </w:tcBorders>
            <w:shd w:val="clear" w:color="auto" w:fill="auto"/>
            <w:noWrap/>
            <w:vAlign w:val="bottom"/>
            <w:hideMark/>
          </w:tcPr>
          <w:p w14:paraId="7EB9A054" w14:textId="77777777" w:rsidR="004C19ED" w:rsidRPr="00FB54E6" w:rsidRDefault="004C19ED" w:rsidP="003E2CCD">
            <w:pPr>
              <w:jc w:val="left"/>
              <w:rPr>
                <w:rFonts w:eastAsia="Times New Roman" w:cs="Arial"/>
                <w:b/>
                <w:bCs/>
                <w:color w:val="000000"/>
                <w:szCs w:val="20"/>
                <w:lang w:eastAsia="pt-BR"/>
              </w:rPr>
            </w:pPr>
            <w:r>
              <w:rPr>
                <w:rFonts w:cs="Arial"/>
                <w:b/>
                <w:sz w:val="22"/>
              </w:rPr>
              <w:t>Precatórios</w:t>
            </w:r>
          </w:p>
        </w:tc>
        <w:tc>
          <w:tcPr>
            <w:tcW w:w="2410" w:type="dxa"/>
            <w:tcBorders>
              <w:top w:val="single" w:sz="4" w:space="0" w:color="000000"/>
              <w:left w:val="nil"/>
              <w:bottom w:val="single" w:sz="4" w:space="0" w:color="000000"/>
              <w:right w:val="nil"/>
            </w:tcBorders>
            <w:shd w:val="clear" w:color="auto" w:fill="auto"/>
            <w:noWrap/>
            <w:vAlign w:val="bottom"/>
            <w:hideMark/>
          </w:tcPr>
          <w:p w14:paraId="3248C568" w14:textId="77777777" w:rsidR="004C19ED" w:rsidRPr="00FB54E6"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3</w:t>
            </w:r>
            <w:r>
              <w:rPr>
                <w:rFonts w:eastAsia="Times New Roman" w:cs="Arial"/>
                <w:b/>
                <w:bCs/>
                <w:color w:val="000000"/>
                <w:szCs w:val="20"/>
                <w:lang w:eastAsia="pt-BR"/>
              </w:rPr>
              <w:t>1</w:t>
            </w:r>
            <w:r w:rsidRPr="00FB54E6">
              <w:rPr>
                <w:rFonts w:eastAsia="Times New Roman" w:cs="Arial"/>
                <w:b/>
                <w:bCs/>
                <w:color w:val="000000"/>
                <w:szCs w:val="20"/>
                <w:lang w:eastAsia="pt-BR"/>
              </w:rPr>
              <w:t>/</w:t>
            </w:r>
            <w:r>
              <w:rPr>
                <w:rFonts w:eastAsia="Times New Roman" w:cs="Arial"/>
                <w:b/>
                <w:bCs/>
                <w:color w:val="000000"/>
                <w:szCs w:val="20"/>
                <w:lang w:eastAsia="pt-BR"/>
              </w:rPr>
              <w:t>12</w:t>
            </w:r>
            <w:r w:rsidRPr="00FB54E6">
              <w:rPr>
                <w:rFonts w:eastAsia="Times New Roman" w:cs="Arial"/>
                <w:b/>
                <w:bCs/>
                <w:color w:val="000000"/>
                <w:szCs w:val="20"/>
                <w:lang w:eastAsia="pt-BR"/>
              </w:rPr>
              <w:t>/20</w:t>
            </w:r>
            <w:r>
              <w:rPr>
                <w:rFonts w:eastAsia="Times New Roman" w:cs="Arial"/>
                <w:b/>
                <w:bCs/>
                <w:color w:val="000000"/>
                <w:szCs w:val="20"/>
                <w:lang w:eastAsia="pt-BR"/>
              </w:rPr>
              <w:t>21</w:t>
            </w:r>
          </w:p>
        </w:tc>
        <w:tc>
          <w:tcPr>
            <w:tcW w:w="1559" w:type="dxa"/>
            <w:tcBorders>
              <w:top w:val="single" w:sz="4" w:space="0" w:color="000000"/>
              <w:left w:val="nil"/>
              <w:bottom w:val="single" w:sz="4" w:space="0" w:color="000000"/>
              <w:right w:val="nil"/>
            </w:tcBorders>
            <w:vAlign w:val="bottom"/>
          </w:tcPr>
          <w:p w14:paraId="2CC9E93F" w14:textId="77777777" w:rsidR="004C19ED" w:rsidRPr="00FB54E6"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3</w:t>
            </w:r>
            <w:r>
              <w:rPr>
                <w:rFonts w:eastAsia="Times New Roman" w:cs="Arial"/>
                <w:b/>
                <w:bCs/>
                <w:color w:val="000000"/>
                <w:szCs w:val="20"/>
                <w:lang w:eastAsia="pt-BR"/>
              </w:rPr>
              <w:t>1</w:t>
            </w:r>
            <w:r w:rsidRPr="00FB54E6">
              <w:rPr>
                <w:rFonts w:eastAsia="Times New Roman" w:cs="Arial"/>
                <w:b/>
                <w:bCs/>
                <w:color w:val="000000"/>
                <w:szCs w:val="20"/>
                <w:lang w:eastAsia="pt-BR"/>
              </w:rPr>
              <w:t>/</w:t>
            </w:r>
            <w:r>
              <w:rPr>
                <w:rFonts w:eastAsia="Times New Roman" w:cs="Arial"/>
                <w:b/>
                <w:bCs/>
                <w:color w:val="000000"/>
                <w:szCs w:val="20"/>
                <w:lang w:eastAsia="pt-BR"/>
              </w:rPr>
              <w:t>12</w:t>
            </w:r>
            <w:r w:rsidRPr="00FB54E6">
              <w:rPr>
                <w:rFonts w:eastAsia="Times New Roman" w:cs="Arial"/>
                <w:b/>
                <w:bCs/>
                <w:color w:val="000000"/>
                <w:szCs w:val="20"/>
                <w:lang w:eastAsia="pt-BR"/>
              </w:rPr>
              <w:t>/20</w:t>
            </w:r>
            <w:r>
              <w:rPr>
                <w:rFonts w:eastAsia="Times New Roman" w:cs="Arial"/>
                <w:b/>
                <w:bCs/>
                <w:color w:val="000000"/>
                <w:szCs w:val="20"/>
                <w:lang w:eastAsia="pt-BR"/>
              </w:rPr>
              <w:t>20</w:t>
            </w:r>
          </w:p>
        </w:tc>
        <w:tc>
          <w:tcPr>
            <w:tcW w:w="1984" w:type="dxa"/>
            <w:tcBorders>
              <w:top w:val="single" w:sz="4" w:space="0" w:color="000000"/>
              <w:left w:val="nil"/>
              <w:bottom w:val="single" w:sz="4" w:space="0" w:color="000000"/>
              <w:right w:val="nil"/>
            </w:tcBorders>
            <w:shd w:val="clear" w:color="auto" w:fill="auto"/>
            <w:noWrap/>
            <w:vAlign w:val="bottom"/>
            <w:hideMark/>
          </w:tcPr>
          <w:p w14:paraId="5905CDC8" w14:textId="77777777" w:rsidR="004C19ED" w:rsidRPr="00FB54E6"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A</w:t>
            </w:r>
            <w:r>
              <w:rPr>
                <w:rFonts w:eastAsia="Times New Roman" w:cs="Arial"/>
                <w:b/>
                <w:bCs/>
                <w:color w:val="000000"/>
                <w:szCs w:val="20"/>
                <w:lang w:eastAsia="pt-BR"/>
              </w:rPr>
              <w:t>H</w:t>
            </w:r>
            <w:r w:rsidRPr="00FB54E6">
              <w:rPr>
                <w:rFonts w:eastAsia="Times New Roman" w:cs="Arial"/>
                <w:b/>
                <w:bCs/>
                <w:color w:val="000000"/>
                <w:szCs w:val="20"/>
                <w:lang w:eastAsia="pt-BR"/>
              </w:rPr>
              <w:t xml:space="preserve"> (%)</w:t>
            </w:r>
          </w:p>
        </w:tc>
      </w:tr>
      <w:tr w:rsidR="004C19ED" w:rsidRPr="00FB54E6" w14:paraId="165EF556" w14:textId="77777777" w:rsidTr="003E2CCD">
        <w:trPr>
          <w:trHeight w:val="249"/>
        </w:trPr>
        <w:tc>
          <w:tcPr>
            <w:tcW w:w="3189" w:type="dxa"/>
            <w:tcBorders>
              <w:top w:val="nil"/>
              <w:left w:val="nil"/>
              <w:bottom w:val="nil"/>
              <w:right w:val="nil"/>
            </w:tcBorders>
            <w:shd w:val="clear" w:color="D9D9D9" w:fill="D9D9D9"/>
            <w:noWrap/>
            <w:vAlign w:val="bottom"/>
            <w:hideMark/>
          </w:tcPr>
          <w:p w14:paraId="78A6B770" w14:textId="77777777" w:rsidR="004C19ED" w:rsidRPr="00FB54E6" w:rsidRDefault="004C19ED" w:rsidP="003E2CCD">
            <w:pPr>
              <w:jc w:val="left"/>
              <w:rPr>
                <w:rFonts w:eastAsia="Times New Roman" w:cs="Arial"/>
                <w:color w:val="000000"/>
                <w:szCs w:val="20"/>
                <w:lang w:eastAsia="pt-BR"/>
              </w:rPr>
            </w:pPr>
            <w:r>
              <w:rPr>
                <w:rFonts w:eastAsia="Times New Roman" w:cs="Arial"/>
                <w:color w:val="000000"/>
                <w:szCs w:val="20"/>
                <w:lang w:eastAsia="pt-BR"/>
              </w:rPr>
              <w:t xml:space="preserve">Precatórios de Terceiros CP </w:t>
            </w:r>
          </w:p>
        </w:tc>
        <w:tc>
          <w:tcPr>
            <w:tcW w:w="2410" w:type="dxa"/>
            <w:tcBorders>
              <w:top w:val="nil"/>
              <w:left w:val="nil"/>
              <w:bottom w:val="nil"/>
              <w:right w:val="nil"/>
            </w:tcBorders>
            <w:shd w:val="clear" w:color="D9D9D9" w:fill="D9D9D9"/>
            <w:noWrap/>
            <w:vAlign w:val="bottom"/>
          </w:tcPr>
          <w:p w14:paraId="2ED84E62" w14:textId="77777777" w:rsidR="004C19ED" w:rsidRPr="00FB54E6" w:rsidRDefault="004C19ED" w:rsidP="003E2CCD">
            <w:pPr>
              <w:jc w:val="right"/>
              <w:rPr>
                <w:rFonts w:eastAsia="Times New Roman" w:cs="Arial"/>
                <w:color w:val="000000"/>
                <w:szCs w:val="20"/>
                <w:lang w:eastAsia="pt-BR"/>
              </w:rPr>
            </w:pPr>
            <w:r w:rsidRPr="00A91FFC">
              <w:rPr>
                <w:rFonts w:eastAsia="Times New Roman" w:cs="Arial"/>
                <w:color w:val="000000"/>
                <w:szCs w:val="20"/>
                <w:lang w:eastAsia="pt-BR"/>
              </w:rPr>
              <w:t>850</w:t>
            </w:r>
            <w:r>
              <w:rPr>
                <w:rFonts w:eastAsia="Times New Roman" w:cs="Arial"/>
                <w:color w:val="000000"/>
                <w:szCs w:val="20"/>
                <w:lang w:eastAsia="pt-BR"/>
              </w:rPr>
              <w:t>.</w:t>
            </w:r>
            <w:r w:rsidRPr="00A91FFC">
              <w:rPr>
                <w:rFonts w:eastAsia="Times New Roman" w:cs="Arial"/>
                <w:color w:val="000000"/>
                <w:szCs w:val="20"/>
                <w:lang w:eastAsia="pt-BR"/>
              </w:rPr>
              <w:t>695,45</w:t>
            </w:r>
          </w:p>
        </w:tc>
        <w:tc>
          <w:tcPr>
            <w:tcW w:w="1559" w:type="dxa"/>
            <w:tcBorders>
              <w:top w:val="nil"/>
              <w:left w:val="nil"/>
              <w:bottom w:val="nil"/>
              <w:right w:val="nil"/>
            </w:tcBorders>
            <w:shd w:val="clear" w:color="D9D9D9" w:fill="D9D9D9"/>
            <w:vAlign w:val="bottom"/>
          </w:tcPr>
          <w:p w14:paraId="3B43C178" w14:textId="77777777" w:rsidR="004C19ED" w:rsidRPr="00FB54E6" w:rsidRDefault="004C19ED" w:rsidP="003E2CCD">
            <w:pPr>
              <w:jc w:val="right"/>
              <w:rPr>
                <w:rFonts w:eastAsia="Times New Roman" w:cs="Arial"/>
                <w:color w:val="000000"/>
                <w:szCs w:val="20"/>
                <w:lang w:eastAsia="pt-BR"/>
              </w:rPr>
            </w:pPr>
            <w:r w:rsidRPr="005D6EF6">
              <w:rPr>
                <w:rFonts w:eastAsia="Times New Roman" w:cs="Arial"/>
                <w:color w:val="000000"/>
                <w:szCs w:val="20"/>
                <w:lang w:eastAsia="pt-BR"/>
              </w:rPr>
              <w:t>273.579,57</w:t>
            </w:r>
          </w:p>
        </w:tc>
        <w:tc>
          <w:tcPr>
            <w:tcW w:w="1984" w:type="dxa"/>
            <w:tcBorders>
              <w:top w:val="nil"/>
              <w:left w:val="nil"/>
              <w:bottom w:val="nil"/>
              <w:right w:val="nil"/>
            </w:tcBorders>
            <w:shd w:val="clear" w:color="D9D9D9" w:fill="D9D9D9"/>
            <w:noWrap/>
            <w:vAlign w:val="bottom"/>
            <w:hideMark/>
          </w:tcPr>
          <w:p w14:paraId="3161F774"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210,95</w:t>
            </w:r>
          </w:p>
        </w:tc>
      </w:tr>
      <w:tr w:rsidR="004C19ED" w:rsidRPr="00FB54E6" w14:paraId="31772F70" w14:textId="77777777" w:rsidTr="003E2CCD">
        <w:trPr>
          <w:trHeight w:val="249"/>
        </w:trPr>
        <w:tc>
          <w:tcPr>
            <w:tcW w:w="3189" w:type="dxa"/>
            <w:tcBorders>
              <w:top w:val="nil"/>
              <w:left w:val="nil"/>
              <w:bottom w:val="nil"/>
              <w:right w:val="nil"/>
            </w:tcBorders>
            <w:shd w:val="clear" w:color="auto" w:fill="auto"/>
            <w:noWrap/>
            <w:vAlign w:val="bottom"/>
            <w:hideMark/>
          </w:tcPr>
          <w:p w14:paraId="53F68FB3" w14:textId="77777777" w:rsidR="004C19ED" w:rsidRPr="00FB54E6" w:rsidRDefault="004C19ED" w:rsidP="003E2CCD">
            <w:pPr>
              <w:jc w:val="left"/>
              <w:rPr>
                <w:rFonts w:eastAsia="Times New Roman" w:cs="Arial"/>
                <w:color w:val="000000"/>
                <w:szCs w:val="20"/>
                <w:lang w:eastAsia="pt-BR"/>
              </w:rPr>
            </w:pPr>
            <w:r>
              <w:rPr>
                <w:rFonts w:eastAsia="Times New Roman" w:cs="Arial"/>
                <w:color w:val="000000"/>
                <w:szCs w:val="20"/>
                <w:lang w:eastAsia="pt-BR"/>
              </w:rPr>
              <w:t>Precatórios de Benefícios Previdenciários CP</w:t>
            </w:r>
          </w:p>
        </w:tc>
        <w:tc>
          <w:tcPr>
            <w:tcW w:w="2410" w:type="dxa"/>
            <w:tcBorders>
              <w:top w:val="nil"/>
              <w:left w:val="nil"/>
              <w:bottom w:val="nil"/>
              <w:right w:val="nil"/>
            </w:tcBorders>
            <w:shd w:val="clear" w:color="auto" w:fill="auto"/>
            <w:noWrap/>
            <w:vAlign w:val="bottom"/>
          </w:tcPr>
          <w:p w14:paraId="34F3AD5B"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c>
          <w:tcPr>
            <w:tcW w:w="1559" w:type="dxa"/>
            <w:tcBorders>
              <w:top w:val="nil"/>
              <w:left w:val="nil"/>
              <w:bottom w:val="nil"/>
              <w:right w:val="nil"/>
            </w:tcBorders>
            <w:vAlign w:val="bottom"/>
          </w:tcPr>
          <w:p w14:paraId="034E420C"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c>
          <w:tcPr>
            <w:tcW w:w="1984" w:type="dxa"/>
            <w:tcBorders>
              <w:top w:val="nil"/>
              <w:left w:val="nil"/>
              <w:bottom w:val="nil"/>
              <w:right w:val="nil"/>
            </w:tcBorders>
            <w:shd w:val="clear" w:color="auto" w:fill="auto"/>
            <w:noWrap/>
            <w:vAlign w:val="bottom"/>
            <w:hideMark/>
          </w:tcPr>
          <w:p w14:paraId="6C486C7F"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r>
      <w:tr w:rsidR="004C19ED" w:rsidRPr="00FB54E6" w14:paraId="5B28504D" w14:textId="77777777" w:rsidTr="003E2CCD">
        <w:trPr>
          <w:trHeight w:val="249"/>
        </w:trPr>
        <w:tc>
          <w:tcPr>
            <w:tcW w:w="3189" w:type="dxa"/>
            <w:tcBorders>
              <w:top w:val="nil"/>
              <w:left w:val="nil"/>
              <w:bottom w:val="single" w:sz="4" w:space="0" w:color="auto"/>
              <w:right w:val="nil"/>
            </w:tcBorders>
            <w:shd w:val="clear" w:color="D9D9D9" w:fill="D9D9D9"/>
            <w:noWrap/>
            <w:vAlign w:val="bottom"/>
            <w:hideMark/>
          </w:tcPr>
          <w:p w14:paraId="4463AA70" w14:textId="77777777" w:rsidR="004C19ED" w:rsidRPr="00FB54E6" w:rsidRDefault="004C19ED" w:rsidP="003E2CCD">
            <w:pPr>
              <w:jc w:val="left"/>
              <w:rPr>
                <w:rFonts w:eastAsia="Times New Roman" w:cs="Arial"/>
                <w:color w:val="000000"/>
                <w:szCs w:val="20"/>
                <w:lang w:eastAsia="pt-BR"/>
              </w:rPr>
            </w:pPr>
            <w:r>
              <w:rPr>
                <w:rFonts w:eastAsia="Times New Roman" w:cs="Arial"/>
                <w:color w:val="000000"/>
                <w:szCs w:val="20"/>
                <w:lang w:eastAsia="pt-BR"/>
              </w:rPr>
              <w:t>Precatórios de Terceiros LP</w:t>
            </w:r>
          </w:p>
        </w:tc>
        <w:tc>
          <w:tcPr>
            <w:tcW w:w="2410" w:type="dxa"/>
            <w:tcBorders>
              <w:top w:val="nil"/>
              <w:left w:val="nil"/>
              <w:bottom w:val="single" w:sz="4" w:space="0" w:color="auto"/>
              <w:right w:val="nil"/>
            </w:tcBorders>
            <w:shd w:val="clear" w:color="D9D9D9" w:fill="D9D9D9"/>
            <w:noWrap/>
            <w:vAlign w:val="bottom"/>
          </w:tcPr>
          <w:p w14:paraId="3E8E60DB"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c>
          <w:tcPr>
            <w:tcW w:w="1559" w:type="dxa"/>
            <w:tcBorders>
              <w:top w:val="nil"/>
              <w:left w:val="nil"/>
              <w:bottom w:val="single" w:sz="4" w:space="0" w:color="auto"/>
              <w:right w:val="nil"/>
            </w:tcBorders>
            <w:shd w:val="clear" w:color="D9D9D9" w:fill="D9D9D9"/>
            <w:vAlign w:val="bottom"/>
          </w:tcPr>
          <w:p w14:paraId="7726870C"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65.739,15</w:t>
            </w:r>
          </w:p>
        </w:tc>
        <w:tc>
          <w:tcPr>
            <w:tcW w:w="1984" w:type="dxa"/>
            <w:tcBorders>
              <w:top w:val="nil"/>
              <w:left w:val="nil"/>
              <w:bottom w:val="single" w:sz="4" w:space="0" w:color="auto"/>
              <w:right w:val="nil"/>
            </w:tcBorders>
            <w:shd w:val="clear" w:color="D9D9D9" w:fill="D9D9D9"/>
            <w:noWrap/>
            <w:vAlign w:val="bottom"/>
            <w:hideMark/>
          </w:tcPr>
          <w:p w14:paraId="1C17E13B"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10,00</w:t>
            </w:r>
          </w:p>
        </w:tc>
      </w:tr>
      <w:tr w:rsidR="004C19ED" w:rsidRPr="00FB54E6" w14:paraId="0C90E93D" w14:textId="77777777" w:rsidTr="003E2CCD">
        <w:trPr>
          <w:trHeight w:val="249"/>
        </w:trPr>
        <w:tc>
          <w:tcPr>
            <w:tcW w:w="3189" w:type="dxa"/>
            <w:tcBorders>
              <w:top w:val="nil"/>
              <w:left w:val="nil"/>
              <w:bottom w:val="single" w:sz="4" w:space="0" w:color="auto"/>
              <w:right w:val="nil"/>
            </w:tcBorders>
            <w:shd w:val="clear" w:color="D9D9D9" w:fill="D9D9D9"/>
            <w:noWrap/>
            <w:vAlign w:val="bottom"/>
          </w:tcPr>
          <w:p w14:paraId="349D78D5"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Precatórios de Pessoal</w:t>
            </w:r>
          </w:p>
        </w:tc>
        <w:tc>
          <w:tcPr>
            <w:tcW w:w="2410" w:type="dxa"/>
            <w:tcBorders>
              <w:top w:val="nil"/>
              <w:left w:val="nil"/>
              <w:bottom w:val="single" w:sz="4" w:space="0" w:color="auto"/>
              <w:right w:val="nil"/>
            </w:tcBorders>
            <w:shd w:val="clear" w:color="D9D9D9" w:fill="D9D9D9"/>
            <w:noWrap/>
            <w:vAlign w:val="bottom"/>
          </w:tcPr>
          <w:p w14:paraId="18315B92" w14:textId="77777777" w:rsidR="004C19ED" w:rsidRPr="00FB54E6" w:rsidRDefault="004C19ED" w:rsidP="003E2CCD">
            <w:pPr>
              <w:jc w:val="right"/>
              <w:rPr>
                <w:rFonts w:eastAsia="Times New Roman" w:cs="Arial"/>
                <w:color w:val="000000"/>
                <w:szCs w:val="20"/>
                <w:lang w:eastAsia="pt-BR"/>
              </w:rPr>
            </w:pPr>
            <w:r w:rsidRPr="00A91FFC">
              <w:rPr>
                <w:rFonts w:eastAsia="Times New Roman" w:cs="Arial"/>
                <w:color w:val="000000"/>
                <w:szCs w:val="20"/>
                <w:lang w:eastAsia="pt-BR"/>
              </w:rPr>
              <w:t>1</w:t>
            </w:r>
            <w:r>
              <w:rPr>
                <w:rFonts w:eastAsia="Times New Roman" w:cs="Arial"/>
                <w:color w:val="000000"/>
                <w:szCs w:val="20"/>
                <w:lang w:eastAsia="pt-BR"/>
              </w:rPr>
              <w:t>.</w:t>
            </w:r>
            <w:r w:rsidRPr="00A91FFC">
              <w:rPr>
                <w:rFonts w:eastAsia="Times New Roman" w:cs="Arial"/>
                <w:color w:val="000000"/>
                <w:szCs w:val="20"/>
                <w:lang w:eastAsia="pt-BR"/>
              </w:rPr>
              <w:t>726</w:t>
            </w:r>
            <w:r>
              <w:rPr>
                <w:rFonts w:eastAsia="Times New Roman" w:cs="Arial"/>
                <w:color w:val="000000"/>
                <w:szCs w:val="20"/>
                <w:lang w:eastAsia="pt-BR"/>
              </w:rPr>
              <w:t>.</w:t>
            </w:r>
            <w:r w:rsidRPr="00A91FFC">
              <w:rPr>
                <w:rFonts w:eastAsia="Times New Roman" w:cs="Arial"/>
                <w:color w:val="000000"/>
                <w:szCs w:val="20"/>
                <w:lang w:eastAsia="pt-BR"/>
              </w:rPr>
              <w:t>490,25</w:t>
            </w:r>
          </w:p>
        </w:tc>
        <w:tc>
          <w:tcPr>
            <w:tcW w:w="1559" w:type="dxa"/>
            <w:tcBorders>
              <w:top w:val="nil"/>
              <w:left w:val="nil"/>
              <w:bottom w:val="single" w:sz="4" w:space="0" w:color="auto"/>
              <w:right w:val="nil"/>
            </w:tcBorders>
            <w:shd w:val="clear" w:color="D9D9D9" w:fill="D9D9D9"/>
            <w:vAlign w:val="bottom"/>
          </w:tcPr>
          <w:p w14:paraId="3892C1DD"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1984" w:type="dxa"/>
            <w:tcBorders>
              <w:top w:val="nil"/>
              <w:left w:val="nil"/>
              <w:bottom w:val="single" w:sz="4" w:space="0" w:color="auto"/>
              <w:right w:val="nil"/>
            </w:tcBorders>
            <w:shd w:val="clear" w:color="D9D9D9" w:fill="D9D9D9"/>
            <w:noWrap/>
            <w:vAlign w:val="bottom"/>
          </w:tcPr>
          <w:p w14:paraId="7123FC3F"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100,00</w:t>
            </w:r>
          </w:p>
        </w:tc>
      </w:tr>
      <w:tr w:rsidR="004C19ED" w:rsidRPr="00FB54E6" w14:paraId="717B93D3" w14:textId="77777777" w:rsidTr="003E2CCD">
        <w:trPr>
          <w:trHeight w:val="249"/>
        </w:trPr>
        <w:tc>
          <w:tcPr>
            <w:tcW w:w="3189" w:type="dxa"/>
            <w:tcBorders>
              <w:top w:val="single" w:sz="4" w:space="0" w:color="auto"/>
              <w:left w:val="nil"/>
              <w:bottom w:val="single" w:sz="4" w:space="0" w:color="auto"/>
              <w:right w:val="nil"/>
            </w:tcBorders>
            <w:shd w:val="clear" w:color="auto" w:fill="auto"/>
            <w:noWrap/>
            <w:vAlign w:val="bottom"/>
            <w:hideMark/>
          </w:tcPr>
          <w:p w14:paraId="2E506F73" w14:textId="77777777" w:rsidR="004C19ED" w:rsidRPr="00FB54E6" w:rsidRDefault="004C19ED" w:rsidP="003E2CCD">
            <w:pPr>
              <w:jc w:val="left"/>
              <w:rPr>
                <w:rFonts w:eastAsia="Times New Roman" w:cs="Arial"/>
                <w:b/>
                <w:bCs/>
                <w:color w:val="000000"/>
                <w:szCs w:val="20"/>
                <w:lang w:eastAsia="pt-BR"/>
              </w:rPr>
            </w:pPr>
            <w:r w:rsidRPr="00FB54E6">
              <w:rPr>
                <w:rFonts w:eastAsia="Times New Roman" w:cs="Arial"/>
                <w:b/>
                <w:bCs/>
                <w:color w:val="000000"/>
                <w:szCs w:val="20"/>
                <w:lang w:eastAsia="pt-BR"/>
              </w:rPr>
              <w:t>Total</w:t>
            </w:r>
          </w:p>
        </w:tc>
        <w:tc>
          <w:tcPr>
            <w:tcW w:w="2410" w:type="dxa"/>
            <w:tcBorders>
              <w:top w:val="single" w:sz="4" w:space="0" w:color="auto"/>
              <w:left w:val="nil"/>
              <w:bottom w:val="single" w:sz="4" w:space="0" w:color="auto"/>
              <w:right w:val="nil"/>
            </w:tcBorders>
            <w:shd w:val="clear" w:color="auto" w:fill="auto"/>
            <w:noWrap/>
            <w:vAlign w:val="bottom"/>
            <w:hideMark/>
          </w:tcPr>
          <w:p w14:paraId="5ED061A5" w14:textId="77777777" w:rsidR="004C19ED" w:rsidRPr="0034738C"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w:t>
            </w:r>
            <w:r w:rsidRPr="0034738C">
              <w:rPr>
                <w:rFonts w:cs="Arial"/>
                <w:b/>
                <w:bCs/>
                <w:szCs w:val="20"/>
              </w:rPr>
              <w:t>2.577.185,70</w:t>
            </w:r>
          </w:p>
        </w:tc>
        <w:tc>
          <w:tcPr>
            <w:tcW w:w="1559" w:type="dxa"/>
            <w:tcBorders>
              <w:top w:val="single" w:sz="4" w:space="0" w:color="auto"/>
              <w:left w:val="nil"/>
              <w:bottom w:val="single" w:sz="4" w:space="0" w:color="auto"/>
              <w:right w:val="nil"/>
            </w:tcBorders>
            <w:shd w:val="clear" w:color="auto" w:fill="auto"/>
            <w:vAlign w:val="bottom"/>
          </w:tcPr>
          <w:p w14:paraId="7B3EF318" w14:textId="77777777" w:rsidR="004C19ED" w:rsidRPr="0034738C"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w:t>
            </w:r>
            <w:r w:rsidRPr="0034738C">
              <w:rPr>
                <w:rFonts w:cs="Arial"/>
                <w:b/>
                <w:bCs/>
                <w:szCs w:val="20"/>
              </w:rPr>
              <w:t>339.318,72</w:t>
            </w:r>
          </w:p>
        </w:tc>
        <w:tc>
          <w:tcPr>
            <w:tcW w:w="1984" w:type="dxa"/>
            <w:tcBorders>
              <w:top w:val="single" w:sz="4" w:space="0" w:color="auto"/>
              <w:left w:val="nil"/>
              <w:bottom w:val="single" w:sz="4" w:space="0" w:color="auto"/>
              <w:right w:val="nil"/>
            </w:tcBorders>
            <w:shd w:val="clear" w:color="auto" w:fill="auto"/>
            <w:noWrap/>
            <w:vAlign w:val="bottom"/>
            <w:hideMark/>
          </w:tcPr>
          <w:p w14:paraId="3900DF19" w14:textId="77777777" w:rsidR="004C19ED" w:rsidRPr="00FB54E6"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w:t>
            </w:r>
            <w:r>
              <w:rPr>
                <w:rFonts w:eastAsia="Times New Roman" w:cs="Arial"/>
                <w:b/>
                <w:bCs/>
                <w:color w:val="000000"/>
                <w:szCs w:val="20"/>
                <w:lang w:eastAsia="pt-BR"/>
              </w:rPr>
              <w:t>659</w:t>
            </w:r>
            <w:r w:rsidRPr="00FB54E6">
              <w:rPr>
                <w:rFonts w:eastAsia="Times New Roman" w:cs="Arial"/>
                <w:b/>
                <w:bCs/>
                <w:color w:val="000000"/>
                <w:szCs w:val="20"/>
                <w:lang w:eastAsia="pt-BR"/>
              </w:rPr>
              <w:t>,</w:t>
            </w:r>
            <w:r>
              <w:rPr>
                <w:rFonts w:eastAsia="Times New Roman" w:cs="Arial"/>
                <w:b/>
                <w:bCs/>
                <w:color w:val="000000"/>
                <w:szCs w:val="20"/>
                <w:lang w:eastAsia="pt-BR"/>
              </w:rPr>
              <w:t>52</w:t>
            </w:r>
            <w:r w:rsidRPr="00FB54E6">
              <w:rPr>
                <w:rFonts w:eastAsia="Times New Roman" w:cs="Arial"/>
                <w:b/>
                <w:bCs/>
                <w:color w:val="000000"/>
                <w:szCs w:val="20"/>
                <w:lang w:eastAsia="pt-BR"/>
              </w:rPr>
              <w:t xml:space="preserve"> </w:t>
            </w:r>
          </w:p>
        </w:tc>
      </w:tr>
    </w:tbl>
    <w:p w14:paraId="2CE30C60" w14:textId="77777777" w:rsidR="004C19ED" w:rsidRPr="00F43675" w:rsidRDefault="004C19ED" w:rsidP="004C19ED">
      <w:pPr>
        <w:jc w:val="left"/>
        <w:rPr>
          <w:rFonts w:cs="Arial"/>
          <w:i/>
          <w:szCs w:val="20"/>
        </w:rPr>
      </w:pPr>
      <w:r w:rsidRPr="00F43675">
        <w:rPr>
          <w:rFonts w:cs="Arial"/>
          <w:i/>
          <w:szCs w:val="20"/>
        </w:rPr>
        <w:t xml:space="preserve"> Fonte: SIAFI, 20</w:t>
      </w:r>
      <w:r>
        <w:rPr>
          <w:rFonts w:cs="Arial"/>
          <w:i/>
          <w:szCs w:val="20"/>
        </w:rPr>
        <w:t>21 e 2020</w:t>
      </w:r>
      <w:r w:rsidRPr="00F43675">
        <w:rPr>
          <w:rFonts w:cs="Arial"/>
          <w:i/>
          <w:szCs w:val="20"/>
        </w:rPr>
        <w:t>.</w:t>
      </w:r>
    </w:p>
    <w:p w14:paraId="1D5E8922" w14:textId="77777777" w:rsidR="004C19ED" w:rsidRDefault="004C19ED" w:rsidP="004C19ED">
      <w:pPr>
        <w:jc w:val="left"/>
        <w:rPr>
          <w:rFonts w:cs="Arial"/>
          <w:szCs w:val="20"/>
        </w:rPr>
      </w:pPr>
    </w:p>
    <w:p w14:paraId="4EBF910D" w14:textId="77777777" w:rsidR="004C19ED" w:rsidRDefault="004C19ED" w:rsidP="004C19ED">
      <w:pPr>
        <w:rPr>
          <w:rFonts w:cs="Arial"/>
          <w:szCs w:val="20"/>
        </w:rPr>
      </w:pPr>
      <w:r w:rsidRPr="00BE0AC8">
        <w:rPr>
          <w:rFonts w:cs="Arial"/>
          <w:b/>
          <w:sz w:val="22"/>
        </w:rPr>
        <w:t>Tabela</w:t>
      </w:r>
      <w:r>
        <w:rPr>
          <w:rFonts w:cs="Arial"/>
          <w:b/>
          <w:sz w:val="22"/>
        </w:rPr>
        <w:t xml:space="preserve"> 14</w:t>
      </w:r>
      <w:r w:rsidRPr="00BE0AC8">
        <w:rPr>
          <w:rFonts w:cs="Arial"/>
          <w:b/>
          <w:sz w:val="22"/>
        </w:rPr>
        <w:t xml:space="preserve"> – </w:t>
      </w:r>
      <w:r>
        <w:rPr>
          <w:rFonts w:cs="Arial"/>
          <w:b/>
          <w:sz w:val="22"/>
        </w:rPr>
        <w:t>Origem dos Processos</w:t>
      </w:r>
      <w:r>
        <w:rPr>
          <w:rFonts w:cs="Arial"/>
          <w:szCs w:val="20"/>
        </w:rPr>
        <w:t xml:space="preserve">                                                                                      </w:t>
      </w:r>
    </w:p>
    <w:p w14:paraId="262C864D" w14:textId="77777777" w:rsidR="004C19ED" w:rsidRDefault="004C19ED" w:rsidP="004C19ED">
      <w:pPr>
        <w:jc w:val="left"/>
        <w:rPr>
          <w:rFonts w:cs="Arial"/>
          <w:szCs w:val="20"/>
        </w:rPr>
      </w:pPr>
    </w:p>
    <w:tbl>
      <w:tblPr>
        <w:tblW w:w="9113" w:type="dxa"/>
        <w:tblCellMar>
          <w:left w:w="70" w:type="dxa"/>
          <w:right w:w="70" w:type="dxa"/>
        </w:tblCellMar>
        <w:tblLook w:val="04A0" w:firstRow="1" w:lastRow="0" w:firstColumn="1" w:lastColumn="0" w:noHBand="0" w:noVBand="1"/>
      </w:tblPr>
      <w:tblGrid>
        <w:gridCol w:w="3572"/>
        <w:gridCol w:w="2637"/>
        <w:gridCol w:w="2904"/>
      </w:tblGrid>
      <w:tr w:rsidR="004C19ED" w:rsidRPr="00FB54E6" w14:paraId="105B81FE" w14:textId="77777777" w:rsidTr="003E2CCD">
        <w:trPr>
          <w:trHeight w:val="249"/>
        </w:trPr>
        <w:tc>
          <w:tcPr>
            <w:tcW w:w="3572" w:type="dxa"/>
            <w:tcBorders>
              <w:top w:val="single" w:sz="4" w:space="0" w:color="000000"/>
              <w:left w:val="nil"/>
              <w:bottom w:val="single" w:sz="4" w:space="0" w:color="000000"/>
              <w:right w:val="nil"/>
            </w:tcBorders>
            <w:shd w:val="clear" w:color="auto" w:fill="auto"/>
            <w:noWrap/>
            <w:vAlign w:val="bottom"/>
            <w:hideMark/>
          </w:tcPr>
          <w:p w14:paraId="15290500" w14:textId="77777777" w:rsidR="004C19ED" w:rsidRPr="00FB54E6" w:rsidRDefault="004C19ED" w:rsidP="003E2CCD">
            <w:pPr>
              <w:jc w:val="left"/>
              <w:rPr>
                <w:rFonts w:eastAsia="Times New Roman" w:cs="Arial"/>
                <w:b/>
                <w:bCs/>
                <w:color w:val="000000"/>
                <w:szCs w:val="20"/>
                <w:lang w:eastAsia="pt-BR"/>
              </w:rPr>
            </w:pPr>
            <w:r>
              <w:rPr>
                <w:rFonts w:eastAsia="Times New Roman" w:cs="Arial"/>
                <w:b/>
                <w:bCs/>
                <w:color w:val="000000"/>
                <w:szCs w:val="20"/>
                <w:lang w:eastAsia="pt-BR"/>
              </w:rPr>
              <w:t>Gestor</w:t>
            </w:r>
          </w:p>
        </w:tc>
        <w:tc>
          <w:tcPr>
            <w:tcW w:w="2637" w:type="dxa"/>
            <w:tcBorders>
              <w:top w:val="single" w:sz="4" w:space="0" w:color="000000"/>
              <w:left w:val="nil"/>
              <w:bottom w:val="single" w:sz="4" w:space="0" w:color="000000"/>
              <w:right w:val="nil"/>
            </w:tcBorders>
            <w:shd w:val="clear" w:color="auto" w:fill="auto"/>
            <w:noWrap/>
            <w:vAlign w:val="bottom"/>
            <w:hideMark/>
          </w:tcPr>
          <w:p w14:paraId="61B1A059" w14:textId="77777777" w:rsidR="004C19ED" w:rsidRPr="00FB54E6"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3</w:t>
            </w:r>
            <w:r>
              <w:rPr>
                <w:rFonts w:eastAsia="Times New Roman" w:cs="Arial"/>
                <w:b/>
                <w:bCs/>
                <w:color w:val="000000"/>
                <w:szCs w:val="20"/>
                <w:lang w:eastAsia="pt-BR"/>
              </w:rPr>
              <w:t>1</w:t>
            </w:r>
            <w:r w:rsidRPr="00FB54E6">
              <w:rPr>
                <w:rFonts w:eastAsia="Times New Roman" w:cs="Arial"/>
                <w:b/>
                <w:bCs/>
                <w:color w:val="000000"/>
                <w:szCs w:val="20"/>
                <w:lang w:eastAsia="pt-BR"/>
              </w:rPr>
              <w:t>/</w:t>
            </w:r>
            <w:r>
              <w:rPr>
                <w:rFonts w:eastAsia="Times New Roman" w:cs="Arial"/>
                <w:b/>
                <w:bCs/>
                <w:color w:val="000000"/>
                <w:szCs w:val="20"/>
                <w:lang w:eastAsia="pt-BR"/>
              </w:rPr>
              <w:t>12</w:t>
            </w:r>
            <w:r w:rsidRPr="00FB54E6">
              <w:rPr>
                <w:rFonts w:eastAsia="Times New Roman" w:cs="Arial"/>
                <w:b/>
                <w:bCs/>
                <w:color w:val="000000"/>
                <w:szCs w:val="20"/>
                <w:lang w:eastAsia="pt-BR"/>
              </w:rPr>
              <w:t>/20</w:t>
            </w:r>
            <w:r>
              <w:rPr>
                <w:rFonts w:eastAsia="Times New Roman" w:cs="Arial"/>
                <w:b/>
                <w:bCs/>
                <w:color w:val="000000"/>
                <w:szCs w:val="20"/>
                <w:lang w:eastAsia="pt-BR"/>
              </w:rPr>
              <w:t>21</w:t>
            </w:r>
          </w:p>
        </w:tc>
        <w:tc>
          <w:tcPr>
            <w:tcW w:w="2904" w:type="dxa"/>
            <w:tcBorders>
              <w:top w:val="single" w:sz="4" w:space="0" w:color="000000"/>
              <w:left w:val="nil"/>
              <w:bottom w:val="single" w:sz="4" w:space="0" w:color="000000"/>
              <w:right w:val="nil"/>
            </w:tcBorders>
            <w:shd w:val="clear" w:color="auto" w:fill="auto"/>
            <w:noWrap/>
            <w:vAlign w:val="bottom"/>
            <w:hideMark/>
          </w:tcPr>
          <w:p w14:paraId="76615DE1" w14:textId="77777777" w:rsidR="004C19ED" w:rsidRPr="00FB54E6"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AV (%)</w:t>
            </w:r>
          </w:p>
        </w:tc>
      </w:tr>
      <w:tr w:rsidR="004C19ED" w:rsidRPr="00FB54E6" w14:paraId="5AA1A1D2" w14:textId="77777777" w:rsidTr="003E2CCD">
        <w:trPr>
          <w:trHeight w:val="249"/>
        </w:trPr>
        <w:tc>
          <w:tcPr>
            <w:tcW w:w="3572" w:type="dxa"/>
            <w:tcBorders>
              <w:top w:val="nil"/>
              <w:left w:val="nil"/>
              <w:bottom w:val="nil"/>
              <w:right w:val="nil"/>
            </w:tcBorders>
            <w:shd w:val="clear" w:color="auto" w:fill="auto"/>
            <w:noWrap/>
            <w:vAlign w:val="bottom"/>
            <w:hideMark/>
          </w:tcPr>
          <w:p w14:paraId="2196AD7D" w14:textId="77777777" w:rsidR="004C19ED" w:rsidRPr="00FB54E6" w:rsidRDefault="004C19ED" w:rsidP="003E2CCD">
            <w:pPr>
              <w:jc w:val="left"/>
              <w:rPr>
                <w:rFonts w:eastAsia="Times New Roman" w:cs="Arial"/>
                <w:color w:val="000000"/>
                <w:szCs w:val="20"/>
                <w:lang w:eastAsia="pt-BR"/>
              </w:rPr>
            </w:pPr>
            <w:r>
              <w:rPr>
                <w:rFonts w:eastAsia="Times New Roman" w:cs="Arial"/>
                <w:color w:val="000000"/>
                <w:szCs w:val="20"/>
                <w:lang w:eastAsia="pt-BR"/>
              </w:rPr>
              <w:t xml:space="preserve">TRF 4 Região </w:t>
            </w:r>
          </w:p>
        </w:tc>
        <w:tc>
          <w:tcPr>
            <w:tcW w:w="2637" w:type="dxa"/>
            <w:tcBorders>
              <w:top w:val="nil"/>
              <w:left w:val="nil"/>
              <w:bottom w:val="nil"/>
              <w:right w:val="nil"/>
            </w:tcBorders>
            <w:shd w:val="clear" w:color="auto" w:fill="auto"/>
            <w:noWrap/>
            <w:vAlign w:val="bottom"/>
            <w:hideMark/>
          </w:tcPr>
          <w:p w14:paraId="2C8A6170" w14:textId="77777777" w:rsidR="004C19ED" w:rsidRPr="0034738C" w:rsidRDefault="004C19ED" w:rsidP="003E2CCD">
            <w:pPr>
              <w:jc w:val="right"/>
              <w:rPr>
                <w:rFonts w:cs="Arial"/>
                <w:szCs w:val="20"/>
              </w:rPr>
            </w:pPr>
            <w:r>
              <w:rPr>
                <w:rFonts w:cs="Arial"/>
                <w:szCs w:val="20"/>
              </w:rPr>
              <w:t>1.915.089,79</w:t>
            </w:r>
          </w:p>
        </w:tc>
        <w:tc>
          <w:tcPr>
            <w:tcW w:w="2904" w:type="dxa"/>
            <w:tcBorders>
              <w:top w:val="nil"/>
              <w:left w:val="nil"/>
              <w:bottom w:val="nil"/>
              <w:right w:val="nil"/>
            </w:tcBorders>
            <w:shd w:val="clear" w:color="auto" w:fill="auto"/>
            <w:noWrap/>
            <w:vAlign w:val="bottom"/>
            <w:hideMark/>
          </w:tcPr>
          <w:p w14:paraId="53C8D509" w14:textId="77777777" w:rsidR="004C19ED" w:rsidRPr="00FB54E6" w:rsidRDefault="004C19ED" w:rsidP="003E2CCD">
            <w:pPr>
              <w:jc w:val="right"/>
              <w:rPr>
                <w:rFonts w:eastAsia="Times New Roman" w:cs="Arial"/>
                <w:color w:val="000000"/>
                <w:szCs w:val="20"/>
                <w:lang w:eastAsia="pt-BR"/>
              </w:rPr>
            </w:pPr>
            <w:r>
              <w:rPr>
                <w:rFonts w:eastAsia="Times New Roman" w:cs="Arial"/>
                <w:color w:val="000000"/>
                <w:szCs w:val="20"/>
                <w:lang w:eastAsia="pt-BR"/>
              </w:rPr>
              <w:t>74,31</w:t>
            </w:r>
          </w:p>
        </w:tc>
      </w:tr>
      <w:tr w:rsidR="004C19ED" w:rsidRPr="00FB54E6" w14:paraId="0F4F7216" w14:textId="77777777" w:rsidTr="003E2CCD">
        <w:trPr>
          <w:trHeight w:val="249"/>
        </w:trPr>
        <w:tc>
          <w:tcPr>
            <w:tcW w:w="3572" w:type="dxa"/>
            <w:tcBorders>
              <w:top w:val="nil"/>
              <w:left w:val="nil"/>
              <w:bottom w:val="nil"/>
              <w:right w:val="nil"/>
            </w:tcBorders>
            <w:shd w:val="clear" w:color="auto" w:fill="auto"/>
            <w:noWrap/>
            <w:vAlign w:val="bottom"/>
          </w:tcPr>
          <w:p w14:paraId="05C9D02E"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 xml:space="preserve">TRF 2 Região </w:t>
            </w:r>
          </w:p>
        </w:tc>
        <w:tc>
          <w:tcPr>
            <w:tcW w:w="2637" w:type="dxa"/>
            <w:tcBorders>
              <w:top w:val="nil"/>
              <w:left w:val="nil"/>
              <w:bottom w:val="nil"/>
              <w:right w:val="nil"/>
            </w:tcBorders>
            <w:shd w:val="clear" w:color="auto" w:fill="auto"/>
            <w:noWrap/>
            <w:vAlign w:val="bottom"/>
          </w:tcPr>
          <w:p w14:paraId="2A4434DA" w14:textId="77777777" w:rsidR="004C19ED" w:rsidRPr="005D6EF6" w:rsidRDefault="004C19ED" w:rsidP="003E2CCD">
            <w:pPr>
              <w:jc w:val="right"/>
              <w:rPr>
                <w:rFonts w:eastAsia="Times New Roman" w:cs="Arial"/>
                <w:color w:val="000000"/>
                <w:szCs w:val="20"/>
                <w:lang w:eastAsia="pt-BR"/>
              </w:rPr>
            </w:pPr>
            <w:r w:rsidRPr="0034738C">
              <w:rPr>
                <w:rFonts w:eastAsia="Times New Roman" w:cs="Arial"/>
                <w:color w:val="000000"/>
                <w:szCs w:val="20"/>
                <w:lang w:eastAsia="pt-BR"/>
              </w:rPr>
              <w:t>588.600,61</w:t>
            </w:r>
          </w:p>
        </w:tc>
        <w:tc>
          <w:tcPr>
            <w:tcW w:w="2904" w:type="dxa"/>
            <w:tcBorders>
              <w:top w:val="nil"/>
              <w:left w:val="nil"/>
              <w:bottom w:val="nil"/>
              <w:right w:val="nil"/>
            </w:tcBorders>
            <w:shd w:val="clear" w:color="auto" w:fill="auto"/>
            <w:noWrap/>
            <w:vAlign w:val="bottom"/>
          </w:tcPr>
          <w:p w14:paraId="15AC5542"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22,84</w:t>
            </w:r>
          </w:p>
        </w:tc>
      </w:tr>
      <w:tr w:rsidR="004C19ED" w:rsidRPr="00FB54E6" w14:paraId="0EC4CF0A" w14:textId="77777777" w:rsidTr="003E2CCD">
        <w:trPr>
          <w:trHeight w:val="249"/>
        </w:trPr>
        <w:tc>
          <w:tcPr>
            <w:tcW w:w="3572" w:type="dxa"/>
            <w:tcBorders>
              <w:top w:val="nil"/>
              <w:left w:val="nil"/>
              <w:bottom w:val="nil"/>
              <w:right w:val="nil"/>
            </w:tcBorders>
            <w:shd w:val="clear" w:color="auto" w:fill="auto"/>
            <w:noWrap/>
            <w:vAlign w:val="bottom"/>
          </w:tcPr>
          <w:p w14:paraId="75D876CD"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TRF 3 Região</w:t>
            </w:r>
          </w:p>
        </w:tc>
        <w:tc>
          <w:tcPr>
            <w:tcW w:w="2637" w:type="dxa"/>
            <w:tcBorders>
              <w:top w:val="nil"/>
              <w:left w:val="nil"/>
              <w:bottom w:val="nil"/>
              <w:right w:val="nil"/>
            </w:tcBorders>
            <w:shd w:val="clear" w:color="auto" w:fill="auto"/>
            <w:noWrap/>
            <w:vAlign w:val="bottom"/>
          </w:tcPr>
          <w:p w14:paraId="0C529B40" w14:textId="77777777" w:rsidR="004C19ED" w:rsidRDefault="004C19ED" w:rsidP="003E2CCD">
            <w:pPr>
              <w:jc w:val="right"/>
              <w:rPr>
                <w:rFonts w:eastAsia="Times New Roman" w:cs="Arial"/>
                <w:color w:val="000000"/>
                <w:szCs w:val="20"/>
                <w:lang w:eastAsia="pt-BR"/>
              </w:rPr>
            </w:pPr>
            <w:r w:rsidRPr="0034738C">
              <w:rPr>
                <w:rFonts w:eastAsia="Times New Roman" w:cs="Arial"/>
                <w:color w:val="000000"/>
                <w:szCs w:val="20"/>
                <w:lang w:eastAsia="pt-BR"/>
              </w:rPr>
              <w:t>73.495,30</w:t>
            </w:r>
          </w:p>
        </w:tc>
        <w:tc>
          <w:tcPr>
            <w:tcW w:w="2904" w:type="dxa"/>
            <w:tcBorders>
              <w:top w:val="nil"/>
              <w:left w:val="nil"/>
              <w:bottom w:val="nil"/>
              <w:right w:val="nil"/>
            </w:tcBorders>
            <w:shd w:val="clear" w:color="auto" w:fill="auto"/>
            <w:noWrap/>
            <w:vAlign w:val="bottom"/>
          </w:tcPr>
          <w:p w14:paraId="581A94A1"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2,85</w:t>
            </w:r>
          </w:p>
        </w:tc>
      </w:tr>
      <w:tr w:rsidR="004C19ED" w:rsidRPr="00FB54E6" w14:paraId="7223188F" w14:textId="77777777" w:rsidTr="003E2CCD">
        <w:trPr>
          <w:trHeight w:val="249"/>
        </w:trPr>
        <w:tc>
          <w:tcPr>
            <w:tcW w:w="3572" w:type="dxa"/>
            <w:tcBorders>
              <w:top w:val="nil"/>
              <w:left w:val="nil"/>
              <w:bottom w:val="single" w:sz="4" w:space="0" w:color="auto"/>
              <w:right w:val="nil"/>
            </w:tcBorders>
            <w:shd w:val="clear" w:color="D9D9D9" w:fill="D9D9D9"/>
            <w:noWrap/>
            <w:vAlign w:val="bottom"/>
            <w:hideMark/>
          </w:tcPr>
          <w:p w14:paraId="2F477159" w14:textId="77777777" w:rsidR="004C19ED" w:rsidRPr="00FB54E6" w:rsidRDefault="004C19ED" w:rsidP="003E2CCD">
            <w:pPr>
              <w:jc w:val="left"/>
              <w:rPr>
                <w:rFonts w:eastAsia="Times New Roman" w:cs="Arial"/>
                <w:b/>
                <w:bCs/>
                <w:color w:val="000000"/>
                <w:szCs w:val="20"/>
                <w:lang w:eastAsia="pt-BR"/>
              </w:rPr>
            </w:pPr>
            <w:r w:rsidRPr="00FB54E6">
              <w:rPr>
                <w:rFonts w:eastAsia="Times New Roman" w:cs="Arial"/>
                <w:b/>
                <w:bCs/>
                <w:color w:val="000000"/>
                <w:szCs w:val="20"/>
                <w:lang w:eastAsia="pt-BR"/>
              </w:rPr>
              <w:lastRenderedPageBreak/>
              <w:t>Total</w:t>
            </w:r>
          </w:p>
        </w:tc>
        <w:tc>
          <w:tcPr>
            <w:tcW w:w="2637" w:type="dxa"/>
            <w:tcBorders>
              <w:top w:val="nil"/>
              <w:left w:val="nil"/>
              <w:bottom w:val="single" w:sz="4" w:space="0" w:color="auto"/>
              <w:right w:val="nil"/>
            </w:tcBorders>
            <w:shd w:val="clear" w:color="D9D9D9" w:fill="D9D9D9"/>
            <w:noWrap/>
            <w:vAlign w:val="bottom"/>
            <w:hideMark/>
          </w:tcPr>
          <w:p w14:paraId="62D43E71" w14:textId="77777777" w:rsidR="004C19ED" w:rsidRPr="005D6EF6"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w:t>
            </w:r>
            <w:r w:rsidRPr="0034738C">
              <w:rPr>
                <w:rFonts w:cs="Arial"/>
                <w:b/>
                <w:bCs/>
                <w:szCs w:val="20"/>
              </w:rPr>
              <w:t>2.577.185,70</w:t>
            </w:r>
          </w:p>
        </w:tc>
        <w:tc>
          <w:tcPr>
            <w:tcW w:w="2904" w:type="dxa"/>
            <w:tcBorders>
              <w:top w:val="single" w:sz="4" w:space="0" w:color="000000"/>
              <w:left w:val="nil"/>
              <w:bottom w:val="single" w:sz="4" w:space="0" w:color="auto"/>
              <w:right w:val="nil"/>
            </w:tcBorders>
            <w:shd w:val="clear" w:color="D9D9D9" w:fill="D9D9D9"/>
            <w:noWrap/>
            <w:vAlign w:val="bottom"/>
            <w:hideMark/>
          </w:tcPr>
          <w:p w14:paraId="036C7076" w14:textId="77777777" w:rsidR="004C19ED" w:rsidRPr="00FB54E6" w:rsidRDefault="004C19ED" w:rsidP="003E2CCD">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100,00 </w:t>
            </w:r>
          </w:p>
        </w:tc>
      </w:tr>
    </w:tbl>
    <w:p w14:paraId="477220E8" w14:textId="77777777" w:rsidR="004C19ED" w:rsidRPr="00F43675" w:rsidRDefault="004C19ED" w:rsidP="004C19ED">
      <w:pPr>
        <w:jc w:val="left"/>
        <w:rPr>
          <w:rFonts w:cs="Arial"/>
          <w:i/>
          <w:szCs w:val="20"/>
        </w:rPr>
      </w:pPr>
      <w:r w:rsidRPr="00F43675">
        <w:rPr>
          <w:rFonts w:cs="Arial"/>
          <w:i/>
          <w:szCs w:val="20"/>
        </w:rPr>
        <w:t xml:space="preserve">Fonte: </w:t>
      </w:r>
      <w:r>
        <w:rPr>
          <w:rFonts w:cs="Arial"/>
          <w:i/>
          <w:szCs w:val="20"/>
        </w:rPr>
        <w:t>Justiça Federal</w:t>
      </w:r>
      <w:r w:rsidRPr="00F43675">
        <w:rPr>
          <w:rFonts w:cs="Arial"/>
          <w:i/>
          <w:szCs w:val="20"/>
        </w:rPr>
        <w:t>, 20</w:t>
      </w:r>
      <w:r>
        <w:rPr>
          <w:rFonts w:cs="Arial"/>
          <w:i/>
          <w:szCs w:val="20"/>
        </w:rPr>
        <w:t>21</w:t>
      </w:r>
      <w:r w:rsidRPr="00F43675">
        <w:rPr>
          <w:rFonts w:cs="Arial"/>
          <w:i/>
          <w:szCs w:val="20"/>
        </w:rPr>
        <w:t>.</w:t>
      </w:r>
    </w:p>
    <w:bookmarkEnd w:id="3"/>
    <w:p w14:paraId="006540F9" w14:textId="77777777" w:rsidR="004C19ED" w:rsidRPr="006A52C4" w:rsidRDefault="004C19ED" w:rsidP="004C19ED">
      <w:pPr>
        <w:jc w:val="left"/>
        <w:rPr>
          <w:rFonts w:cs="Arial"/>
          <w:szCs w:val="20"/>
        </w:rPr>
      </w:pPr>
    </w:p>
    <w:p w14:paraId="79B6B958" w14:textId="77777777" w:rsidR="004C19ED" w:rsidRDefault="004C19ED" w:rsidP="004C19ED">
      <w:pPr>
        <w:rPr>
          <w:rFonts w:cs="Arial"/>
          <w:b/>
          <w:sz w:val="22"/>
        </w:rPr>
      </w:pPr>
      <w:r w:rsidRPr="00407107">
        <w:rPr>
          <w:rFonts w:cs="Arial"/>
          <w:b/>
          <w:sz w:val="22"/>
        </w:rPr>
        <w:t>Nota 0</w:t>
      </w:r>
      <w:r>
        <w:rPr>
          <w:rFonts w:cs="Arial"/>
          <w:b/>
          <w:sz w:val="22"/>
        </w:rPr>
        <w:t>6</w:t>
      </w:r>
      <w:r w:rsidRPr="00407107">
        <w:rPr>
          <w:rFonts w:cs="Arial"/>
          <w:b/>
          <w:sz w:val="22"/>
        </w:rPr>
        <w:t xml:space="preserve"> – </w:t>
      </w:r>
      <w:r>
        <w:rPr>
          <w:rFonts w:cs="Arial"/>
          <w:b/>
          <w:sz w:val="22"/>
        </w:rPr>
        <w:t>Contas de Controle</w:t>
      </w:r>
    </w:p>
    <w:p w14:paraId="71F15BF4" w14:textId="77777777" w:rsidR="004C19ED" w:rsidRDefault="004C19ED" w:rsidP="004C19ED">
      <w:pPr>
        <w:rPr>
          <w:rFonts w:cs="Arial"/>
          <w:b/>
          <w:sz w:val="22"/>
        </w:rPr>
      </w:pPr>
    </w:p>
    <w:p w14:paraId="53618A90" w14:textId="77777777" w:rsidR="004C19ED" w:rsidRDefault="004C19ED" w:rsidP="004C19ED">
      <w:pPr>
        <w:rPr>
          <w:rFonts w:cs="Arial"/>
          <w:b/>
          <w:sz w:val="22"/>
        </w:rPr>
      </w:pPr>
      <w:r>
        <w:rPr>
          <w:rFonts w:cs="Arial"/>
          <w:b/>
          <w:sz w:val="22"/>
        </w:rPr>
        <w:t>6.1 Saldos Contratuais (Compensado)</w:t>
      </w:r>
    </w:p>
    <w:p w14:paraId="600D97F1" w14:textId="77777777" w:rsidR="004C19ED" w:rsidRDefault="004C19ED" w:rsidP="004C19ED">
      <w:pPr>
        <w:rPr>
          <w:rFonts w:cs="Arial"/>
          <w:b/>
          <w:sz w:val="22"/>
        </w:rPr>
      </w:pPr>
    </w:p>
    <w:p w14:paraId="048AEC65" w14:textId="77777777" w:rsidR="004C19ED" w:rsidRPr="00E00CD2" w:rsidRDefault="004C19ED" w:rsidP="004C19ED">
      <w:pPr>
        <w:rPr>
          <w:rFonts w:cs="Arial"/>
          <w:sz w:val="22"/>
        </w:rPr>
      </w:pPr>
      <w:r w:rsidRPr="003A4C7D">
        <w:rPr>
          <w:rFonts w:cs="Arial"/>
          <w:sz w:val="22"/>
        </w:rPr>
        <w:t>Em 31/12/2021, a ANP possuía um saldo superior a R$ 186 milhões em obrigações</w:t>
      </w:r>
      <w:r w:rsidRPr="00E00CD2">
        <w:rPr>
          <w:rFonts w:cs="Arial"/>
          <w:sz w:val="22"/>
        </w:rPr>
        <w:t xml:space="preserve"> contratuais de aquisições de bens, locações e serviços a serem executados durante o período de vigência dos contratos, conforme quadro:</w:t>
      </w:r>
    </w:p>
    <w:p w14:paraId="609B8B1F" w14:textId="77777777" w:rsidR="004C19ED" w:rsidRDefault="004C19ED" w:rsidP="004C19ED">
      <w:pPr>
        <w:rPr>
          <w:rFonts w:cs="Arial"/>
          <w:sz w:val="22"/>
        </w:rPr>
      </w:pPr>
    </w:p>
    <w:p w14:paraId="4A351973" w14:textId="77777777" w:rsidR="004C19ED" w:rsidRPr="00407107" w:rsidRDefault="004C19ED" w:rsidP="004C19ED">
      <w:pPr>
        <w:rPr>
          <w:rFonts w:cs="Arial"/>
          <w:b/>
          <w:sz w:val="22"/>
        </w:rPr>
      </w:pPr>
      <w:r w:rsidRPr="00F976AC">
        <w:rPr>
          <w:rFonts w:cs="Arial"/>
          <w:b/>
          <w:sz w:val="22"/>
        </w:rPr>
        <w:t>Tabela</w:t>
      </w:r>
      <w:r>
        <w:rPr>
          <w:rFonts w:cs="Arial"/>
          <w:b/>
          <w:sz w:val="22"/>
        </w:rPr>
        <w:t xml:space="preserve"> 15</w:t>
      </w:r>
      <w:r w:rsidRPr="00F976AC">
        <w:rPr>
          <w:rFonts w:cs="Arial"/>
          <w:b/>
          <w:sz w:val="22"/>
        </w:rPr>
        <w:t xml:space="preserve"> –</w:t>
      </w:r>
      <w:r w:rsidRPr="00407107">
        <w:rPr>
          <w:rFonts w:cs="Arial"/>
          <w:b/>
          <w:sz w:val="22"/>
        </w:rPr>
        <w:t xml:space="preserve"> </w:t>
      </w:r>
      <w:r>
        <w:rPr>
          <w:rFonts w:cs="Arial"/>
          <w:b/>
          <w:sz w:val="22"/>
        </w:rPr>
        <w:t xml:space="preserve">Obrigações Contratuais a executar </w:t>
      </w:r>
      <w:r w:rsidRPr="00407107">
        <w:rPr>
          <w:rFonts w:cs="Arial"/>
          <w:b/>
          <w:sz w:val="22"/>
        </w:rPr>
        <w:t>– Composição.</w:t>
      </w:r>
    </w:p>
    <w:p w14:paraId="721E2DE9" w14:textId="77777777" w:rsidR="004C19ED" w:rsidRDefault="004C19ED" w:rsidP="004C19ED">
      <w:pPr>
        <w:ind w:left="5664" w:firstLine="708"/>
        <w:jc w:val="center"/>
        <w:rPr>
          <w:rFonts w:cs="Arial"/>
          <w:sz w:val="22"/>
        </w:rPr>
      </w:pPr>
      <w:r>
        <w:rPr>
          <w:rFonts w:cs="Arial"/>
          <w:szCs w:val="20"/>
        </w:rPr>
        <w:t xml:space="preserve">                                              R$</w:t>
      </w:r>
    </w:p>
    <w:tbl>
      <w:tblPr>
        <w:tblW w:w="9191" w:type="dxa"/>
        <w:tblCellMar>
          <w:left w:w="70" w:type="dxa"/>
          <w:right w:w="70" w:type="dxa"/>
        </w:tblCellMar>
        <w:tblLook w:val="04A0" w:firstRow="1" w:lastRow="0" w:firstColumn="1" w:lastColumn="0" w:noHBand="0" w:noVBand="1"/>
      </w:tblPr>
      <w:tblGrid>
        <w:gridCol w:w="2694"/>
        <w:gridCol w:w="1970"/>
        <w:gridCol w:w="1732"/>
        <w:gridCol w:w="1865"/>
        <w:gridCol w:w="930"/>
      </w:tblGrid>
      <w:tr w:rsidR="004C19ED" w:rsidRPr="00484C19" w14:paraId="144E4736" w14:textId="77777777" w:rsidTr="003E2CCD">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14:paraId="0AD43B62" w14:textId="77777777" w:rsidR="004C19ED" w:rsidRPr="00484C19" w:rsidRDefault="004C19ED" w:rsidP="003E2CCD">
            <w:pPr>
              <w:jc w:val="left"/>
              <w:rPr>
                <w:rFonts w:eastAsia="Times New Roman" w:cs="Arial"/>
                <w:b/>
                <w:bCs/>
                <w:color w:val="FFFFFF"/>
                <w:szCs w:val="20"/>
                <w:lang w:eastAsia="pt-BR"/>
              </w:rPr>
            </w:pPr>
            <w:r w:rsidRPr="00484C19">
              <w:rPr>
                <w:rFonts w:eastAsia="Times New Roman" w:cs="Arial"/>
                <w:b/>
                <w:bCs/>
                <w:color w:val="FFFFFF"/>
                <w:szCs w:val="20"/>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14:paraId="0AF6DC45"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3</w:t>
            </w:r>
            <w:r>
              <w:rPr>
                <w:rFonts w:eastAsia="Times New Roman" w:cs="Arial"/>
                <w:b/>
                <w:bCs/>
                <w:color w:val="000000"/>
                <w:szCs w:val="20"/>
                <w:lang w:eastAsia="pt-BR"/>
              </w:rPr>
              <w:t>1</w:t>
            </w:r>
            <w:r w:rsidRPr="00484C19">
              <w:rPr>
                <w:rFonts w:eastAsia="Times New Roman" w:cs="Arial"/>
                <w:b/>
                <w:bCs/>
                <w:color w:val="000000"/>
                <w:szCs w:val="20"/>
                <w:lang w:eastAsia="pt-BR"/>
              </w:rPr>
              <w:t>/</w:t>
            </w:r>
            <w:r>
              <w:rPr>
                <w:rFonts w:eastAsia="Times New Roman" w:cs="Arial"/>
                <w:b/>
                <w:bCs/>
                <w:color w:val="000000"/>
                <w:szCs w:val="20"/>
                <w:lang w:eastAsia="pt-BR"/>
              </w:rPr>
              <w:t>12</w:t>
            </w:r>
            <w:r w:rsidRPr="00484C19">
              <w:rPr>
                <w:rFonts w:eastAsia="Times New Roman" w:cs="Arial"/>
                <w:b/>
                <w:bCs/>
                <w:color w:val="000000"/>
                <w:szCs w:val="20"/>
                <w:lang w:eastAsia="pt-BR"/>
              </w:rPr>
              <w:t>/20</w:t>
            </w:r>
            <w:r>
              <w:rPr>
                <w:rFonts w:eastAsia="Times New Roman" w:cs="Arial"/>
                <w:b/>
                <w:bCs/>
                <w:color w:val="000000"/>
                <w:szCs w:val="20"/>
                <w:lang w:eastAsia="pt-BR"/>
              </w:rPr>
              <w:t>21</w:t>
            </w:r>
          </w:p>
        </w:tc>
        <w:tc>
          <w:tcPr>
            <w:tcW w:w="1732" w:type="dxa"/>
            <w:tcBorders>
              <w:top w:val="single" w:sz="4" w:space="0" w:color="000000"/>
              <w:left w:val="nil"/>
              <w:bottom w:val="single" w:sz="4" w:space="0" w:color="000000"/>
              <w:right w:val="nil"/>
            </w:tcBorders>
            <w:shd w:val="clear" w:color="auto" w:fill="auto"/>
            <w:noWrap/>
            <w:vAlign w:val="bottom"/>
            <w:hideMark/>
          </w:tcPr>
          <w:p w14:paraId="3B6D095A"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31/12/20</w:t>
            </w:r>
            <w:r>
              <w:rPr>
                <w:rFonts w:eastAsia="Times New Roman" w:cs="Arial"/>
                <w:b/>
                <w:bCs/>
                <w:color w:val="000000"/>
                <w:szCs w:val="20"/>
                <w:lang w:eastAsia="pt-BR"/>
              </w:rPr>
              <w:t>20</w:t>
            </w:r>
          </w:p>
        </w:tc>
        <w:tc>
          <w:tcPr>
            <w:tcW w:w="1865" w:type="dxa"/>
            <w:tcBorders>
              <w:top w:val="single" w:sz="4" w:space="0" w:color="000000"/>
              <w:left w:val="nil"/>
              <w:bottom w:val="single" w:sz="4" w:space="0" w:color="000000"/>
              <w:right w:val="nil"/>
            </w:tcBorders>
            <w:shd w:val="clear" w:color="auto" w:fill="auto"/>
            <w:noWrap/>
            <w:vAlign w:val="bottom"/>
            <w:hideMark/>
          </w:tcPr>
          <w:p w14:paraId="610C83B5"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AH %</w:t>
            </w:r>
          </w:p>
        </w:tc>
        <w:tc>
          <w:tcPr>
            <w:tcW w:w="930" w:type="dxa"/>
            <w:tcBorders>
              <w:top w:val="single" w:sz="4" w:space="0" w:color="000000"/>
              <w:left w:val="nil"/>
              <w:bottom w:val="single" w:sz="4" w:space="0" w:color="000000"/>
              <w:right w:val="nil"/>
            </w:tcBorders>
            <w:shd w:val="clear" w:color="auto" w:fill="auto"/>
            <w:noWrap/>
            <w:vAlign w:val="bottom"/>
            <w:hideMark/>
          </w:tcPr>
          <w:p w14:paraId="38259191"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AV %</w:t>
            </w:r>
          </w:p>
        </w:tc>
      </w:tr>
      <w:tr w:rsidR="004C19ED" w:rsidRPr="00484C19" w14:paraId="006FBA07" w14:textId="77777777" w:rsidTr="003E2CCD">
        <w:trPr>
          <w:trHeight w:val="229"/>
        </w:trPr>
        <w:tc>
          <w:tcPr>
            <w:tcW w:w="2694" w:type="dxa"/>
            <w:tcBorders>
              <w:top w:val="nil"/>
              <w:left w:val="nil"/>
              <w:bottom w:val="nil"/>
              <w:right w:val="nil"/>
            </w:tcBorders>
            <w:shd w:val="clear" w:color="D9D9D9" w:fill="D9D9D9"/>
            <w:noWrap/>
            <w:vAlign w:val="bottom"/>
            <w:hideMark/>
          </w:tcPr>
          <w:p w14:paraId="1A0EACCD" w14:textId="77777777" w:rsidR="004C19ED" w:rsidRPr="00484C19" w:rsidRDefault="004C19ED" w:rsidP="003E2CCD">
            <w:pPr>
              <w:jc w:val="left"/>
              <w:rPr>
                <w:rFonts w:eastAsia="Times New Roman" w:cs="Arial"/>
                <w:color w:val="000000"/>
                <w:szCs w:val="20"/>
                <w:lang w:eastAsia="pt-BR"/>
              </w:rPr>
            </w:pPr>
            <w:r>
              <w:rPr>
                <w:rFonts w:eastAsia="Times New Roman" w:cs="Arial"/>
                <w:color w:val="000000"/>
                <w:szCs w:val="20"/>
                <w:lang w:eastAsia="pt-BR"/>
              </w:rPr>
              <w:t>Serviços</w:t>
            </w:r>
          </w:p>
        </w:tc>
        <w:tc>
          <w:tcPr>
            <w:tcW w:w="1970" w:type="dxa"/>
            <w:tcBorders>
              <w:top w:val="nil"/>
              <w:left w:val="nil"/>
              <w:bottom w:val="nil"/>
              <w:right w:val="nil"/>
            </w:tcBorders>
            <w:shd w:val="clear" w:color="D9D9D9" w:fill="D9D9D9"/>
            <w:noWrap/>
            <w:vAlign w:val="bottom"/>
          </w:tcPr>
          <w:p w14:paraId="4007E135" w14:textId="77777777" w:rsidR="004C19ED" w:rsidRPr="003A4C7D" w:rsidRDefault="004C19ED" w:rsidP="003E2CCD">
            <w:pPr>
              <w:jc w:val="right"/>
              <w:rPr>
                <w:rFonts w:cs="Arial"/>
                <w:szCs w:val="20"/>
              </w:rPr>
            </w:pPr>
            <w:r>
              <w:rPr>
                <w:rFonts w:cs="Arial"/>
                <w:szCs w:val="20"/>
              </w:rPr>
              <w:t>177.003.705,77</w:t>
            </w:r>
          </w:p>
        </w:tc>
        <w:tc>
          <w:tcPr>
            <w:tcW w:w="1732" w:type="dxa"/>
            <w:tcBorders>
              <w:top w:val="nil"/>
              <w:left w:val="nil"/>
              <w:bottom w:val="nil"/>
              <w:right w:val="nil"/>
            </w:tcBorders>
            <w:shd w:val="clear" w:color="D9D9D9" w:fill="D9D9D9"/>
            <w:noWrap/>
            <w:vAlign w:val="bottom"/>
            <w:hideMark/>
          </w:tcPr>
          <w:p w14:paraId="09577298" w14:textId="77777777" w:rsidR="004C19ED" w:rsidRPr="00484C19" w:rsidRDefault="004C19ED" w:rsidP="003E2CCD">
            <w:pPr>
              <w:jc w:val="right"/>
              <w:rPr>
                <w:rFonts w:eastAsia="Times New Roman" w:cs="Arial"/>
                <w:color w:val="000000"/>
                <w:szCs w:val="20"/>
                <w:lang w:eastAsia="pt-BR"/>
              </w:rPr>
            </w:pPr>
            <w:r w:rsidRPr="00FA1E62">
              <w:rPr>
                <w:rFonts w:eastAsia="Times New Roman" w:cs="Arial"/>
                <w:color w:val="000000"/>
                <w:szCs w:val="20"/>
                <w:lang w:eastAsia="pt-BR"/>
              </w:rPr>
              <w:t>176.588.891,64</w:t>
            </w:r>
          </w:p>
        </w:tc>
        <w:tc>
          <w:tcPr>
            <w:tcW w:w="1865" w:type="dxa"/>
            <w:tcBorders>
              <w:top w:val="nil"/>
              <w:left w:val="nil"/>
              <w:bottom w:val="nil"/>
              <w:right w:val="nil"/>
            </w:tcBorders>
            <w:shd w:val="clear" w:color="D9D9D9" w:fill="D9D9D9"/>
            <w:noWrap/>
            <w:vAlign w:val="bottom"/>
            <w:hideMark/>
          </w:tcPr>
          <w:p w14:paraId="7AD3D781"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0,23</w:t>
            </w:r>
          </w:p>
        </w:tc>
        <w:tc>
          <w:tcPr>
            <w:tcW w:w="930" w:type="dxa"/>
            <w:tcBorders>
              <w:top w:val="nil"/>
              <w:left w:val="nil"/>
              <w:bottom w:val="nil"/>
              <w:right w:val="nil"/>
            </w:tcBorders>
            <w:shd w:val="clear" w:color="D9D9D9" w:fill="D9D9D9"/>
            <w:noWrap/>
            <w:vAlign w:val="bottom"/>
            <w:hideMark/>
          </w:tcPr>
          <w:p w14:paraId="2BFF6919"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94,82</w:t>
            </w:r>
          </w:p>
        </w:tc>
      </w:tr>
      <w:tr w:rsidR="004C19ED" w:rsidRPr="00484C19" w14:paraId="350D3B5C" w14:textId="77777777" w:rsidTr="003E2CCD">
        <w:trPr>
          <w:trHeight w:val="229"/>
        </w:trPr>
        <w:tc>
          <w:tcPr>
            <w:tcW w:w="2694" w:type="dxa"/>
            <w:tcBorders>
              <w:top w:val="nil"/>
              <w:left w:val="nil"/>
              <w:bottom w:val="nil"/>
              <w:right w:val="nil"/>
            </w:tcBorders>
            <w:shd w:val="clear" w:color="auto" w:fill="auto"/>
            <w:noWrap/>
            <w:vAlign w:val="bottom"/>
            <w:hideMark/>
          </w:tcPr>
          <w:p w14:paraId="59405F21" w14:textId="77777777" w:rsidR="004C19ED" w:rsidRPr="00484C19" w:rsidRDefault="004C19ED" w:rsidP="003E2CCD">
            <w:pPr>
              <w:jc w:val="left"/>
              <w:rPr>
                <w:rFonts w:eastAsia="Times New Roman" w:cs="Arial"/>
                <w:color w:val="000000"/>
                <w:szCs w:val="20"/>
                <w:lang w:eastAsia="pt-BR"/>
              </w:rPr>
            </w:pPr>
            <w:r>
              <w:rPr>
                <w:rFonts w:eastAsia="Times New Roman" w:cs="Arial"/>
                <w:color w:val="000000"/>
                <w:szCs w:val="20"/>
                <w:lang w:eastAsia="pt-BR"/>
              </w:rPr>
              <w:t>Aluguéis</w:t>
            </w:r>
          </w:p>
        </w:tc>
        <w:tc>
          <w:tcPr>
            <w:tcW w:w="1970" w:type="dxa"/>
            <w:tcBorders>
              <w:top w:val="nil"/>
              <w:left w:val="nil"/>
              <w:bottom w:val="nil"/>
              <w:right w:val="nil"/>
            </w:tcBorders>
            <w:shd w:val="clear" w:color="auto" w:fill="auto"/>
            <w:noWrap/>
            <w:vAlign w:val="bottom"/>
          </w:tcPr>
          <w:p w14:paraId="158E64DC" w14:textId="77777777" w:rsidR="004C19ED" w:rsidRPr="003A4C7D" w:rsidRDefault="004C19ED" w:rsidP="003E2CCD">
            <w:pPr>
              <w:jc w:val="right"/>
              <w:rPr>
                <w:rFonts w:cs="Arial"/>
                <w:szCs w:val="20"/>
              </w:rPr>
            </w:pPr>
            <w:r>
              <w:rPr>
                <w:rFonts w:cs="Arial"/>
                <w:szCs w:val="20"/>
              </w:rPr>
              <w:t xml:space="preserve">5.856.473,06 </w:t>
            </w:r>
          </w:p>
        </w:tc>
        <w:tc>
          <w:tcPr>
            <w:tcW w:w="1732" w:type="dxa"/>
            <w:tcBorders>
              <w:top w:val="nil"/>
              <w:left w:val="nil"/>
              <w:bottom w:val="nil"/>
              <w:right w:val="nil"/>
            </w:tcBorders>
            <w:shd w:val="clear" w:color="auto" w:fill="auto"/>
            <w:noWrap/>
            <w:vAlign w:val="bottom"/>
            <w:hideMark/>
          </w:tcPr>
          <w:p w14:paraId="12C01222" w14:textId="77777777" w:rsidR="004C19ED" w:rsidRPr="00484C19" w:rsidRDefault="004C19ED" w:rsidP="003E2CCD">
            <w:pPr>
              <w:jc w:val="right"/>
              <w:rPr>
                <w:rFonts w:eastAsia="Times New Roman" w:cs="Arial"/>
                <w:color w:val="000000"/>
                <w:szCs w:val="20"/>
                <w:lang w:eastAsia="pt-BR"/>
              </w:rPr>
            </w:pPr>
            <w:r w:rsidRPr="00FA1E62">
              <w:rPr>
                <w:rFonts w:eastAsia="Times New Roman" w:cs="Arial"/>
                <w:color w:val="000000"/>
                <w:szCs w:val="20"/>
                <w:lang w:eastAsia="pt-BR"/>
              </w:rPr>
              <w:t>2</w:t>
            </w:r>
            <w:r>
              <w:rPr>
                <w:rFonts w:eastAsia="Times New Roman" w:cs="Arial"/>
                <w:color w:val="000000"/>
                <w:szCs w:val="20"/>
                <w:lang w:eastAsia="pt-BR"/>
              </w:rPr>
              <w:t>.</w:t>
            </w:r>
            <w:r w:rsidRPr="00FA1E62">
              <w:rPr>
                <w:rFonts w:eastAsia="Times New Roman" w:cs="Arial"/>
                <w:color w:val="000000"/>
                <w:szCs w:val="20"/>
                <w:lang w:eastAsia="pt-BR"/>
              </w:rPr>
              <w:t>671</w:t>
            </w:r>
            <w:r>
              <w:rPr>
                <w:rFonts w:eastAsia="Times New Roman" w:cs="Arial"/>
                <w:color w:val="000000"/>
                <w:szCs w:val="20"/>
                <w:lang w:eastAsia="pt-BR"/>
              </w:rPr>
              <w:t>.</w:t>
            </w:r>
            <w:r w:rsidRPr="00FA1E62">
              <w:rPr>
                <w:rFonts w:eastAsia="Times New Roman" w:cs="Arial"/>
                <w:color w:val="000000"/>
                <w:szCs w:val="20"/>
                <w:lang w:eastAsia="pt-BR"/>
              </w:rPr>
              <w:t>025,45</w:t>
            </w:r>
          </w:p>
        </w:tc>
        <w:tc>
          <w:tcPr>
            <w:tcW w:w="1865" w:type="dxa"/>
            <w:tcBorders>
              <w:top w:val="nil"/>
              <w:left w:val="nil"/>
              <w:bottom w:val="nil"/>
              <w:right w:val="nil"/>
            </w:tcBorders>
            <w:shd w:val="clear" w:color="auto" w:fill="auto"/>
            <w:noWrap/>
            <w:vAlign w:val="bottom"/>
            <w:hideMark/>
          </w:tcPr>
          <w:p w14:paraId="6D845D65"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119,26</w:t>
            </w:r>
          </w:p>
        </w:tc>
        <w:tc>
          <w:tcPr>
            <w:tcW w:w="930" w:type="dxa"/>
            <w:tcBorders>
              <w:top w:val="nil"/>
              <w:left w:val="nil"/>
              <w:bottom w:val="nil"/>
              <w:right w:val="nil"/>
            </w:tcBorders>
            <w:shd w:val="clear" w:color="auto" w:fill="auto"/>
            <w:noWrap/>
            <w:vAlign w:val="bottom"/>
            <w:hideMark/>
          </w:tcPr>
          <w:p w14:paraId="09FFCAA1"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3</w:t>
            </w:r>
            <w:r w:rsidRPr="00484C19">
              <w:rPr>
                <w:rFonts w:eastAsia="Times New Roman" w:cs="Arial"/>
                <w:color w:val="000000"/>
                <w:szCs w:val="20"/>
                <w:lang w:eastAsia="pt-BR"/>
              </w:rPr>
              <w:t>,</w:t>
            </w:r>
            <w:r>
              <w:rPr>
                <w:rFonts w:eastAsia="Times New Roman" w:cs="Arial"/>
                <w:color w:val="000000"/>
                <w:szCs w:val="20"/>
                <w:lang w:eastAsia="pt-BR"/>
              </w:rPr>
              <w:t>14</w:t>
            </w:r>
          </w:p>
        </w:tc>
      </w:tr>
      <w:tr w:rsidR="004C19ED" w:rsidRPr="00484C19" w14:paraId="111F087E" w14:textId="77777777" w:rsidTr="003E2CCD">
        <w:trPr>
          <w:trHeight w:val="229"/>
        </w:trPr>
        <w:tc>
          <w:tcPr>
            <w:tcW w:w="2694" w:type="dxa"/>
            <w:tcBorders>
              <w:top w:val="nil"/>
              <w:left w:val="nil"/>
              <w:bottom w:val="nil"/>
              <w:right w:val="nil"/>
            </w:tcBorders>
            <w:shd w:val="clear" w:color="auto" w:fill="D9D9D9" w:themeFill="background1" w:themeFillShade="D9"/>
            <w:noWrap/>
            <w:vAlign w:val="bottom"/>
            <w:hideMark/>
          </w:tcPr>
          <w:p w14:paraId="57AB0D17" w14:textId="77777777" w:rsidR="004C19ED" w:rsidRPr="00484C19" w:rsidRDefault="004C19ED" w:rsidP="003E2CCD">
            <w:pPr>
              <w:jc w:val="left"/>
              <w:rPr>
                <w:rFonts w:eastAsia="Times New Roman" w:cs="Arial"/>
                <w:color w:val="000000"/>
                <w:szCs w:val="20"/>
                <w:lang w:eastAsia="pt-BR"/>
              </w:rPr>
            </w:pPr>
            <w:r>
              <w:rPr>
                <w:rFonts w:eastAsia="Times New Roman" w:cs="Arial"/>
                <w:color w:val="000000"/>
                <w:szCs w:val="20"/>
                <w:lang w:eastAsia="pt-BR"/>
              </w:rPr>
              <w:t>Bens</w:t>
            </w:r>
          </w:p>
        </w:tc>
        <w:tc>
          <w:tcPr>
            <w:tcW w:w="1970" w:type="dxa"/>
            <w:tcBorders>
              <w:top w:val="nil"/>
              <w:left w:val="nil"/>
              <w:bottom w:val="nil"/>
              <w:right w:val="nil"/>
            </w:tcBorders>
            <w:shd w:val="clear" w:color="auto" w:fill="D9D9D9" w:themeFill="background1" w:themeFillShade="D9"/>
            <w:noWrap/>
            <w:vAlign w:val="bottom"/>
          </w:tcPr>
          <w:p w14:paraId="58220EEF" w14:textId="77777777" w:rsidR="004C19ED" w:rsidRPr="003A4C7D" w:rsidRDefault="004C19ED" w:rsidP="003E2CCD">
            <w:pPr>
              <w:jc w:val="right"/>
              <w:rPr>
                <w:rFonts w:cs="Arial"/>
                <w:szCs w:val="20"/>
              </w:rPr>
            </w:pPr>
            <w:r>
              <w:rPr>
                <w:rFonts w:cs="Arial"/>
                <w:szCs w:val="20"/>
              </w:rPr>
              <w:t>3.804.426,73</w:t>
            </w:r>
          </w:p>
        </w:tc>
        <w:tc>
          <w:tcPr>
            <w:tcW w:w="1732" w:type="dxa"/>
            <w:tcBorders>
              <w:top w:val="nil"/>
              <w:left w:val="nil"/>
              <w:bottom w:val="nil"/>
              <w:right w:val="nil"/>
            </w:tcBorders>
            <w:shd w:val="clear" w:color="auto" w:fill="D9D9D9" w:themeFill="background1" w:themeFillShade="D9"/>
            <w:noWrap/>
            <w:vAlign w:val="bottom"/>
            <w:hideMark/>
          </w:tcPr>
          <w:p w14:paraId="2DA3D006" w14:textId="77777777" w:rsidR="004C19ED" w:rsidRPr="00484C19" w:rsidRDefault="004C19ED" w:rsidP="003E2CCD">
            <w:pPr>
              <w:jc w:val="right"/>
              <w:rPr>
                <w:rFonts w:eastAsia="Times New Roman" w:cs="Arial"/>
                <w:color w:val="000000"/>
                <w:szCs w:val="20"/>
                <w:lang w:eastAsia="pt-BR"/>
              </w:rPr>
            </w:pPr>
            <w:r w:rsidRPr="00FA1E62">
              <w:rPr>
                <w:rFonts w:eastAsia="Times New Roman" w:cs="Arial"/>
                <w:color w:val="000000"/>
                <w:szCs w:val="20"/>
                <w:lang w:eastAsia="pt-BR"/>
              </w:rPr>
              <w:t>4</w:t>
            </w:r>
            <w:r>
              <w:rPr>
                <w:rFonts w:eastAsia="Times New Roman" w:cs="Arial"/>
                <w:color w:val="000000"/>
                <w:szCs w:val="20"/>
                <w:lang w:eastAsia="pt-BR"/>
              </w:rPr>
              <w:t>.</w:t>
            </w:r>
            <w:r w:rsidRPr="00FA1E62">
              <w:rPr>
                <w:rFonts w:eastAsia="Times New Roman" w:cs="Arial"/>
                <w:color w:val="000000"/>
                <w:szCs w:val="20"/>
                <w:lang w:eastAsia="pt-BR"/>
              </w:rPr>
              <w:t>610</w:t>
            </w:r>
            <w:r>
              <w:rPr>
                <w:rFonts w:eastAsia="Times New Roman" w:cs="Arial"/>
                <w:color w:val="000000"/>
                <w:szCs w:val="20"/>
                <w:lang w:eastAsia="pt-BR"/>
              </w:rPr>
              <w:t>.</w:t>
            </w:r>
            <w:r w:rsidRPr="00FA1E62">
              <w:rPr>
                <w:rFonts w:eastAsia="Times New Roman" w:cs="Arial"/>
                <w:color w:val="000000"/>
                <w:szCs w:val="20"/>
                <w:lang w:eastAsia="pt-BR"/>
              </w:rPr>
              <w:t>757,67</w:t>
            </w:r>
          </w:p>
        </w:tc>
        <w:tc>
          <w:tcPr>
            <w:tcW w:w="1865" w:type="dxa"/>
            <w:tcBorders>
              <w:top w:val="nil"/>
              <w:left w:val="nil"/>
              <w:bottom w:val="nil"/>
              <w:right w:val="nil"/>
            </w:tcBorders>
            <w:shd w:val="clear" w:color="auto" w:fill="D9D9D9" w:themeFill="background1" w:themeFillShade="D9"/>
            <w:noWrap/>
            <w:vAlign w:val="bottom"/>
            <w:hideMark/>
          </w:tcPr>
          <w:p w14:paraId="007050EC"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-17,49</w:t>
            </w:r>
          </w:p>
        </w:tc>
        <w:tc>
          <w:tcPr>
            <w:tcW w:w="930" w:type="dxa"/>
            <w:tcBorders>
              <w:top w:val="nil"/>
              <w:left w:val="nil"/>
              <w:bottom w:val="nil"/>
              <w:right w:val="nil"/>
            </w:tcBorders>
            <w:shd w:val="clear" w:color="auto" w:fill="D9D9D9" w:themeFill="background1" w:themeFillShade="D9"/>
            <w:noWrap/>
            <w:vAlign w:val="bottom"/>
            <w:hideMark/>
          </w:tcPr>
          <w:p w14:paraId="6FDD1FEF"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2</w:t>
            </w:r>
            <w:r w:rsidRPr="00484C19">
              <w:rPr>
                <w:rFonts w:eastAsia="Times New Roman" w:cs="Arial"/>
                <w:color w:val="000000"/>
                <w:szCs w:val="20"/>
                <w:lang w:eastAsia="pt-BR"/>
              </w:rPr>
              <w:t>,</w:t>
            </w:r>
            <w:r>
              <w:rPr>
                <w:rFonts w:eastAsia="Times New Roman" w:cs="Arial"/>
                <w:color w:val="000000"/>
                <w:szCs w:val="20"/>
                <w:lang w:eastAsia="pt-BR"/>
              </w:rPr>
              <w:t>04</w:t>
            </w:r>
          </w:p>
        </w:tc>
      </w:tr>
      <w:tr w:rsidR="004C19ED" w:rsidRPr="00484C19" w14:paraId="5412A1F0" w14:textId="77777777" w:rsidTr="003E2CCD">
        <w:trPr>
          <w:trHeight w:val="229"/>
        </w:trPr>
        <w:tc>
          <w:tcPr>
            <w:tcW w:w="2694" w:type="dxa"/>
            <w:tcBorders>
              <w:top w:val="nil"/>
              <w:left w:val="nil"/>
              <w:bottom w:val="single" w:sz="4" w:space="0" w:color="000000"/>
              <w:right w:val="nil"/>
            </w:tcBorders>
            <w:shd w:val="clear" w:color="auto" w:fill="auto"/>
            <w:noWrap/>
            <w:vAlign w:val="bottom"/>
            <w:hideMark/>
          </w:tcPr>
          <w:p w14:paraId="6E9581BE" w14:textId="77777777" w:rsidR="004C19ED" w:rsidRPr="00484C19" w:rsidRDefault="004C19ED" w:rsidP="003E2CCD">
            <w:pPr>
              <w:jc w:val="left"/>
              <w:rPr>
                <w:rFonts w:eastAsia="Times New Roman" w:cs="Arial"/>
                <w:b/>
                <w:bCs/>
                <w:color w:val="000000"/>
                <w:szCs w:val="20"/>
                <w:lang w:eastAsia="pt-BR"/>
              </w:rPr>
            </w:pPr>
            <w:r w:rsidRPr="00484C19">
              <w:rPr>
                <w:rFonts w:eastAsia="Times New Roman" w:cs="Arial"/>
                <w:b/>
                <w:bCs/>
                <w:color w:val="000000"/>
                <w:szCs w:val="20"/>
                <w:lang w:eastAsia="pt-BR"/>
              </w:rPr>
              <w:t>Total</w:t>
            </w:r>
          </w:p>
        </w:tc>
        <w:tc>
          <w:tcPr>
            <w:tcW w:w="1970" w:type="dxa"/>
            <w:tcBorders>
              <w:top w:val="nil"/>
              <w:left w:val="nil"/>
              <w:bottom w:val="single" w:sz="4" w:space="0" w:color="000000"/>
              <w:right w:val="nil"/>
            </w:tcBorders>
            <w:shd w:val="clear" w:color="auto" w:fill="auto"/>
            <w:noWrap/>
            <w:vAlign w:val="bottom"/>
          </w:tcPr>
          <w:p w14:paraId="789F4A29" w14:textId="77777777" w:rsidR="004C19ED" w:rsidRPr="003A4C7D" w:rsidRDefault="004C19ED" w:rsidP="003E2CCD">
            <w:pPr>
              <w:jc w:val="right"/>
              <w:rPr>
                <w:rFonts w:cs="Arial"/>
                <w:b/>
                <w:bCs/>
                <w:szCs w:val="20"/>
              </w:rPr>
            </w:pPr>
            <w:r w:rsidRPr="003A4C7D">
              <w:rPr>
                <w:rFonts w:cs="Arial"/>
                <w:b/>
                <w:bCs/>
                <w:szCs w:val="20"/>
              </w:rPr>
              <w:t>186.664.605,56</w:t>
            </w:r>
          </w:p>
        </w:tc>
        <w:tc>
          <w:tcPr>
            <w:tcW w:w="1732" w:type="dxa"/>
            <w:tcBorders>
              <w:top w:val="nil"/>
              <w:left w:val="nil"/>
              <w:bottom w:val="single" w:sz="4" w:space="0" w:color="000000"/>
              <w:right w:val="nil"/>
            </w:tcBorders>
            <w:shd w:val="clear" w:color="auto" w:fill="auto"/>
            <w:noWrap/>
            <w:vAlign w:val="bottom"/>
            <w:hideMark/>
          </w:tcPr>
          <w:p w14:paraId="11ECF5B7" w14:textId="77777777" w:rsidR="004C19ED" w:rsidRPr="00484C19" w:rsidRDefault="004C19ED" w:rsidP="003E2CCD">
            <w:pPr>
              <w:jc w:val="right"/>
              <w:rPr>
                <w:rFonts w:eastAsia="Times New Roman" w:cs="Arial"/>
                <w:b/>
                <w:bCs/>
                <w:color w:val="000000"/>
                <w:szCs w:val="20"/>
                <w:lang w:eastAsia="pt-BR"/>
              </w:rPr>
            </w:pPr>
            <w:r w:rsidRPr="00FA1E62">
              <w:rPr>
                <w:rFonts w:eastAsia="Times New Roman" w:cs="Arial"/>
                <w:b/>
                <w:bCs/>
                <w:color w:val="000000"/>
                <w:szCs w:val="20"/>
                <w:lang w:eastAsia="pt-BR"/>
              </w:rPr>
              <w:t>183.870.674,76</w:t>
            </w:r>
          </w:p>
        </w:tc>
        <w:tc>
          <w:tcPr>
            <w:tcW w:w="1865" w:type="dxa"/>
            <w:tcBorders>
              <w:top w:val="nil"/>
              <w:left w:val="nil"/>
              <w:bottom w:val="single" w:sz="4" w:space="0" w:color="000000"/>
              <w:right w:val="nil"/>
            </w:tcBorders>
            <w:shd w:val="clear" w:color="auto" w:fill="auto"/>
            <w:noWrap/>
            <w:vAlign w:val="bottom"/>
            <w:hideMark/>
          </w:tcPr>
          <w:p w14:paraId="4A9B39D5" w14:textId="77777777" w:rsidR="004C19ED" w:rsidRPr="00484C19"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1,52</w:t>
            </w:r>
          </w:p>
        </w:tc>
        <w:tc>
          <w:tcPr>
            <w:tcW w:w="930" w:type="dxa"/>
            <w:tcBorders>
              <w:top w:val="nil"/>
              <w:left w:val="nil"/>
              <w:bottom w:val="single" w:sz="4" w:space="0" w:color="000000"/>
              <w:right w:val="nil"/>
            </w:tcBorders>
            <w:shd w:val="clear" w:color="auto" w:fill="auto"/>
            <w:noWrap/>
            <w:vAlign w:val="bottom"/>
            <w:hideMark/>
          </w:tcPr>
          <w:p w14:paraId="40067DBD" w14:textId="77777777" w:rsidR="004C19ED" w:rsidRPr="00484C19"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10</w:t>
            </w:r>
            <w:r w:rsidRPr="00484C19">
              <w:rPr>
                <w:rFonts w:eastAsia="Times New Roman" w:cs="Arial"/>
                <w:b/>
                <w:bCs/>
                <w:color w:val="000000"/>
                <w:szCs w:val="20"/>
                <w:lang w:eastAsia="pt-BR"/>
              </w:rPr>
              <w:t>0,</w:t>
            </w:r>
            <w:r>
              <w:rPr>
                <w:rFonts w:eastAsia="Times New Roman" w:cs="Arial"/>
                <w:b/>
                <w:bCs/>
                <w:color w:val="000000"/>
                <w:szCs w:val="20"/>
                <w:lang w:eastAsia="pt-BR"/>
              </w:rPr>
              <w:t>00</w:t>
            </w:r>
          </w:p>
        </w:tc>
      </w:tr>
    </w:tbl>
    <w:p w14:paraId="69DB4BB4" w14:textId="77777777" w:rsidR="004C19ED" w:rsidRDefault="004C19ED" w:rsidP="004C19ED">
      <w:pPr>
        <w:rPr>
          <w:rFonts w:cs="Arial"/>
          <w:i/>
          <w:szCs w:val="20"/>
        </w:rPr>
      </w:pPr>
      <w:r w:rsidRPr="00484C19">
        <w:rPr>
          <w:rFonts w:cs="Arial"/>
          <w:i/>
          <w:szCs w:val="20"/>
        </w:rPr>
        <w:t>Fonte: SIAFI, 20</w:t>
      </w:r>
      <w:r>
        <w:rPr>
          <w:rFonts w:cs="Arial"/>
          <w:i/>
          <w:szCs w:val="20"/>
        </w:rPr>
        <w:t>21</w:t>
      </w:r>
      <w:r w:rsidRPr="00484C19">
        <w:rPr>
          <w:rFonts w:cs="Arial"/>
          <w:i/>
          <w:szCs w:val="20"/>
        </w:rPr>
        <w:t xml:space="preserve"> e 20</w:t>
      </w:r>
      <w:r>
        <w:rPr>
          <w:rFonts w:cs="Arial"/>
          <w:i/>
          <w:szCs w:val="20"/>
        </w:rPr>
        <w:t>20</w:t>
      </w:r>
      <w:r w:rsidRPr="00484C19">
        <w:rPr>
          <w:rFonts w:cs="Arial"/>
          <w:i/>
          <w:szCs w:val="20"/>
        </w:rPr>
        <w:t>.</w:t>
      </w:r>
    </w:p>
    <w:p w14:paraId="1CF4183A" w14:textId="77777777" w:rsidR="004C19ED" w:rsidRDefault="004C19ED" w:rsidP="004C19ED">
      <w:pPr>
        <w:rPr>
          <w:rFonts w:cs="Arial"/>
          <w:i/>
          <w:szCs w:val="20"/>
        </w:rPr>
      </w:pPr>
    </w:p>
    <w:p w14:paraId="5B5228C2" w14:textId="77777777" w:rsidR="004C19ED" w:rsidRDefault="004C19ED" w:rsidP="004C19ED">
      <w:pPr>
        <w:rPr>
          <w:rFonts w:cs="Arial"/>
          <w:sz w:val="22"/>
        </w:rPr>
      </w:pPr>
    </w:p>
    <w:p w14:paraId="79F28373" w14:textId="77777777" w:rsidR="004C19ED" w:rsidRDefault="004C19ED" w:rsidP="004C19ED">
      <w:pPr>
        <w:rPr>
          <w:rFonts w:cs="Arial"/>
          <w:b/>
          <w:sz w:val="22"/>
        </w:rPr>
      </w:pPr>
      <w:r w:rsidRPr="002531C4">
        <w:rPr>
          <w:rFonts w:cs="Arial"/>
          <w:b/>
          <w:sz w:val="22"/>
        </w:rPr>
        <w:t>Tabela 16 – Obrigações Contratuais Executadas – 202</w:t>
      </w:r>
      <w:r>
        <w:rPr>
          <w:rFonts w:cs="Arial"/>
          <w:b/>
          <w:sz w:val="22"/>
        </w:rPr>
        <w:t>1</w:t>
      </w:r>
    </w:p>
    <w:p w14:paraId="67A9BEF9" w14:textId="77777777" w:rsidR="004C19ED" w:rsidRDefault="004C19ED" w:rsidP="004C19ED">
      <w:pPr>
        <w:rPr>
          <w:rFonts w:cs="Arial"/>
          <w:b/>
          <w:sz w:val="22"/>
        </w:rPr>
      </w:pPr>
    </w:p>
    <w:tbl>
      <w:tblPr>
        <w:tblW w:w="9191" w:type="dxa"/>
        <w:tblCellMar>
          <w:left w:w="70" w:type="dxa"/>
          <w:right w:w="70" w:type="dxa"/>
        </w:tblCellMar>
        <w:tblLook w:val="04A0" w:firstRow="1" w:lastRow="0" w:firstColumn="1" w:lastColumn="0" w:noHBand="0" w:noVBand="1"/>
      </w:tblPr>
      <w:tblGrid>
        <w:gridCol w:w="2694"/>
        <w:gridCol w:w="1970"/>
        <w:gridCol w:w="1732"/>
        <w:gridCol w:w="1865"/>
        <w:gridCol w:w="930"/>
      </w:tblGrid>
      <w:tr w:rsidR="004C19ED" w:rsidRPr="00484C19" w14:paraId="0F2FC9ED" w14:textId="77777777" w:rsidTr="003E2CCD">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14:paraId="76103B62" w14:textId="77777777" w:rsidR="004C19ED" w:rsidRPr="00484C19" w:rsidRDefault="004C19ED" w:rsidP="003E2CCD">
            <w:pPr>
              <w:jc w:val="left"/>
              <w:rPr>
                <w:rFonts w:eastAsia="Times New Roman" w:cs="Arial"/>
                <w:b/>
                <w:bCs/>
                <w:color w:val="FFFFFF"/>
                <w:szCs w:val="20"/>
                <w:lang w:eastAsia="pt-BR"/>
              </w:rPr>
            </w:pPr>
            <w:r w:rsidRPr="00484C19">
              <w:rPr>
                <w:rFonts w:eastAsia="Times New Roman" w:cs="Arial"/>
                <w:b/>
                <w:bCs/>
                <w:color w:val="FFFFFF"/>
                <w:szCs w:val="20"/>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14:paraId="67C31224"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3</w:t>
            </w:r>
            <w:r>
              <w:rPr>
                <w:rFonts w:eastAsia="Times New Roman" w:cs="Arial"/>
                <w:b/>
                <w:bCs/>
                <w:color w:val="000000"/>
                <w:szCs w:val="20"/>
                <w:lang w:eastAsia="pt-BR"/>
              </w:rPr>
              <w:t>1</w:t>
            </w:r>
            <w:r w:rsidRPr="00484C19">
              <w:rPr>
                <w:rFonts w:eastAsia="Times New Roman" w:cs="Arial"/>
                <w:b/>
                <w:bCs/>
                <w:color w:val="000000"/>
                <w:szCs w:val="20"/>
                <w:lang w:eastAsia="pt-BR"/>
              </w:rPr>
              <w:t>/</w:t>
            </w:r>
            <w:r>
              <w:rPr>
                <w:rFonts w:eastAsia="Times New Roman" w:cs="Arial"/>
                <w:b/>
                <w:bCs/>
                <w:color w:val="000000"/>
                <w:szCs w:val="20"/>
                <w:lang w:eastAsia="pt-BR"/>
              </w:rPr>
              <w:t>12</w:t>
            </w:r>
            <w:r w:rsidRPr="00484C19">
              <w:rPr>
                <w:rFonts w:eastAsia="Times New Roman" w:cs="Arial"/>
                <w:b/>
                <w:bCs/>
                <w:color w:val="000000"/>
                <w:szCs w:val="20"/>
                <w:lang w:eastAsia="pt-BR"/>
              </w:rPr>
              <w:t>/20</w:t>
            </w:r>
            <w:r>
              <w:rPr>
                <w:rFonts w:eastAsia="Times New Roman" w:cs="Arial"/>
                <w:b/>
                <w:bCs/>
                <w:color w:val="000000"/>
                <w:szCs w:val="20"/>
                <w:lang w:eastAsia="pt-BR"/>
              </w:rPr>
              <w:t>21</w:t>
            </w:r>
          </w:p>
        </w:tc>
        <w:tc>
          <w:tcPr>
            <w:tcW w:w="1732" w:type="dxa"/>
            <w:tcBorders>
              <w:top w:val="single" w:sz="4" w:space="0" w:color="000000"/>
              <w:left w:val="nil"/>
              <w:bottom w:val="single" w:sz="4" w:space="0" w:color="000000"/>
              <w:right w:val="nil"/>
            </w:tcBorders>
            <w:shd w:val="clear" w:color="auto" w:fill="auto"/>
            <w:noWrap/>
            <w:vAlign w:val="bottom"/>
            <w:hideMark/>
          </w:tcPr>
          <w:p w14:paraId="419BCC84"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31/12/20</w:t>
            </w:r>
            <w:r>
              <w:rPr>
                <w:rFonts w:eastAsia="Times New Roman" w:cs="Arial"/>
                <w:b/>
                <w:bCs/>
                <w:color w:val="000000"/>
                <w:szCs w:val="20"/>
                <w:lang w:eastAsia="pt-BR"/>
              </w:rPr>
              <w:t>20</w:t>
            </w:r>
          </w:p>
        </w:tc>
        <w:tc>
          <w:tcPr>
            <w:tcW w:w="1865" w:type="dxa"/>
            <w:tcBorders>
              <w:top w:val="single" w:sz="4" w:space="0" w:color="000000"/>
              <w:left w:val="nil"/>
              <w:bottom w:val="single" w:sz="4" w:space="0" w:color="000000"/>
              <w:right w:val="nil"/>
            </w:tcBorders>
            <w:shd w:val="clear" w:color="auto" w:fill="auto"/>
            <w:noWrap/>
            <w:vAlign w:val="bottom"/>
            <w:hideMark/>
          </w:tcPr>
          <w:p w14:paraId="1101AAD7"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AH %</w:t>
            </w:r>
          </w:p>
        </w:tc>
        <w:tc>
          <w:tcPr>
            <w:tcW w:w="930" w:type="dxa"/>
            <w:tcBorders>
              <w:top w:val="single" w:sz="4" w:space="0" w:color="000000"/>
              <w:left w:val="nil"/>
              <w:bottom w:val="single" w:sz="4" w:space="0" w:color="000000"/>
              <w:right w:val="nil"/>
            </w:tcBorders>
            <w:shd w:val="clear" w:color="auto" w:fill="auto"/>
            <w:noWrap/>
            <w:vAlign w:val="bottom"/>
            <w:hideMark/>
          </w:tcPr>
          <w:p w14:paraId="0803A724"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AV %</w:t>
            </w:r>
          </w:p>
        </w:tc>
      </w:tr>
      <w:tr w:rsidR="004C19ED" w:rsidRPr="00484C19" w14:paraId="150A4E52" w14:textId="77777777" w:rsidTr="003E2CCD">
        <w:trPr>
          <w:trHeight w:val="229"/>
        </w:trPr>
        <w:tc>
          <w:tcPr>
            <w:tcW w:w="2694" w:type="dxa"/>
            <w:tcBorders>
              <w:top w:val="nil"/>
              <w:left w:val="nil"/>
              <w:bottom w:val="nil"/>
              <w:right w:val="nil"/>
            </w:tcBorders>
            <w:shd w:val="clear" w:color="D9D9D9" w:fill="D9D9D9"/>
            <w:noWrap/>
            <w:vAlign w:val="bottom"/>
            <w:hideMark/>
          </w:tcPr>
          <w:p w14:paraId="37624544" w14:textId="77777777" w:rsidR="004C19ED" w:rsidRPr="00484C19" w:rsidRDefault="004C19ED" w:rsidP="003E2CCD">
            <w:pPr>
              <w:jc w:val="left"/>
              <w:rPr>
                <w:rFonts w:eastAsia="Times New Roman" w:cs="Arial"/>
                <w:color w:val="000000"/>
                <w:szCs w:val="20"/>
                <w:lang w:eastAsia="pt-BR"/>
              </w:rPr>
            </w:pPr>
            <w:r>
              <w:rPr>
                <w:rFonts w:eastAsia="Times New Roman" w:cs="Arial"/>
                <w:color w:val="000000"/>
                <w:szCs w:val="20"/>
                <w:lang w:eastAsia="pt-BR"/>
              </w:rPr>
              <w:t>Serviços</w:t>
            </w:r>
          </w:p>
        </w:tc>
        <w:tc>
          <w:tcPr>
            <w:tcW w:w="1970" w:type="dxa"/>
            <w:tcBorders>
              <w:top w:val="nil"/>
              <w:left w:val="nil"/>
              <w:bottom w:val="nil"/>
              <w:right w:val="nil"/>
            </w:tcBorders>
            <w:shd w:val="clear" w:color="D9D9D9" w:fill="D9D9D9"/>
            <w:noWrap/>
            <w:vAlign w:val="bottom"/>
          </w:tcPr>
          <w:p w14:paraId="50081612" w14:textId="77777777" w:rsidR="004C19ED" w:rsidRPr="00484C19" w:rsidRDefault="004C19ED" w:rsidP="003E2CCD">
            <w:pPr>
              <w:jc w:val="right"/>
              <w:rPr>
                <w:rFonts w:eastAsia="Times New Roman" w:cs="Arial"/>
                <w:color w:val="000000"/>
                <w:szCs w:val="20"/>
                <w:lang w:eastAsia="pt-BR"/>
              </w:rPr>
            </w:pPr>
            <w:r w:rsidRPr="00A459BA">
              <w:rPr>
                <w:rFonts w:eastAsia="Times New Roman" w:cs="Arial"/>
                <w:color w:val="000000"/>
                <w:szCs w:val="20"/>
                <w:lang w:eastAsia="pt-BR"/>
              </w:rPr>
              <w:t>104</w:t>
            </w:r>
            <w:r>
              <w:rPr>
                <w:rFonts w:eastAsia="Times New Roman" w:cs="Arial"/>
                <w:color w:val="000000"/>
                <w:szCs w:val="20"/>
                <w:lang w:eastAsia="pt-BR"/>
              </w:rPr>
              <w:t>.</w:t>
            </w:r>
            <w:r w:rsidRPr="00A459BA">
              <w:rPr>
                <w:rFonts w:eastAsia="Times New Roman" w:cs="Arial"/>
                <w:color w:val="000000"/>
                <w:szCs w:val="20"/>
                <w:lang w:eastAsia="pt-BR"/>
              </w:rPr>
              <w:t>340</w:t>
            </w:r>
            <w:r>
              <w:rPr>
                <w:rFonts w:eastAsia="Times New Roman" w:cs="Arial"/>
                <w:color w:val="000000"/>
                <w:szCs w:val="20"/>
                <w:lang w:eastAsia="pt-BR"/>
              </w:rPr>
              <w:t>.</w:t>
            </w:r>
            <w:r w:rsidRPr="00A459BA">
              <w:rPr>
                <w:rFonts w:eastAsia="Times New Roman" w:cs="Arial"/>
                <w:color w:val="000000"/>
                <w:szCs w:val="20"/>
                <w:lang w:eastAsia="pt-BR"/>
              </w:rPr>
              <w:t>437,86</w:t>
            </w:r>
          </w:p>
        </w:tc>
        <w:tc>
          <w:tcPr>
            <w:tcW w:w="1732" w:type="dxa"/>
            <w:tcBorders>
              <w:top w:val="nil"/>
              <w:left w:val="nil"/>
              <w:bottom w:val="nil"/>
              <w:right w:val="nil"/>
            </w:tcBorders>
            <w:shd w:val="clear" w:color="D9D9D9" w:fill="D9D9D9"/>
            <w:noWrap/>
            <w:vAlign w:val="bottom"/>
            <w:hideMark/>
          </w:tcPr>
          <w:p w14:paraId="61439E9B" w14:textId="77777777" w:rsidR="004C19ED" w:rsidRPr="00484C19" w:rsidRDefault="004C19ED" w:rsidP="003E2CCD">
            <w:pPr>
              <w:jc w:val="right"/>
              <w:rPr>
                <w:rFonts w:eastAsia="Times New Roman" w:cs="Arial"/>
                <w:color w:val="000000"/>
                <w:szCs w:val="20"/>
                <w:lang w:eastAsia="pt-BR"/>
              </w:rPr>
            </w:pPr>
            <w:r w:rsidRPr="002531C4">
              <w:rPr>
                <w:rFonts w:eastAsia="Times New Roman" w:cs="Arial"/>
                <w:color w:val="000000"/>
                <w:szCs w:val="20"/>
                <w:lang w:eastAsia="pt-BR"/>
              </w:rPr>
              <w:t>108.197.586,89</w:t>
            </w:r>
          </w:p>
        </w:tc>
        <w:tc>
          <w:tcPr>
            <w:tcW w:w="1865" w:type="dxa"/>
            <w:tcBorders>
              <w:top w:val="nil"/>
              <w:left w:val="nil"/>
              <w:bottom w:val="nil"/>
              <w:right w:val="nil"/>
            </w:tcBorders>
            <w:shd w:val="clear" w:color="D9D9D9" w:fill="D9D9D9"/>
            <w:noWrap/>
            <w:vAlign w:val="bottom"/>
            <w:hideMark/>
          </w:tcPr>
          <w:p w14:paraId="7A2899FD"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-3,56</w:t>
            </w:r>
          </w:p>
        </w:tc>
        <w:tc>
          <w:tcPr>
            <w:tcW w:w="930" w:type="dxa"/>
            <w:tcBorders>
              <w:top w:val="nil"/>
              <w:left w:val="nil"/>
              <w:bottom w:val="nil"/>
              <w:right w:val="nil"/>
            </w:tcBorders>
            <w:shd w:val="clear" w:color="D9D9D9" w:fill="D9D9D9"/>
            <w:noWrap/>
            <w:vAlign w:val="bottom"/>
            <w:hideMark/>
          </w:tcPr>
          <w:p w14:paraId="02A87E84"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93,31</w:t>
            </w:r>
          </w:p>
        </w:tc>
      </w:tr>
      <w:tr w:rsidR="004C19ED" w:rsidRPr="00484C19" w14:paraId="483C96BA" w14:textId="77777777" w:rsidTr="003E2CCD">
        <w:trPr>
          <w:trHeight w:val="229"/>
        </w:trPr>
        <w:tc>
          <w:tcPr>
            <w:tcW w:w="2694" w:type="dxa"/>
            <w:tcBorders>
              <w:top w:val="nil"/>
              <w:left w:val="nil"/>
              <w:bottom w:val="nil"/>
              <w:right w:val="nil"/>
            </w:tcBorders>
            <w:shd w:val="clear" w:color="auto" w:fill="auto"/>
            <w:noWrap/>
            <w:vAlign w:val="bottom"/>
            <w:hideMark/>
          </w:tcPr>
          <w:p w14:paraId="476B5464" w14:textId="77777777" w:rsidR="004C19ED" w:rsidRPr="00484C19" w:rsidRDefault="004C19ED" w:rsidP="003E2CCD">
            <w:pPr>
              <w:jc w:val="left"/>
              <w:rPr>
                <w:rFonts w:eastAsia="Times New Roman" w:cs="Arial"/>
                <w:color w:val="000000"/>
                <w:szCs w:val="20"/>
                <w:lang w:eastAsia="pt-BR"/>
              </w:rPr>
            </w:pPr>
            <w:r>
              <w:rPr>
                <w:rFonts w:eastAsia="Times New Roman" w:cs="Arial"/>
                <w:color w:val="000000"/>
                <w:szCs w:val="20"/>
                <w:lang w:eastAsia="pt-BR"/>
              </w:rPr>
              <w:t>Aluguéis</w:t>
            </w:r>
          </w:p>
        </w:tc>
        <w:tc>
          <w:tcPr>
            <w:tcW w:w="1970" w:type="dxa"/>
            <w:tcBorders>
              <w:top w:val="nil"/>
              <w:left w:val="nil"/>
              <w:bottom w:val="nil"/>
              <w:right w:val="nil"/>
            </w:tcBorders>
            <w:shd w:val="clear" w:color="auto" w:fill="auto"/>
            <w:noWrap/>
            <w:vAlign w:val="bottom"/>
          </w:tcPr>
          <w:p w14:paraId="7B915E6F" w14:textId="77777777" w:rsidR="004C19ED" w:rsidRPr="00484C19" w:rsidRDefault="004C19ED" w:rsidP="003E2CCD">
            <w:pPr>
              <w:jc w:val="right"/>
              <w:rPr>
                <w:rFonts w:eastAsia="Times New Roman" w:cs="Arial"/>
                <w:color w:val="000000"/>
                <w:szCs w:val="20"/>
                <w:lang w:eastAsia="pt-BR"/>
              </w:rPr>
            </w:pPr>
            <w:r w:rsidRPr="00A459BA">
              <w:rPr>
                <w:rFonts w:eastAsia="Times New Roman" w:cs="Arial"/>
                <w:color w:val="000000"/>
                <w:szCs w:val="20"/>
                <w:lang w:eastAsia="pt-BR"/>
              </w:rPr>
              <w:t>2</w:t>
            </w:r>
            <w:r>
              <w:rPr>
                <w:rFonts w:eastAsia="Times New Roman" w:cs="Arial"/>
                <w:color w:val="000000"/>
                <w:szCs w:val="20"/>
                <w:lang w:eastAsia="pt-BR"/>
              </w:rPr>
              <w:t>.</w:t>
            </w:r>
            <w:r w:rsidRPr="00A459BA">
              <w:rPr>
                <w:rFonts w:eastAsia="Times New Roman" w:cs="Arial"/>
                <w:color w:val="000000"/>
                <w:szCs w:val="20"/>
                <w:lang w:eastAsia="pt-BR"/>
              </w:rPr>
              <w:t>433</w:t>
            </w:r>
            <w:r>
              <w:rPr>
                <w:rFonts w:eastAsia="Times New Roman" w:cs="Arial"/>
                <w:color w:val="000000"/>
                <w:szCs w:val="20"/>
                <w:lang w:eastAsia="pt-BR"/>
              </w:rPr>
              <w:t>.</w:t>
            </w:r>
            <w:r w:rsidRPr="00A459BA">
              <w:rPr>
                <w:rFonts w:eastAsia="Times New Roman" w:cs="Arial"/>
                <w:color w:val="000000"/>
                <w:szCs w:val="20"/>
                <w:lang w:eastAsia="pt-BR"/>
              </w:rPr>
              <w:t>568,64</w:t>
            </w:r>
          </w:p>
        </w:tc>
        <w:tc>
          <w:tcPr>
            <w:tcW w:w="1732" w:type="dxa"/>
            <w:tcBorders>
              <w:top w:val="nil"/>
              <w:left w:val="nil"/>
              <w:bottom w:val="nil"/>
              <w:right w:val="nil"/>
            </w:tcBorders>
            <w:shd w:val="clear" w:color="auto" w:fill="auto"/>
            <w:noWrap/>
            <w:vAlign w:val="bottom"/>
            <w:hideMark/>
          </w:tcPr>
          <w:p w14:paraId="12E0CDED" w14:textId="77777777" w:rsidR="004C19ED" w:rsidRPr="00484C19" w:rsidRDefault="004C19ED" w:rsidP="003E2CCD">
            <w:pPr>
              <w:jc w:val="right"/>
              <w:rPr>
                <w:rFonts w:eastAsia="Times New Roman" w:cs="Arial"/>
                <w:color w:val="000000"/>
                <w:szCs w:val="20"/>
                <w:lang w:eastAsia="pt-BR"/>
              </w:rPr>
            </w:pPr>
            <w:r w:rsidRPr="002531C4">
              <w:rPr>
                <w:rFonts w:eastAsia="Times New Roman" w:cs="Arial"/>
                <w:color w:val="000000"/>
                <w:szCs w:val="20"/>
                <w:lang w:eastAsia="pt-BR"/>
              </w:rPr>
              <w:t>2.224.408,79</w:t>
            </w:r>
          </w:p>
        </w:tc>
        <w:tc>
          <w:tcPr>
            <w:tcW w:w="1865" w:type="dxa"/>
            <w:tcBorders>
              <w:top w:val="nil"/>
              <w:left w:val="nil"/>
              <w:bottom w:val="nil"/>
              <w:right w:val="nil"/>
            </w:tcBorders>
            <w:shd w:val="clear" w:color="auto" w:fill="auto"/>
            <w:noWrap/>
            <w:vAlign w:val="bottom"/>
            <w:hideMark/>
          </w:tcPr>
          <w:p w14:paraId="5548AB7A"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-9,40</w:t>
            </w:r>
          </w:p>
        </w:tc>
        <w:tc>
          <w:tcPr>
            <w:tcW w:w="930" w:type="dxa"/>
            <w:tcBorders>
              <w:top w:val="nil"/>
              <w:left w:val="nil"/>
              <w:bottom w:val="nil"/>
              <w:right w:val="nil"/>
            </w:tcBorders>
            <w:shd w:val="clear" w:color="auto" w:fill="auto"/>
            <w:noWrap/>
            <w:vAlign w:val="bottom"/>
            <w:hideMark/>
          </w:tcPr>
          <w:p w14:paraId="5FE751DE"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2,18</w:t>
            </w:r>
          </w:p>
        </w:tc>
      </w:tr>
      <w:tr w:rsidR="004C19ED" w:rsidRPr="00484C19" w14:paraId="1D2BCEA0" w14:textId="77777777" w:rsidTr="003E2CCD">
        <w:trPr>
          <w:trHeight w:val="229"/>
        </w:trPr>
        <w:tc>
          <w:tcPr>
            <w:tcW w:w="2694" w:type="dxa"/>
            <w:tcBorders>
              <w:top w:val="nil"/>
              <w:left w:val="nil"/>
              <w:bottom w:val="nil"/>
              <w:right w:val="nil"/>
            </w:tcBorders>
            <w:shd w:val="clear" w:color="auto" w:fill="D9D9D9" w:themeFill="background1" w:themeFillShade="D9"/>
            <w:noWrap/>
            <w:vAlign w:val="bottom"/>
            <w:hideMark/>
          </w:tcPr>
          <w:p w14:paraId="576F38AF" w14:textId="77777777" w:rsidR="004C19ED" w:rsidRPr="00484C19" w:rsidRDefault="004C19ED" w:rsidP="003E2CCD">
            <w:pPr>
              <w:jc w:val="left"/>
              <w:rPr>
                <w:rFonts w:eastAsia="Times New Roman" w:cs="Arial"/>
                <w:color w:val="000000"/>
                <w:szCs w:val="20"/>
                <w:lang w:eastAsia="pt-BR"/>
              </w:rPr>
            </w:pPr>
            <w:r>
              <w:rPr>
                <w:rFonts w:eastAsia="Times New Roman" w:cs="Arial"/>
                <w:color w:val="000000"/>
                <w:szCs w:val="20"/>
                <w:lang w:eastAsia="pt-BR"/>
              </w:rPr>
              <w:t>Bens</w:t>
            </w:r>
          </w:p>
        </w:tc>
        <w:tc>
          <w:tcPr>
            <w:tcW w:w="1970" w:type="dxa"/>
            <w:tcBorders>
              <w:top w:val="nil"/>
              <w:left w:val="nil"/>
              <w:bottom w:val="nil"/>
              <w:right w:val="nil"/>
            </w:tcBorders>
            <w:shd w:val="clear" w:color="auto" w:fill="D9D9D9" w:themeFill="background1" w:themeFillShade="D9"/>
            <w:noWrap/>
            <w:vAlign w:val="bottom"/>
          </w:tcPr>
          <w:p w14:paraId="60DE669E" w14:textId="77777777" w:rsidR="004C19ED" w:rsidRPr="00484C19" w:rsidRDefault="004C19ED" w:rsidP="003E2CCD">
            <w:pPr>
              <w:jc w:val="right"/>
              <w:rPr>
                <w:rFonts w:eastAsia="Times New Roman" w:cs="Arial"/>
                <w:color w:val="000000"/>
                <w:szCs w:val="20"/>
                <w:lang w:eastAsia="pt-BR"/>
              </w:rPr>
            </w:pPr>
            <w:r w:rsidRPr="00A459BA">
              <w:rPr>
                <w:rFonts w:eastAsia="Times New Roman" w:cs="Arial"/>
                <w:color w:val="000000"/>
                <w:szCs w:val="20"/>
                <w:lang w:eastAsia="pt-BR"/>
              </w:rPr>
              <w:t>5</w:t>
            </w:r>
            <w:r>
              <w:rPr>
                <w:rFonts w:eastAsia="Times New Roman" w:cs="Arial"/>
                <w:color w:val="000000"/>
                <w:szCs w:val="20"/>
                <w:lang w:eastAsia="pt-BR"/>
              </w:rPr>
              <w:t>.</w:t>
            </w:r>
            <w:r w:rsidRPr="00A459BA">
              <w:rPr>
                <w:rFonts w:eastAsia="Times New Roman" w:cs="Arial"/>
                <w:color w:val="000000"/>
                <w:szCs w:val="20"/>
                <w:lang w:eastAsia="pt-BR"/>
              </w:rPr>
              <w:t>044</w:t>
            </w:r>
            <w:r>
              <w:rPr>
                <w:rFonts w:eastAsia="Times New Roman" w:cs="Arial"/>
                <w:color w:val="000000"/>
                <w:szCs w:val="20"/>
                <w:lang w:eastAsia="pt-BR"/>
              </w:rPr>
              <w:t>.</w:t>
            </w:r>
            <w:r w:rsidRPr="00A459BA">
              <w:rPr>
                <w:rFonts w:eastAsia="Times New Roman" w:cs="Arial"/>
                <w:color w:val="000000"/>
                <w:szCs w:val="20"/>
                <w:lang w:eastAsia="pt-BR"/>
              </w:rPr>
              <w:t>771,23</w:t>
            </w:r>
          </w:p>
        </w:tc>
        <w:tc>
          <w:tcPr>
            <w:tcW w:w="1732" w:type="dxa"/>
            <w:tcBorders>
              <w:top w:val="nil"/>
              <w:left w:val="nil"/>
              <w:bottom w:val="nil"/>
              <w:right w:val="nil"/>
            </w:tcBorders>
            <w:shd w:val="clear" w:color="auto" w:fill="D9D9D9" w:themeFill="background1" w:themeFillShade="D9"/>
            <w:noWrap/>
            <w:vAlign w:val="bottom"/>
            <w:hideMark/>
          </w:tcPr>
          <w:p w14:paraId="4F139B75" w14:textId="77777777" w:rsidR="004C19ED" w:rsidRPr="00484C19" w:rsidRDefault="004C19ED" w:rsidP="003E2CCD">
            <w:pPr>
              <w:jc w:val="right"/>
              <w:rPr>
                <w:rFonts w:eastAsia="Times New Roman" w:cs="Arial"/>
                <w:color w:val="000000"/>
                <w:szCs w:val="20"/>
                <w:lang w:eastAsia="pt-BR"/>
              </w:rPr>
            </w:pPr>
            <w:r w:rsidRPr="002531C4">
              <w:rPr>
                <w:rFonts w:eastAsia="Times New Roman" w:cs="Arial"/>
                <w:color w:val="000000"/>
                <w:szCs w:val="20"/>
                <w:lang w:eastAsia="pt-BR"/>
              </w:rPr>
              <w:t>16.019.492,30</w:t>
            </w:r>
          </w:p>
        </w:tc>
        <w:tc>
          <w:tcPr>
            <w:tcW w:w="1865" w:type="dxa"/>
            <w:tcBorders>
              <w:top w:val="nil"/>
              <w:left w:val="nil"/>
              <w:bottom w:val="nil"/>
              <w:right w:val="nil"/>
            </w:tcBorders>
            <w:shd w:val="clear" w:color="auto" w:fill="D9D9D9" w:themeFill="background1" w:themeFillShade="D9"/>
            <w:noWrap/>
            <w:vAlign w:val="bottom"/>
            <w:hideMark/>
          </w:tcPr>
          <w:p w14:paraId="3E3FAC19"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-68,51</w:t>
            </w:r>
          </w:p>
        </w:tc>
        <w:tc>
          <w:tcPr>
            <w:tcW w:w="930" w:type="dxa"/>
            <w:tcBorders>
              <w:top w:val="nil"/>
              <w:left w:val="nil"/>
              <w:bottom w:val="nil"/>
              <w:right w:val="nil"/>
            </w:tcBorders>
            <w:shd w:val="clear" w:color="auto" w:fill="D9D9D9" w:themeFill="background1" w:themeFillShade="D9"/>
            <w:noWrap/>
            <w:vAlign w:val="bottom"/>
            <w:hideMark/>
          </w:tcPr>
          <w:p w14:paraId="2BBA17B2"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4,51</w:t>
            </w:r>
          </w:p>
        </w:tc>
      </w:tr>
      <w:tr w:rsidR="004C19ED" w:rsidRPr="00484C19" w14:paraId="77ECB6EB" w14:textId="77777777" w:rsidTr="003E2CCD">
        <w:trPr>
          <w:trHeight w:val="229"/>
        </w:trPr>
        <w:tc>
          <w:tcPr>
            <w:tcW w:w="2694" w:type="dxa"/>
            <w:tcBorders>
              <w:top w:val="nil"/>
              <w:left w:val="nil"/>
              <w:bottom w:val="single" w:sz="4" w:space="0" w:color="000000"/>
              <w:right w:val="nil"/>
            </w:tcBorders>
            <w:shd w:val="clear" w:color="auto" w:fill="auto"/>
            <w:noWrap/>
            <w:vAlign w:val="bottom"/>
            <w:hideMark/>
          </w:tcPr>
          <w:p w14:paraId="34A28420" w14:textId="77777777" w:rsidR="004C19ED" w:rsidRPr="00484C19" w:rsidRDefault="004C19ED" w:rsidP="003E2CCD">
            <w:pPr>
              <w:jc w:val="left"/>
              <w:rPr>
                <w:rFonts w:eastAsia="Times New Roman" w:cs="Arial"/>
                <w:b/>
                <w:bCs/>
                <w:color w:val="000000"/>
                <w:szCs w:val="20"/>
                <w:lang w:eastAsia="pt-BR"/>
              </w:rPr>
            </w:pPr>
            <w:r w:rsidRPr="00484C19">
              <w:rPr>
                <w:rFonts w:eastAsia="Times New Roman" w:cs="Arial"/>
                <w:b/>
                <w:bCs/>
                <w:color w:val="000000"/>
                <w:szCs w:val="20"/>
                <w:lang w:eastAsia="pt-BR"/>
              </w:rPr>
              <w:t>Total</w:t>
            </w:r>
          </w:p>
        </w:tc>
        <w:tc>
          <w:tcPr>
            <w:tcW w:w="1970" w:type="dxa"/>
            <w:tcBorders>
              <w:top w:val="nil"/>
              <w:left w:val="nil"/>
              <w:bottom w:val="single" w:sz="4" w:space="0" w:color="000000"/>
              <w:right w:val="nil"/>
            </w:tcBorders>
            <w:shd w:val="clear" w:color="auto" w:fill="auto"/>
            <w:noWrap/>
            <w:vAlign w:val="bottom"/>
          </w:tcPr>
          <w:p w14:paraId="59B39BB6" w14:textId="77777777" w:rsidR="004C19ED" w:rsidRPr="00A459BA" w:rsidRDefault="004C19ED" w:rsidP="003E2CCD">
            <w:pPr>
              <w:jc w:val="right"/>
              <w:rPr>
                <w:rFonts w:cs="Arial"/>
                <w:b/>
                <w:bCs/>
                <w:szCs w:val="20"/>
              </w:rPr>
            </w:pPr>
            <w:r w:rsidRPr="00A459BA">
              <w:rPr>
                <w:rFonts w:cs="Arial"/>
                <w:b/>
                <w:bCs/>
                <w:szCs w:val="20"/>
              </w:rPr>
              <w:t xml:space="preserve">111.818.777,73 </w:t>
            </w:r>
          </w:p>
        </w:tc>
        <w:tc>
          <w:tcPr>
            <w:tcW w:w="1732" w:type="dxa"/>
            <w:tcBorders>
              <w:top w:val="nil"/>
              <w:left w:val="nil"/>
              <w:bottom w:val="single" w:sz="4" w:space="0" w:color="000000"/>
              <w:right w:val="nil"/>
            </w:tcBorders>
            <w:shd w:val="clear" w:color="auto" w:fill="auto"/>
            <w:noWrap/>
            <w:vAlign w:val="bottom"/>
            <w:hideMark/>
          </w:tcPr>
          <w:p w14:paraId="5A697805" w14:textId="77777777" w:rsidR="004C19ED" w:rsidRPr="00484C19" w:rsidRDefault="004C19ED" w:rsidP="003E2CCD">
            <w:pPr>
              <w:jc w:val="right"/>
              <w:rPr>
                <w:rFonts w:eastAsia="Times New Roman" w:cs="Arial"/>
                <w:b/>
                <w:bCs/>
                <w:color w:val="000000"/>
                <w:szCs w:val="20"/>
                <w:lang w:eastAsia="pt-BR"/>
              </w:rPr>
            </w:pPr>
            <w:r w:rsidRPr="002531C4">
              <w:rPr>
                <w:rFonts w:cs="Arial"/>
                <w:b/>
                <w:bCs/>
                <w:szCs w:val="20"/>
              </w:rPr>
              <w:t xml:space="preserve">126.441.487,98    </w:t>
            </w:r>
          </w:p>
        </w:tc>
        <w:tc>
          <w:tcPr>
            <w:tcW w:w="1865" w:type="dxa"/>
            <w:tcBorders>
              <w:top w:val="nil"/>
              <w:left w:val="nil"/>
              <w:bottom w:val="single" w:sz="4" w:space="0" w:color="000000"/>
              <w:right w:val="nil"/>
            </w:tcBorders>
            <w:shd w:val="clear" w:color="auto" w:fill="auto"/>
            <w:noWrap/>
            <w:vAlign w:val="bottom"/>
            <w:hideMark/>
          </w:tcPr>
          <w:p w14:paraId="1B2E4F08" w14:textId="77777777" w:rsidR="004C19ED" w:rsidRPr="00484C19"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-11,56</w:t>
            </w:r>
          </w:p>
        </w:tc>
        <w:tc>
          <w:tcPr>
            <w:tcW w:w="930" w:type="dxa"/>
            <w:tcBorders>
              <w:top w:val="nil"/>
              <w:left w:val="nil"/>
              <w:bottom w:val="single" w:sz="4" w:space="0" w:color="000000"/>
              <w:right w:val="nil"/>
            </w:tcBorders>
            <w:shd w:val="clear" w:color="auto" w:fill="auto"/>
            <w:noWrap/>
            <w:vAlign w:val="bottom"/>
            <w:hideMark/>
          </w:tcPr>
          <w:p w14:paraId="5A9A9902" w14:textId="77777777" w:rsidR="004C19ED" w:rsidRPr="00484C19"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10</w:t>
            </w:r>
            <w:r w:rsidRPr="00484C19">
              <w:rPr>
                <w:rFonts w:eastAsia="Times New Roman" w:cs="Arial"/>
                <w:b/>
                <w:bCs/>
                <w:color w:val="000000"/>
                <w:szCs w:val="20"/>
                <w:lang w:eastAsia="pt-BR"/>
              </w:rPr>
              <w:t>0,</w:t>
            </w:r>
            <w:r>
              <w:rPr>
                <w:rFonts w:eastAsia="Times New Roman" w:cs="Arial"/>
                <w:b/>
                <w:bCs/>
                <w:color w:val="000000"/>
                <w:szCs w:val="20"/>
                <w:lang w:eastAsia="pt-BR"/>
              </w:rPr>
              <w:t>00</w:t>
            </w:r>
          </w:p>
        </w:tc>
      </w:tr>
    </w:tbl>
    <w:p w14:paraId="4F32435D" w14:textId="77777777" w:rsidR="004C19ED" w:rsidRPr="00484C19" w:rsidRDefault="004C19ED" w:rsidP="004C19ED">
      <w:pPr>
        <w:rPr>
          <w:rFonts w:cs="Arial"/>
          <w:i/>
          <w:szCs w:val="20"/>
        </w:rPr>
      </w:pPr>
      <w:r w:rsidRPr="00484C19">
        <w:rPr>
          <w:rFonts w:cs="Arial"/>
          <w:i/>
          <w:szCs w:val="20"/>
        </w:rPr>
        <w:t>Fonte: SIAFI, 20</w:t>
      </w:r>
      <w:r>
        <w:rPr>
          <w:rFonts w:cs="Arial"/>
          <w:i/>
          <w:szCs w:val="20"/>
        </w:rPr>
        <w:t>21</w:t>
      </w:r>
      <w:r w:rsidRPr="00484C19">
        <w:rPr>
          <w:rFonts w:cs="Arial"/>
          <w:i/>
          <w:szCs w:val="20"/>
        </w:rPr>
        <w:t xml:space="preserve"> e 20</w:t>
      </w:r>
      <w:r>
        <w:rPr>
          <w:rFonts w:cs="Arial"/>
          <w:i/>
          <w:szCs w:val="20"/>
        </w:rPr>
        <w:t>20</w:t>
      </w:r>
      <w:r w:rsidRPr="00484C19">
        <w:rPr>
          <w:rFonts w:cs="Arial"/>
          <w:i/>
          <w:szCs w:val="20"/>
        </w:rPr>
        <w:t>.</w:t>
      </w:r>
    </w:p>
    <w:p w14:paraId="564F3980" w14:textId="77777777" w:rsidR="004C19ED" w:rsidRDefault="004C19ED" w:rsidP="004C19ED">
      <w:pPr>
        <w:rPr>
          <w:rFonts w:cs="Arial"/>
          <w:b/>
          <w:sz w:val="22"/>
        </w:rPr>
      </w:pPr>
    </w:p>
    <w:p w14:paraId="385DC0DD" w14:textId="77777777" w:rsidR="004C19ED" w:rsidRDefault="004C19ED" w:rsidP="004C19ED">
      <w:pPr>
        <w:rPr>
          <w:rFonts w:cs="Arial"/>
          <w:b/>
          <w:sz w:val="22"/>
        </w:rPr>
      </w:pPr>
    </w:p>
    <w:p w14:paraId="7FBC9E32" w14:textId="77777777" w:rsidR="004C19ED" w:rsidRDefault="004C19ED" w:rsidP="004C19ED">
      <w:pPr>
        <w:rPr>
          <w:rFonts w:cs="Arial"/>
          <w:b/>
          <w:sz w:val="22"/>
        </w:rPr>
      </w:pPr>
      <w:r w:rsidRPr="007A4B07">
        <w:rPr>
          <w:rFonts w:cs="Arial"/>
          <w:b/>
          <w:sz w:val="22"/>
        </w:rPr>
        <w:t>Tabela 17 - Maiores Contratos Executados – 2021</w:t>
      </w:r>
    </w:p>
    <w:p w14:paraId="020DE20C" w14:textId="77777777" w:rsidR="004C19ED" w:rsidRPr="00407107" w:rsidRDefault="004C19ED" w:rsidP="004C19ED">
      <w:pPr>
        <w:rPr>
          <w:rFonts w:cs="Arial"/>
          <w:b/>
          <w:sz w:val="22"/>
        </w:rPr>
      </w:pPr>
    </w:p>
    <w:tbl>
      <w:tblPr>
        <w:tblW w:w="9253" w:type="dxa"/>
        <w:tblCellMar>
          <w:left w:w="70" w:type="dxa"/>
          <w:right w:w="70" w:type="dxa"/>
        </w:tblCellMar>
        <w:tblLook w:val="04A0" w:firstRow="1" w:lastRow="0" w:firstColumn="1" w:lastColumn="0" w:noHBand="0" w:noVBand="1"/>
      </w:tblPr>
      <w:tblGrid>
        <w:gridCol w:w="2298"/>
        <w:gridCol w:w="3733"/>
        <w:gridCol w:w="2161"/>
        <w:gridCol w:w="1061"/>
      </w:tblGrid>
      <w:tr w:rsidR="004C19ED" w:rsidRPr="00FF5ACF" w14:paraId="07E04A71" w14:textId="77777777" w:rsidTr="003E2CCD">
        <w:trPr>
          <w:trHeight w:val="255"/>
        </w:trPr>
        <w:tc>
          <w:tcPr>
            <w:tcW w:w="2298" w:type="dxa"/>
            <w:tcBorders>
              <w:top w:val="single" w:sz="4" w:space="0" w:color="000000"/>
              <w:left w:val="nil"/>
              <w:bottom w:val="single" w:sz="4" w:space="0" w:color="000000"/>
              <w:right w:val="nil"/>
            </w:tcBorders>
            <w:shd w:val="clear" w:color="auto" w:fill="auto"/>
            <w:noWrap/>
            <w:vAlign w:val="bottom"/>
          </w:tcPr>
          <w:p w14:paraId="69A59FD4" w14:textId="77777777" w:rsidR="004C19ED" w:rsidRPr="00FF5ACF" w:rsidRDefault="004C19ED" w:rsidP="003E2CCD">
            <w:pPr>
              <w:jc w:val="left"/>
              <w:rPr>
                <w:rFonts w:eastAsia="Times New Roman" w:cs="Arial"/>
                <w:b/>
                <w:bCs/>
                <w:szCs w:val="20"/>
                <w:lang w:eastAsia="pt-BR"/>
              </w:rPr>
            </w:pPr>
            <w:r>
              <w:rPr>
                <w:rFonts w:eastAsia="Times New Roman" w:cs="Arial"/>
                <w:b/>
                <w:bCs/>
                <w:szCs w:val="20"/>
                <w:lang w:eastAsia="pt-BR"/>
              </w:rPr>
              <w:t>TIPO</w:t>
            </w:r>
          </w:p>
        </w:tc>
        <w:tc>
          <w:tcPr>
            <w:tcW w:w="3733" w:type="dxa"/>
            <w:tcBorders>
              <w:top w:val="single" w:sz="4" w:space="0" w:color="000000"/>
              <w:left w:val="nil"/>
              <w:bottom w:val="single" w:sz="4" w:space="0" w:color="000000"/>
              <w:right w:val="nil"/>
            </w:tcBorders>
            <w:shd w:val="clear" w:color="auto" w:fill="auto"/>
            <w:noWrap/>
            <w:vAlign w:val="bottom"/>
          </w:tcPr>
          <w:p w14:paraId="11F16E13" w14:textId="77777777" w:rsidR="004C19ED" w:rsidRPr="00FF5ACF" w:rsidRDefault="004C19ED" w:rsidP="003E2CCD">
            <w:pPr>
              <w:jc w:val="left"/>
              <w:rPr>
                <w:rFonts w:eastAsia="Times New Roman" w:cs="Arial"/>
                <w:b/>
                <w:bCs/>
                <w:szCs w:val="20"/>
                <w:lang w:eastAsia="pt-BR"/>
              </w:rPr>
            </w:pPr>
            <w:r>
              <w:rPr>
                <w:rFonts w:eastAsia="Times New Roman" w:cs="Arial"/>
                <w:b/>
                <w:bCs/>
                <w:szCs w:val="20"/>
                <w:lang w:eastAsia="pt-BR"/>
              </w:rPr>
              <w:t>EMPRESA</w:t>
            </w:r>
          </w:p>
        </w:tc>
        <w:tc>
          <w:tcPr>
            <w:tcW w:w="2161" w:type="dxa"/>
            <w:tcBorders>
              <w:top w:val="single" w:sz="4" w:space="0" w:color="000000"/>
              <w:left w:val="nil"/>
              <w:bottom w:val="single" w:sz="4" w:space="0" w:color="000000"/>
              <w:right w:val="nil"/>
            </w:tcBorders>
            <w:shd w:val="clear" w:color="auto" w:fill="auto"/>
            <w:noWrap/>
            <w:vAlign w:val="bottom"/>
            <w:hideMark/>
          </w:tcPr>
          <w:p w14:paraId="76188226"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w:t>
            </w:r>
            <w:r w:rsidRPr="00FF5ACF">
              <w:rPr>
                <w:rFonts w:eastAsia="Times New Roman" w:cs="Arial"/>
                <w:b/>
                <w:bCs/>
                <w:color w:val="000000"/>
                <w:szCs w:val="20"/>
                <w:lang w:eastAsia="pt-BR"/>
              </w:rPr>
              <w:t>/20</w:t>
            </w:r>
            <w:r>
              <w:rPr>
                <w:rFonts w:eastAsia="Times New Roman" w:cs="Arial"/>
                <w:b/>
                <w:bCs/>
                <w:color w:val="000000"/>
                <w:szCs w:val="20"/>
                <w:lang w:eastAsia="pt-BR"/>
              </w:rPr>
              <w:t>21</w:t>
            </w:r>
          </w:p>
        </w:tc>
        <w:tc>
          <w:tcPr>
            <w:tcW w:w="1061" w:type="dxa"/>
            <w:tcBorders>
              <w:top w:val="single" w:sz="4" w:space="0" w:color="000000"/>
              <w:left w:val="nil"/>
              <w:bottom w:val="single" w:sz="4" w:space="0" w:color="000000"/>
              <w:right w:val="nil"/>
            </w:tcBorders>
            <w:shd w:val="clear" w:color="auto" w:fill="auto"/>
            <w:noWrap/>
            <w:vAlign w:val="bottom"/>
            <w:hideMark/>
          </w:tcPr>
          <w:p w14:paraId="2545F54D"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4C19ED" w:rsidRPr="00FF5ACF" w14:paraId="3AE60A80" w14:textId="77777777" w:rsidTr="003E2CCD">
        <w:trPr>
          <w:trHeight w:val="510"/>
        </w:trPr>
        <w:tc>
          <w:tcPr>
            <w:tcW w:w="2298" w:type="dxa"/>
            <w:tcBorders>
              <w:top w:val="nil"/>
              <w:left w:val="nil"/>
              <w:bottom w:val="nil"/>
              <w:right w:val="nil"/>
            </w:tcBorders>
            <w:shd w:val="clear" w:color="auto" w:fill="D9D9D9" w:themeFill="background1" w:themeFillShade="D9"/>
            <w:noWrap/>
            <w:vAlign w:val="bottom"/>
            <w:hideMark/>
          </w:tcPr>
          <w:p w14:paraId="42947EC2" w14:textId="77777777" w:rsidR="004C19ED" w:rsidRPr="00FF5ACF" w:rsidRDefault="004C19ED" w:rsidP="003E2CCD">
            <w:pPr>
              <w:jc w:val="left"/>
              <w:rPr>
                <w:rFonts w:eastAsia="Times New Roman" w:cs="Arial"/>
                <w:color w:val="000000"/>
                <w:szCs w:val="20"/>
                <w:lang w:eastAsia="pt-BR"/>
              </w:rPr>
            </w:pPr>
            <w:bookmarkStart w:id="4" w:name="_Hlk94863904"/>
            <w:r>
              <w:rPr>
                <w:rFonts w:eastAsia="Times New Roman" w:cs="Arial"/>
                <w:color w:val="000000"/>
                <w:szCs w:val="20"/>
                <w:lang w:eastAsia="pt-BR"/>
              </w:rPr>
              <w:t>Serviços</w:t>
            </w:r>
          </w:p>
        </w:tc>
        <w:tc>
          <w:tcPr>
            <w:tcW w:w="3733" w:type="dxa"/>
            <w:tcBorders>
              <w:top w:val="nil"/>
              <w:left w:val="nil"/>
              <w:bottom w:val="nil"/>
              <w:right w:val="nil"/>
            </w:tcBorders>
            <w:shd w:val="clear" w:color="auto" w:fill="D9D9D9" w:themeFill="background1" w:themeFillShade="D9"/>
            <w:vAlign w:val="bottom"/>
            <w:hideMark/>
          </w:tcPr>
          <w:p w14:paraId="23A406F4" w14:textId="77777777" w:rsidR="004C19ED" w:rsidRDefault="004C19ED" w:rsidP="003E2CCD">
            <w:pPr>
              <w:jc w:val="left"/>
              <w:rPr>
                <w:rFonts w:eastAsia="Times New Roman" w:cs="Arial"/>
                <w:color w:val="000000"/>
                <w:szCs w:val="20"/>
                <w:lang w:eastAsia="pt-BR"/>
              </w:rPr>
            </w:pPr>
            <w:r w:rsidRPr="001713B3">
              <w:rPr>
                <w:rFonts w:eastAsia="Times New Roman" w:cs="Arial"/>
                <w:color w:val="000000"/>
                <w:szCs w:val="20"/>
                <w:lang w:eastAsia="pt-BR"/>
              </w:rPr>
              <w:t>Plataforma Terceiriza</w:t>
            </w:r>
            <w:r>
              <w:rPr>
                <w:rFonts w:eastAsia="Times New Roman" w:cs="Arial"/>
                <w:color w:val="000000"/>
                <w:szCs w:val="20"/>
                <w:lang w:eastAsia="pt-BR"/>
              </w:rPr>
              <w:t>ção</w:t>
            </w:r>
            <w:r w:rsidRPr="001713B3">
              <w:rPr>
                <w:rFonts w:eastAsia="Times New Roman" w:cs="Arial"/>
                <w:color w:val="000000"/>
                <w:szCs w:val="20"/>
                <w:lang w:eastAsia="pt-BR"/>
              </w:rPr>
              <w:t xml:space="preserve"> </w:t>
            </w:r>
            <w:r>
              <w:rPr>
                <w:rFonts w:eastAsia="Times New Roman" w:cs="Arial"/>
                <w:color w:val="000000"/>
                <w:szCs w:val="20"/>
                <w:lang w:eastAsia="pt-BR"/>
              </w:rPr>
              <w:t>d</w:t>
            </w:r>
            <w:r w:rsidRPr="001713B3">
              <w:rPr>
                <w:rFonts w:eastAsia="Times New Roman" w:cs="Arial"/>
                <w:color w:val="000000"/>
                <w:szCs w:val="20"/>
                <w:lang w:eastAsia="pt-BR"/>
              </w:rPr>
              <w:t>e Servicos</w:t>
            </w:r>
            <w:r>
              <w:rPr>
                <w:rFonts w:eastAsia="Times New Roman" w:cs="Arial"/>
                <w:color w:val="000000"/>
                <w:szCs w:val="20"/>
                <w:lang w:eastAsia="pt-BR"/>
              </w:rPr>
              <w:t xml:space="preserve"> contrato 9035/19</w:t>
            </w:r>
          </w:p>
          <w:p w14:paraId="55CFAAAC" w14:textId="7B1A76C4" w:rsidR="00353F7F" w:rsidRPr="00FF5ACF" w:rsidRDefault="00353F7F" w:rsidP="003E2CCD">
            <w:pPr>
              <w:jc w:val="left"/>
              <w:rPr>
                <w:rFonts w:eastAsia="Times New Roman" w:cs="Arial"/>
                <w:color w:val="000000"/>
                <w:szCs w:val="20"/>
                <w:lang w:eastAsia="pt-BR"/>
              </w:rPr>
            </w:pPr>
            <w:proofErr w:type="spellStart"/>
            <w:r>
              <w:rPr>
                <w:rFonts w:eastAsia="Times New Roman" w:cs="Arial"/>
                <w:color w:val="000000"/>
                <w:szCs w:val="20"/>
                <w:lang w:eastAsia="pt-BR"/>
              </w:rPr>
              <w:t>Datainfo</w:t>
            </w:r>
            <w:proofErr w:type="spellEnd"/>
            <w:r>
              <w:rPr>
                <w:rFonts w:eastAsia="Times New Roman" w:cs="Arial"/>
                <w:color w:val="000000"/>
                <w:szCs w:val="20"/>
                <w:lang w:eastAsia="pt-BR"/>
              </w:rPr>
              <w:t xml:space="preserve"> Soluções em TI contrato </w:t>
            </w:r>
          </w:p>
        </w:tc>
        <w:tc>
          <w:tcPr>
            <w:tcW w:w="2161" w:type="dxa"/>
            <w:tcBorders>
              <w:top w:val="nil"/>
              <w:left w:val="nil"/>
              <w:bottom w:val="nil"/>
              <w:right w:val="nil"/>
            </w:tcBorders>
            <w:shd w:val="clear" w:color="auto" w:fill="D9D9D9" w:themeFill="background1" w:themeFillShade="D9"/>
            <w:noWrap/>
            <w:vAlign w:val="bottom"/>
            <w:hideMark/>
          </w:tcPr>
          <w:p w14:paraId="24D0E5A7" w14:textId="77777777" w:rsidR="004C19ED" w:rsidRDefault="004C19ED" w:rsidP="003E2CCD">
            <w:pPr>
              <w:jc w:val="right"/>
              <w:rPr>
                <w:rFonts w:eastAsia="Times New Roman" w:cs="Arial"/>
                <w:color w:val="000000"/>
                <w:szCs w:val="20"/>
                <w:lang w:eastAsia="pt-BR"/>
              </w:rPr>
            </w:pPr>
            <w:r w:rsidRPr="001713B3">
              <w:rPr>
                <w:rFonts w:eastAsia="Times New Roman" w:cs="Arial"/>
                <w:color w:val="000000"/>
                <w:szCs w:val="20"/>
                <w:lang w:eastAsia="pt-BR"/>
              </w:rPr>
              <w:t>8.022.001,77</w:t>
            </w:r>
          </w:p>
          <w:p w14:paraId="1AD36C4B" w14:textId="73E24F3C" w:rsidR="00353F7F" w:rsidRPr="00FF5ACF" w:rsidRDefault="00353F7F" w:rsidP="003E2CCD">
            <w:pPr>
              <w:jc w:val="right"/>
              <w:rPr>
                <w:rFonts w:eastAsia="Times New Roman" w:cs="Arial"/>
                <w:color w:val="000000"/>
                <w:szCs w:val="20"/>
                <w:lang w:eastAsia="pt-BR"/>
              </w:rPr>
            </w:pPr>
            <w:r>
              <w:rPr>
                <w:rFonts w:eastAsia="Times New Roman" w:cs="Arial"/>
                <w:color w:val="000000"/>
                <w:szCs w:val="20"/>
                <w:lang w:eastAsia="pt-BR"/>
              </w:rPr>
              <w:t>6.858.006,03</w:t>
            </w:r>
          </w:p>
        </w:tc>
        <w:tc>
          <w:tcPr>
            <w:tcW w:w="1061" w:type="dxa"/>
            <w:tcBorders>
              <w:top w:val="nil"/>
              <w:left w:val="nil"/>
              <w:bottom w:val="nil"/>
              <w:right w:val="nil"/>
            </w:tcBorders>
            <w:shd w:val="clear" w:color="auto" w:fill="D9D9D9" w:themeFill="background1" w:themeFillShade="D9"/>
            <w:noWrap/>
            <w:vAlign w:val="bottom"/>
            <w:hideMark/>
          </w:tcPr>
          <w:p w14:paraId="3600B2EC" w14:textId="3BBCB157" w:rsidR="004C19ED" w:rsidRDefault="00676FCB" w:rsidP="003E2CCD">
            <w:pPr>
              <w:jc w:val="right"/>
              <w:rPr>
                <w:rFonts w:eastAsia="Times New Roman" w:cs="Arial"/>
                <w:color w:val="000000"/>
                <w:szCs w:val="20"/>
                <w:lang w:eastAsia="pt-BR"/>
              </w:rPr>
            </w:pPr>
            <w:r>
              <w:rPr>
                <w:rFonts w:eastAsia="Times New Roman" w:cs="Arial"/>
                <w:color w:val="000000"/>
                <w:szCs w:val="20"/>
                <w:lang w:eastAsia="pt-BR"/>
              </w:rPr>
              <w:t>7</w:t>
            </w:r>
            <w:r w:rsidR="004C19ED">
              <w:rPr>
                <w:rFonts w:eastAsia="Times New Roman" w:cs="Arial"/>
                <w:color w:val="000000"/>
                <w:szCs w:val="20"/>
                <w:lang w:eastAsia="pt-BR"/>
              </w:rPr>
              <w:t>,</w:t>
            </w:r>
            <w:r>
              <w:rPr>
                <w:rFonts w:eastAsia="Times New Roman" w:cs="Arial"/>
                <w:color w:val="000000"/>
                <w:szCs w:val="20"/>
                <w:lang w:eastAsia="pt-BR"/>
              </w:rPr>
              <w:t>69</w:t>
            </w:r>
          </w:p>
          <w:p w14:paraId="3BEE2AA0" w14:textId="7AD56557" w:rsidR="00353F7F" w:rsidRPr="00FF5ACF" w:rsidRDefault="00676FCB" w:rsidP="003E2CCD">
            <w:pPr>
              <w:jc w:val="right"/>
              <w:rPr>
                <w:rFonts w:eastAsia="Times New Roman" w:cs="Arial"/>
                <w:color w:val="000000"/>
                <w:szCs w:val="20"/>
                <w:lang w:eastAsia="pt-BR"/>
              </w:rPr>
            </w:pPr>
            <w:r>
              <w:rPr>
                <w:rFonts w:eastAsia="Times New Roman" w:cs="Arial"/>
                <w:color w:val="000000"/>
                <w:szCs w:val="20"/>
                <w:lang w:eastAsia="pt-BR"/>
              </w:rPr>
              <w:t>6,57</w:t>
            </w:r>
          </w:p>
        </w:tc>
      </w:tr>
      <w:bookmarkEnd w:id="4"/>
      <w:tr w:rsidR="004C19ED" w:rsidRPr="00FF5ACF" w14:paraId="3C43B223" w14:textId="77777777" w:rsidTr="003E2CCD">
        <w:trPr>
          <w:trHeight w:val="510"/>
        </w:trPr>
        <w:tc>
          <w:tcPr>
            <w:tcW w:w="2298" w:type="dxa"/>
            <w:tcBorders>
              <w:top w:val="nil"/>
              <w:left w:val="nil"/>
              <w:bottom w:val="nil"/>
              <w:right w:val="nil"/>
            </w:tcBorders>
            <w:shd w:val="clear" w:color="auto" w:fill="auto"/>
            <w:noWrap/>
            <w:vAlign w:val="bottom"/>
            <w:hideMark/>
          </w:tcPr>
          <w:p w14:paraId="262DAA31" w14:textId="77777777" w:rsidR="004C19ED" w:rsidRPr="00FF5ACF" w:rsidRDefault="004C19ED" w:rsidP="003E2CCD">
            <w:pPr>
              <w:jc w:val="left"/>
              <w:rPr>
                <w:rFonts w:eastAsia="Times New Roman" w:cs="Arial"/>
                <w:color w:val="000000"/>
                <w:szCs w:val="20"/>
                <w:lang w:eastAsia="pt-BR"/>
              </w:rPr>
            </w:pPr>
            <w:r>
              <w:rPr>
                <w:rFonts w:eastAsia="Times New Roman" w:cs="Arial"/>
                <w:color w:val="000000"/>
                <w:szCs w:val="20"/>
                <w:lang w:eastAsia="pt-BR"/>
              </w:rPr>
              <w:t>Aluguéis</w:t>
            </w:r>
          </w:p>
        </w:tc>
        <w:tc>
          <w:tcPr>
            <w:tcW w:w="3733" w:type="dxa"/>
            <w:tcBorders>
              <w:top w:val="nil"/>
              <w:left w:val="nil"/>
              <w:bottom w:val="nil"/>
              <w:right w:val="nil"/>
            </w:tcBorders>
            <w:shd w:val="clear" w:color="auto" w:fill="auto"/>
            <w:vAlign w:val="bottom"/>
            <w:hideMark/>
          </w:tcPr>
          <w:p w14:paraId="40E6DD89" w14:textId="77777777" w:rsidR="004C19ED" w:rsidRPr="00FF5ACF" w:rsidRDefault="004C19ED" w:rsidP="003E2CCD">
            <w:pPr>
              <w:jc w:val="left"/>
              <w:rPr>
                <w:rFonts w:eastAsia="Times New Roman" w:cs="Arial"/>
                <w:color w:val="000000"/>
                <w:szCs w:val="20"/>
                <w:lang w:eastAsia="pt-BR"/>
              </w:rPr>
            </w:pPr>
            <w:r>
              <w:rPr>
                <w:rFonts w:eastAsia="Times New Roman" w:cs="Arial"/>
                <w:color w:val="000000"/>
                <w:szCs w:val="20"/>
                <w:lang w:eastAsia="pt-BR"/>
              </w:rPr>
              <w:t xml:space="preserve">Irmandade – Aluguel dos andares 14/15/16/17/18/19 Rio de Janeiro </w:t>
            </w:r>
          </w:p>
        </w:tc>
        <w:tc>
          <w:tcPr>
            <w:tcW w:w="2161" w:type="dxa"/>
            <w:tcBorders>
              <w:top w:val="nil"/>
              <w:left w:val="nil"/>
              <w:bottom w:val="nil"/>
              <w:right w:val="nil"/>
            </w:tcBorders>
            <w:shd w:val="clear" w:color="auto" w:fill="auto"/>
            <w:noWrap/>
            <w:vAlign w:val="bottom"/>
            <w:hideMark/>
          </w:tcPr>
          <w:p w14:paraId="73CDB266" w14:textId="77777777" w:rsidR="004C19ED" w:rsidRPr="001713B3" w:rsidRDefault="004C19ED" w:rsidP="003E2CCD">
            <w:pPr>
              <w:jc w:val="right"/>
              <w:rPr>
                <w:rFonts w:ascii="Calibri" w:hAnsi="Calibri" w:cs="Calibri"/>
                <w:color w:val="000000"/>
                <w:sz w:val="22"/>
              </w:rPr>
            </w:pPr>
            <w:r>
              <w:rPr>
                <w:rFonts w:ascii="Calibri" w:hAnsi="Calibri" w:cs="Calibri"/>
                <w:color w:val="000000"/>
                <w:sz w:val="22"/>
              </w:rPr>
              <w:t>1.542.449,06</w:t>
            </w:r>
          </w:p>
        </w:tc>
        <w:tc>
          <w:tcPr>
            <w:tcW w:w="1061" w:type="dxa"/>
            <w:tcBorders>
              <w:top w:val="nil"/>
              <w:left w:val="nil"/>
              <w:bottom w:val="nil"/>
              <w:right w:val="nil"/>
            </w:tcBorders>
            <w:shd w:val="clear" w:color="auto" w:fill="auto"/>
            <w:noWrap/>
            <w:vAlign w:val="bottom"/>
            <w:hideMark/>
          </w:tcPr>
          <w:p w14:paraId="3541E6E5" w14:textId="77777777" w:rsidR="004C19ED" w:rsidRPr="00FF5ACF" w:rsidRDefault="004C19ED" w:rsidP="003E2CCD">
            <w:pPr>
              <w:jc w:val="right"/>
              <w:rPr>
                <w:rFonts w:eastAsia="Times New Roman" w:cs="Arial"/>
                <w:color w:val="000000"/>
                <w:szCs w:val="20"/>
                <w:lang w:eastAsia="pt-BR"/>
              </w:rPr>
            </w:pPr>
            <w:r>
              <w:rPr>
                <w:rFonts w:eastAsia="Times New Roman" w:cs="Arial"/>
                <w:color w:val="000000"/>
                <w:szCs w:val="20"/>
                <w:lang w:eastAsia="pt-BR"/>
              </w:rPr>
              <w:t>63,38</w:t>
            </w:r>
          </w:p>
        </w:tc>
      </w:tr>
      <w:tr w:rsidR="004C19ED" w:rsidRPr="00FF5ACF" w14:paraId="2AA01605" w14:textId="77777777" w:rsidTr="003E2CCD">
        <w:trPr>
          <w:trHeight w:val="510"/>
        </w:trPr>
        <w:tc>
          <w:tcPr>
            <w:tcW w:w="2298" w:type="dxa"/>
            <w:tcBorders>
              <w:top w:val="nil"/>
              <w:left w:val="nil"/>
              <w:bottom w:val="nil"/>
              <w:right w:val="nil"/>
            </w:tcBorders>
            <w:shd w:val="clear" w:color="auto" w:fill="D9D9D9" w:themeFill="background1" w:themeFillShade="D9"/>
            <w:noWrap/>
            <w:vAlign w:val="bottom"/>
          </w:tcPr>
          <w:p w14:paraId="0C15C57B"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Bens</w:t>
            </w:r>
          </w:p>
        </w:tc>
        <w:tc>
          <w:tcPr>
            <w:tcW w:w="3733" w:type="dxa"/>
            <w:tcBorders>
              <w:top w:val="nil"/>
              <w:left w:val="nil"/>
              <w:bottom w:val="nil"/>
              <w:right w:val="nil"/>
            </w:tcBorders>
            <w:shd w:val="clear" w:color="auto" w:fill="D9D9D9" w:themeFill="background1" w:themeFillShade="D9"/>
            <w:vAlign w:val="bottom"/>
          </w:tcPr>
          <w:p w14:paraId="3A45AE37" w14:textId="77777777" w:rsidR="004C19ED" w:rsidRDefault="004C19ED" w:rsidP="003E2CCD">
            <w:pPr>
              <w:jc w:val="left"/>
              <w:rPr>
                <w:rFonts w:eastAsia="Times New Roman" w:cs="Arial"/>
                <w:color w:val="000000"/>
                <w:szCs w:val="20"/>
                <w:lang w:eastAsia="pt-BR"/>
              </w:rPr>
            </w:pPr>
            <w:proofErr w:type="spellStart"/>
            <w:r w:rsidRPr="007A4B07">
              <w:rPr>
                <w:rFonts w:eastAsia="Times New Roman" w:cs="Arial"/>
                <w:color w:val="000000"/>
                <w:szCs w:val="20"/>
                <w:lang w:eastAsia="pt-BR"/>
              </w:rPr>
              <w:t>Telsinc</w:t>
            </w:r>
            <w:proofErr w:type="spellEnd"/>
            <w:r w:rsidRPr="007A4B07">
              <w:rPr>
                <w:rFonts w:eastAsia="Times New Roman" w:cs="Arial"/>
                <w:color w:val="000000"/>
                <w:szCs w:val="20"/>
                <w:lang w:eastAsia="pt-BR"/>
              </w:rPr>
              <w:t xml:space="preserve"> Comercio </w:t>
            </w:r>
            <w:r>
              <w:rPr>
                <w:rFonts w:eastAsia="Times New Roman" w:cs="Arial"/>
                <w:color w:val="000000"/>
                <w:szCs w:val="20"/>
                <w:lang w:eastAsia="pt-BR"/>
              </w:rPr>
              <w:t>d</w:t>
            </w:r>
            <w:r w:rsidRPr="007A4B07">
              <w:rPr>
                <w:rFonts w:eastAsia="Times New Roman" w:cs="Arial"/>
                <w:color w:val="000000"/>
                <w:szCs w:val="20"/>
                <w:lang w:eastAsia="pt-BR"/>
              </w:rPr>
              <w:t>e Equipamentos</w:t>
            </w:r>
            <w:r>
              <w:rPr>
                <w:rFonts w:eastAsia="Times New Roman" w:cs="Arial"/>
                <w:color w:val="000000"/>
                <w:szCs w:val="20"/>
                <w:lang w:eastAsia="pt-BR"/>
              </w:rPr>
              <w:t xml:space="preserve"> Contrato 9068/20</w:t>
            </w:r>
          </w:p>
        </w:tc>
        <w:tc>
          <w:tcPr>
            <w:tcW w:w="2161" w:type="dxa"/>
            <w:tcBorders>
              <w:top w:val="nil"/>
              <w:left w:val="nil"/>
              <w:bottom w:val="nil"/>
              <w:right w:val="nil"/>
            </w:tcBorders>
            <w:shd w:val="clear" w:color="auto" w:fill="D9D9D9" w:themeFill="background1" w:themeFillShade="D9"/>
            <w:noWrap/>
            <w:vAlign w:val="bottom"/>
          </w:tcPr>
          <w:p w14:paraId="1E39461B" w14:textId="77777777" w:rsidR="004C19ED" w:rsidRPr="007A4B07" w:rsidRDefault="004C19ED" w:rsidP="003E2CCD">
            <w:pPr>
              <w:jc w:val="right"/>
              <w:rPr>
                <w:rFonts w:ascii="Calibri" w:hAnsi="Calibri" w:cs="Calibri"/>
                <w:color w:val="000000"/>
                <w:sz w:val="22"/>
              </w:rPr>
            </w:pPr>
            <w:r>
              <w:rPr>
                <w:rFonts w:ascii="Calibri" w:hAnsi="Calibri" w:cs="Calibri"/>
                <w:color w:val="000000"/>
                <w:sz w:val="22"/>
              </w:rPr>
              <w:t>1.911.871,17</w:t>
            </w:r>
          </w:p>
        </w:tc>
        <w:tc>
          <w:tcPr>
            <w:tcW w:w="1061" w:type="dxa"/>
            <w:tcBorders>
              <w:top w:val="nil"/>
              <w:left w:val="nil"/>
              <w:bottom w:val="nil"/>
              <w:right w:val="nil"/>
            </w:tcBorders>
            <w:shd w:val="clear" w:color="auto" w:fill="D9D9D9" w:themeFill="background1" w:themeFillShade="D9"/>
            <w:noWrap/>
            <w:vAlign w:val="bottom"/>
          </w:tcPr>
          <w:p w14:paraId="16433049"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37,91</w:t>
            </w:r>
          </w:p>
        </w:tc>
      </w:tr>
    </w:tbl>
    <w:p w14:paraId="5A798BD1" w14:textId="77777777" w:rsidR="004C19ED" w:rsidRPr="00892CDD" w:rsidRDefault="004C19ED" w:rsidP="004C19ED">
      <w:pPr>
        <w:rPr>
          <w:i/>
          <w:noProof/>
          <w:szCs w:val="20"/>
          <w:lang w:eastAsia="pt-BR"/>
        </w:rPr>
      </w:pPr>
      <w:r w:rsidRPr="00892CDD">
        <w:rPr>
          <w:i/>
          <w:noProof/>
          <w:szCs w:val="20"/>
          <w:lang w:eastAsia="pt-BR"/>
        </w:rPr>
        <w:t>Fonte: SIAFI 20</w:t>
      </w:r>
      <w:r>
        <w:rPr>
          <w:i/>
          <w:noProof/>
          <w:szCs w:val="20"/>
          <w:lang w:eastAsia="pt-BR"/>
        </w:rPr>
        <w:t>21</w:t>
      </w:r>
      <w:r w:rsidRPr="00892CDD">
        <w:rPr>
          <w:i/>
          <w:noProof/>
          <w:szCs w:val="20"/>
          <w:lang w:eastAsia="pt-BR"/>
        </w:rPr>
        <w:t>.</w:t>
      </w:r>
    </w:p>
    <w:p w14:paraId="03F5AE24" w14:textId="77777777" w:rsidR="004C19ED" w:rsidRDefault="004C19ED" w:rsidP="004C19ED">
      <w:pPr>
        <w:rPr>
          <w:rFonts w:cs="Arial"/>
          <w:sz w:val="22"/>
        </w:rPr>
      </w:pPr>
    </w:p>
    <w:p w14:paraId="03264D0F" w14:textId="77777777" w:rsidR="004C19ED" w:rsidRDefault="004C19ED" w:rsidP="004C19ED">
      <w:pPr>
        <w:rPr>
          <w:rFonts w:cs="Arial"/>
          <w:b/>
          <w:sz w:val="22"/>
        </w:rPr>
      </w:pPr>
    </w:p>
    <w:p w14:paraId="6F66F1D7" w14:textId="77777777" w:rsidR="004C19ED" w:rsidRPr="00407107" w:rsidRDefault="004C19ED" w:rsidP="004C19ED">
      <w:pPr>
        <w:rPr>
          <w:rFonts w:cs="Arial"/>
          <w:b/>
          <w:sz w:val="22"/>
        </w:rPr>
      </w:pPr>
      <w:r>
        <w:rPr>
          <w:rFonts w:cs="Arial"/>
          <w:b/>
          <w:sz w:val="22"/>
        </w:rPr>
        <w:t>6.2 Garantias Contratuais a Executar</w:t>
      </w:r>
    </w:p>
    <w:p w14:paraId="5B58CA8E" w14:textId="77777777" w:rsidR="004C19ED" w:rsidRPr="00407107" w:rsidRDefault="004C19ED" w:rsidP="004C19ED">
      <w:pPr>
        <w:rPr>
          <w:rFonts w:cs="Arial"/>
          <w:sz w:val="22"/>
        </w:rPr>
      </w:pPr>
    </w:p>
    <w:p w14:paraId="785F8751" w14:textId="77777777" w:rsidR="004C19ED" w:rsidRDefault="004C19ED" w:rsidP="004C19ED">
      <w:pPr>
        <w:rPr>
          <w:rFonts w:cs="Arial"/>
          <w:sz w:val="22"/>
        </w:rPr>
      </w:pPr>
      <w:r w:rsidRPr="00407107">
        <w:rPr>
          <w:rFonts w:cs="Arial"/>
          <w:sz w:val="22"/>
        </w:rPr>
        <w:t>Em 3</w:t>
      </w:r>
      <w:r>
        <w:rPr>
          <w:rFonts w:cs="Arial"/>
          <w:sz w:val="22"/>
        </w:rPr>
        <w:t>1</w:t>
      </w:r>
      <w:r w:rsidRPr="00407107">
        <w:rPr>
          <w:rFonts w:cs="Arial"/>
          <w:sz w:val="22"/>
        </w:rPr>
        <w:t>/</w:t>
      </w:r>
      <w:r>
        <w:rPr>
          <w:rFonts w:cs="Arial"/>
          <w:sz w:val="22"/>
        </w:rPr>
        <w:t>12</w:t>
      </w:r>
      <w:r w:rsidRPr="00407107">
        <w:rPr>
          <w:rFonts w:cs="Arial"/>
          <w:sz w:val="22"/>
        </w:rPr>
        <w:t>/20</w:t>
      </w:r>
      <w:r>
        <w:rPr>
          <w:rFonts w:cs="Arial"/>
          <w:sz w:val="22"/>
        </w:rPr>
        <w:t>21</w:t>
      </w:r>
      <w:r w:rsidRPr="00407107">
        <w:rPr>
          <w:rFonts w:cs="Arial"/>
          <w:sz w:val="22"/>
        </w:rPr>
        <w:t>, a A</w:t>
      </w:r>
      <w:r>
        <w:rPr>
          <w:rFonts w:cs="Arial"/>
          <w:sz w:val="22"/>
        </w:rPr>
        <w:t xml:space="preserve">NP </w:t>
      </w:r>
      <w:r w:rsidRPr="00407107">
        <w:rPr>
          <w:rFonts w:cs="Arial"/>
          <w:sz w:val="22"/>
        </w:rPr>
        <w:t xml:space="preserve">possuía um </w:t>
      </w:r>
      <w:r w:rsidRPr="0091764E">
        <w:rPr>
          <w:rFonts w:cs="Arial"/>
          <w:sz w:val="22"/>
        </w:rPr>
        <w:t>saldo superior a R$ 13 bilhões</w:t>
      </w:r>
      <w:r>
        <w:rPr>
          <w:rFonts w:cs="Arial"/>
          <w:sz w:val="22"/>
        </w:rPr>
        <w:t xml:space="preserve"> </w:t>
      </w:r>
      <w:r w:rsidRPr="00407107">
        <w:rPr>
          <w:rFonts w:cs="Arial"/>
          <w:sz w:val="22"/>
        </w:rPr>
        <w:t xml:space="preserve">em </w:t>
      </w:r>
      <w:r>
        <w:rPr>
          <w:rFonts w:cs="Arial"/>
          <w:sz w:val="22"/>
        </w:rPr>
        <w:t xml:space="preserve">garantias contratuais a executar recebidas. As garantias possuem como objeto o fiel cumprimento das obrigações assumidas nos contratos firmados com os fornecedores da Agência e com concessionários de áreas de exploração de petróleo e gás. </w:t>
      </w:r>
    </w:p>
    <w:p w14:paraId="03D7378C" w14:textId="77777777" w:rsidR="004C19ED" w:rsidRPr="00407107" w:rsidRDefault="004C19ED" w:rsidP="004C19ED">
      <w:pPr>
        <w:rPr>
          <w:rFonts w:cs="Arial"/>
          <w:sz w:val="22"/>
        </w:rPr>
      </w:pPr>
    </w:p>
    <w:p w14:paraId="727AB8EB" w14:textId="77777777" w:rsidR="004C19ED" w:rsidRDefault="004C19ED" w:rsidP="004C19ED">
      <w:pPr>
        <w:rPr>
          <w:rFonts w:cs="Arial"/>
          <w:sz w:val="22"/>
        </w:rPr>
      </w:pPr>
      <w:r w:rsidRPr="00407107">
        <w:rPr>
          <w:rFonts w:cs="Arial"/>
          <w:sz w:val="22"/>
        </w:rPr>
        <w:t xml:space="preserve">A seguir, apresenta-se a tabela segregando-se essas </w:t>
      </w:r>
      <w:r>
        <w:rPr>
          <w:rFonts w:cs="Arial"/>
          <w:sz w:val="22"/>
        </w:rPr>
        <w:t>garantias</w:t>
      </w:r>
      <w:r w:rsidRPr="00407107">
        <w:rPr>
          <w:rFonts w:cs="Arial"/>
          <w:sz w:val="22"/>
        </w:rPr>
        <w:t xml:space="preserve"> de acordo com a </w:t>
      </w:r>
      <w:r>
        <w:rPr>
          <w:rFonts w:cs="Arial"/>
          <w:sz w:val="22"/>
        </w:rPr>
        <w:t>respectiva modalidade:</w:t>
      </w:r>
    </w:p>
    <w:p w14:paraId="6914FF03" w14:textId="77777777" w:rsidR="004C19ED" w:rsidRPr="00407107" w:rsidRDefault="004C19ED" w:rsidP="004C19ED">
      <w:pPr>
        <w:rPr>
          <w:rFonts w:cs="Arial"/>
          <w:sz w:val="22"/>
        </w:rPr>
      </w:pPr>
    </w:p>
    <w:p w14:paraId="658808CE" w14:textId="77777777" w:rsidR="004C19ED" w:rsidRPr="00407107" w:rsidRDefault="004C19ED" w:rsidP="004C19ED">
      <w:pPr>
        <w:rPr>
          <w:rFonts w:cs="Arial"/>
          <w:sz w:val="22"/>
        </w:rPr>
      </w:pPr>
    </w:p>
    <w:p w14:paraId="2EC6A433" w14:textId="77777777" w:rsidR="004C19ED" w:rsidRPr="00407107" w:rsidRDefault="004C19ED" w:rsidP="004C19ED">
      <w:pPr>
        <w:rPr>
          <w:rFonts w:cs="Arial"/>
          <w:b/>
          <w:sz w:val="22"/>
        </w:rPr>
      </w:pPr>
      <w:r w:rsidRPr="00B34437">
        <w:rPr>
          <w:rFonts w:cs="Arial"/>
          <w:b/>
          <w:sz w:val="22"/>
        </w:rPr>
        <w:t>Tabela 18 – Garantias Contratuais a Executar – Composição.</w:t>
      </w:r>
    </w:p>
    <w:p w14:paraId="1595F872" w14:textId="77777777" w:rsidR="004C19ED" w:rsidRDefault="004C19ED" w:rsidP="004C19ED">
      <w:pPr>
        <w:ind w:left="5664" w:firstLine="708"/>
        <w:jc w:val="center"/>
        <w:rPr>
          <w:rFonts w:cs="Arial"/>
          <w:sz w:val="22"/>
        </w:rPr>
      </w:pPr>
      <w:r>
        <w:rPr>
          <w:rFonts w:cs="Arial"/>
          <w:szCs w:val="20"/>
        </w:rPr>
        <w:t xml:space="preserve">                                              R$</w:t>
      </w:r>
    </w:p>
    <w:tbl>
      <w:tblPr>
        <w:tblW w:w="9191" w:type="dxa"/>
        <w:tblCellMar>
          <w:left w:w="70" w:type="dxa"/>
          <w:right w:w="70" w:type="dxa"/>
        </w:tblCellMar>
        <w:tblLook w:val="04A0" w:firstRow="1" w:lastRow="0" w:firstColumn="1" w:lastColumn="0" w:noHBand="0" w:noVBand="1"/>
      </w:tblPr>
      <w:tblGrid>
        <w:gridCol w:w="2694"/>
        <w:gridCol w:w="1970"/>
        <w:gridCol w:w="1732"/>
        <w:gridCol w:w="1865"/>
        <w:gridCol w:w="930"/>
      </w:tblGrid>
      <w:tr w:rsidR="004C19ED" w:rsidRPr="00484C19" w14:paraId="4F317DFC" w14:textId="77777777" w:rsidTr="003E2CCD">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14:paraId="3568DE91" w14:textId="77777777" w:rsidR="004C19ED" w:rsidRPr="00484C19" w:rsidRDefault="004C19ED" w:rsidP="003E2CCD">
            <w:pPr>
              <w:jc w:val="left"/>
              <w:rPr>
                <w:rFonts w:eastAsia="Times New Roman" w:cs="Arial"/>
                <w:b/>
                <w:bCs/>
                <w:color w:val="FFFFFF"/>
                <w:szCs w:val="20"/>
                <w:lang w:eastAsia="pt-BR"/>
              </w:rPr>
            </w:pPr>
            <w:r w:rsidRPr="00484C19">
              <w:rPr>
                <w:rFonts w:eastAsia="Times New Roman" w:cs="Arial"/>
                <w:b/>
                <w:bCs/>
                <w:color w:val="FFFFFF"/>
                <w:szCs w:val="20"/>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14:paraId="132F4083"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3</w:t>
            </w:r>
            <w:r>
              <w:rPr>
                <w:rFonts w:eastAsia="Times New Roman" w:cs="Arial"/>
                <w:b/>
                <w:bCs/>
                <w:color w:val="000000"/>
                <w:szCs w:val="20"/>
                <w:lang w:eastAsia="pt-BR"/>
              </w:rPr>
              <w:t>1</w:t>
            </w:r>
            <w:r w:rsidRPr="00484C19">
              <w:rPr>
                <w:rFonts w:eastAsia="Times New Roman" w:cs="Arial"/>
                <w:b/>
                <w:bCs/>
                <w:color w:val="000000"/>
                <w:szCs w:val="20"/>
                <w:lang w:eastAsia="pt-BR"/>
              </w:rPr>
              <w:t>/</w:t>
            </w:r>
            <w:r>
              <w:rPr>
                <w:rFonts w:eastAsia="Times New Roman" w:cs="Arial"/>
                <w:b/>
                <w:bCs/>
                <w:color w:val="000000"/>
                <w:szCs w:val="20"/>
                <w:lang w:eastAsia="pt-BR"/>
              </w:rPr>
              <w:t>12</w:t>
            </w:r>
            <w:r w:rsidRPr="00484C19">
              <w:rPr>
                <w:rFonts w:eastAsia="Times New Roman" w:cs="Arial"/>
                <w:b/>
                <w:bCs/>
                <w:color w:val="000000"/>
                <w:szCs w:val="20"/>
                <w:lang w:eastAsia="pt-BR"/>
              </w:rPr>
              <w:t>/20</w:t>
            </w:r>
            <w:r>
              <w:rPr>
                <w:rFonts w:eastAsia="Times New Roman" w:cs="Arial"/>
                <w:b/>
                <w:bCs/>
                <w:color w:val="000000"/>
                <w:szCs w:val="20"/>
                <w:lang w:eastAsia="pt-BR"/>
              </w:rPr>
              <w:t>21</w:t>
            </w:r>
          </w:p>
        </w:tc>
        <w:tc>
          <w:tcPr>
            <w:tcW w:w="1732" w:type="dxa"/>
            <w:tcBorders>
              <w:top w:val="single" w:sz="4" w:space="0" w:color="000000"/>
              <w:left w:val="nil"/>
              <w:bottom w:val="single" w:sz="4" w:space="0" w:color="000000"/>
              <w:right w:val="nil"/>
            </w:tcBorders>
            <w:shd w:val="clear" w:color="auto" w:fill="auto"/>
            <w:noWrap/>
            <w:vAlign w:val="bottom"/>
            <w:hideMark/>
          </w:tcPr>
          <w:p w14:paraId="16CAA148"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31/12/20</w:t>
            </w:r>
            <w:r>
              <w:rPr>
                <w:rFonts w:eastAsia="Times New Roman" w:cs="Arial"/>
                <w:b/>
                <w:bCs/>
                <w:color w:val="000000"/>
                <w:szCs w:val="20"/>
                <w:lang w:eastAsia="pt-BR"/>
              </w:rPr>
              <w:t>20</w:t>
            </w:r>
          </w:p>
        </w:tc>
        <w:tc>
          <w:tcPr>
            <w:tcW w:w="1865" w:type="dxa"/>
            <w:tcBorders>
              <w:top w:val="single" w:sz="4" w:space="0" w:color="000000"/>
              <w:left w:val="nil"/>
              <w:bottom w:val="single" w:sz="4" w:space="0" w:color="000000"/>
              <w:right w:val="nil"/>
            </w:tcBorders>
            <w:shd w:val="clear" w:color="auto" w:fill="auto"/>
            <w:noWrap/>
            <w:vAlign w:val="bottom"/>
            <w:hideMark/>
          </w:tcPr>
          <w:p w14:paraId="769A09C4"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AH %</w:t>
            </w:r>
          </w:p>
        </w:tc>
        <w:tc>
          <w:tcPr>
            <w:tcW w:w="930" w:type="dxa"/>
            <w:tcBorders>
              <w:top w:val="single" w:sz="4" w:space="0" w:color="000000"/>
              <w:left w:val="nil"/>
              <w:bottom w:val="single" w:sz="4" w:space="0" w:color="000000"/>
              <w:right w:val="nil"/>
            </w:tcBorders>
            <w:shd w:val="clear" w:color="auto" w:fill="auto"/>
            <w:noWrap/>
            <w:vAlign w:val="bottom"/>
            <w:hideMark/>
          </w:tcPr>
          <w:p w14:paraId="0E759067" w14:textId="77777777" w:rsidR="004C19ED" w:rsidRPr="00484C19"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AV %</w:t>
            </w:r>
          </w:p>
        </w:tc>
      </w:tr>
      <w:tr w:rsidR="004C19ED" w:rsidRPr="00484C19" w14:paraId="69F96777" w14:textId="77777777" w:rsidTr="003E2CCD">
        <w:trPr>
          <w:trHeight w:val="229"/>
        </w:trPr>
        <w:tc>
          <w:tcPr>
            <w:tcW w:w="2694" w:type="dxa"/>
            <w:tcBorders>
              <w:top w:val="nil"/>
              <w:left w:val="nil"/>
              <w:bottom w:val="nil"/>
              <w:right w:val="nil"/>
            </w:tcBorders>
            <w:shd w:val="clear" w:color="D9D9D9" w:fill="D9D9D9"/>
            <w:noWrap/>
            <w:vAlign w:val="bottom"/>
            <w:hideMark/>
          </w:tcPr>
          <w:p w14:paraId="38BAF9B9" w14:textId="77777777" w:rsidR="004C19ED" w:rsidRPr="00484C19" w:rsidRDefault="004C19ED" w:rsidP="003E2CCD">
            <w:pPr>
              <w:jc w:val="left"/>
              <w:rPr>
                <w:rFonts w:eastAsia="Times New Roman" w:cs="Arial"/>
                <w:color w:val="000000"/>
                <w:szCs w:val="20"/>
                <w:lang w:eastAsia="pt-BR"/>
              </w:rPr>
            </w:pPr>
            <w:r>
              <w:rPr>
                <w:rFonts w:eastAsia="Times New Roman" w:cs="Arial"/>
                <w:color w:val="000000"/>
                <w:szCs w:val="20"/>
                <w:lang w:eastAsia="pt-BR"/>
              </w:rPr>
              <w:t>Fianças Bancárias</w:t>
            </w:r>
          </w:p>
        </w:tc>
        <w:tc>
          <w:tcPr>
            <w:tcW w:w="1970" w:type="dxa"/>
            <w:tcBorders>
              <w:top w:val="nil"/>
              <w:left w:val="nil"/>
              <w:bottom w:val="nil"/>
              <w:right w:val="nil"/>
            </w:tcBorders>
            <w:shd w:val="clear" w:color="D9D9D9" w:fill="D9D9D9"/>
            <w:noWrap/>
            <w:vAlign w:val="bottom"/>
          </w:tcPr>
          <w:p w14:paraId="780B0B7D" w14:textId="77777777" w:rsidR="004C19ED" w:rsidRPr="00484C19" w:rsidRDefault="004C19ED" w:rsidP="003E2CCD">
            <w:pPr>
              <w:jc w:val="right"/>
              <w:rPr>
                <w:rFonts w:eastAsia="Times New Roman" w:cs="Arial"/>
                <w:color w:val="000000"/>
                <w:szCs w:val="20"/>
                <w:lang w:eastAsia="pt-BR"/>
              </w:rPr>
            </w:pPr>
            <w:r w:rsidRPr="00415083">
              <w:rPr>
                <w:rFonts w:eastAsia="Times New Roman" w:cs="Arial"/>
                <w:color w:val="000000"/>
                <w:szCs w:val="20"/>
                <w:lang w:eastAsia="pt-BR"/>
              </w:rPr>
              <w:t>257</w:t>
            </w:r>
            <w:r>
              <w:rPr>
                <w:rFonts w:eastAsia="Times New Roman" w:cs="Arial"/>
                <w:color w:val="000000"/>
                <w:szCs w:val="20"/>
                <w:lang w:eastAsia="pt-BR"/>
              </w:rPr>
              <w:t>.</w:t>
            </w:r>
            <w:r w:rsidRPr="00415083">
              <w:rPr>
                <w:rFonts w:eastAsia="Times New Roman" w:cs="Arial"/>
                <w:color w:val="000000"/>
                <w:szCs w:val="20"/>
                <w:lang w:eastAsia="pt-BR"/>
              </w:rPr>
              <w:t>646,66</w:t>
            </w:r>
          </w:p>
        </w:tc>
        <w:tc>
          <w:tcPr>
            <w:tcW w:w="1732" w:type="dxa"/>
            <w:tcBorders>
              <w:top w:val="nil"/>
              <w:left w:val="nil"/>
              <w:bottom w:val="nil"/>
              <w:right w:val="nil"/>
            </w:tcBorders>
            <w:shd w:val="clear" w:color="D9D9D9" w:fill="D9D9D9"/>
            <w:noWrap/>
            <w:vAlign w:val="bottom"/>
            <w:hideMark/>
          </w:tcPr>
          <w:p w14:paraId="5AC4C015" w14:textId="77777777" w:rsidR="004C19ED" w:rsidRPr="00484C19" w:rsidRDefault="004C19ED" w:rsidP="003E2CCD">
            <w:pPr>
              <w:jc w:val="right"/>
              <w:rPr>
                <w:rFonts w:eastAsia="Times New Roman" w:cs="Arial"/>
                <w:color w:val="000000"/>
                <w:szCs w:val="20"/>
                <w:lang w:eastAsia="pt-BR"/>
              </w:rPr>
            </w:pPr>
            <w:r w:rsidRPr="003256CD">
              <w:rPr>
                <w:rFonts w:eastAsia="Times New Roman" w:cs="Arial"/>
                <w:color w:val="000000"/>
                <w:szCs w:val="20"/>
                <w:lang w:eastAsia="pt-BR"/>
              </w:rPr>
              <w:t>549</w:t>
            </w:r>
            <w:r>
              <w:rPr>
                <w:rFonts w:eastAsia="Times New Roman" w:cs="Arial"/>
                <w:color w:val="000000"/>
                <w:szCs w:val="20"/>
                <w:lang w:eastAsia="pt-BR"/>
              </w:rPr>
              <w:t>.</w:t>
            </w:r>
            <w:r w:rsidRPr="003256CD">
              <w:rPr>
                <w:rFonts w:eastAsia="Times New Roman" w:cs="Arial"/>
                <w:color w:val="000000"/>
                <w:szCs w:val="20"/>
                <w:lang w:eastAsia="pt-BR"/>
              </w:rPr>
              <w:t>297,22</w:t>
            </w:r>
          </w:p>
        </w:tc>
        <w:tc>
          <w:tcPr>
            <w:tcW w:w="1865" w:type="dxa"/>
            <w:tcBorders>
              <w:top w:val="nil"/>
              <w:left w:val="nil"/>
              <w:bottom w:val="nil"/>
              <w:right w:val="nil"/>
            </w:tcBorders>
            <w:shd w:val="clear" w:color="D9D9D9" w:fill="D9D9D9"/>
            <w:noWrap/>
            <w:vAlign w:val="bottom"/>
          </w:tcPr>
          <w:p w14:paraId="4909C144" w14:textId="77777777" w:rsidR="004C19ED" w:rsidRPr="00484C19" w:rsidRDefault="004C19ED" w:rsidP="003E2CCD">
            <w:pPr>
              <w:jc w:val="right"/>
              <w:rPr>
                <w:rFonts w:eastAsia="Times New Roman" w:cs="Arial"/>
                <w:color w:val="000000"/>
                <w:szCs w:val="20"/>
                <w:lang w:eastAsia="pt-BR"/>
              </w:rPr>
            </w:pPr>
          </w:p>
        </w:tc>
        <w:tc>
          <w:tcPr>
            <w:tcW w:w="930" w:type="dxa"/>
            <w:tcBorders>
              <w:top w:val="nil"/>
              <w:left w:val="nil"/>
              <w:bottom w:val="nil"/>
              <w:right w:val="nil"/>
            </w:tcBorders>
            <w:shd w:val="clear" w:color="D9D9D9" w:fill="D9D9D9"/>
            <w:noWrap/>
            <w:vAlign w:val="bottom"/>
            <w:hideMark/>
          </w:tcPr>
          <w:p w14:paraId="16482D2A"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r w:rsidRPr="00484C19">
              <w:rPr>
                <w:rFonts w:eastAsia="Times New Roman" w:cs="Arial"/>
                <w:color w:val="000000"/>
                <w:szCs w:val="20"/>
                <w:lang w:eastAsia="pt-BR"/>
              </w:rPr>
              <w:t>,</w:t>
            </w:r>
            <w:r>
              <w:rPr>
                <w:rFonts w:eastAsia="Times New Roman" w:cs="Arial"/>
                <w:color w:val="000000"/>
                <w:szCs w:val="20"/>
                <w:lang w:eastAsia="pt-BR"/>
              </w:rPr>
              <w:t>002</w:t>
            </w:r>
          </w:p>
        </w:tc>
      </w:tr>
      <w:tr w:rsidR="004C19ED" w:rsidRPr="00484C19" w14:paraId="7826FA0A" w14:textId="77777777" w:rsidTr="003E2CCD">
        <w:trPr>
          <w:trHeight w:val="229"/>
        </w:trPr>
        <w:tc>
          <w:tcPr>
            <w:tcW w:w="2694" w:type="dxa"/>
            <w:tcBorders>
              <w:top w:val="nil"/>
              <w:left w:val="nil"/>
              <w:bottom w:val="nil"/>
              <w:right w:val="nil"/>
            </w:tcBorders>
            <w:shd w:val="clear" w:color="auto" w:fill="auto"/>
            <w:noWrap/>
            <w:vAlign w:val="bottom"/>
            <w:hideMark/>
          </w:tcPr>
          <w:p w14:paraId="20033DD0" w14:textId="77777777" w:rsidR="004C19ED" w:rsidRPr="00484C19" w:rsidRDefault="004C19ED" w:rsidP="003E2CCD">
            <w:pPr>
              <w:jc w:val="left"/>
              <w:rPr>
                <w:rFonts w:eastAsia="Times New Roman" w:cs="Arial"/>
                <w:color w:val="000000"/>
                <w:szCs w:val="20"/>
                <w:lang w:eastAsia="pt-BR"/>
              </w:rPr>
            </w:pPr>
            <w:r w:rsidRPr="00484C19">
              <w:rPr>
                <w:rFonts w:eastAsia="Times New Roman" w:cs="Arial"/>
                <w:color w:val="000000"/>
                <w:szCs w:val="20"/>
                <w:lang w:eastAsia="pt-BR"/>
              </w:rPr>
              <w:t>Seguros-Garantia a Executar</w:t>
            </w:r>
          </w:p>
        </w:tc>
        <w:tc>
          <w:tcPr>
            <w:tcW w:w="1970" w:type="dxa"/>
            <w:tcBorders>
              <w:top w:val="nil"/>
              <w:left w:val="nil"/>
              <w:bottom w:val="nil"/>
              <w:right w:val="nil"/>
            </w:tcBorders>
            <w:shd w:val="clear" w:color="auto" w:fill="auto"/>
            <w:noWrap/>
            <w:vAlign w:val="bottom"/>
          </w:tcPr>
          <w:p w14:paraId="37671886" w14:textId="77777777" w:rsidR="004C19ED" w:rsidRPr="00484C19" w:rsidRDefault="004C19ED" w:rsidP="003E2CCD">
            <w:pPr>
              <w:jc w:val="right"/>
              <w:rPr>
                <w:rFonts w:eastAsia="Times New Roman" w:cs="Arial"/>
                <w:color w:val="000000"/>
                <w:szCs w:val="20"/>
                <w:lang w:eastAsia="pt-BR"/>
              </w:rPr>
            </w:pPr>
            <w:r w:rsidRPr="00415083">
              <w:rPr>
                <w:rFonts w:eastAsia="Times New Roman" w:cs="Arial"/>
                <w:color w:val="000000"/>
                <w:szCs w:val="20"/>
                <w:lang w:eastAsia="pt-BR"/>
              </w:rPr>
              <w:t>1</w:t>
            </w:r>
            <w:r>
              <w:rPr>
                <w:rFonts w:eastAsia="Times New Roman" w:cs="Arial"/>
                <w:color w:val="000000"/>
                <w:szCs w:val="20"/>
                <w:lang w:eastAsia="pt-BR"/>
              </w:rPr>
              <w:t>.</w:t>
            </w:r>
            <w:r w:rsidRPr="00415083">
              <w:rPr>
                <w:rFonts w:eastAsia="Times New Roman" w:cs="Arial"/>
                <w:color w:val="000000"/>
                <w:szCs w:val="20"/>
                <w:lang w:eastAsia="pt-BR"/>
              </w:rPr>
              <w:t>833</w:t>
            </w:r>
            <w:r>
              <w:rPr>
                <w:rFonts w:eastAsia="Times New Roman" w:cs="Arial"/>
                <w:color w:val="000000"/>
                <w:szCs w:val="20"/>
                <w:lang w:eastAsia="pt-BR"/>
              </w:rPr>
              <w:t>.</w:t>
            </w:r>
            <w:r w:rsidRPr="00415083">
              <w:rPr>
                <w:rFonts w:eastAsia="Times New Roman" w:cs="Arial"/>
                <w:color w:val="000000"/>
                <w:szCs w:val="20"/>
                <w:lang w:eastAsia="pt-BR"/>
              </w:rPr>
              <w:t>175</w:t>
            </w:r>
            <w:r>
              <w:rPr>
                <w:rFonts w:eastAsia="Times New Roman" w:cs="Arial"/>
                <w:color w:val="000000"/>
                <w:szCs w:val="20"/>
                <w:lang w:eastAsia="pt-BR"/>
              </w:rPr>
              <w:t>.</w:t>
            </w:r>
            <w:r w:rsidRPr="00415083">
              <w:rPr>
                <w:rFonts w:eastAsia="Times New Roman" w:cs="Arial"/>
                <w:color w:val="000000"/>
                <w:szCs w:val="20"/>
                <w:lang w:eastAsia="pt-BR"/>
              </w:rPr>
              <w:t>470,88</w:t>
            </w:r>
          </w:p>
        </w:tc>
        <w:tc>
          <w:tcPr>
            <w:tcW w:w="1732" w:type="dxa"/>
            <w:tcBorders>
              <w:top w:val="nil"/>
              <w:left w:val="nil"/>
              <w:bottom w:val="nil"/>
              <w:right w:val="nil"/>
            </w:tcBorders>
            <w:shd w:val="clear" w:color="auto" w:fill="auto"/>
            <w:noWrap/>
            <w:vAlign w:val="bottom"/>
            <w:hideMark/>
          </w:tcPr>
          <w:p w14:paraId="09249CDB" w14:textId="77777777" w:rsidR="004C19ED" w:rsidRPr="00484C19" w:rsidRDefault="004C19ED" w:rsidP="003E2CCD">
            <w:pPr>
              <w:jc w:val="right"/>
              <w:rPr>
                <w:rFonts w:eastAsia="Times New Roman" w:cs="Arial"/>
                <w:color w:val="000000"/>
                <w:szCs w:val="20"/>
                <w:lang w:eastAsia="pt-BR"/>
              </w:rPr>
            </w:pPr>
            <w:r w:rsidRPr="003256CD">
              <w:rPr>
                <w:rFonts w:eastAsia="Times New Roman" w:cs="Arial"/>
                <w:color w:val="000000"/>
                <w:szCs w:val="20"/>
                <w:lang w:eastAsia="pt-BR"/>
              </w:rPr>
              <w:t>5</w:t>
            </w:r>
            <w:r>
              <w:rPr>
                <w:rFonts w:eastAsia="Times New Roman" w:cs="Arial"/>
                <w:color w:val="000000"/>
                <w:szCs w:val="20"/>
                <w:lang w:eastAsia="pt-BR"/>
              </w:rPr>
              <w:t>.</w:t>
            </w:r>
            <w:r w:rsidRPr="003256CD">
              <w:rPr>
                <w:rFonts w:eastAsia="Times New Roman" w:cs="Arial"/>
                <w:color w:val="000000"/>
                <w:szCs w:val="20"/>
                <w:lang w:eastAsia="pt-BR"/>
              </w:rPr>
              <w:t>700</w:t>
            </w:r>
            <w:r>
              <w:rPr>
                <w:rFonts w:eastAsia="Times New Roman" w:cs="Arial"/>
                <w:color w:val="000000"/>
                <w:szCs w:val="20"/>
                <w:lang w:eastAsia="pt-BR"/>
              </w:rPr>
              <w:t>.</w:t>
            </w:r>
            <w:r w:rsidRPr="003256CD">
              <w:rPr>
                <w:rFonts w:eastAsia="Times New Roman" w:cs="Arial"/>
                <w:color w:val="000000"/>
                <w:szCs w:val="20"/>
                <w:lang w:eastAsia="pt-BR"/>
              </w:rPr>
              <w:t>547,30</w:t>
            </w:r>
          </w:p>
        </w:tc>
        <w:tc>
          <w:tcPr>
            <w:tcW w:w="1865" w:type="dxa"/>
            <w:tcBorders>
              <w:top w:val="nil"/>
              <w:left w:val="nil"/>
              <w:bottom w:val="nil"/>
              <w:right w:val="nil"/>
            </w:tcBorders>
            <w:shd w:val="clear" w:color="auto" w:fill="auto"/>
            <w:noWrap/>
            <w:vAlign w:val="bottom"/>
          </w:tcPr>
          <w:p w14:paraId="5CA23EAB" w14:textId="77777777" w:rsidR="004C19ED" w:rsidRPr="00484C19" w:rsidRDefault="004C19ED" w:rsidP="003E2CCD">
            <w:pPr>
              <w:jc w:val="right"/>
              <w:rPr>
                <w:rFonts w:eastAsia="Times New Roman" w:cs="Arial"/>
                <w:color w:val="000000"/>
                <w:szCs w:val="20"/>
                <w:lang w:eastAsia="pt-BR"/>
              </w:rPr>
            </w:pPr>
          </w:p>
        </w:tc>
        <w:tc>
          <w:tcPr>
            <w:tcW w:w="930" w:type="dxa"/>
            <w:tcBorders>
              <w:top w:val="nil"/>
              <w:left w:val="nil"/>
              <w:bottom w:val="nil"/>
              <w:right w:val="nil"/>
            </w:tcBorders>
            <w:shd w:val="clear" w:color="auto" w:fill="auto"/>
            <w:noWrap/>
            <w:vAlign w:val="bottom"/>
            <w:hideMark/>
          </w:tcPr>
          <w:p w14:paraId="574B2067"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13,27</w:t>
            </w:r>
          </w:p>
        </w:tc>
      </w:tr>
      <w:tr w:rsidR="004C19ED" w:rsidRPr="00484C19" w14:paraId="0BD94108" w14:textId="77777777" w:rsidTr="003E2CCD">
        <w:trPr>
          <w:trHeight w:val="229"/>
        </w:trPr>
        <w:tc>
          <w:tcPr>
            <w:tcW w:w="2694" w:type="dxa"/>
            <w:tcBorders>
              <w:top w:val="nil"/>
              <w:left w:val="nil"/>
              <w:bottom w:val="nil"/>
              <w:right w:val="nil"/>
            </w:tcBorders>
            <w:shd w:val="clear" w:color="auto" w:fill="D9D9D9" w:themeFill="background1" w:themeFillShade="D9"/>
            <w:noWrap/>
            <w:vAlign w:val="bottom"/>
            <w:hideMark/>
          </w:tcPr>
          <w:p w14:paraId="0A533DAF" w14:textId="77777777" w:rsidR="004C19ED" w:rsidRPr="00484C19" w:rsidRDefault="004C19ED" w:rsidP="003E2CCD">
            <w:pPr>
              <w:jc w:val="left"/>
              <w:rPr>
                <w:rFonts w:eastAsia="Times New Roman" w:cs="Arial"/>
                <w:color w:val="000000"/>
                <w:szCs w:val="20"/>
                <w:lang w:eastAsia="pt-BR"/>
              </w:rPr>
            </w:pPr>
            <w:r w:rsidRPr="00484C19">
              <w:rPr>
                <w:rFonts w:eastAsia="Times New Roman" w:cs="Arial"/>
                <w:color w:val="000000"/>
                <w:szCs w:val="20"/>
                <w:lang w:eastAsia="pt-BR"/>
              </w:rPr>
              <w:t>Caução a Executar</w:t>
            </w:r>
          </w:p>
        </w:tc>
        <w:tc>
          <w:tcPr>
            <w:tcW w:w="1970" w:type="dxa"/>
            <w:tcBorders>
              <w:top w:val="nil"/>
              <w:left w:val="nil"/>
              <w:bottom w:val="nil"/>
              <w:right w:val="nil"/>
            </w:tcBorders>
            <w:shd w:val="clear" w:color="auto" w:fill="D9D9D9" w:themeFill="background1" w:themeFillShade="D9"/>
            <w:noWrap/>
            <w:vAlign w:val="bottom"/>
          </w:tcPr>
          <w:p w14:paraId="3672135A" w14:textId="77777777" w:rsidR="004C19ED" w:rsidRPr="00484C19" w:rsidRDefault="004C19ED" w:rsidP="003E2CCD">
            <w:pPr>
              <w:jc w:val="right"/>
              <w:rPr>
                <w:rFonts w:eastAsia="Times New Roman" w:cs="Arial"/>
                <w:color w:val="000000"/>
                <w:szCs w:val="20"/>
                <w:lang w:eastAsia="pt-BR"/>
              </w:rPr>
            </w:pPr>
            <w:r w:rsidRPr="00415083">
              <w:rPr>
                <w:rFonts w:eastAsia="Times New Roman" w:cs="Arial"/>
                <w:color w:val="000000"/>
                <w:szCs w:val="20"/>
                <w:lang w:eastAsia="pt-BR"/>
              </w:rPr>
              <w:t>8</w:t>
            </w:r>
            <w:r>
              <w:rPr>
                <w:rFonts w:eastAsia="Times New Roman" w:cs="Arial"/>
                <w:color w:val="000000"/>
                <w:szCs w:val="20"/>
                <w:lang w:eastAsia="pt-BR"/>
              </w:rPr>
              <w:t>.</w:t>
            </w:r>
            <w:r w:rsidRPr="00415083">
              <w:rPr>
                <w:rFonts w:eastAsia="Times New Roman" w:cs="Arial"/>
                <w:color w:val="000000"/>
                <w:szCs w:val="20"/>
                <w:lang w:eastAsia="pt-BR"/>
              </w:rPr>
              <w:t>509</w:t>
            </w:r>
            <w:r>
              <w:rPr>
                <w:rFonts w:eastAsia="Times New Roman" w:cs="Arial"/>
                <w:color w:val="000000"/>
                <w:szCs w:val="20"/>
                <w:lang w:eastAsia="pt-BR"/>
              </w:rPr>
              <w:t>.</w:t>
            </w:r>
            <w:r w:rsidRPr="00415083">
              <w:rPr>
                <w:rFonts w:eastAsia="Times New Roman" w:cs="Arial"/>
                <w:color w:val="000000"/>
                <w:szCs w:val="20"/>
                <w:lang w:eastAsia="pt-BR"/>
              </w:rPr>
              <w:t>968,55</w:t>
            </w:r>
          </w:p>
        </w:tc>
        <w:tc>
          <w:tcPr>
            <w:tcW w:w="1732" w:type="dxa"/>
            <w:tcBorders>
              <w:top w:val="nil"/>
              <w:left w:val="nil"/>
              <w:bottom w:val="nil"/>
              <w:right w:val="nil"/>
            </w:tcBorders>
            <w:shd w:val="clear" w:color="auto" w:fill="D9D9D9" w:themeFill="background1" w:themeFillShade="D9"/>
            <w:noWrap/>
            <w:vAlign w:val="bottom"/>
            <w:hideMark/>
          </w:tcPr>
          <w:p w14:paraId="515D470D" w14:textId="77777777" w:rsidR="004C19ED" w:rsidRPr="00484C19" w:rsidRDefault="004C19ED" w:rsidP="003E2CCD">
            <w:pPr>
              <w:jc w:val="right"/>
              <w:rPr>
                <w:rFonts w:eastAsia="Times New Roman" w:cs="Arial"/>
                <w:color w:val="000000"/>
                <w:szCs w:val="20"/>
                <w:lang w:eastAsia="pt-BR"/>
              </w:rPr>
            </w:pPr>
            <w:r w:rsidRPr="003256CD">
              <w:rPr>
                <w:rFonts w:eastAsia="Times New Roman" w:cs="Arial"/>
                <w:color w:val="000000"/>
                <w:szCs w:val="20"/>
                <w:lang w:eastAsia="pt-BR"/>
              </w:rPr>
              <w:t>5</w:t>
            </w:r>
            <w:r>
              <w:rPr>
                <w:rFonts w:eastAsia="Times New Roman" w:cs="Arial"/>
                <w:color w:val="000000"/>
                <w:szCs w:val="20"/>
                <w:lang w:eastAsia="pt-BR"/>
              </w:rPr>
              <w:t>.</w:t>
            </w:r>
            <w:r w:rsidRPr="003256CD">
              <w:rPr>
                <w:rFonts w:eastAsia="Times New Roman" w:cs="Arial"/>
                <w:color w:val="000000"/>
                <w:szCs w:val="20"/>
                <w:lang w:eastAsia="pt-BR"/>
              </w:rPr>
              <w:t>416</w:t>
            </w:r>
            <w:r>
              <w:rPr>
                <w:rFonts w:eastAsia="Times New Roman" w:cs="Arial"/>
                <w:color w:val="000000"/>
                <w:szCs w:val="20"/>
                <w:lang w:eastAsia="pt-BR"/>
              </w:rPr>
              <w:t>.</w:t>
            </w:r>
            <w:r w:rsidRPr="003256CD">
              <w:rPr>
                <w:rFonts w:eastAsia="Times New Roman" w:cs="Arial"/>
                <w:color w:val="000000"/>
                <w:szCs w:val="20"/>
                <w:lang w:eastAsia="pt-BR"/>
              </w:rPr>
              <w:t>240,47</w:t>
            </w:r>
          </w:p>
        </w:tc>
        <w:tc>
          <w:tcPr>
            <w:tcW w:w="1865" w:type="dxa"/>
            <w:tcBorders>
              <w:top w:val="nil"/>
              <w:left w:val="nil"/>
              <w:bottom w:val="nil"/>
              <w:right w:val="nil"/>
            </w:tcBorders>
            <w:shd w:val="clear" w:color="auto" w:fill="D9D9D9" w:themeFill="background1" w:themeFillShade="D9"/>
            <w:noWrap/>
            <w:vAlign w:val="bottom"/>
          </w:tcPr>
          <w:p w14:paraId="027B9205" w14:textId="77777777" w:rsidR="004C19ED" w:rsidRPr="00484C19" w:rsidRDefault="004C19ED" w:rsidP="003E2CCD">
            <w:pPr>
              <w:jc w:val="right"/>
              <w:rPr>
                <w:rFonts w:eastAsia="Times New Roman" w:cs="Arial"/>
                <w:color w:val="000000"/>
                <w:szCs w:val="20"/>
                <w:lang w:eastAsia="pt-BR"/>
              </w:rPr>
            </w:pPr>
          </w:p>
        </w:tc>
        <w:tc>
          <w:tcPr>
            <w:tcW w:w="930" w:type="dxa"/>
            <w:tcBorders>
              <w:top w:val="nil"/>
              <w:left w:val="nil"/>
              <w:bottom w:val="nil"/>
              <w:right w:val="nil"/>
            </w:tcBorders>
            <w:shd w:val="clear" w:color="auto" w:fill="D9D9D9" w:themeFill="background1" w:themeFillShade="D9"/>
            <w:noWrap/>
            <w:vAlign w:val="bottom"/>
            <w:hideMark/>
          </w:tcPr>
          <w:p w14:paraId="599D8A8E" w14:textId="77777777" w:rsidR="004C19ED" w:rsidRPr="00484C19" w:rsidRDefault="004C19ED" w:rsidP="003E2CCD">
            <w:pPr>
              <w:jc w:val="right"/>
              <w:rPr>
                <w:rFonts w:eastAsia="Times New Roman" w:cs="Arial"/>
                <w:color w:val="000000"/>
                <w:szCs w:val="20"/>
                <w:lang w:eastAsia="pt-BR"/>
              </w:rPr>
            </w:pPr>
            <w:r>
              <w:rPr>
                <w:rFonts w:eastAsia="Times New Roman" w:cs="Arial"/>
                <w:color w:val="000000"/>
                <w:szCs w:val="20"/>
                <w:lang w:eastAsia="pt-BR"/>
              </w:rPr>
              <w:t>0,06</w:t>
            </w:r>
          </w:p>
        </w:tc>
      </w:tr>
      <w:tr w:rsidR="004C19ED" w:rsidRPr="00484C19" w14:paraId="2E7E653A" w14:textId="77777777" w:rsidTr="003E2CCD">
        <w:trPr>
          <w:trHeight w:val="229"/>
        </w:trPr>
        <w:tc>
          <w:tcPr>
            <w:tcW w:w="2694" w:type="dxa"/>
            <w:tcBorders>
              <w:top w:val="nil"/>
              <w:left w:val="nil"/>
              <w:bottom w:val="nil"/>
              <w:right w:val="nil"/>
            </w:tcBorders>
            <w:shd w:val="clear" w:color="auto" w:fill="auto"/>
            <w:noWrap/>
            <w:vAlign w:val="bottom"/>
          </w:tcPr>
          <w:p w14:paraId="28A0996A" w14:textId="77777777" w:rsidR="004C19ED" w:rsidRPr="00484C19" w:rsidRDefault="004C19ED" w:rsidP="003E2CCD">
            <w:pPr>
              <w:jc w:val="left"/>
              <w:rPr>
                <w:rFonts w:eastAsia="Times New Roman" w:cs="Arial"/>
                <w:color w:val="000000"/>
                <w:szCs w:val="20"/>
                <w:lang w:eastAsia="pt-BR"/>
              </w:rPr>
            </w:pPr>
            <w:r>
              <w:rPr>
                <w:rFonts w:eastAsia="Times New Roman" w:cs="Arial"/>
                <w:color w:val="000000"/>
                <w:szCs w:val="20"/>
                <w:lang w:eastAsia="pt-BR"/>
              </w:rPr>
              <w:t>Garantias Lei Especial</w:t>
            </w:r>
          </w:p>
        </w:tc>
        <w:tc>
          <w:tcPr>
            <w:tcW w:w="1970" w:type="dxa"/>
            <w:tcBorders>
              <w:top w:val="nil"/>
              <w:left w:val="nil"/>
              <w:bottom w:val="nil"/>
              <w:right w:val="nil"/>
            </w:tcBorders>
            <w:shd w:val="clear" w:color="auto" w:fill="auto"/>
            <w:noWrap/>
            <w:vAlign w:val="bottom"/>
          </w:tcPr>
          <w:p w14:paraId="342A3241" w14:textId="77777777" w:rsidR="004C19ED" w:rsidRPr="00415083" w:rsidRDefault="004C19ED" w:rsidP="003E2CCD">
            <w:pPr>
              <w:jc w:val="right"/>
              <w:rPr>
                <w:rFonts w:eastAsia="Times New Roman" w:cs="Arial"/>
                <w:color w:val="000000"/>
                <w:szCs w:val="20"/>
                <w:lang w:eastAsia="pt-BR"/>
              </w:rPr>
            </w:pPr>
            <w:r w:rsidRPr="00415083">
              <w:rPr>
                <w:rFonts w:eastAsia="Times New Roman" w:cs="Arial"/>
                <w:color w:val="000000"/>
                <w:szCs w:val="20"/>
                <w:lang w:eastAsia="pt-BR"/>
              </w:rPr>
              <w:t>4</w:t>
            </w:r>
            <w:r>
              <w:rPr>
                <w:rFonts w:eastAsia="Times New Roman" w:cs="Arial"/>
                <w:color w:val="000000"/>
                <w:szCs w:val="20"/>
                <w:lang w:eastAsia="pt-BR"/>
              </w:rPr>
              <w:t>.</w:t>
            </w:r>
            <w:r w:rsidRPr="00415083">
              <w:rPr>
                <w:rFonts w:eastAsia="Times New Roman" w:cs="Arial"/>
                <w:color w:val="000000"/>
                <w:szCs w:val="20"/>
                <w:lang w:eastAsia="pt-BR"/>
              </w:rPr>
              <w:t>558</w:t>
            </w:r>
            <w:r>
              <w:rPr>
                <w:rFonts w:eastAsia="Times New Roman" w:cs="Arial"/>
                <w:color w:val="000000"/>
                <w:szCs w:val="20"/>
                <w:lang w:eastAsia="pt-BR"/>
              </w:rPr>
              <w:t>.</w:t>
            </w:r>
            <w:r w:rsidRPr="00415083">
              <w:rPr>
                <w:rFonts w:eastAsia="Times New Roman" w:cs="Arial"/>
                <w:color w:val="000000"/>
                <w:szCs w:val="20"/>
                <w:lang w:eastAsia="pt-BR"/>
              </w:rPr>
              <w:t>137</w:t>
            </w:r>
            <w:r>
              <w:rPr>
                <w:rFonts w:eastAsia="Times New Roman" w:cs="Arial"/>
                <w:color w:val="000000"/>
                <w:szCs w:val="20"/>
                <w:lang w:eastAsia="pt-BR"/>
              </w:rPr>
              <w:t>.</w:t>
            </w:r>
            <w:r w:rsidRPr="00415083">
              <w:rPr>
                <w:rFonts w:eastAsia="Times New Roman" w:cs="Arial"/>
                <w:color w:val="000000"/>
                <w:szCs w:val="20"/>
                <w:lang w:eastAsia="pt-BR"/>
              </w:rPr>
              <w:t>245,87</w:t>
            </w:r>
          </w:p>
        </w:tc>
        <w:tc>
          <w:tcPr>
            <w:tcW w:w="1732" w:type="dxa"/>
            <w:tcBorders>
              <w:top w:val="nil"/>
              <w:left w:val="nil"/>
              <w:bottom w:val="nil"/>
              <w:right w:val="nil"/>
            </w:tcBorders>
            <w:shd w:val="clear" w:color="auto" w:fill="auto"/>
            <w:noWrap/>
            <w:vAlign w:val="bottom"/>
          </w:tcPr>
          <w:p w14:paraId="51D6AAAC" w14:textId="77777777" w:rsidR="004C19ED" w:rsidRPr="003256CD" w:rsidRDefault="004C19ED" w:rsidP="003E2CCD">
            <w:pPr>
              <w:jc w:val="right"/>
              <w:rPr>
                <w:rFonts w:eastAsia="Times New Roman" w:cs="Arial"/>
                <w:color w:val="000000"/>
                <w:szCs w:val="20"/>
                <w:lang w:eastAsia="pt-BR"/>
              </w:rPr>
            </w:pPr>
          </w:p>
        </w:tc>
        <w:tc>
          <w:tcPr>
            <w:tcW w:w="1865" w:type="dxa"/>
            <w:tcBorders>
              <w:top w:val="nil"/>
              <w:left w:val="nil"/>
              <w:bottom w:val="nil"/>
              <w:right w:val="nil"/>
            </w:tcBorders>
            <w:shd w:val="clear" w:color="auto" w:fill="auto"/>
            <w:noWrap/>
            <w:vAlign w:val="bottom"/>
          </w:tcPr>
          <w:p w14:paraId="335E7821" w14:textId="77777777" w:rsidR="004C19ED" w:rsidRDefault="004C19ED" w:rsidP="003E2CCD">
            <w:pPr>
              <w:jc w:val="right"/>
              <w:rPr>
                <w:rFonts w:eastAsia="Times New Roman" w:cs="Arial"/>
                <w:color w:val="000000"/>
                <w:szCs w:val="20"/>
                <w:lang w:eastAsia="pt-BR"/>
              </w:rPr>
            </w:pPr>
          </w:p>
        </w:tc>
        <w:tc>
          <w:tcPr>
            <w:tcW w:w="930" w:type="dxa"/>
            <w:tcBorders>
              <w:top w:val="nil"/>
              <w:left w:val="nil"/>
              <w:bottom w:val="nil"/>
              <w:right w:val="nil"/>
            </w:tcBorders>
            <w:shd w:val="clear" w:color="auto" w:fill="auto"/>
            <w:noWrap/>
            <w:vAlign w:val="bottom"/>
          </w:tcPr>
          <w:p w14:paraId="4A335631"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33,00</w:t>
            </w:r>
          </w:p>
        </w:tc>
      </w:tr>
      <w:tr w:rsidR="004C19ED" w:rsidRPr="00484C19" w14:paraId="4CD0D9CB" w14:textId="77777777" w:rsidTr="003E2CCD">
        <w:trPr>
          <w:trHeight w:val="229"/>
        </w:trPr>
        <w:tc>
          <w:tcPr>
            <w:tcW w:w="2694" w:type="dxa"/>
            <w:tcBorders>
              <w:top w:val="nil"/>
              <w:left w:val="nil"/>
              <w:bottom w:val="nil"/>
              <w:right w:val="nil"/>
            </w:tcBorders>
            <w:shd w:val="clear" w:color="auto" w:fill="D9D9D9" w:themeFill="background1" w:themeFillShade="D9"/>
            <w:noWrap/>
            <w:vAlign w:val="bottom"/>
          </w:tcPr>
          <w:p w14:paraId="41FE2A3A"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Apólices de Seguros</w:t>
            </w:r>
          </w:p>
        </w:tc>
        <w:tc>
          <w:tcPr>
            <w:tcW w:w="1970" w:type="dxa"/>
            <w:tcBorders>
              <w:top w:val="nil"/>
              <w:left w:val="nil"/>
              <w:bottom w:val="nil"/>
              <w:right w:val="nil"/>
            </w:tcBorders>
            <w:shd w:val="clear" w:color="auto" w:fill="D9D9D9" w:themeFill="background1" w:themeFillShade="D9"/>
            <w:noWrap/>
            <w:vAlign w:val="bottom"/>
          </w:tcPr>
          <w:p w14:paraId="4EA6C9D6" w14:textId="77777777" w:rsidR="004C19ED" w:rsidRPr="00415083" w:rsidRDefault="004C19ED" w:rsidP="003E2CCD">
            <w:pPr>
              <w:jc w:val="right"/>
              <w:rPr>
                <w:rFonts w:eastAsia="Times New Roman" w:cs="Arial"/>
                <w:color w:val="000000"/>
                <w:szCs w:val="20"/>
                <w:lang w:eastAsia="pt-BR"/>
              </w:rPr>
            </w:pPr>
            <w:r w:rsidRPr="00415083">
              <w:rPr>
                <w:rFonts w:eastAsia="Times New Roman" w:cs="Arial"/>
                <w:color w:val="000000"/>
                <w:szCs w:val="20"/>
                <w:lang w:eastAsia="pt-BR"/>
              </w:rPr>
              <w:t>1</w:t>
            </w:r>
            <w:r>
              <w:rPr>
                <w:rFonts w:eastAsia="Times New Roman" w:cs="Arial"/>
                <w:color w:val="000000"/>
                <w:szCs w:val="20"/>
                <w:lang w:eastAsia="pt-BR"/>
              </w:rPr>
              <w:t>.</w:t>
            </w:r>
            <w:r w:rsidRPr="00415083">
              <w:rPr>
                <w:rFonts w:eastAsia="Times New Roman" w:cs="Arial"/>
                <w:color w:val="000000"/>
                <w:szCs w:val="20"/>
                <w:lang w:eastAsia="pt-BR"/>
              </w:rPr>
              <w:t>804</w:t>
            </w:r>
            <w:r>
              <w:rPr>
                <w:rFonts w:eastAsia="Times New Roman" w:cs="Arial"/>
                <w:color w:val="000000"/>
                <w:szCs w:val="20"/>
                <w:lang w:eastAsia="pt-BR"/>
              </w:rPr>
              <w:t>.</w:t>
            </w:r>
            <w:r w:rsidRPr="00415083">
              <w:rPr>
                <w:rFonts w:eastAsia="Times New Roman" w:cs="Arial"/>
                <w:color w:val="000000"/>
                <w:szCs w:val="20"/>
                <w:lang w:eastAsia="pt-BR"/>
              </w:rPr>
              <w:t>277</w:t>
            </w:r>
            <w:r>
              <w:rPr>
                <w:rFonts w:eastAsia="Times New Roman" w:cs="Arial"/>
                <w:color w:val="000000"/>
                <w:szCs w:val="20"/>
                <w:lang w:eastAsia="pt-BR"/>
              </w:rPr>
              <w:t>.</w:t>
            </w:r>
            <w:r w:rsidRPr="00415083">
              <w:rPr>
                <w:rFonts w:eastAsia="Times New Roman" w:cs="Arial"/>
                <w:color w:val="000000"/>
                <w:szCs w:val="20"/>
                <w:lang w:eastAsia="pt-BR"/>
              </w:rPr>
              <w:t>291,02</w:t>
            </w:r>
          </w:p>
        </w:tc>
        <w:tc>
          <w:tcPr>
            <w:tcW w:w="1732" w:type="dxa"/>
            <w:tcBorders>
              <w:top w:val="nil"/>
              <w:left w:val="nil"/>
              <w:bottom w:val="nil"/>
              <w:right w:val="nil"/>
            </w:tcBorders>
            <w:shd w:val="clear" w:color="auto" w:fill="D9D9D9" w:themeFill="background1" w:themeFillShade="D9"/>
            <w:noWrap/>
            <w:vAlign w:val="bottom"/>
          </w:tcPr>
          <w:p w14:paraId="6F99FD9E" w14:textId="77777777" w:rsidR="004C19ED" w:rsidRPr="003256CD" w:rsidRDefault="004C19ED" w:rsidP="003E2CCD">
            <w:pPr>
              <w:jc w:val="right"/>
              <w:rPr>
                <w:rFonts w:eastAsia="Times New Roman" w:cs="Arial"/>
                <w:color w:val="000000"/>
                <w:szCs w:val="20"/>
                <w:lang w:eastAsia="pt-BR"/>
              </w:rPr>
            </w:pPr>
          </w:p>
        </w:tc>
        <w:tc>
          <w:tcPr>
            <w:tcW w:w="1865" w:type="dxa"/>
            <w:tcBorders>
              <w:top w:val="nil"/>
              <w:left w:val="nil"/>
              <w:bottom w:val="nil"/>
              <w:right w:val="nil"/>
            </w:tcBorders>
            <w:shd w:val="clear" w:color="auto" w:fill="D9D9D9" w:themeFill="background1" w:themeFillShade="D9"/>
            <w:noWrap/>
            <w:vAlign w:val="bottom"/>
          </w:tcPr>
          <w:p w14:paraId="01A37F4D" w14:textId="77777777" w:rsidR="004C19ED" w:rsidRDefault="004C19ED" w:rsidP="003E2CCD">
            <w:pPr>
              <w:jc w:val="right"/>
              <w:rPr>
                <w:rFonts w:eastAsia="Times New Roman" w:cs="Arial"/>
                <w:color w:val="000000"/>
                <w:szCs w:val="20"/>
                <w:lang w:eastAsia="pt-BR"/>
              </w:rPr>
            </w:pPr>
          </w:p>
        </w:tc>
        <w:tc>
          <w:tcPr>
            <w:tcW w:w="930" w:type="dxa"/>
            <w:tcBorders>
              <w:top w:val="nil"/>
              <w:left w:val="nil"/>
              <w:bottom w:val="nil"/>
              <w:right w:val="nil"/>
            </w:tcBorders>
            <w:shd w:val="clear" w:color="auto" w:fill="D9D9D9" w:themeFill="background1" w:themeFillShade="D9"/>
            <w:noWrap/>
            <w:vAlign w:val="bottom"/>
          </w:tcPr>
          <w:p w14:paraId="78576BD6"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13,06</w:t>
            </w:r>
          </w:p>
        </w:tc>
      </w:tr>
      <w:tr w:rsidR="004C19ED" w:rsidRPr="00484C19" w14:paraId="31A27C2E" w14:textId="77777777" w:rsidTr="003E2CCD">
        <w:trPr>
          <w:trHeight w:val="229"/>
        </w:trPr>
        <w:tc>
          <w:tcPr>
            <w:tcW w:w="2694" w:type="dxa"/>
            <w:tcBorders>
              <w:top w:val="nil"/>
              <w:left w:val="nil"/>
              <w:bottom w:val="nil"/>
              <w:right w:val="nil"/>
            </w:tcBorders>
            <w:shd w:val="clear" w:color="auto" w:fill="auto"/>
            <w:noWrap/>
            <w:vAlign w:val="bottom"/>
          </w:tcPr>
          <w:p w14:paraId="03401917"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Outras garantias</w:t>
            </w:r>
          </w:p>
        </w:tc>
        <w:tc>
          <w:tcPr>
            <w:tcW w:w="1970" w:type="dxa"/>
            <w:tcBorders>
              <w:top w:val="nil"/>
              <w:left w:val="nil"/>
              <w:bottom w:val="nil"/>
              <w:right w:val="nil"/>
            </w:tcBorders>
            <w:shd w:val="clear" w:color="auto" w:fill="auto"/>
            <w:noWrap/>
            <w:vAlign w:val="bottom"/>
          </w:tcPr>
          <w:p w14:paraId="4D0F40C0" w14:textId="77777777" w:rsidR="004C19ED" w:rsidRPr="00415083" w:rsidRDefault="004C19ED" w:rsidP="003E2CCD">
            <w:pPr>
              <w:jc w:val="right"/>
              <w:rPr>
                <w:rFonts w:eastAsia="Times New Roman" w:cs="Arial"/>
                <w:color w:val="000000"/>
                <w:szCs w:val="20"/>
                <w:lang w:eastAsia="pt-BR"/>
              </w:rPr>
            </w:pPr>
            <w:r w:rsidRPr="00415083">
              <w:rPr>
                <w:rFonts w:eastAsia="Times New Roman" w:cs="Arial"/>
                <w:color w:val="000000"/>
                <w:szCs w:val="20"/>
                <w:lang w:eastAsia="pt-BR"/>
              </w:rPr>
              <w:t>5</w:t>
            </w:r>
            <w:r>
              <w:rPr>
                <w:rFonts w:eastAsia="Times New Roman" w:cs="Arial"/>
                <w:color w:val="000000"/>
                <w:szCs w:val="20"/>
                <w:lang w:eastAsia="pt-BR"/>
              </w:rPr>
              <w:t>.</w:t>
            </w:r>
            <w:r w:rsidRPr="00415083">
              <w:rPr>
                <w:rFonts w:eastAsia="Times New Roman" w:cs="Arial"/>
                <w:color w:val="000000"/>
                <w:szCs w:val="20"/>
                <w:lang w:eastAsia="pt-BR"/>
              </w:rPr>
              <w:t>608</w:t>
            </w:r>
            <w:r>
              <w:rPr>
                <w:rFonts w:eastAsia="Times New Roman" w:cs="Arial"/>
                <w:color w:val="000000"/>
                <w:szCs w:val="20"/>
                <w:lang w:eastAsia="pt-BR"/>
              </w:rPr>
              <w:t>.</w:t>
            </w:r>
            <w:r w:rsidRPr="00415083">
              <w:rPr>
                <w:rFonts w:eastAsia="Times New Roman" w:cs="Arial"/>
                <w:color w:val="000000"/>
                <w:szCs w:val="20"/>
                <w:lang w:eastAsia="pt-BR"/>
              </w:rPr>
              <w:t>702</w:t>
            </w:r>
            <w:r>
              <w:rPr>
                <w:rFonts w:eastAsia="Times New Roman" w:cs="Arial"/>
                <w:color w:val="000000"/>
                <w:szCs w:val="20"/>
                <w:lang w:eastAsia="pt-BR"/>
              </w:rPr>
              <w:t>.</w:t>
            </w:r>
            <w:r w:rsidRPr="00415083">
              <w:rPr>
                <w:rFonts w:eastAsia="Times New Roman" w:cs="Arial"/>
                <w:color w:val="000000"/>
                <w:szCs w:val="20"/>
                <w:lang w:eastAsia="pt-BR"/>
              </w:rPr>
              <w:t>974,87</w:t>
            </w:r>
          </w:p>
        </w:tc>
        <w:tc>
          <w:tcPr>
            <w:tcW w:w="1732" w:type="dxa"/>
            <w:tcBorders>
              <w:top w:val="nil"/>
              <w:left w:val="nil"/>
              <w:bottom w:val="nil"/>
              <w:right w:val="nil"/>
            </w:tcBorders>
            <w:shd w:val="clear" w:color="auto" w:fill="auto"/>
            <w:noWrap/>
            <w:vAlign w:val="bottom"/>
          </w:tcPr>
          <w:p w14:paraId="5D33E4D6" w14:textId="77777777" w:rsidR="004C19ED" w:rsidRPr="003256CD" w:rsidRDefault="004C19ED" w:rsidP="003E2CCD">
            <w:pPr>
              <w:jc w:val="right"/>
              <w:rPr>
                <w:rFonts w:eastAsia="Times New Roman" w:cs="Arial"/>
                <w:color w:val="000000"/>
                <w:szCs w:val="20"/>
                <w:lang w:eastAsia="pt-BR"/>
              </w:rPr>
            </w:pPr>
          </w:p>
        </w:tc>
        <w:tc>
          <w:tcPr>
            <w:tcW w:w="1865" w:type="dxa"/>
            <w:tcBorders>
              <w:top w:val="nil"/>
              <w:left w:val="nil"/>
              <w:bottom w:val="nil"/>
              <w:right w:val="nil"/>
            </w:tcBorders>
            <w:shd w:val="clear" w:color="auto" w:fill="auto"/>
            <w:noWrap/>
            <w:vAlign w:val="bottom"/>
          </w:tcPr>
          <w:p w14:paraId="2ADEC37B" w14:textId="77777777" w:rsidR="004C19ED" w:rsidRDefault="004C19ED" w:rsidP="003E2CCD">
            <w:pPr>
              <w:jc w:val="right"/>
              <w:rPr>
                <w:rFonts w:eastAsia="Times New Roman" w:cs="Arial"/>
                <w:color w:val="000000"/>
                <w:szCs w:val="20"/>
                <w:lang w:eastAsia="pt-BR"/>
              </w:rPr>
            </w:pPr>
          </w:p>
        </w:tc>
        <w:tc>
          <w:tcPr>
            <w:tcW w:w="930" w:type="dxa"/>
            <w:tcBorders>
              <w:top w:val="nil"/>
              <w:left w:val="nil"/>
              <w:bottom w:val="nil"/>
              <w:right w:val="nil"/>
            </w:tcBorders>
            <w:shd w:val="clear" w:color="auto" w:fill="auto"/>
            <w:noWrap/>
            <w:vAlign w:val="bottom"/>
          </w:tcPr>
          <w:p w14:paraId="3EFE0214"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40,60</w:t>
            </w:r>
          </w:p>
        </w:tc>
      </w:tr>
      <w:tr w:rsidR="004C19ED" w:rsidRPr="00484C19" w14:paraId="6E72A69E" w14:textId="77777777" w:rsidTr="003E2CCD">
        <w:trPr>
          <w:trHeight w:val="229"/>
        </w:trPr>
        <w:tc>
          <w:tcPr>
            <w:tcW w:w="2694" w:type="dxa"/>
            <w:tcBorders>
              <w:top w:val="nil"/>
              <w:left w:val="nil"/>
              <w:bottom w:val="single" w:sz="4" w:space="0" w:color="000000"/>
              <w:right w:val="nil"/>
            </w:tcBorders>
            <w:shd w:val="clear" w:color="auto" w:fill="D9D9D9" w:themeFill="background1" w:themeFillShade="D9"/>
            <w:noWrap/>
            <w:vAlign w:val="bottom"/>
            <w:hideMark/>
          </w:tcPr>
          <w:p w14:paraId="4182AC0E" w14:textId="77777777" w:rsidR="004C19ED" w:rsidRPr="00484C19" w:rsidRDefault="004C19ED" w:rsidP="003E2CCD">
            <w:pPr>
              <w:jc w:val="left"/>
              <w:rPr>
                <w:rFonts w:eastAsia="Times New Roman" w:cs="Arial"/>
                <w:b/>
                <w:bCs/>
                <w:color w:val="000000"/>
                <w:szCs w:val="20"/>
                <w:lang w:eastAsia="pt-BR"/>
              </w:rPr>
            </w:pPr>
            <w:r w:rsidRPr="00484C19">
              <w:rPr>
                <w:rFonts w:eastAsia="Times New Roman" w:cs="Arial"/>
                <w:b/>
                <w:bCs/>
                <w:color w:val="000000"/>
                <w:szCs w:val="20"/>
                <w:lang w:eastAsia="pt-BR"/>
              </w:rPr>
              <w:t>Total</w:t>
            </w:r>
          </w:p>
        </w:tc>
        <w:tc>
          <w:tcPr>
            <w:tcW w:w="1970" w:type="dxa"/>
            <w:tcBorders>
              <w:top w:val="nil"/>
              <w:left w:val="nil"/>
              <w:bottom w:val="single" w:sz="4" w:space="0" w:color="000000"/>
              <w:right w:val="nil"/>
            </w:tcBorders>
            <w:shd w:val="clear" w:color="auto" w:fill="D9D9D9" w:themeFill="background1" w:themeFillShade="D9"/>
            <w:noWrap/>
            <w:vAlign w:val="bottom"/>
          </w:tcPr>
          <w:p w14:paraId="4D0F6988" w14:textId="77777777" w:rsidR="004C19ED" w:rsidRPr="00415083" w:rsidRDefault="004C19ED" w:rsidP="003E2CCD">
            <w:pPr>
              <w:jc w:val="right"/>
              <w:rPr>
                <w:rFonts w:cs="Arial"/>
                <w:b/>
                <w:bCs/>
                <w:szCs w:val="20"/>
              </w:rPr>
            </w:pPr>
            <w:r w:rsidRPr="00415083">
              <w:rPr>
                <w:rFonts w:cs="Arial"/>
                <w:b/>
                <w:bCs/>
                <w:szCs w:val="20"/>
              </w:rPr>
              <w:t>13.813.060.597,85</w:t>
            </w:r>
          </w:p>
        </w:tc>
        <w:tc>
          <w:tcPr>
            <w:tcW w:w="1732" w:type="dxa"/>
            <w:tcBorders>
              <w:top w:val="nil"/>
              <w:left w:val="nil"/>
              <w:bottom w:val="single" w:sz="4" w:space="0" w:color="000000"/>
              <w:right w:val="nil"/>
            </w:tcBorders>
            <w:shd w:val="clear" w:color="auto" w:fill="D9D9D9" w:themeFill="background1" w:themeFillShade="D9"/>
            <w:noWrap/>
            <w:vAlign w:val="bottom"/>
            <w:hideMark/>
          </w:tcPr>
          <w:p w14:paraId="63505514" w14:textId="77777777" w:rsidR="004C19ED" w:rsidRPr="00484C19" w:rsidRDefault="004C19ED" w:rsidP="003E2CCD">
            <w:pPr>
              <w:jc w:val="right"/>
              <w:rPr>
                <w:rFonts w:eastAsia="Times New Roman" w:cs="Arial"/>
                <w:b/>
                <w:bCs/>
                <w:color w:val="000000"/>
                <w:szCs w:val="20"/>
                <w:lang w:eastAsia="pt-BR"/>
              </w:rPr>
            </w:pPr>
            <w:r w:rsidRPr="009D5FE8">
              <w:rPr>
                <w:rFonts w:eastAsia="Times New Roman" w:cs="Arial"/>
                <w:b/>
                <w:bCs/>
                <w:color w:val="000000"/>
                <w:szCs w:val="20"/>
                <w:lang w:eastAsia="pt-BR"/>
              </w:rPr>
              <w:t>11.666.084,99</w:t>
            </w:r>
            <w:r w:rsidRPr="009D5FE8">
              <w:rPr>
                <w:rFonts w:eastAsia="Times New Roman" w:cs="Arial"/>
                <w:b/>
                <w:bCs/>
                <w:color w:val="000000"/>
                <w:szCs w:val="20"/>
                <w:lang w:eastAsia="pt-BR"/>
              </w:rPr>
              <w:tab/>
            </w:r>
          </w:p>
        </w:tc>
        <w:tc>
          <w:tcPr>
            <w:tcW w:w="1865" w:type="dxa"/>
            <w:tcBorders>
              <w:top w:val="nil"/>
              <w:left w:val="nil"/>
              <w:bottom w:val="single" w:sz="4" w:space="0" w:color="000000"/>
              <w:right w:val="nil"/>
            </w:tcBorders>
            <w:shd w:val="clear" w:color="auto" w:fill="D9D9D9" w:themeFill="background1" w:themeFillShade="D9"/>
            <w:noWrap/>
            <w:vAlign w:val="bottom"/>
            <w:hideMark/>
          </w:tcPr>
          <w:p w14:paraId="1BDCD5D5" w14:textId="77777777" w:rsidR="004C19ED" w:rsidRPr="00484C19"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40,50</w:t>
            </w:r>
          </w:p>
        </w:tc>
        <w:tc>
          <w:tcPr>
            <w:tcW w:w="930" w:type="dxa"/>
            <w:tcBorders>
              <w:top w:val="nil"/>
              <w:left w:val="nil"/>
              <w:bottom w:val="single" w:sz="4" w:space="0" w:color="000000"/>
              <w:right w:val="nil"/>
            </w:tcBorders>
            <w:shd w:val="clear" w:color="auto" w:fill="D9D9D9" w:themeFill="background1" w:themeFillShade="D9"/>
            <w:noWrap/>
            <w:vAlign w:val="bottom"/>
            <w:hideMark/>
          </w:tcPr>
          <w:p w14:paraId="0203FFA2" w14:textId="77777777" w:rsidR="004C19ED" w:rsidRPr="00484C19"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10</w:t>
            </w:r>
            <w:r w:rsidRPr="00484C19">
              <w:rPr>
                <w:rFonts w:eastAsia="Times New Roman" w:cs="Arial"/>
                <w:b/>
                <w:bCs/>
                <w:color w:val="000000"/>
                <w:szCs w:val="20"/>
                <w:lang w:eastAsia="pt-BR"/>
              </w:rPr>
              <w:t>0,</w:t>
            </w:r>
            <w:r>
              <w:rPr>
                <w:rFonts w:eastAsia="Times New Roman" w:cs="Arial"/>
                <w:b/>
                <w:bCs/>
                <w:color w:val="000000"/>
                <w:szCs w:val="20"/>
                <w:lang w:eastAsia="pt-BR"/>
              </w:rPr>
              <w:t>00</w:t>
            </w:r>
            <w:r w:rsidRPr="00484C19">
              <w:rPr>
                <w:rFonts w:eastAsia="Times New Roman" w:cs="Arial"/>
                <w:b/>
                <w:bCs/>
                <w:color w:val="000000"/>
                <w:szCs w:val="20"/>
                <w:lang w:eastAsia="pt-BR"/>
              </w:rPr>
              <w:t>%</w:t>
            </w:r>
          </w:p>
        </w:tc>
      </w:tr>
    </w:tbl>
    <w:p w14:paraId="3F6EE127" w14:textId="77777777" w:rsidR="004C19ED" w:rsidRPr="00484C19" w:rsidRDefault="004C19ED" w:rsidP="004C19ED">
      <w:pPr>
        <w:rPr>
          <w:rFonts w:cs="Arial"/>
          <w:i/>
          <w:szCs w:val="20"/>
        </w:rPr>
      </w:pPr>
      <w:r w:rsidRPr="00484C19">
        <w:rPr>
          <w:rFonts w:cs="Arial"/>
          <w:i/>
          <w:szCs w:val="20"/>
        </w:rPr>
        <w:t>Fonte: SIAFI, 20</w:t>
      </w:r>
      <w:r>
        <w:rPr>
          <w:rFonts w:cs="Arial"/>
          <w:i/>
          <w:szCs w:val="20"/>
        </w:rPr>
        <w:t>21</w:t>
      </w:r>
      <w:r w:rsidRPr="00484C19">
        <w:rPr>
          <w:rFonts w:cs="Arial"/>
          <w:i/>
          <w:szCs w:val="20"/>
        </w:rPr>
        <w:t xml:space="preserve"> e 20</w:t>
      </w:r>
      <w:r>
        <w:rPr>
          <w:rFonts w:cs="Arial"/>
          <w:i/>
          <w:szCs w:val="20"/>
        </w:rPr>
        <w:t>20</w:t>
      </w:r>
      <w:r w:rsidRPr="00484C19">
        <w:rPr>
          <w:rFonts w:cs="Arial"/>
          <w:i/>
          <w:szCs w:val="20"/>
        </w:rPr>
        <w:t>.</w:t>
      </w:r>
    </w:p>
    <w:p w14:paraId="1BC0795A" w14:textId="77777777" w:rsidR="004C19ED" w:rsidRDefault="004C19ED" w:rsidP="004C19ED">
      <w:pPr>
        <w:rPr>
          <w:rFonts w:cs="Arial"/>
          <w:szCs w:val="20"/>
        </w:rPr>
      </w:pPr>
    </w:p>
    <w:p w14:paraId="41FC1F8D" w14:textId="77777777" w:rsidR="004C19ED" w:rsidRPr="00B34437" w:rsidRDefault="004C19ED" w:rsidP="004C19ED">
      <w:pPr>
        <w:rPr>
          <w:rFonts w:cs="Arial"/>
          <w:b/>
          <w:sz w:val="22"/>
        </w:rPr>
      </w:pPr>
      <w:r w:rsidRPr="00B34437">
        <w:rPr>
          <w:rFonts w:cs="Arial"/>
          <w:b/>
          <w:sz w:val="22"/>
        </w:rPr>
        <w:t>Tabela 19 – Garantias mais expressivas.</w:t>
      </w:r>
    </w:p>
    <w:p w14:paraId="0053445C" w14:textId="77777777" w:rsidR="004C19ED" w:rsidRDefault="004C19ED" w:rsidP="004C19ED">
      <w:pPr>
        <w:jc w:val="right"/>
        <w:rPr>
          <w:rFonts w:cs="Arial"/>
          <w:szCs w:val="20"/>
        </w:rPr>
      </w:pPr>
      <w:r>
        <w:rPr>
          <w:rFonts w:cs="Arial"/>
          <w:szCs w:val="20"/>
        </w:rPr>
        <w:t xml:space="preserve">  R$</w:t>
      </w:r>
    </w:p>
    <w:tbl>
      <w:tblPr>
        <w:tblW w:w="9261" w:type="dxa"/>
        <w:tblCellMar>
          <w:left w:w="70" w:type="dxa"/>
          <w:right w:w="70" w:type="dxa"/>
        </w:tblCellMar>
        <w:tblLook w:val="04A0" w:firstRow="1" w:lastRow="0" w:firstColumn="1" w:lastColumn="0" w:noHBand="0" w:noVBand="1"/>
      </w:tblPr>
      <w:tblGrid>
        <w:gridCol w:w="70"/>
        <w:gridCol w:w="2228"/>
        <w:gridCol w:w="466"/>
        <w:gridCol w:w="1970"/>
        <w:gridCol w:w="1297"/>
        <w:gridCol w:w="435"/>
        <w:gridCol w:w="1726"/>
        <w:gridCol w:w="139"/>
        <w:gridCol w:w="922"/>
        <w:gridCol w:w="8"/>
      </w:tblGrid>
      <w:tr w:rsidR="004C19ED" w:rsidRPr="00FF5ACF" w14:paraId="65ACA675" w14:textId="77777777" w:rsidTr="003E2CCD">
        <w:trPr>
          <w:gridAfter w:val="1"/>
          <w:wAfter w:w="8" w:type="dxa"/>
          <w:trHeight w:val="255"/>
        </w:trPr>
        <w:tc>
          <w:tcPr>
            <w:tcW w:w="2298" w:type="dxa"/>
            <w:gridSpan w:val="2"/>
            <w:tcBorders>
              <w:top w:val="single" w:sz="4" w:space="0" w:color="000000"/>
              <w:left w:val="nil"/>
              <w:bottom w:val="single" w:sz="4" w:space="0" w:color="000000"/>
              <w:right w:val="nil"/>
            </w:tcBorders>
            <w:shd w:val="clear" w:color="auto" w:fill="auto"/>
            <w:noWrap/>
            <w:vAlign w:val="bottom"/>
          </w:tcPr>
          <w:p w14:paraId="157232A0" w14:textId="77777777" w:rsidR="004C19ED" w:rsidRPr="00FF5ACF" w:rsidRDefault="004C19ED" w:rsidP="003E2CCD">
            <w:pPr>
              <w:jc w:val="left"/>
              <w:rPr>
                <w:rFonts w:eastAsia="Times New Roman" w:cs="Arial"/>
                <w:b/>
                <w:bCs/>
                <w:szCs w:val="20"/>
                <w:lang w:eastAsia="pt-BR"/>
              </w:rPr>
            </w:pPr>
            <w:r>
              <w:rPr>
                <w:rFonts w:eastAsia="Times New Roman" w:cs="Arial"/>
                <w:b/>
                <w:bCs/>
                <w:szCs w:val="20"/>
                <w:lang w:eastAsia="pt-BR"/>
              </w:rPr>
              <w:t>TIPO</w:t>
            </w:r>
          </w:p>
        </w:tc>
        <w:tc>
          <w:tcPr>
            <w:tcW w:w="3733" w:type="dxa"/>
            <w:gridSpan w:val="3"/>
            <w:tcBorders>
              <w:top w:val="single" w:sz="4" w:space="0" w:color="000000"/>
              <w:left w:val="nil"/>
              <w:bottom w:val="single" w:sz="4" w:space="0" w:color="000000"/>
              <w:right w:val="nil"/>
            </w:tcBorders>
            <w:shd w:val="clear" w:color="auto" w:fill="auto"/>
            <w:noWrap/>
            <w:vAlign w:val="bottom"/>
          </w:tcPr>
          <w:p w14:paraId="590CD641" w14:textId="77777777" w:rsidR="004C19ED" w:rsidRPr="00FF5ACF" w:rsidRDefault="004C19ED" w:rsidP="003E2CCD">
            <w:pPr>
              <w:jc w:val="left"/>
              <w:rPr>
                <w:rFonts w:eastAsia="Times New Roman" w:cs="Arial"/>
                <w:b/>
                <w:bCs/>
                <w:szCs w:val="20"/>
                <w:lang w:eastAsia="pt-BR"/>
              </w:rPr>
            </w:pPr>
            <w:r>
              <w:rPr>
                <w:rFonts w:eastAsia="Times New Roman" w:cs="Arial"/>
                <w:b/>
                <w:bCs/>
                <w:szCs w:val="20"/>
                <w:lang w:eastAsia="pt-BR"/>
              </w:rPr>
              <w:t>EMPRESA</w:t>
            </w:r>
          </w:p>
        </w:tc>
        <w:tc>
          <w:tcPr>
            <w:tcW w:w="2161" w:type="dxa"/>
            <w:gridSpan w:val="2"/>
            <w:tcBorders>
              <w:top w:val="single" w:sz="4" w:space="0" w:color="000000"/>
              <w:left w:val="nil"/>
              <w:bottom w:val="single" w:sz="4" w:space="0" w:color="000000"/>
              <w:right w:val="nil"/>
            </w:tcBorders>
            <w:shd w:val="clear" w:color="auto" w:fill="auto"/>
            <w:noWrap/>
            <w:vAlign w:val="bottom"/>
            <w:hideMark/>
          </w:tcPr>
          <w:p w14:paraId="5C845150"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w:t>
            </w:r>
            <w:r w:rsidRPr="00FF5ACF">
              <w:rPr>
                <w:rFonts w:eastAsia="Times New Roman" w:cs="Arial"/>
                <w:b/>
                <w:bCs/>
                <w:color w:val="000000"/>
                <w:szCs w:val="20"/>
                <w:lang w:eastAsia="pt-BR"/>
              </w:rPr>
              <w:t>/20</w:t>
            </w:r>
            <w:r>
              <w:rPr>
                <w:rFonts w:eastAsia="Times New Roman" w:cs="Arial"/>
                <w:b/>
                <w:bCs/>
                <w:color w:val="000000"/>
                <w:szCs w:val="20"/>
                <w:lang w:eastAsia="pt-BR"/>
              </w:rPr>
              <w:t>21</w:t>
            </w:r>
          </w:p>
        </w:tc>
        <w:tc>
          <w:tcPr>
            <w:tcW w:w="1061" w:type="dxa"/>
            <w:gridSpan w:val="2"/>
            <w:tcBorders>
              <w:top w:val="single" w:sz="4" w:space="0" w:color="000000"/>
              <w:left w:val="nil"/>
              <w:bottom w:val="single" w:sz="4" w:space="0" w:color="000000"/>
              <w:right w:val="nil"/>
            </w:tcBorders>
            <w:shd w:val="clear" w:color="auto" w:fill="auto"/>
            <w:noWrap/>
            <w:vAlign w:val="bottom"/>
            <w:hideMark/>
          </w:tcPr>
          <w:p w14:paraId="5B3043FA"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4C19ED" w:rsidRPr="00FF5ACF" w14:paraId="20CD19F6" w14:textId="77777777" w:rsidTr="003E2CCD">
        <w:trPr>
          <w:gridAfter w:val="1"/>
          <w:wAfter w:w="8" w:type="dxa"/>
          <w:trHeight w:val="283"/>
        </w:trPr>
        <w:tc>
          <w:tcPr>
            <w:tcW w:w="2298" w:type="dxa"/>
            <w:gridSpan w:val="2"/>
            <w:tcBorders>
              <w:top w:val="nil"/>
              <w:left w:val="nil"/>
              <w:bottom w:val="nil"/>
              <w:right w:val="nil"/>
            </w:tcBorders>
            <w:shd w:val="clear" w:color="auto" w:fill="D9D9D9" w:themeFill="background1" w:themeFillShade="D9"/>
            <w:noWrap/>
            <w:vAlign w:val="bottom"/>
          </w:tcPr>
          <w:p w14:paraId="2B7AD223"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Fianças</w:t>
            </w:r>
          </w:p>
        </w:tc>
        <w:tc>
          <w:tcPr>
            <w:tcW w:w="3733" w:type="dxa"/>
            <w:gridSpan w:val="3"/>
            <w:tcBorders>
              <w:top w:val="nil"/>
              <w:left w:val="nil"/>
              <w:bottom w:val="nil"/>
              <w:right w:val="nil"/>
            </w:tcBorders>
            <w:shd w:val="clear" w:color="auto" w:fill="D9D9D9" w:themeFill="background1" w:themeFillShade="D9"/>
            <w:vAlign w:val="bottom"/>
          </w:tcPr>
          <w:p w14:paraId="21DC5751" w14:textId="77777777" w:rsidR="004C19ED" w:rsidRDefault="004C19ED" w:rsidP="003E2CCD">
            <w:pPr>
              <w:jc w:val="left"/>
              <w:rPr>
                <w:rFonts w:eastAsia="Times New Roman" w:cs="Arial"/>
                <w:color w:val="000000"/>
                <w:szCs w:val="20"/>
                <w:lang w:eastAsia="pt-BR"/>
              </w:rPr>
            </w:pPr>
            <w:proofErr w:type="spellStart"/>
            <w:r>
              <w:rPr>
                <w:rFonts w:eastAsia="Times New Roman" w:cs="Arial"/>
                <w:color w:val="000000"/>
                <w:szCs w:val="20"/>
                <w:lang w:eastAsia="pt-BR"/>
              </w:rPr>
              <w:t>Fundunesp</w:t>
            </w:r>
            <w:proofErr w:type="spellEnd"/>
          </w:p>
        </w:tc>
        <w:tc>
          <w:tcPr>
            <w:tcW w:w="2161" w:type="dxa"/>
            <w:gridSpan w:val="2"/>
            <w:tcBorders>
              <w:top w:val="nil"/>
              <w:left w:val="nil"/>
              <w:bottom w:val="nil"/>
              <w:right w:val="nil"/>
            </w:tcBorders>
            <w:shd w:val="clear" w:color="auto" w:fill="D9D9D9" w:themeFill="background1" w:themeFillShade="D9"/>
            <w:noWrap/>
            <w:vAlign w:val="bottom"/>
          </w:tcPr>
          <w:p w14:paraId="1D0E86A9" w14:textId="77777777" w:rsidR="004C19ED" w:rsidRDefault="004C19ED" w:rsidP="003E2CCD">
            <w:pPr>
              <w:jc w:val="right"/>
              <w:rPr>
                <w:rFonts w:eastAsia="Times New Roman" w:cs="Arial"/>
                <w:color w:val="000000"/>
                <w:szCs w:val="20"/>
                <w:lang w:eastAsia="pt-BR"/>
              </w:rPr>
            </w:pPr>
            <w:r w:rsidRPr="00D164C7">
              <w:rPr>
                <w:rFonts w:eastAsia="Times New Roman" w:cs="Arial"/>
                <w:color w:val="000000"/>
                <w:szCs w:val="20"/>
                <w:lang w:eastAsia="pt-BR"/>
              </w:rPr>
              <w:t>144.577,49</w:t>
            </w:r>
          </w:p>
        </w:tc>
        <w:tc>
          <w:tcPr>
            <w:tcW w:w="1061" w:type="dxa"/>
            <w:gridSpan w:val="2"/>
            <w:tcBorders>
              <w:top w:val="nil"/>
              <w:left w:val="nil"/>
              <w:bottom w:val="nil"/>
              <w:right w:val="nil"/>
            </w:tcBorders>
            <w:shd w:val="clear" w:color="auto" w:fill="D9D9D9" w:themeFill="background1" w:themeFillShade="D9"/>
            <w:noWrap/>
            <w:vAlign w:val="bottom"/>
          </w:tcPr>
          <w:p w14:paraId="5150B8C4"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0,0010</w:t>
            </w:r>
          </w:p>
        </w:tc>
      </w:tr>
      <w:tr w:rsidR="004C19ED" w:rsidRPr="00FF5ACF" w14:paraId="5BBBEA0E" w14:textId="77777777" w:rsidTr="003E2CCD">
        <w:trPr>
          <w:gridAfter w:val="1"/>
          <w:wAfter w:w="8" w:type="dxa"/>
          <w:trHeight w:val="283"/>
        </w:trPr>
        <w:tc>
          <w:tcPr>
            <w:tcW w:w="2298" w:type="dxa"/>
            <w:gridSpan w:val="2"/>
            <w:tcBorders>
              <w:top w:val="nil"/>
              <w:left w:val="nil"/>
              <w:bottom w:val="nil"/>
              <w:right w:val="nil"/>
            </w:tcBorders>
            <w:shd w:val="clear" w:color="auto" w:fill="auto"/>
            <w:noWrap/>
            <w:vAlign w:val="bottom"/>
            <w:hideMark/>
          </w:tcPr>
          <w:p w14:paraId="7769B546" w14:textId="77777777" w:rsidR="004C19ED" w:rsidRPr="00FF5ACF" w:rsidRDefault="004C19ED" w:rsidP="003E2CCD">
            <w:pPr>
              <w:jc w:val="left"/>
              <w:rPr>
                <w:rFonts w:eastAsia="Times New Roman" w:cs="Arial"/>
                <w:color w:val="000000"/>
                <w:szCs w:val="20"/>
                <w:lang w:eastAsia="pt-BR"/>
              </w:rPr>
            </w:pPr>
            <w:r>
              <w:rPr>
                <w:rFonts w:eastAsia="Times New Roman" w:cs="Arial"/>
                <w:color w:val="000000"/>
                <w:szCs w:val="20"/>
                <w:lang w:eastAsia="pt-BR"/>
              </w:rPr>
              <w:t>Seguros-Garantia</w:t>
            </w:r>
          </w:p>
        </w:tc>
        <w:tc>
          <w:tcPr>
            <w:tcW w:w="3733" w:type="dxa"/>
            <w:gridSpan w:val="3"/>
            <w:tcBorders>
              <w:top w:val="nil"/>
              <w:left w:val="nil"/>
              <w:bottom w:val="nil"/>
              <w:right w:val="nil"/>
            </w:tcBorders>
            <w:shd w:val="clear" w:color="auto" w:fill="auto"/>
            <w:vAlign w:val="bottom"/>
            <w:hideMark/>
          </w:tcPr>
          <w:p w14:paraId="2D5C4680" w14:textId="77777777" w:rsidR="004C19ED" w:rsidRPr="00FF5ACF" w:rsidRDefault="004C19ED" w:rsidP="003E2CCD">
            <w:pPr>
              <w:jc w:val="left"/>
              <w:rPr>
                <w:rFonts w:eastAsia="Times New Roman" w:cs="Arial"/>
                <w:color w:val="000000"/>
                <w:szCs w:val="20"/>
                <w:lang w:eastAsia="pt-BR"/>
              </w:rPr>
            </w:pPr>
            <w:r>
              <w:rPr>
                <w:rFonts w:eastAsia="Times New Roman" w:cs="Arial"/>
                <w:color w:val="000000"/>
                <w:szCs w:val="20"/>
                <w:lang w:eastAsia="pt-BR"/>
              </w:rPr>
              <w:t>Shell Brasil</w:t>
            </w:r>
          </w:p>
        </w:tc>
        <w:tc>
          <w:tcPr>
            <w:tcW w:w="2161" w:type="dxa"/>
            <w:gridSpan w:val="2"/>
            <w:tcBorders>
              <w:top w:val="nil"/>
              <w:left w:val="nil"/>
              <w:bottom w:val="nil"/>
              <w:right w:val="nil"/>
            </w:tcBorders>
            <w:shd w:val="clear" w:color="auto" w:fill="auto"/>
            <w:noWrap/>
            <w:vAlign w:val="bottom"/>
          </w:tcPr>
          <w:p w14:paraId="480970F2" w14:textId="77777777" w:rsidR="004C19ED" w:rsidRPr="00FF5ACF" w:rsidRDefault="004C19ED" w:rsidP="003E2CCD">
            <w:pPr>
              <w:jc w:val="right"/>
              <w:rPr>
                <w:rFonts w:eastAsia="Times New Roman" w:cs="Arial"/>
                <w:color w:val="000000"/>
                <w:szCs w:val="20"/>
                <w:lang w:eastAsia="pt-BR"/>
              </w:rPr>
            </w:pPr>
            <w:r w:rsidRPr="00AF6758">
              <w:rPr>
                <w:rFonts w:eastAsia="Times New Roman" w:cs="Arial"/>
                <w:color w:val="000000"/>
                <w:szCs w:val="20"/>
                <w:lang w:eastAsia="pt-BR"/>
              </w:rPr>
              <w:t>136</w:t>
            </w:r>
            <w:r>
              <w:rPr>
                <w:rFonts w:eastAsia="Times New Roman" w:cs="Arial"/>
                <w:color w:val="000000"/>
                <w:szCs w:val="20"/>
                <w:lang w:eastAsia="pt-BR"/>
              </w:rPr>
              <w:t>.</w:t>
            </w:r>
            <w:r w:rsidRPr="00AF6758">
              <w:rPr>
                <w:rFonts w:eastAsia="Times New Roman" w:cs="Arial"/>
                <w:color w:val="000000"/>
                <w:szCs w:val="20"/>
                <w:lang w:eastAsia="pt-BR"/>
              </w:rPr>
              <w:t>324</w:t>
            </w:r>
            <w:r>
              <w:rPr>
                <w:rFonts w:eastAsia="Times New Roman" w:cs="Arial"/>
                <w:color w:val="000000"/>
                <w:szCs w:val="20"/>
                <w:lang w:eastAsia="pt-BR"/>
              </w:rPr>
              <w:t>.</w:t>
            </w:r>
            <w:r w:rsidRPr="00AF6758">
              <w:rPr>
                <w:rFonts w:eastAsia="Times New Roman" w:cs="Arial"/>
                <w:color w:val="000000"/>
                <w:szCs w:val="20"/>
                <w:lang w:eastAsia="pt-BR"/>
              </w:rPr>
              <w:t>962,5</w:t>
            </w:r>
            <w:r>
              <w:rPr>
                <w:rFonts w:eastAsia="Times New Roman" w:cs="Arial"/>
                <w:color w:val="000000"/>
                <w:szCs w:val="20"/>
                <w:lang w:eastAsia="pt-BR"/>
              </w:rPr>
              <w:t>0</w:t>
            </w:r>
          </w:p>
        </w:tc>
        <w:tc>
          <w:tcPr>
            <w:tcW w:w="1061" w:type="dxa"/>
            <w:gridSpan w:val="2"/>
            <w:tcBorders>
              <w:top w:val="nil"/>
              <w:left w:val="nil"/>
              <w:bottom w:val="nil"/>
              <w:right w:val="nil"/>
            </w:tcBorders>
            <w:shd w:val="clear" w:color="auto" w:fill="auto"/>
            <w:noWrap/>
            <w:vAlign w:val="bottom"/>
            <w:hideMark/>
          </w:tcPr>
          <w:p w14:paraId="2D3EC297" w14:textId="77777777" w:rsidR="004C19ED" w:rsidRPr="00FF5ACF" w:rsidRDefault="004C19ED" w:rsidP="003E2CCD">
            <w:pPr>
              <w:jc w:val="right"/>
              <w:rPr>
                <w:rFonts w:eastAsia="Times New Roman" w:cs="Arial"/>
                <w:color w:val="000000"/>
                <w:szCs w:val="20"/>
                <w:lang w:eastAsia="pt-BR"/>
              </w:rPr>
            </w:pPr>
            <w:r>
              <w:rPr>
                <w:rFonts w:eastAsia="Times New Roman" w:cs="Arial"/>
                <w:color w:val="000000"/>
                <w:szCs w:val="20"/>
                <w:lang w:eastAsia="pt-BR"/>
              </w:rPr>
              <w:t>0,9869</w:t>
            </w:r>
          </w:p>
        </w:tc>
      </w:tr>
      <w:tr w:rsidR="004C19ED" w:rsidRPr="00FF5ACF" w14:paraId="2C58D8D2" w14:textId="77777777" w:rsidTr="003E2CCD">
        <w:trPr>
          <w:gridAfter w:val="1"/>
          <w:wAfter w:w="8" w:type="dxa"/>
          <w:trHeight w:val="283"/>
        </w:trPr>
        <w:tc>
          <w:tcPr>
            <w:tcW w:w="2298" w:type="dxa"/>
            <w:gridSpan w:val="2"/>
            <w:tcBorders>
              <w:top w:val="nil"/>
              <w:left w:val="nil"/>
              <w:bottom w:val="nil"/>
              <w:right w:val="nil"/>
            </w:tcBorders>
            <w:shd w:val="clear" w:color="auto" w:fill="D9D9D9" w:themeFill="background1" w:themeFillShade="D9"/>
            <w:noWrap/>
            <w:vAlign w:val="bottom"/>
            <w:hideMark/>
          </w:tcPr>
          <w:p w14:paraId="530EF4B3" w14:textId="77777777" w:rsidR="004C19ED" w:rsidRPr="00FF5ACF" w:rsidRDefault="004C19ED" w:rsidP="003E2CCD">
            <w:pPr>
              <w:jc w:val="left"/>
              <w:rPr>
                <w:rFonts w:eastAsia="Times New Roman" w:cs="Arial"/>
                <w:color w:val="000000"/>
                <w:szCs w:val="20"/>
                <w:lang w:eastAsia="pt-BR"/>
              </w:rPr>
            </w:pPr>
            <w:r>
              <w:rPr>
                <w:rFonts w:eastAsia="Times New Roman" w:cs="Arial"/>
                <w:color w:val="000000"/>
                <w:szCs w:val="20"/>
                <w:lang w:eastAsia="pt-BR"/>
              </w:rPr>
              <w:t>Caução</w:t>
            </w:r>
          </w:p>
        </w:tc>
        <w:tc>
          <w:tcPr>
            <w:tcW w:w="3733" w:type="dxa"/>
            <w:gridSpan w:val="3"/>
            <w:tcBorders>
              <w:top w:val="nil"/>
              <w:left w:val="nil"/>
              <w:bottom w:val="nil"/>
              <w:right w:val="nil"/>
            </w:tcBorders>
            <w:shd w:val="clear" w:color="auto" w:fill="D9D9D9" w:themeFill="background1" w:themeFillShade="D9"/>
            <w:vAlign w:val="bottom"/>
            <w:hideMark/>
          </w:tcPr>
          <w:p w14:paraId="7FCE5A27" w14:textId="77777777" w:rsidR="004C19ED" w:rsidRPr="00FF5ACF" w:rsidRDefault="004C19ED" w:rsidP="003E2CCD">
            <w:pPr>
              <w:jc w:val="left"/>
              <w:rPr>
                <w:rFonts w:eastAsia="Times New Roman" w:cs="Arial"/>
                <w:color w:val="000000"/>
                <w:szCs w:val="20"/>
                <w:lang w:eastAsia="pt-BR"/>
              </w:rPr>
            </w:pPr>
            <w:r>
              <w:rPr>
                <w:rFonts w:eastAsia="Times New Roman" w:cs="Arial"/>
                <w:color w:val="000000"/>
                <w:szCs w:val="20"/>
                <w:lang w:eastAsia="pt-BR"/>
              </w:rPr>
              <w:t>BGM</w:t>
            </w:r>
          </w:p>
        </w:tc>
        <w:tc>
          <w:tcPr>
            <w:tcW w:w="2161" w:type="dxa"/>
            <w:gridSpan w:val="2"/>
            <w:tcBorders>
              <w:top w:val="nil"/>
              <w:left w:val="nil"/>
              <w:bottom w:val="nil"/>
              <w:right w:val="nil"/>
            </w:tcBorders>
            <w:shd w:val="clear" w:color="auto" w:fill="D9D9D9" w:themeFill="background1" w:themeFillShade="D9"/>
            <w:noWrap/>
            <w:vAlign w:val="bottom"/>
          </w:tcPr>
          <w:p w14:paraId="2A659649" w14:textId="77777777" w:rsidR="004C19ED" w:rsidRPr="00FF5ACF" w:rsidRDefault="004C19ED" w:rsidP="003E2CCD">
            <w:pPr>
              <w:jc w:val="right"/>
              <w:rPr>
                <w:rFonts w:eastAsia="Times New Roman" w:cs="Arial"/>
                <w:color w:val="000000"/>
                <w:szCs w:val="20"/>
                <w:lang w:eastAsia="pt-BR"/>
              </w:rPr>
            </w:pPr>
            <w:r w:rsidRPr="00D164C7">
              <w:rPr>
                <w:rFonts w:eastAsia="Times New Roman" w:cs="Arial"/>
                <w:color w:val="000000"/>
                <w:szCs w:val="20"/>
                <w:lang w:eastAsia="pt-BR"/>
              </w:rPr>
              <w:t>1</w:t>
            </w:r>
            <w:r>
              <w:rPr>
                <w:rFonts w:eastAsia="Times New Roman" w:cs="Arial"/>
                <w:color w:val="000000"/>
                <w:szCs w:val="20"/>
                <w:lang w:eastAsia="pt-BR"/>
              </w:rPr>
              <w:t>.</w:t>
            </w:r>
            <w:r w:rsidRPr="00D164C7">
              <w:rPr>
                <w:rFonts w:eastAsia="Times New Roman" w:cs="Arial"/>
                <w:color w:val="000000"/>
                <w:szCs w:val="20"/>
                <w:lang w:eastAsia="pt-BR"/>
              </w:rPr>
              <w:t>389</w:t>
            </w:r>
            <w:r>
              <w:rPr>
                <w:rFonts w:eastAsia="Times New Roman" w:cs="Arial"/>
                <w:color w:val="000000"/>
                <w:szCs w:val="20"/>
                <w:lang w:eastAsia="pt-BR"/>
              </w:rPr>
              <w:t>.</w:t>
            </w:r>
            <w:r w:rsidRPr="00D164C7">
              <w:rPr>
                <w:rFonts w:eastAsia="Times New Roman" w:cs="Arial"/>
                <w:color w:val="000000"/>
                <w:szCs w:val="20"/>
                <w:lang w:eastAsia="pt-BR"/>
              </w:rPr>
              <w:t>547,26</w:t>
            </w:r>
          </w:p>
        </w:tc>
        <w:tc>
          <w:tcPr>
            <w:tcW w:w="1061" w:type="dxa"/>
            <w:gridSpan w:val="2"/>
            <w:tcBorders>
              <w:top w:val="nil"/>
              <w:left w:val="nil"/>
              <w:bottom w:val="nil"/>
              <w:right w:val="nil"/>
            </w:tcBorders>
            <w:shd w:val="clear" w:color="auto" w:fill="D9D9D9" w:themeFill="background1" w:themeFillShade="D9"/>
            <w:noWrap/>
            <w:vAlign w:val="bottom"/>
            <w:hideMark/>
          </w:tcPr>
          <w:p w14:paraId="16433BC6" w14:textId="77777777" w:rsidR="004C19ED" w:rsidRPr="00FF5ACF" w:rsidRDefault="004C19ED" w:rsidP="003E2CCD">
            <w:pPr>
              <w:jc w:val="right"/>
              <w:rPr>
                <w:rFonts w:eastAsia="Times New Roman" w:cs="Arial"/>
                <w:color w:val="000000"/>
                <w:szCs w:val="20"/>
                <w:lang w:eastAsia="pt-BR"/>
              </w:rPr>
            </w:pPr>
            <w:r>
              <w:rPr>
                <w:rFonts w:eastAsia="Times New Roman" w:cs="Arial"/>
                <w:color w:val="000000"/>
                <w:szCs w:val="20"/>
                <w:lang w:eastAsia="pt-BR"/>
              </w:rPr>
              <w:t>0,0101</w:t>
            </w:r>
          </w:p>
        </w:tc>
      </w:tr>
      <w:tr w:rsidR="004C19ED" w:rsidRPr="00FF5ACF" w14:paraId="255DBF48" w14:textId="77777777" w:rsidTr="003E2CCD">
        <w:trPr>
          <w:gridAfter w:val="1"/>
          <w:wAfter w:w="8" w:type="dxa"/>
          <w:trHeight w:val="283"/>
        </w:trPr>
        <w:tc>
          <w:tcPr>
            <w:tcW w:w="2298" w:type="dxa"/>
            <w:gridSpan w:val="2"/>
            <w:tcBorders>
              <w:top w:val="nil"/>
              <w:left w:val="nil"/>
              <w:bottom w:val="nil"/>
              <w:right w:val="nil"/>
            </w:tcBorders>
            <w:shd w:val="clear" w:color="auto" w:fill="auto"/>
            <w:noWrap/>
            <w:vAlign w:val="bottom"/>
          </w:tcPr>
          <w:p w14:paraId="6782CB7A"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Garantias Lei Especial</w:t>
            </w:r>
          </w:p>
        </w:tc>
        <w:tc>
          <w:tcPr>
            <w:tcW w:w="3733" w:type="dxa"/>
            <w:gridSpan w:val="3"/>
            <w:tcBorders>
              <w:top w:val="nil"/>
              <w:left w:val="nil"/>
              <w:bottom w:val="nil"/>
              <w:right w:val="nil"/>
            </w:tcBorders>
            <w:shd w:val="clear" w:color="auto" w:fill="auto"/>
            <w:vAlign w:val="bottom"/>
          </w:tcPr>
          <w:p w14:paraId="1FC4E356"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Petrobrás</w:t>
            </w:r>
          </w:p>
        </w:tc>
        <w:tc>
          <w:tcPr>
            <w:tcW w:w="2161" w:type="dxa"/>
            <w:gridSpan w:val="2"/>
            <w:tcBorders>
              <w:top w:val="nil"/>
              <w:left w:val="nil"/>
              <w:bottom w:val="nil"/>
              <w:right w:val="nil"/>
            </w:tcBorders>
            <w:shd w:val="clear" w:color="auto" w:fill="auto"/>
            <w:noWrap/>
            <w:vAlign w:val="bottom"/>
          </w:tcPr>
          <w:p w14:paraId="5F520FD0" w14:textId="77777777" w:rsidR="004C19ED" w:rsidRPr="00520CEE" w:rsidRDefault="004C19ED" w:rsidP="003E2CCD">
            <w:pPr>
              <w:jc w:val="right"/>
              <w:rPr>
                <w:rFonts w:eastAsia="Times New Roman" w:cs="Arial"/>
                <w:color w:val="000000"/>
                <w:szCs w:val="20"/>
                <w:lang w:eastAsia="pt-BR"/>
              </w:rPr>
            </w:pPr>
            <w:r w:rsidRPr="00AF6758">
              <w:rPr>
                <w:rFonts w:eastAsia="Times New Roman" w:cs="Arial"/>
                <w:color w:val="000000"/>
                <w:szCs w:val="20"/>
                <w:lang w:eastAsia="pt-BR"/>
              </w:rPr>
              <w:t>479</w:t>
            </w:r>
            <w:r>
              <w:rPr>
                <w:rFonts w:eastAsia="Times New Roman" w:cs="Arial"/>
                <w:color w:val="000000"/>
                <w:szCs w:val="20"/>
                <w:lang w:eastAsia="pt-BR"/>
              </w:rPr>
              <w:t>.</w:t>
            </w:r>
            <w:r w:rsidRPr="00AF6758">
              <w:rPr>
                <w:rFonts w:eastAsia="Times New Roman" w:cs="Arial"/>
                <w:color w:val="000000"/>
                <w:szCs w:val="20"/>
                <w:lang w:eastAsia="pt-BR"/>
              </w:rPr>
              <w:t>540</w:t>
            </w:r>
            <w:r>
              <w:rPr>
                <w:rFonts w:eastAsia="Times New Roman" w:cs="Arial"/>
                <w:color w:val="000000"/>
                <w:szCs w:val="20"/>
                <w:lang w:eastAsia="pt-BR"/>
              </w:rPr>
              <w:t>.</w:t>
            </w:r>
            <w:r w:rsidRPr="00AF6758">
              <w:rPr>
                <w:rFonts w:eastAsia="Times New Roman" w:cs="Arial"/>
                <w:color w:val="000000"/>
                <w:szCs w:val="20"/>
                <w:lang w:eastAsia="pt-BR"/>
              </w:rPr>
              <w:t>343,16</w:t>
            </w:r>
          </w:p>
        </w:tc>
        <w:tc>
          <w:tcPr>
            <w:tcW w:w="1061" w:type="dxa"/>
            <w:gridSpan w:val="2"/>
            <w:tcBorders>
              <w:top w:val="nil"/>
              <w:left w:val="nil"/>
              <w:bottom w:val="nil"/>
              <w:right w:val="nil"/>
            </w:tcBorders>
            <w:shd w:val="clear" w:color="auto" w:fill="auto"/>
            <w:noWrap/>
            <w:vAlign w:val="bottom"/>
          </w:tcPr>
          <w:p w14:paraId="6A3599E4"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3,4716</w:t>
            </w:r>
          </w:p>
        </w:tc>
      </w:tr>
      <w:tr w:rsidR="004C19ED" w:rsidRPr="00FF5ACF" w14:paraId="079E165A" w14:textId="77777777" w:rsidTr="003E2CCD">
        <w:trPr>
          <w:gridAfter w:val="1"/>
          <w:wAfter w:w="8" w:type="dxa"/>
          <w:trHeight w:val="283"/>
        </w:trPr>
        <w:tc>
          <w:tcPr>
            <w:tcW w:w="2298" w:type="dxa"/>
            <w:gridSpan w:val="2"/>
            <w:tcBorders>
              <w:top w:val="nil"/>
              <w:left w:val="nil"/>
              <w:bottom w:val="nil"/>
              <w:right w:val="nil"/>
            </w:tcBorders>
            <w:shd w:val="clear" w:color="auto" w:fill="D9D9D9" w:themeFill="background1" w:themeFillShade="D9"/>
            <w:noWrap/>
            <w:vAlign w:val="bottom"/>
          </w:tcPr>
          <w:p w14:paraId="188005E0"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Apólices de Seguros</w:t>
            </w:r>
          </w:p>
        </w:tc>
        <w:tc>
          <w:tcPr>
            <w:tcW w:w="3733" w:type="dxa"/>
            <w:gridSpan w:val="3"/>
            <w:tcBorders>
              <w:top w:val="nil"/>
              <w:left w:val="nil"/>
              <w:bottom w:val="nil"/>
              <w:right w:val="nil"/>
            </w:tcBorders>
            <w:shd w:val="clear" w:color="auto" w:fill="D9D9D9" w:themeFill="background1" w:themeFillShade="D9"/>
            <w:vAlign w:val="bottom"/>
          </w:tcPr>
          <w:p w14:paraId="026E1841"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BP Energy</w:t>
            </w:r>
          </w:p>
        </w:tc>
        <w:tc>
          <w:tcPr>
            <w:tcW w:w="2161" w:type="dxa"/>
            <w:gridSpan w:val="2"/>
            <w:tcBorders>
              <w:top w:val="nil"/>
              <w:left w:val="nil"/>
              <w:bottom w:val="nil"/>
              <w:right w:val="nil"/>
            </w:tcBorders>
            <w:shd w:val="clear" w:color="auto" w:fill="D9D9D9" w:themeFill="background1" w:themeFillShade="D9"/>
            <w:noWrap/>
            <w:vAlign w:val="bottom"/>
          </w:tcPr>
          <w:p w14:paraId="54A519BA" w14:textId="77777777" w:rsidR="004C19ED" w:rsidRPr="00520CEE" w:rsidRDefault="004C19ED" w:rsidP="003E2CCD">
            <w:pPr>
              <w:jc w:val="right"/>
              <w:rPr>
                <w:rFonts w:eastAsia="Times New Roman" w:cs="Arial"/>
                <w:color w:val="000000"/>
                <w:szCs w:val="20"/>
                <w:lang w:eastAsia="pt-BR"/>
              </w:rPr>
            </w:pPr>
            <w:r w:rsidRPr="00D164C7">
              <w:rPr>
                <w:rFonts w:eastAsia="Times New Roman" w:cs="Arial"/>
                <w:color w:val="000000"/>
                <w:szCs w:val="20"/>
                <w:lang w:eastAsia="pt-BR"/>
              </w:rPr>
              <w:t>252</w:t>
            </w:r>
            <w:r>
              <w:rPr>
                <w:rFonts w:eastAsia="Times New Roman" w:cs="Arial"/>
                <w:color w:val="000000"/>
                <w:szCs w:val="20"/>
                <w:lang w:eastAsia="pt-BR"/>
              </w:rPr>
              <w:t>.</w:t>
            </w:r>
            <w:r w:rsidRPr="00D164C7">
              <w:rPr>
                <w:rFonts w:eastAsia="Times New Roman" w:cs="Arial"/>
                <w:color w:val="000000"/>
                <w:szCs w:val="20"/>
                <w:lang w:eastAsia="pt-BR"/>
              </w:rPr>
              <w:t>146</w:t>
            </w:r>
            <w:r>
              <w:rPr>
                <w:rFonts w:eastAsia="Times New Roman" w:cs="Arial"/>
                <w:color w:val="000000"/>
                <w:szCs w:val="20"/>
                <w:lang w:eastAsia="pt-BR"/>
              </w:rPr>
              <w:t>.</w:t>
            </w:r>
            <w:r w:rsidRPr="00D164C7">
              <w:rPr>
                <w:rFonts w:eastAsia="Times New Roman" w:cs="Arial"/>
                <w:color w:val="000000"/>
                <w:szCs w:val="20"/>
                <w:lang w:eastAsia="pt-BR"/>
              </w:rPr>
              <w:t>603,17</w:t>
            </w:r>
          </w:p>
        </w:tc>
        <w:tc>
          <w:tcPr>
            <w:tcW w:w="1061" w:type="dxa"/>
            <w:gridSpan w:val="2"/>
            <w:tcBorders>
              <w:top w:val="nil"/>
              <w:left w:val="nil"/>
              <w:bottom w:val="nil"/>
              <w:right w:val="nil"/>
            </w:tcBorders>
            <w:shd w:val="clear" w:color="auto" w:fill="D9D9D9" w:themeFill="background1" w:themeFillShade="D9"/>
            <w:noWrap/>
            <w:vAlign w:val="bottom"/>
          </w:tcPr>
          <w:p w14:paraId="5CD8E38A"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1,8254</w:t>
            </w:r>
          </w:p>
        </w:tc>
      </w:tr>
      <w:tr w:rsidR="004C19ED" w:rsidRPr="00FF5ACF" w14:paraId="34BF6856" w14:textId="77777777" w:rsidTr="003E2CCD">
        <w:trPr>
          <w:gridAfter w:val="1"/>
          <w:wAfter w:w="8" w:type="dxa"/>
          <w:trHeight w:val="283"/>
        </w:trPr>
        <w:tc>
          <w:tcPr>
            <w:tcW w:w="2298" w:type="dxa"/>
            <w:gridSpan w:val="2"/>
            <w:tcBorders>
              <w:top w:val="nil"/>
              <w:left w:val="nil"/>
              <w:bottom w:val="nil"/>
              <w:right w:val="nil"/>
            </w:tcBorders>
            <w:shd w:val="clear" w:color="auto" w:fill="auto"/>
            <w:noWrap/>
            <w:vAlign w:val="bottom"/>
          </w:tcPr>
          <w:p w14:paraId="56CC3FC7"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Outras garantias</w:t>
            </w:r>
          </w:p>
        </w:tc>
        <w:tc>
          <w:tcPr>
            <w:tcW w:w="3733" w:type="dxa"/>
            <w:gridSpan w:val="3"/>
            <w:tcBorders>
              <w:top w:val="nil"/>
              <w:left w:val="nil"/>
              <w:bottom w:val="nil"/>
              <w:right w:val="nil"/>
            </w:tcBorders>
            <w:shd w:val="clear" w:color="auto" w:fill="auto"/>
            <w:vAlign w:val="bottom"/>
          </w:tcPr>
          <w:p w14:paraId="74B7A143"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Petrobrás</w:t>
            </w:r>
          </w:p>
        </w:tc>
        <w:tc>
          <w:tcPr>
            <w:tcW w:w="2161" w:type="dxa"/>
            <w:gridSpan w:val="2"/>
            <w:tcBorders>
              <w:top w:val="nil"/>
              <w:left w:val="nil"/>
              <w:bottom w:val="nil"/>
              <w:right w:val="nil"/>
            </w:tcBorders>
            <w:shd w:val="clear" w:color="auto" w:fill="auto"/>
            <w:noWrap/>
            <w:vAlign w:val="bottom"/>
          </w:tcPr>
          <w:p w14:paraId="43B27DBA" w14:textId="77777777" w:rsidR="004C19ED" w:rsidRPr="00520CEE" w:rsidRDefault="004C19ED" w:rsidP="003E2CCD">
            <w:pPr>
              <w:jc w:val="right"/>
              <w:rPr>
                <w:rFonts w:eastAsia="Times New Roman" w:cs="Arial"/>
                <w:color w:val="000000"/>
                <w:szCs w:val="20"/>
                <w:lang w:eastAsia="pt-BR"/>
              </w:rPr>
            </w:pPr>
            <w:r w:rsidRPr="00D164C7">
              <w:rPr>
                <w:rFonts w:eastAsia="Times New Roman" w:cs="Arial"/>
                <w:color w:val="000000"/>
                <w:szCs w:val="20"/>
                <w:lang w:eastAsia="pt-BR"/>
              </w:rPr>
              <w:t>399</w:t>
            </w:r>
            <w:r>
              <w:rPr>
                <w:rFonts w:eastAsia="Times New Roman" w:cs="Arial"/>
                <w:color w:val="000000"/>
                <w:szCs w:val="20"/>
                <w:lang w:eastAsia="pt-BR"/>
              </w:rPr>
              <w:t>.</w:t>
            </w:r>
            <w:r w:rsidRPr="00D164C7">
              <w:rPr>
                <w:rFonts w:eastAsia="Times New Roman" w:cs="Arial"/>
                <w:color w:val="000000"/>
                <w:szCs w:val="20"/>
                <w:lang w:eastAsia="pt-BR"/>
              </w:rPr>
              <w:t>881</w:t>
            </w:r>
            <w:r>
              <w:rPr>
                <w:rFonts w:eastAsia="Times New Roman" w:cs="Arial"/>
                <w:color w:val="000000"/>
                <w:szCs w:val="20"/>
                <w:lang w:eastAsia="pt-BR"/>
              </w:rPr>
              <w:t>.</w:t>
            </w:r>
            <w:r w:rsidRPr="00D164C7">
              <w:rPr>
                <w:rFonts w:eastAsia="Times New Roman" w:cs="Arial"/>
                <w:color w:val="000000"/>
                <w:szCs w:val="20"/>
                <w:lang w:eastAsia="pt-BR"/>
              </w:rPr>
              <w:t>910</w:t>
            </w:r>
            <w:r>
              <w:rPr>
                <w:rFonts w:eastAsia="Times New Roman" w:cs="Arial"/>
                <w:color w:val="000000"/>
                <w:szCs w:val="20"/>
                <w:lang w:eastAsia="pt-BR"/>
              </w:rPr>
              <w:t>,00</w:t>
            </w:r>
          </w:p>
        </w:tc>
        <w:tc>
          <w:tcPr>
            <w:tcW w:w="1061" w:type="dxa"/>
            <w:gridSpan w:val="2"/>
            <w:tcBorders>
              <w:top w:val="nil"/>
              <w:left w:val="nil"/>
              <w:bottom w:val="nil"/>
              <w:right w:val="nil"/>
            </w:tcBorders>
            <w:shd w:val="clear" w:color="auto" w:fill="auto"/>
            <w:noWrap/>
            <w:vAlign w:val="bottom"/>
          </w:tcPr>
          <w:p w14:paraId="318E221C"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2,8950</w:t>
            </w:r>
          </w:p>
        </w:tc>
      </w:tr>
      <w:tr w:rsidR="004C19ED" w:rsidRPr="00484C19" w14:paraId="2078B354" w14:textId="77777777" w:rsidTr="003E2CCD">
        <w:trPr>
          <w:gridBefore w:val="1"/>
          <w:wBefore w:w="70" w:type="dxa"/>
          <w:trHeight w:val="229"/>
        </w:trPr>
        <w:tc>
          <w:tcPr>
            <w:tcW w:w="2694" w:type="dxa"/>
            <w:gridSpan w:val="2"/>
            <w:tcBorders>
              <w:top w:val="nil"/>
              <w:left w:val="nil"/>
              <w:bottom w:val="single" w:sz="4" w:space="0" w:color="000000"/>
              <w:right w:val="nil"/>
            </w:tcBorders>
            <w:shd w:val="clear" w:color="auto" w:fill="D9D9D9" w:themeFill="background1" w:themeFillShade="D9"/>
            <w:noWrap/>
            <w:vAlign w:val="bottom"/>
            <w:hideMark/>
          </w:tcPr>
          <w:p w14:paraId="2E126EC1" w14:textId="77777777" w:rsidR="004C19ED" w:rsidRPr="00484C19" w:rsidRDefault="004C19ED" w:rsidP="003E2CCD">
            <w:pPr>
              <w:jc w:val="left"/>
              <w:rPr>
                <w:rFonts w:eastAsia="Times New Roman" w:cs="Arial"/>
                <w:b/>
                <w:bCs/>
                <w:color w:val="000000"/>
                <w:szCs w:val="20"/>
                <w:lang w:eastAsia="pt-BR"/>
              </w:rPr>
            </w:pPr>
            <w:r w:rsidRPr="00484C19">
              <w:rPr>
                <w:rFonts w:eastAsia="Times New Roman" w:cs="Arial"/>
                <w:b/>
                <w:bCs/>
                <w:color w:val="000000"/>
                <w:szCs w:val="20"/>
                <w:lang w:eastAsia="pt-BR"/>
              </w:rPr>
              <w:t>Total</w:t>
            </w:r>
          </w:p>
        </w:tc>
        <w:tc>
          <w:tcPr>
            <w:tcW w:w="1970" w:type="dxa"/>
            <w:tcBorders>
              <w:top w:val="nil"/>
              <w:left w:val="nil"/>
              <w:bottom w:val="single" w:sz="4" w:space="0" w:color="000000"/>
              <w:right w:val="nil"/>
            </w:tcBorders>
            <w:shd w:val="clear" w:color="auto" w:fill="D9D9D9" w:themeFill="background1" w:themeFillShade="D9"/>
            <w:noWrap/>
            <w:vAlign w:val="bottom"/>
          </w:tcPr>
          <w:p w14:paraId="142FAED8" w14:textId="77777777" w:rsidR="004C19ED" w:rsidRPr="00415083" w:rsidRDefault="004C19ED" w:rsidP="003E2CCD">
            <w:pPr>
              <w:jc w:val="right"/>
              <w:rPr>
                <w:rFonts w:cs="Arial"/>
                <w:b/>
                <w:bCs/>
                <w:szCs w:val="20"/>
              </w:rPr>
            </w:pPr>
          </w:p>
        </w:tc>
        <w:tc>
          <w:tcPr>
            <w:tcW w:w="1732" w:type="dxa"/>
            <w:gridSpan w:val="2"/>
            <w:tcBorders>
              <w:top w:val="nil"/>
              <w:left w:val="nil"/>
              <w:bottom w:val="single" w:sz="4" w:space="0" w:color="000000"/>
              <w:right w:val="nil"/>
            </w:tcBorders>
            <w:shd w:val="clear" w:color="auto" w:fill="D9D9D9" w:themeFill="background1" w:themeFillShade="D9"/>
            <w:noWrap/>
            <w:vAlign w:val="bottom"/>
            <w:hideMark/>
          </w:tcPr>
          <w:p w14:paraId="045347F3" w14:textId="77777777" w:rsidR="004C19ED" w:rsidRPr="00484C19" w:rsidRDefault="004C19ED" w:rsidP="003E2CCD">
            <w:pPr>
              <w:jc w:val="right"/>
              <w:rPr>
                <w:rFonts w:eastAsia="Times New Roman" w:cs="Arial"/>
                <w:b/>
                <w:bCs/>
                <w:color w:val="000000"/>
                <w:szCs w:val="20"/>
                <w:lang w:eastAsia="pt-BR"/>
              </w:rPr>
            </w:pPr>
            <w:r w:rsidRPr="009D5FE8">
              <w:rPr>
                <w:rFonts w:eastAsia="Times New Roman" w:cs="Arial"/>
                <w:b/>
                <w:bCs/>
                <w:color w:val="000000"/>
                <w:szCs w:val="20"/>
                <w:lang w:eastAsia="pt-BR"/>
              </w:rPr>
              <w:tab/>
            </w:r>
          </w:p>
        </w:tc>
        <w:tc>
          <w:tcPr>
            <w:tcW w:w="1865" w:type="dxa"/>
            <w:gridSpan w:val="2"/>
            <w:tcBorders>
              <w:top w:val="nil"/>
              <w:left w:val="nil"/>
              <w:bottom w:val="single" w:sz="4" w:space="0" w:color="000000"/>
              <w:right w:val="nil"/>
            </w:tcBorders>
            <w:shd w:val="clear" w:color="auto" w:fill="D9D9D9" w:themeFill="background1" w:themeFillShade="D9"/>
            <w:noWrap/>
            <w:vAlign w:val="bottom"/>
            <w:hideMark/>
          </w:tcPr>
          <w:p w14:paraId="09FBE097" w14:textId="77777777" w:rsidR="004C19ED" w:rsidRPr="00484C19" w:rsidRDefault="004C19ED" w:rsidP="003E2CCD">
            <w:pPr>
              <w:jc w:val="right"/>
              <w:rPr>
                <w:rFonts w:eastAsia="Times New Roman" w:cs="Arial"/>
                <w:b/>
                <w:bCs/>
                <w:color w:val="000000"/>
                <w:szCs w:val="20"/>
                <w:lang w:eastAsia="pt-BR"/>
              </w:rPr>
            </w:pPr>
            <w:r w:rsidRPr="00415083">
              <w:rPr>
                <w:rFonts w:cs="Arial"/>
                <w:b/>
                <w:bCs/>
                <w:szCs w:val="20"/>
              </w:rPr>
              <w:t>13.813.060.597,85</w:t>
            </w:r>
          </w:p>
        </w:tc>
        <w:tc>
          <w:tcPr>
            <w:tcW w:w="930" w:type="dxa"/>
            <w:gridSpan w:val="2"/>
            <w:tcBorders>
              <w:top w:val="nil"/>
              <w:left w:val="nil"/>
              <w:bottom w:val="single" w:sz="4" w:space="0" w:color="000000"/>
              <w:right w:val="nil"/>
            </w:tcBorders>
            <w:shd w:val="clear" w:color="auto" w:fill="D9D9D9" w:themeFill="background1" w:themeFillShade="D9"/>
            <w:noWrap/>
            <w:vAlign w:val="bottom"/>
            <w:hideMark/>
          </w:tcPr>
          <w:p w14:paraId="1EE3B3E2" w14:textId="77777777" w:rsidR="004C19ED" w:rsidRPr="00484C19"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10</w:t>
            </w:r>
            <w:r w:rsidRPr="00484C19">
              <w:rPr>
                <w:rFonts w:eastAsia="Times New Roman" w:cs="Arial"/>
                <w:b/>
                <w:bCs/>
                <w:color w:val="000000"/>
                <w:szCs w:val="20"/>
                <w:lang w:eastAsia="pt-BR"/>
              </w:rPr>
              <w:t>0,</w:t>
            </w:r>
            <w:r>
              <w:rPr>
                <w:rFonts w:eastAsia="Times New Roman" w:cs="Arial"/>
                <w:b/>
                <w:bCs/>
                <w:color w:val="000000"/>
                <w:szCs w:val="20"/>
                <w:lang w:eastAsia="pt-BR"/>
              </w:rPr>
              <w:t>00</w:t>
            </w:r>
            <w:r w:rsidRPr="00484C19">
              <w:rPr>
                <w:rFonts w:eastAsia="Times New Roman" w:cs="Arial"/>
                <w:b/>
                <w:bCs/>
                <w:color w:val="000000"/>
                <w:szCs w:val="20"/>
                <w:lang w:eastAsia="pt-BR"/>
              </w:rPr>
              <w:t>%</w:t>
            </w:r>
          </w:p>
        </w:tc>
      </w:tr>
    </w:tbl>
    <w:p w14:paraId="51846944" w14:textId="77777777" w:rsidR="004C19ED" w:rsidRPr="00892CDD" w:rsidRDefault="004C19ED" w:rsidP="004C19ED">
      <w:pPr>
        <w:rPr>
          <w:i/>
          <w:noProof/>
          <w:szCs w:val="20"/>
          <w:lang w:eastAsia="pt-BR"/>
        </w:rPr>
      </w:pPr>
      <w:r w:rsidRPr="00892CDD">
        <w:rPr>
          <w:i/>
          <w:noProof/>
          <w:szCs w:val="20"/>
          <w:lang w:eastAsia="pt-BR"/>
        </w:rPr>
        <w:t>Fonte: SIAFI 20</w:t>
      </w:r>
      <w:r>
        <w:rPr>
          <w:i/>
          <w:noProof/>
          <w:szCs w:val="20"/>
          <w:lang w:eastAsia="pt-BR"/>
        </w:rPr>
        <w:t>21 e documentação pertinente</w:t>
      </w:r>
      <w:r w:rsidRPr="00892CDD">
        <w:rPr>
          <w:i/>
          <w:noProof/>
          <w:szCs w:val="20"/>
          <w:lang w:eastAsia="pt-BR"/>
        </w:rPr>
        <w:t>.</w:t>
      </w:r>
    </w:p>
    <w:p w14:paraId="5FC7480B" w14:textId="77777777" w:rsidR="004C19ED" w:rsidRDefault="004C19ED" w:rsidP="004C19ED">
      <w:pPr>
        <w:rPr>
          <w:rFonts w:cs="Arial"/>
          <w:szCs w:val="20"/>
        </w:rPr>
      </w:pPr>
    </w:p>
    <w:p w14:paraId="7B23AEE0" w14:textId="77777777" w:rsidR="004C19ED" w:rsidRPr="0097612D" w:rsidRDefault="004C19ED" w:rsidP="004C19ED">
      <w:pPr>
        <w:rPr>
          <w:rFonts w:cs="Arial"/>
          <w:sz w:val="22"/>
        </w:rPr>
      </w:pPr>
      <w:r>
        <w:rPr>
          <w:rFonts w:cs="Arial"/>
          <w:sz w:val="22"/>
        </w:rPr>
        <w:t xml:space="preserve">O salto qualitativo dado de 2020 para 2021 diz respeito ao registro das garantias concedidas pelas empresas que atuam nas áreas de exploração de petróleo e gás. Esse  avanço contribui com a fidedignidade dos demonstrativos, realizando-se os registros de forma </w:t>
      </w:r>
      <w:r w:rsidRPr="0097612D">
        <w:rPr>
          <w:rFonts w:cs="Arial"/>
          <w:sz w:val="22"/>
        </w:rPr>
        <w:t>oportuna e tempestiva.</w:t>
      </w:r>
      <w:r>
        <w:rPr>
          <w:rFonts w:cs="Arial"/>
          <w:sz w:val="22"/>
        </w:rPr>
        <w:t xml:space="preserve"> Ainda assim, encontra-se em andamento o levantamento das garantias de participação em leilões de exploração de óleo e gás, assim como as garantias de descomissionamento dos campos já explorados. </w:t>
      </w:r>
    </w:p>
    <w:p w14:paraId="22F8C242" w14:textId="77777777" w:rsidR="004C19ED" w:rsidRDefault="004C19ED" w:rsidP="004C19ED">
      <w:pPr>
        <w:rPr>
          <w:rFonts w:cs="Arial"/>
          <w:sz w:val="22"/>
        </w:rPr>
      </w:pPr>
    </w:p>
    <w:p w14:paraId="3C41339F" w14:textId="77777777" w:rsidR="004C19ED" w:rsidRDefault="004C19ED" w:rsidP="004C19ED">
      <w:pPr>
        <w:rPr>
          <w:rFonts w:cs="Arial"/>
          <w:szCs w:val="20"/>
        </w:rPr>
      </w:pPr>
    </w:p>
    <w:p w14:paraId="2C6625D7" w14:textId="77777777" w:rsidR="004C19ED" w:rsidRDefault="004C19ED" w:rsidP="004C19ED">
      <w:pPr>
        <w:rPr>
          <w:rFonts w:cs="Arial"/>
          <w:b/>
          <w:sz w:val="22"/>
        </w:rPr>
      </w:pPr>
      <w:r>
        <w:rPr>
          <w:rFonts w:cs="Arial"/>
          <w:b/>
          <w:sz w:val="22"/>
        </w:rPr>
        <w:t xml:space="preserve">6.3 Convênios e </w:t>
      </w:r>
      <w:proofErr w:type="spellStart"/>
      <w:r>
        <w:rPr>
          <w:rFonts w:cs="Arial"/>
          <w:b/>
          <w:sz w:val="22"/>
        </w:rPr>
        <w:t>TEDs</w:t>
      </w:r>
      <w:proofErr w:type="spellEnd"/>
    </w:p>
    <w:p w14:paraId="65C68318" w14:textId="77777777" w:rsidR="004C19ED" w:rsidRDefault="004C19ED" w:rsidP="004C19ED">
      <w:pPr>
        <w:rPr>
          <w:rFonts w:cs="Arial"/>
          <w:b/>
          <w:sz w:val="22"/>
        </w:rPr>
      </w:pPr>
    </w:p>
    <w:p w14:paraId="0BA00F55" w14:textId="77777777" w:rsidR="004C19ED" w:rsidRDefault="004C19ED" w:rsidP="004C19ED">
      <w:pPr>
        <w:rPr>
          <w:rFonts w:cs="Arial"/>
          <w:sz w:val="22"/>
        </w:rPr>
      </w:pPr>
      <w:r>
        <w:rPr>
          <w:rFonts w:cs="Arial"/>
          <w:sz w:val="22"/>
        </w:rPr>
        <w:t xml:space="preserve">Em parceria com a FINEP, a ANP possui em 31/12/2021, </w:t>
      </w:r>
      <w:r w:rsidRPr="00F22BE5">
        <w:rPr>
          <w:rFonts w:cs="Arial"/>
          <w:sz w:val="22"/>
        </w:rPr>
        <w:t xml:space="preserve">R$ 7 milhões em </w:t>
      </w:r>
      <w:proofErr w:type="spellStart"/>
      <w:r w:rsidRPr="00F22BE5">
        <w:rPr>
          <w:rFonts w:cs="Arial"/>
          <w:sz w:val="22"/>
        </w:rPr>
        <w:t>TEDs</w:t>
      </w:r>
      <w:proofErr w:type="spellEnd"/>
      <w:r>
        <w:rPr>
          <w:rFonts w:cs="Arial"/>
          <w:sz w:val="22"/>
        </w:rPr>
        <w:t>, conforme tabela:</w:t>
      </w:r>
    </w:p>
    <w:p w14:paraId="1678DAAA" w14:textId="77777777" w:rsidR="004C19ED" w:rsidRDefault="004C19ED" w:rsidP="004C19ED">
      <w:pPr>
        <w:rPr>
          <w:rFonts w:cs="Arial"/>
          <w:sz w:val="22"/>
        </w:rPr>
      </w:pPr>
    </w:p>
    <w:p w14:paraId="35697ABC" w14:textId="77777777" w:rsidR="004C19ED" w:rsidRPr="008C5A13" w:rsidRDefault="004C19ED" w:rsidP="004C19ED">
      <w:pPr>
        <w:rPr>
          <w:rFonts w:cs="Arial"/>
          <w:b/>
          <w:sz w:val="22"/>
        </w:rPr>
      </w:pPr>
      <w:r w:rsidRPr="00B90007">
        <w:rPr>
          <w:rFonts w:cs="Arial"/>
          <w:b/>
          <w:sz w:val="22"/>
        </w:rPr>
        <w:t>Tabela 20 – Direitos Conveniados - FINEP</w:t>
      </w:r>
    </w:p>
    <w:p w14:paraId="2A964302" w14:textId="77777777" w:rsidR="004C19ED" w:rsidRDefault="004C19ED" w:rsidP="004C19ED">
      <w:pPr>
        <w:jc w:val="right"/>
        <w:rPr>
          <w:rFonts w:cs="Arial"/>
          <w:sz w:val="22"/>
        </w:rPr>
      </w:pPr>
      <w:r>
        <w:rPr>
          <w:rFonts w:cs="Arial"/>
          <w:szCs w:val="20"/>
        </w:rPr>
        <w:t>R$</w:t>
      </w:r>
    </w:p>
    <w:tbl>
      <w:tblPr>
        <w:tblW w:w="9142" w:type="dxa"/>
        <w:tblCellMar>
          <w:left w:w="70" w:type="dxa"/>
          <w:right w:w="70" w:type="dxa"/>
        </w:tblCellMar>
        <w:tblLook w:val="04A0" w:firstRow="1" w:lastRow="0" w:firstColumn="1" w:lastColumn="0" w:noHBand="0" w:noVBand="1"/>
      </w:tblPr>
      <w:tblGrid>
        <w:gridCol w:w="3694"/>
        <w:gridCol w:w="1763"/>
        <w:gridCol w:w="1308"/>
        <w:gridCol w:w="898"/>
        <w:gridCol w:w="1479"/>
      </w:tblGrid>
      <w:tr w:rsidR="004C19ED" w:rsidRPr="00FF5ACF" w14:paraId="1571681C" w14:textId="77777777" w:rsidTr="003E2CCD">
        <w:trPr>
          <w:trHeight w:val="255"/>
        </w:trPr>
        <w:tc>
          <w:tcPr>
            <w:tcW w:w="3694" w:type="dxa"/>
            <w:tcBorders>
              <w:top w:val="single" w:sz="4" w:space="0" w:color="000000"/>
              <w:left w:val="nil"/>
              <w:bottom w:val="single" w:sz="4" w:space="0" w:color="000000"/>
              <w:right w:val="nil"/>
            </w:tcBorders>
            <w:shd w:val="clear" w:color="auto" w:fill="auto"/>
            <w:noWrap/>
            <w:vAlign w:val="bottom"/>
          </w:tcPr>
          <w:p w14:paraId="61956CDB" w14:textId="77777777" w:rsidR="004C19ED" w:rsidRPr="00FF5ACF" w:rsidRDefault="004C19ED" w:rsidP="003E2CCD">
            <w:pPr>
              <w:jc w:val="left"/>
              <w:rPr>
                <w:rFonts w:eastAsia="Times New Roman" w:cs="Arial"/>
                <w:b/>
                <w:bCs/>
                <w:szCs w:val="20"/>
                <w:lang w:eastAsia="pt-BR"/>
              </w:rPr>
            </w:pPr>
            <w:r>
              <w:rPr>
                <w:rFonts w:eastAsia="Times New Roman" w:cs="Arial"/>
                <w:b/>
                <w:bCs/>
                <w:szCs w:val="20"/>
                <w:lang w:eastAsia="pt-BR"/>
              </w:rPr>
              <w:t>CONTA</w:t>
            </w:r>
          </w:p>
        </w:tc>
        <w:tc>
          <w:tcPr>
            <w:tcW w:w="1763" w:type="dxa"/>
            <w:tcBorders>
              <w:top w:val="single" w:sz="4" w:space="0" w:color="000000"/>
              <w:left w:val="nil"/>
              <w:bottom w:val="single" w:sz="4" w:space="0" w:color="000000"/>
              <w:right w:val="nil"/>
            </w:tcBorders>
            <w:shd w:val="clear" w:color="auto" w:fill="auto"/>
            <w:noWrap/>
            <w:vAlign w:val="bottom"/>
            <w:hideMark/>
          </w:tcPr>
          <w:p w14:paraId="3C7DF230"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12/2021</w:t>
            </w:r>
          </w:p>
        </w:tc>
        <w:tc>
          <w:tcPr>
            <w:tcW w:w="1308" w:type="dxa"/>
            <w:tcBorders>
              <w:top w:val="single" w:sz="4" w:space="0" w:color="000000"/>
              <w:left w:val="nil"/>
              <w:bottom w:val="single" w:sz="4" w:space="0" w:color="000000"/>
              <w:right w:val="nil"/>
            </w:tcBorders>
            <w:vAlign w:val="bottom"/>
          </w:tcPr>
          <w:p w14:paraId="46C0F31A"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12/2020</w:t>
            </w:r>
          </w:p>
        </w:tc>
        <w:tc>
          <w:tcPr>
            <w:tcW w:w="898" w:type="dxa"/>
            <w:tcBorders>
              <w:top w:val="single" w:sz="4" w:space="0" w:color="000000"/>
              <w:left w:val="nil"/>
              <w:bottom w:val="single" w:sz="4" w:space="0" w:color="000000"/>
              <w:right w:val="nil"/>
            </w:tcBorders>
            <w:vAlign w:val="bottom"/>
          </w:tcPr>
          <w:p w14:paraId="733B1A36" w14:textId="77777777" w:rsidR="004C19ED" w:rsidRPr="00FF5ACF"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AH %</w:t>
            </w:r>
          </w:p>
        </w:tc>
        <w:tc>
          <w:tcPr>
            <w:tcW w:w="1479" w:type="dxa"/>
            <w:tcBorders>
              <w:top w:val="single" w:sz="4" w:space="0" w:color="000000"/>
              <w:left w:val="nil"/>
              <w:bottom w:val="single" w:sz="4" w:space="0" w:color="000000"/>
              <w:right w:val="nil"/>
            </w:tcBorders>
            <w:shd w:val="clear" w:color="auto" w:fill="auto"/>
            <w:noWrap/>
            <w:vAlign w:val="bottom"/>
            <w:hideMark/>
          </w:tcPr>
          <w:p w14:paraId="3D698DCB"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4C19ED" w:rsidRPr="00FF5ACF" w14:paraId="0A61F66E" w14:textId="77777777" w:rsidTr="003E2CCD">
        <w:trPr>
          <w:trHeight w:val="283"/>
        </w:trPr>
        <w:tc>
          <w:tcPr>
            <w:tcW w:w="3694" w:type="dxa"/>
            <w:tcBorders>
              <w:top w:val="nil"/>
              <w:left w:val="nil"/>
              <w:bottom w:val="nil"/>
              <w:right w:val="nil"/>
            </w:tcBorders>
            <w:shd w:val="clear" w:color="auto" w:fill="D9D9D9" w:themeFill="background1" w:themeFillShade="D9"/>
            <w:vAlign w:val="bottom"/>
            <w:hideMark/>
          </w:tcPr>
          <w:p w14:paraId="3AB3B8F6" w14:textId="77777777" w:rsidR="004C19ED" w:rsidRPr="00FF5ACF" w:rsidRDefault="004C19ED" w:rsidP="003E2CCD">
            <w:pPr>
              <w:jc w:val="left"/>
              <w:rPr>
                <w:rFonts w:eastAsia="Times New Roman" w:cs="Arial"/>
                <w:color w:val="000000"/>
                <w:szCs w:val="20"/>
                <w:lang w:eastAsia="pt-BR"/>
              </w:rPr>
            </w:pPr>
            <w:r>
              <w:rPr>
                <w:rFonts w:eastAsia="Times New Roman" w:cs="Arial"/>
                <w:color w:val="000000"/>
                <w:szCs w:val="20"/>
                <w:lang w:eastAsia="pt-BR"/>
              </w:rPr>
              <w:t>a receber da FINEP (811210201)</w:t>
            </w:r>
          </w:p>
        </w:tc>
        <w:tc>
          <w:tcPr>
            <w:tcW w:w="1763" w:type="dxa"/>
            <w:tcBorders>
              <w:top w:val="nil"/>
              <w:left w:val="nil"/>
              <w:bottom w:val="nil"/>
              <w:right w:val="nil"/>
            </w:tcBorders>
            <w:shd w:val="clear" w:color="auto" w:fill="D9D9D9" w:themeFill="background1" w:themeFillShade="D9"/>
            <w:noWrap/>
            <w:vAlign w:val="bottom"/>
          </w:tcPr>
          <w:p w14:paraId="1BCB9773" w14:textId="77777777" w:rsidR="004C19ED" w:rsidRPr="00FF5ACF" w:rsidRDefault="004C19ED" w:rsidP="003E2CCD">
            <w:pPr>
              <w:jc w:val="right"/>
              <w:rPr>
                <w:rFonts w:eastAsia="Times New Roman" w:cs="Arial"/>
                <w:color w:val="000000"/>
                <w:szCs w:val="20"/>
                <w:lang w:eastAsia="pt-BR"/>
              </w:rPr>
            </w:pPr>
            <w:r w:rsidRPr="00255F48">
              <w:rPr>
                <w:rFonts w:eastAsia="Times New Roman" w:cs="Arial"/>
                <w:color w:val="000000"/>
                <w:szCs w:val="20"/>
                <w:lang w:eastAsia="pt-BR"/>
              </w:rPr>
              <w:t>1</w:t>
            </w:r>
            <w:r>
              <w:rPr>
                <w:rFonts w:eastAsia="Times New Roman" w:cs="Arial"/>
                <w:color w:val="000000"/>
                <w:szCs w:val="20"/>
                <w:lang w:eastAsia="pt-BR"/>
              </w:rPr>
              <w:t>.</w:t>
            </w:r>
            <w:r w:rsidRPr="00255F48">
              <w:rPr>
                <w:rFonts w:eastAsia="Times New Roman" w:cs="Arial"/>
                <w:color w:val="000000"/>
                <w:szCs w:val="20"/>
                <w:lang w:eastAsia="pt-BR"/>
              </w:rPr>
              <w:t>194</w:t>
            </w:r>
            <w:r>
              <w:rPr>
                <w:rFonts w:eastAsia="Times New Roman" w:cs="Arial"/>
                <w:color w:val="000000"/>
                <w:szCs w:val="20"/>
                <w:lang w:eastAsia="pt-BR"/>
              </w:rPr>
              <w:t>.</w:t>
            </w:r>
            <w:r w:rsidRPr="00255F48">
              <w:rPr>
                <w:rFonts w:eastAsia="Times New Roman" w:cs="Arial"/>
                <w:color w:val="000000"/>
                <w:szCs w:val="20"/>
                <w:lang w:eastAsia="pt-BR"/>
              </w:rPr>
              <w:t>705,12</w:t>
            </w:r>
          </w:p>
        </w:tc>
        <w:tc>
          <w:tcPr>
            <w:tcW w:w="1308" w:type="dxa"/>
            <w:tcBorders>
              <w:top w:val="nil"/>
              <w:left w:val="nil"/>
              <w:bottom w:val="nil"/>
              <w:right w:val="nil"/>
            </w:tcBorders>
            <w:shd w:val="clear" w:color="auto" w:fill="D9D9D9" w:themeFill="background1" w:themeFillShade="D9"/>
            <w:vAlign w:val="bottom"/>
          </w:tcPr>
          <w:p w14:paraId="6C7DE7B3" w14:textId="77777777" w:rsidR="004C19ED" w:rsidRDefault="004C19ED" w:rsidP="003E2CCD">
            <w:pPr>
              <w:jc w:val="right"/>
              <w:rPr>
                <w:rFonts w:eastAsia="Times New Roman" w:cs="Arial"/>
                <w:color w:val="000000"/>
                <w:szCs w:val="20"/>
                <w:lang w:eastAsia="pt-BR"/>
              </w:rPr>
            </w:pPr>
            <w:r w:rsidRPr="00255F48">
              <w:rPr>
                <w:rFonts w:eastAsia="Times New Roman" w:cs="Arial"/>
                <w:color w:val="000000"/>
                <w:szCs w:val="20"/>
                <w:lang w:eastAsia="pt-BR"/>
              </w:rPr>
              <w:t>1</w:t>
            </w:r>
            <w:r>
              <w:rPr>
                <w:rFonts w:eastAsia="Times New Roman" w:cs="Arial"/>
                <w:color w:val="000000"/>
                <w:szCs w:val="20"/>
                <w:lang w:eastAsia="pt-BR"/>
              </w:rPr>
              <w:t>.</w:t>
            </w:r>
            <w:r w:rsidRPr="00255F48">
              <w:rPr>
                <w:rFonts w:eastAsia="Times New Roman" w:cs="Arial"/>
                <w:color w:val="000000"/>
                <w:szCs w:val="20"/>
                <w:lang w:eastAsia="pt-BR"/>
              </w:rPr>
              <w:t>194</w:t>
            </w:r>
            <w:r>
              <w:rPr>
                <w:rFonts w:eastAsia="Times New Roman" w:cs="Arial"/>
                <w:color w:val="000000"/>
                <w:szCs w:val="20"/>
                <w:lang w:eastAsia="pt-BR"/>
              </w:rPr>
              <w:t>.</w:t>
            </w:r>
            <w:r w:rsidRPr="00255F48">
              <w:rPr>
                <w:rFonts w:eastAsia="Times New Roman" w:cs="Arial"/>
                <w:color w:val="000000"/>
                <w:szCs w:val="20"/>
                <w:lang w:eastAsia="pt-BR"/>
              </w:rPr>
              <w:t>705,12</w:t>
            </w:r>
          </w:p>
        </w:tc>
        <w:tc>
          <w:tcPr>
            <w:tcW w:w="898" w:type="dxa"/>
            <w:tcBorders>
              <w:top w:val="nil"/>
              <w:left w:val="nil"/>
              <w:bottom w:val="nil"/>
              <w:right w:val="nil"/>
            </w:tcBorders>
            <w:shd w:val="clear" w:color="auto" w:fill="D9D9D9" w:themeFill="background1" w:themeFillShade="D9"/>
            <w:vAlign w:val="bottom"/>
          </w:tcPr>
          <w:p w14:paraId="352E9E76" w14:textId="77777777" w:rsidR="004C19ED" w:rsidRDefault="004C19ED" w:rsidP="003E2CCD">
            <w:pPr>
              <w:jc w:val="right"/>
              <w:rPr>
                <w:rFonts w:eastAsia="Times New Roman" w:cs="Arial"/>
                <w:color w:val="000000"/>
                <w:szCs w:val="20"/>
                <w:lang w:eastAsia="pt-BR"/>
              </w:rPr>
            </w:pPr>
          </w:p>
        </w:tc>
        <w:tc>
          <w:tcPr>
            <w:tcW w:w="1479" w:type="dxa"/>
            <w:tcBorders>
              <w:top w:val="nil"/>
              <w:left w:val="nil"/>
              <w:bottom w:val="nil"/>
              <w:right w:val="nil"/>
            </w:tcBorders>
            <w:shd w:val="clear" w:color="auto" w:fill="D9D9D9" w:themeFill="background1" w:themeFillShade="D9"/>
            <w:noWrap/>
            <w:vAlign w:val="bottom"/>
          </w:tcPr>
          <w:p w14:paraId="5881E603" w14:textId="77777777" w:rsidR="004C19ED" w:rsidRPr="00FF5ACF" w:rsidRDefault="004C19ED" w:rsidP="003E2CCD">
            <w:pPr>
              <w:jc w:val="right"/>
              <w:rPr>
                <w:rFonts w:eastAsia="Times New Roman" w:cs="Arial"/>
                <w:color w:val="000000"/>
                <w:szCs w:val="20"/>
                <w:lang w:eastAsia="pt-BR"/>
              </w:rPr>
            </w:pPr>
            <w:r>
              <w:rPr>
                <w:rFonts w:eastAsia="Times New Roman" w:cs="Arial"/>
                <w:color w:val="000000"/>
                <w:szCs w:val="20"/>
                <w:lang w:eastAsia="pt-BR"/>
              </w:rPr>
              <w:t>17,07</w:t>
            </w:r>
          </w:p>
        </w:tc>
      </w:tr>
      <w:tr w:rsidR="004C19ED" w:rsidRPr="00FF5ACF" w14:paraId="09A8422D" w14:textId="77777777" w:rsidTr="003E2CCD">
        <w:trPr>
          <w:trHeight w:val="283"/>
        </w:trPr>
        <w:tc>
          <w:tcPr>
            <w:tcW w:w="3694" w:type="dxa"/>
            <w:tcBorders>
              <w:top w:val="nil"/>
              <w:left w:val="nil"/>
              <w:bottom w:val="nil"/>
              <w:right w:val="nil"/>
            </w:tcBorders>
            <w:shd w:val="clear" w:color="auto" w:fill="auto"/>
            <w:vAlign w:val="bottom"/>
            <w:hideMark/>
          </w:tcPr>
          <w:p w14:paraId="6B379EAB" w14:textId="77777777" w:rsidR="004C19ED" w:rsidRPr="00FF5ACF" w:rsidRDefault="004C19ED" w:rsidP="003E2CCD">
            <w:pPr>
              <w:jc w:val="left"/>
              <w:rPr>
                <w:rFonts w:eastAsia="Times New Roman" w:cs="Arial"/>
                <w:color w:val="000000"/>
                <w:szCs w:val="20"/>
                <w:lang w:eastAsia="pt-BR"/>
              </w:rPr>
            </w:pPr>
            <w:r>
              <w:rPr>
                <w:rFonts w:eastAsia="Times New Roman" w:cs="Arial"/>
                <w:color w:val="000000"/>
                <w:szCs w:val="20"/>
                <w:lang w:eastAsia="pt-BR"/>
              </w:rPr>
              <w:t>a comprovar à FINEP (811210202)</w:t>
            </w:r>
          </w:p>
        </w:tc>
        <w:tc>
          <w:tcPr>
            <w:tcW w:w="1763" w:type="dxa"/>
            <w:tcBorders>
              <w:top w:val="nil"/>
              <w:left w:val="nil"/>
              <w:bottom w:val="nil"/>
              <w:right w:val="nil"/>
            </w:tcBorders>
            <w:shd w:val="clear" w:color="auto" w:fill="auto"/>
            <w:noWrap/>
            <w:vAlign w:val="bottom"/>
          </w:tcPr>
          <w:p w14:paraId="4FCEF59D" w14:textId="77777777" w:rsidR="004C19ED" w:rsidRPr="00FF5ACF" w:rsidRDefault="004C19ED" w:rsidP="003E2CCD">
            <w:pPr>
              <w:jc w:val="right"/>
              <w:rPr>
                <w:rFonts w:eastAsia="Times New Roman" w:cs="Arial"/>
                <w:color w:val="000000"/>
                <w:szCs w:val="20"/>
                <w:lang w:eastAsia="pt-BR"/>
              </w:rPr>
            </w:pPr>
            <w:r w:rsidRPr="00255F48">
              <w:rPr>
                <w:rFonts w:eastAsia="Times New Roman" w:cs="Arial"/>
                <w:color w:val="000000"/>
                <w:szCs w:val="20"/>
                <w:lang w:eastAsia="pt-BR"/>
              </w:rPr>
              <w:t>5</w:t>
            </w:r>
            <w:r>
              <w:rPr>
                <w:rFonts w:eastAsia="Times New Roman" w:cs="Arial"/>
                <w:color w:val="000000"/>
                <w:szCs w:val="20"/>
                <w:lang w:eastAsia="pt-BR"/>
              </w:rPr>
              <w:t>.</w:t>
            </w:r>
            <w:r w:rsidRPr="00255F48">
              <w:rPr>
                <w:rFonts w:eastAsia="Times New Roman" w:cs="Arial"/>
                <w:color w:val="000000"/>
                <w:szCs w:val="20"/>
                <w:lang w:eastAsia="pt-BR"/>
              </w:rPr>
              <w:t>805</w:t>
            </w:r>
            <w:r>
              <w:rPr>
                <w:rFonts w:eastAsia="Times New Roman" w:cs="Arial"/>
                <w:color w:val="000000"/>
                <w:szCs w:val="20"/>
                <w:lang w:eastAsia="pt-BR"/>
              </w:rPr>
              <w:t>.</w:t>
            </w:r>
            <w:r w:rsidRPr="00255F48">
              <w:rPr>
                <w:rFonts w:eastAsia="Times New Roman" w:cs="Arial"/>
                <w:color w:val="000000"/>
                <w:szCs w:val="20"/>
                <w:lang w:eastAsia="pt-BR"/>
              </w:rPr>
              <w:t>294,88</w:t>
            </w:r>
          </w:p>
        </w:tc>
        <w:tc>
          <w:tcPr>
            <w:tcW w:w="1308" w:type="dxa"/>
            <w:tcBorders>
              <w:top w:val="nil"/>
              <w:left w:val="nil"/>
              <w:bottom w:val="nil"/>
              <w:right w:val="nil"/>
            </w:tcBorders>
            <w:vAlign w:val="bottom"/>
          </w:tcPr>
          <w:p w14:paraId="51B16CAA" w14:textId="77777777" w:rsidR="004C19ED" w:rsidRDefault="004C19ED" w:rsidP="003E2CCD">
            <w:pPr>
              <w:jc w:val="right"/>
              <w:rPr>
                <w:rFonts w:eastAsia="Times New Roman" w:cs="Arial"/>
                <w:color w:val="000000"/>
                <w:szCs w:val="20"/>
                <w:lang w:eastAsia="pt-BR"/>
              </w:rPr>
            </w:pPr>
            <w:r w:rsidRPr="00255F48">
              <w:rPr>
                <w:rFonts w:eastAsia="Times New Roman" w:cs="Arial"/>
                <w:color w:val="000000"/>
                <w:szCs w:val="20"/>
                <w:lang w:eastAsia="pt-BR"/>
              </w:rPr>
              <w:t>5</w:t>
            </w:r>
            <w:r>
              <w:rPr>
                <w:rFonts w:eastAsia="Times New Roman" w:cs="Arial"/>
                <w:color w:val="000000"/>
                <w:szCs w:val="20"/>
                <w:lang w:eastAsia="pt-BR"/>
              </w:rPr>
              <w:t>.</w:t>
            </w:r>
            <w:r w:rsidRPr="00255F48">
              <w:rPr>
                <w:rFonts w:eastAsia="Times New Roman" w:cs="Arial"/>
                <w:color w:val="000000"/>
                <w:szCs w:val="20"/>
                <w:lang w:eastAsia="pt-BR"/>
              </w:rPr>
              <w:t>805</w:t>
            </w:r>
            <w:r>
              <w:rPr>
                <w:rFonts w:eastAsia="Times New Roman" w:cs="Arial"/>
                <w:color w:val="000000"/>
                <w:szCs w:val="20"/>
                <w:lang w:eastAsia="pt-BR"/>
              </w:rPr>
              <w:t>.</w:t>
            </w:r>
            <w:r w:rsidRPr="00255F48">
              <w:rPr>
                <w:rFonts w:eastAsia="Times New Roman" w:cs="Arial"/>
                <w:color w:val="000000"/>
                <w:szCs w:val="20"/>
                <w:lang w:eastAsia="pt-BR"/>
              </w:rPr>
              <w:t>294,88</w:t>
            </w:r>
          </w:p>
        </w:tc>
        <w:tc>
          <w:tcPr>
            <w:tcW w:w="898" w:type="dxa"/>
            <w:tcBorders>
              <w:top w:val="nil"/>
              <w:left w:val="nil"/>
              <w:bottom w:val="nil"/>
              <w:right w:val="nil"/>
            </w:tcBorders>
            <w:vAlign w:val="bottom"/>
          </w:tcPr>
          <w:p w14:paraId="1EA28D6D" w14:textId="77777777" w:rsidR="004C19ED" w:rsidRDefault="004C19ED" w:rsidP="003E2CCD">
            <w:pPr>
              <w:jc w:val="right"/>
              <w:rPr>
                <w:rFonts w:eastAsia="Times New Roman" w:cs="Arial"/>
                <w:color w:val="000000"/>
                <w:szCs w:val="20"/>
                <w:lang w:eastAsia="pt-BR"/>
              </w:rPr>
            </w:pPr>
          </w:p>
        </w:tc>
        <w:tc>
          <w:tcPr>
            <w:tcW w:w="1479" w:type="dxa"/>
            <w:tcBorders>
              <w:top w:val="nil"/>
              <w:left w:val="nil"/>
              <w:bottom w:val="nil"/>
              <w:right w:val="nil"/>
            </w:tcBorders>
            <w:shd w:val="clear" w:color="auto" w:fill="auto"/>
            <w:noWrap/>
            <w:vAlign w:val="bottom"/>
          </w:tcPr>
          <w:p w14:paraId="5D185601" w14:textId="77777777" w:rsidR="004C19ED" w:rsidRPr="00FF5ACF" w:rsidRDefault="004C19ED" w:rsidP="003E2CCD">
            <w:pPr>
              <w:jc w:val="right"/>
              <w:rPr>
                <w:rFonts w:eastAsia="Times New Roman" w:cs="Arial"/>
                <w:color w:val="000000"/>
                <w:szCs w:val="20"/>
                <w:lang w:eastAsia="pt-BR"/>
              </w:rPr>
            </w:pPr>
            <w:r>
              <w:rPr>
                <w:rFonts w:eastAsia="Times New Roman" w:cs="Arial"/>
                <w:color w:val="000000"/>
                <w:szCs w:val="20"/>
                <w:lang w:eastAsia="pt-BR"/>
              </w:rPr>
              <w:t>82,93</w:t>
            </w:r>
          </w:p>
        </w:tc>
      </w:tr>
      <w:tr w:rsidR="004C19ED" w:rsidRPr="00FF5ACF" w14:paraId="0C1B2383" w14:textId="77777777" w:rsidTr="003E2CCD">
        <w:trPr>
          <w:trHeight w:val="287"/>
        </w:trPr>
        <w:tc>
          <w:tcPr>
            <w:tcW w:w="3694" w:type="dxa"/>
            <w:tcBorders>
              <w:top w:val="nil"/>
              <w:left w:val="nil"/>
              <w:bottom w:val="nil"/>
              <w:right w:val="nil"/>
            </w:tcBorders>
            <w:shd w:val="clear" w:color="auto" w:fill="D9D9D9" w:themeFill="background1" w:themeFillShade="D9"/>
            <w:vAlign w:val="bottom"/>
          </w:tcPr>
          <w:p w14:paraId="16FF7BB6" w14:textId="77777777" w:rsidR="004C19ED" w:rsidRDefault="004C19ED" w:rsidP="003E2CCD">
            <w:pPr>
              <w:jc w:val="left"/>
              <w:rPr>
                <w:rFonts w:eastAsia="Times New Roman" w:cs="Arial"/>
                <w:color w:val="000000"/>
                <w:szCs w:val="20"/>
                <w:lang w:eastAsia="pt-BR"/>
              </w:rPr>
            </w:pPr>
            <w:r w:rsidRPr="005335EC">
              <w:rPr>
                <w:rFonts w:eastAsia="Times New Roman" w:cs="Arial"/>
                <w:color w:val="000000"/>
                <w:szCs w:val="20"/>
                <w:lang w:eastAsia="pt-BR"/>
              </w:rPr>
              <w:t>C</w:t>
            </w:r>
            <w:r>
              <w:rPr>
                <w:rFonts w:eastAsia="Times New Roman" w:cs="Arial"/>
                <w:color w:val="000000"/>
                <w:szCs w:val="20"/>
                <w:lang w:eastAsia="pt-BR"/>
              </w:rPr>
              <w:t>oncluído</w:t>
            </w:r>
          </w:p>
        </w:tc>
        <w:tc>
          <w:tcPr>
            <w:tcW w:w="1763" w:type="dxa"/>
            <w:tcBorders>
              <w:top w:val="nil"/>
              <w:left w:val="nil"/>
              <w:bottom w:val="nil"/>
              <w:right w:val="nil"/>
            </w:tcBorders>
            <w:shd w:val="clear" w:color="auto" w:fill="D9D9D9" w:themeFill="background1" w:themeFillShade="D9"/>
            <w:noWrap/>
            <w:vAlign w:val="bottom"/>
          </w:tcPr>
          <w:p w14:paraId="6239B3E8" w14:textId="77777777" w:rsidR="004C19ED" w:rsidRPr="00EE0B93"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c>
          <w:tcPr>
            <w:tcW w:w="1308" w:type="dxa"/>
            <w:tcBorders>
              <w:top w:val="nil"/>
              <w:left w:val="nil"/>
              <w:bottom w:val="nil"/>
              <w:right w:val="nil"/>
            </w:tcBorders>
            <w:shd w:val="clear" w:color="auto" w:fill="D9D9D9" w:themeFill="background1" w:themeFillShade="D9"/>
            <w:vAlign w:val="bottom"/>
          </w:tcPr>
          <w:p w14:paraId="5AB7AD5C"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c>
          <w:tcPr>
            <w:tcW w:w="898" w:type="dxa"/>
            <w:tcBorders>
              <w:top w:val="nil"/>
              <w:left w:val="nil"/>
              <w:bottom w:val="nil"/>
              <w:right w:val="nil"/>
            </w:tcBorders>
            <w:shd w:val="clear" w:color="auto" w:fill="D9D9D9" w:themeFill="background1" w:themeFillShade="D9"/>
            <w:vAlign w:val="bottom"/>
          </w:tcPr>
          <w:p w14:paraId="538299B5" w14:textId="77777777" w:rsidR="004C19ED" w:rsidRDefault="004C19ED" w:rsidP="003E2CCD">
            <w:pPr>
              <w:jc w:val="right"/>
              <w:rPr>
                <w:rFonts w:eastAsia="Times New Roman" w:cs="Arial"/>
                <w:color w:val="000000"/>
                <w:szCs w:val="20"/>
                <w:lang w:eastAsia="pt-BR"/>
              </w:rPr>
            </w:pPr>
          </w:p>
        </w:tc>
        <w:tc>
          <w:tcPr>
            <w:tcW w:w="1479" w:type="dxa"/>
            <w:tcBorders>
              <w:top w:val="nil"/>
              <w:left w:val="nil"/>
              <w:bottom w:val="nil"/>
              <w:right w:val="nil"/>
            </w:tcBorders>
            <w:shd w:val="clear" w:color="auto" w:fill="D9D9D9" w:themeFill="background1" w:themeFillShade="D9"/>
            <w:noWrap/>
            <w:vAlign w:val="bottom"/>
          </w:tcPr>
          <w:p w14:paraId="544F9530"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r>
      <w:tr w:rsidR="004C19ED" w:rsidRPr="00FF5ACF" w14:paraId="3121A300" w14:textId="77777777" w:rsidTr="003E2CCD">
        <w:trPr>
          <w:trHeight w:val="287"/>
        </w:trPr>
        <w:tc>
          <w:tcPr>
            <w:tcW w:w="3694" w:type="dxa"/>
            <w:tcBorders>
              <w:top w:val="nil"/>
              <w:left w:val="nil"/>
              <w:bottom w:val="nil"/>
              <w:right w:val="nil"/>
            </w:tcBorders>
            <w:shd w:val="clear" w:color="auto" w:fill="D9D9D9" w:themeFill="background1" w:themeFillShade="D9"/>
            <w:vAlign w:val="bottom"/>
          </w:tcPr>
          <w:p w14:paraId="082E209A" w14:textId="77777777" w:rsidR="004C19ED" w:rsidRPr="00F22BE5" w:rsidRDefault="004C19ED" w:rsidP="003E2CCD">
            <w:pPr>
              <w:jc w:val="left"/>
              <w:rPr>
                <w:rFonts w:eastAsia="Times New Roman" w:cs="Arial"/>
                <w:b/>
                <w:bCs/>
                <w:color w:val="000000"/>
                <w:szCs w:val="20"/>
                <w:lang w:eastAsia="pt-BR"/>
              </w:rPr>
            </w:pPr>
            <w:r w:rsidRPr="00F22BE5">
              <w:rPr>
                <w:rFonts w:eastAsia="Times New Roman" w:cs="Arial"/>
                <w:b/>
                <w:bCs/>
                <w:color w:val="000000"/>
                <w:szCs w:val="20"/>
                <w:lang w:eastAsia="pt-BR"/>
              </w:rPr>
              <w:t>TOTAL</w:t>
            </w:r>
          </w:p>
        </w:tc>
        <w:tc>
          <w:tcPr>
            <w:tcW w:w="1763" w:type="dxa"/>
            <w:tcBorders>
              <w:top w:val="nil"/>
              <w:left w:val="nil"/>
              <w:bottom w:val="nil"/>
              <w:right w:val="nil"/>
            </w:tcBorders>
            <w:shd w:val="clear" w:color="auto" w:fill="D9D9D9" w:themeFill="background1" w:themeFillShade="D9"/>
            <w:noWrap/>
            <w:vAlign w:val="bottom"/>
          </w:tcPr>
          <w:p w14:paraId="6CA55669" w14:textId="77777777" w:rsidR="004C19ED" w:rsidRPr="00F22BE5" w:rsidRDefault="004C19ED" w:rsidP="003E2CCD">
            <w:pPr>
              <w:jc w:val="right"/>
              <w:rPr>
                <w:rFonts w:cs="Arial"/>
                <w:b/>
                <w:bCs/>
                <w:szCs w:val="20"/>
              </w:rPr>
            </w:pPr>
            <w:r w:rsidRPr="00F22BE5">
              <w:rPr>
                <w:rFonts w:cs="Arial"/>
                <w:b/>
                <w:bCs/>
                <w:szCs w:val="20"/>
              </w:rPr>
              <w:t>7.000.000,00</w:t>
            </w:r>
          </w:p>
        </w:tc>
        <w:tc>
          <w:tcPr>
            <w:tcW w:w="1308" w:type="dxa"/>
            <w:tcBorders>
              <w:top w:val="nil"/>
              <w:left w:val="nil"/>
              <w:bottom w:val="nil"/>
              <w:right w:val="nil"/>
            </w:tcBorders>
            <w:shd w:val="clear" w:color="auto" w:fill="D9D9D9" w:themeFill="background1" w:themeFillShade="D9"/>
            <w:vAlign w:val="bottom"/>
          </w:tcPr>
          <w:p w14:paraId="1DF0E944" w14:textId="77777777" w:rsidR="004C19ED" w:rsidRPr="00F22BE5" w:rsidRDefault="004C19ED" w:rsidP="003E2CCD">
            <w:pPr>
              <w:jc w:val="right"/>
              <w:rPr>
                <w:rFonts w:cs="Arial"/>
                <w:b/>
                <w:bCs/>
                <w:szCs w:val="20"/>
              </w:rPr>
            </w:pPr>
            <w:r w:rsidRPr="00F22BE5">
              <w:rPr>
                <w:rFonts w:cs="Arial"/>
                <w:b/>
                <w:bCs/>
                <w:szCs w:val="20"/>
              </w:rPr>
              <w:t>7.000.000,00</w:t>
            </w:r>
          </w:p>
        </w:tc>
        <w:tc>
          <w:tcPr>
            <w:tcW w:w="898" w:type="dxa"/>
            <w:tcBorders>
              <w:top w:val="nil"/>
              <w:left w:val="nil"/>
              <w:bottom w:val="nil"/>
              <w:right w:val="nil"/>
            </w:tcBorders>
            <w:shd w:val="clear" w:color="auto" w:fill="D9D9D9" w:themeFill="background1" w:themeFillShade="D9"/>
            <w:vAlign w:val="bottom"/>
          </w:tcPr>
          <w:p w14:paraId="3E319791" w14:textId="77777777" w:rsidR="004C19ED" w:rsidRDefault="004C19ED" w:rsidP="003E2CCD">
            <w:pPr>
              <w:jc w:val="right"/>
              <w:rPr>
                <w:rFonts w:eastAsia="Times New Roman" w:cs="Arial"/>
                <w:color w:val="000000"/>
                <w:szCs w:val="20"/>
                <w:lang w:eastAsia="pt-BR"/>
              </w:rPr>
            </w:pPr>
          </w:p>
        </w:tc>
        <w:tc>
          <w:tcPr>
            <w:tcW w:w="1479" w:type="dxa"/>
            <w:tcBorders>
              <w:top w:val="nil"/>
              <w:left w:val="nil"/>
              <w:bottom w:val="nil"/>
              <w:right w:val="nil"/>
            </w:tcBorders>
            <w:shd w:val="clear" w:color="auto" w:fill="D9D9D9" w:themeFill="background1" w:themeFillShade="D9"/>
            <w:noWrap/>
            <w:vAlign w:val="bottom"/>
          </w:tcPr>
          <w:p w14:paraId="0F90628E" w14:textId="77777777" w:rsidR="004C19ED" w:rsidRPr="00F22BE5" w:rsidRDefault="004C19ED" w:rsidP="003E2CCD">
            <w:pPr>
              <w:jc w:val="right"/>
              <w:rPr>
                <w:rFonts w:eastAsia="Times New Roman" w:cs="Arial"/>
                <w:b/>
                <w:bCs/>
                <w:color w:val="000000"/>
                <w:szCs w:val="20"/>
                <w:lang w:eastAsia="pt-BR"/>
              </w:rPr>
            </w:pPr>
            <w:r w:rsidRPr="00F22BE5">
              <w:rPr>
                <w:rFonts w:eastAsia="Times New Roman" w:cs="Arial"/>
                <w:b/>
                <w:bCs/>
                <w:color w:val="000000"/>
                <w:szCs w:val="20"/>
                <w:lang w:eastAsia="pt-BR"/>
              </w:rPr>
              <w:t>100</w:t>
            </w:r>
          </w:p>
        </w:tc>
      </w:tr>
    </w:tbl>
    <w:p w14:paraId="7277006D" w14:textId="77777777" w:rsidR="004C19ED" w:rsidRPr="00892CDD" w:rsidRDefault="004C19ED" w:rsidP="004C19ED">
      <w:pPr>
        <w:rPr>
          <w:i/>
          <w:noProof/>
          <w:szCs w:val="20"/>
          <w:lang w:eastAsia="pt-BR"/>
        </w:rPr>
      </w:pPr>
      <w:r w:rsidRPr="00892CDD">
        <w:rPr>
          <w:i/>
          <w:noProof/>
          <w:szCs w:val="20"/>
          <w:lang w:eastAsia="pt-BR"/>
        </w:rPr>
        <w:t>Fonte: SIAFI 20</w:t>
      </w:r>
      <w:r>
        <w:rPr>
          <w:i/>
          <w:noProof/>
          <w:szCs w:val="20"/>
          <w:lang w:eastAsia="pt-BR"/>
        </w:rPr>
        <w:t>21 e 2020</w:t>
      </w:r>
      <w:r w:rsidRPr="00892CDD">
        <w:rPr>
          <w:i/>
          <w:noProof/>
          <w:szCs w:val="20"/>
          <w:lang w:eastAsia="pt-BR"/>
        </w:rPr>
        <w:t>.</w:t>
      </w:r>
    </w:p>
    <w:p w14:paraId="5A585619" w14:textId="77777777" w:rsidR="004C19ED" w:rsidRDefault="004C19ED" w:rsidP="004C19ED">
      <w:pPr>
        <w:rPr>
          <w:rFonts w:cs="Arial"/>
          <w:sz w:val="22"/>
        </w:rPr>
      </w:pPr>
    </w:p>
    <w:p w14:paraId="09EBEAB5" w14:textId="77777777" w:rsidR="004C19ED" w:rsidRDefault="004C19ED" w:rsidP="004C19ED">
      <w:pPr>
        <w:rPr>
          <w:rFonts w:cs="Arial"/>
          <w:sz w:val="22"/>
        </w:rPr>
      </w:pPr>
      <w:r w:rsidRPr="00BA32A4">
        <w:rPr>
          <w:rFonts w:cs="Arial"/>
          <w:sz w:val="22"/>
        </w:rPr>
        <w:t>Em 31/12/20</w:t>
      </w:r>
      <w:r>
        <w:rPr>
          <w:rFonts w:cs="Arial"/>
          <w:sz w:val="22"/>
        </w:rPr>
        <w:t xml:space="preserve">21, a ANP possuía todos os Convênios e </w:t>
      </w:r>
      <w:proofErr w:type="spellStart"/>
      <w:r>
        <w:rPr>
          <w:rFonts w:cs="Arial"/>
          <w:sz w:val="22"/>
        </w:rPr>
        <w:t>TEDs</w:t>
      </w:r>
      <w:proofErr w:type="spellEnd"/>
      <w:r>
        <w:rPr>
          <w:rFonts w:cs="Arial"/>
          <w:sz w:val="22"/>
        </w:rPr>
        <w:t xml:space="preserve"> registrados corretamente no SICONV e no SIAFI respectivamente, de forma a transparecer a fidedignidade dos atos.</w:t>
      </w:r>
    </w:p>
    <w:p w14:paraId="3A97CB44" w14:textId="77777777" w:rsidR="004C19ED" w:rsidRDefault="004C19ED" w:rsidP="004C19ED">
      <w:pPr>
        <w:rPr>
          <w:rFonts w:cs="Arial"/>
          <w:sz w:val="22"/>
        </w:rPr>
      </w:pPr>
    </w:p>
    <w:p w14:paraId="6C5DBB4E" w14:textId="77777777" w:rsidR="004C19ED" w:rsidRDefault="004C19ED" w:rsidP="004C19ED">
      <w:pPr>
        <w:rPr>
          <w:rFonts w:cs="Arial"/>
          <w:sz w:val="22"/>
        </w:rPr>
      </w:pPr>
    </w:p>
    <w:p w14:paraId="62E783BD" w14:textId="77777777" w:rsidR="004C19ED" w:rsidRDefault="004C19ED" w:rsidP="004C19ED">
      <w:pPr>
        <w:rPr>
          <w:rFonts w:cs="Arial"/>
          <w:sz w:val="22"/>
        </w:rPr>
      </w:pPr>
    </w:p>
    <w:p w14:paraId="66B5D2C8" w14:textId="77777777" w:rsidR="004C19ED" w:rsidRDefault="004C19ED" w:rsidP="004C19ED">
      <w:pPr>
        <w:rPr>
          <w:rFonts w:cs="Arial"/>
          <w:sz w:val="22"/>
        </w:rPr>
      </w:pPr>
    </w:p>
    <w:p w14:paraId="68643CCA" w14:textId="77777777" w:rsidR="004C19ED" w:rsidRDefault="004C19ED" w:rsidP="004C19ED">
      <w:pPr>
        <w:rPr>
          <w:rFonts w:cs="Arial"/>
          <w:sz w:val="22"/>
        </w:rPr>
      </w:pPr>
    </w:p>
    <w:p w14:paraId="687CEE11" w14:textId="77777777" w:rsidR="004C19ED" w:rsidRDefault="004C19ED" w:rsidP="004C19ED">
      <w:pPr>
        <w:rPr>
          <w:rFonts w:cs="Arial"/>
          <w:b/>
          <w:sz w:val="22"/>
        </w:rPr>
      </w:pPr>
      <w:r w:rsidRPr="00B90007">
        <w:rPr>
          <w:rFonts w:cs="Arial"/>
          <w:b/>
          <w:sz w:val="22"/>
        </w:rPr>
        <w:t>Tabela 21 – Atos Potenciais Passivos (Convênios)</w:t>
      </w:r>
      <w:r>
        <w:rPr>
          <w:rFonts w:cs="Arial"/>
          <w:b/>
          <w:sz w:val="22"/>
        </w:rPr>
        <w:t xml:space="preserve"> </w:t>
      </w:r>
    </w:p>
    <w:p w14:paraId="1BC5F678" w14:textId="77777777" w:rsidR="004C19ED" w:rsidRDefault="004C19ED" w:rsidP="004C19ED">
      <w:pPr>
        <w:jc w:val="right"/>
        <w:rPr>
          <w:rFonts w:cs="Arial"/>
          <w:b/>
          <w:sz w:val="22"/>
        </w:rPr>
      </w:pPr>
      <w:r>
        <w:rPr>
          <w:rFonts w:cs="Arial"/>
          <w:szCs w:val="20"/>
        </w:rPr>
        <w:t>R$</w:t>
      </w:r>
    </w:p>
    <w:tbl>
      <w:tblPr>
        <w:tblW w:w="9142" w:type="dxa"/>
        <w:tblCellMar>
          <w:left w:w="70" w:type="dxa"/>
          <w:right w:w="70" w:type="dxa"/>
        </w:tblCellMar>
        <w:tblLook w:val="04A0" w:firstRow="1" w:lastRow="0" w:firstColumn="1" w:lastColumn="0" w:noHBand="0" w:noVBand="1"/>
      </w:tblPr>
      <w:tblGrid>
        <w:gridCol w:w="3730"/>
        <w:gridCol w:w="1727"/>
        <w:gridCol w:w="1420"/>
        <w:gridCol w:w="873"/>
        <w:gridCol w:w="258"/>
        <w:gridCol w:w="1134"/>
      </w:tblGrid>
      <w:tr w:rsidR="004C19ED" w:rsidRPr="00FF5ACF" w14:paraId="075AC295" w14:textId="77777777" w:rsidTr="003E2CCD">
        <w:trPr>
          <w:trHeight w:val="255"/>
        </w:trPr>
        <w:tc>
          <w:tcPr>
            <w:tcW w:w="3730" w:type="dxa"/>
            <w:tcBorders>
              <w:top w:val="single" w:sz="4" w:space="0" w:color="000000"/>
              <w:left w:val="nil"/>
              <w:bottom w:val="single" w:sz="4" w:space="0" w:color="000000"/>
              <w:right w:val="nil"/>
            </w:tcBorders>
            <w:shd w:val="clear" w:color="auto" w:fill="auto"/>
            <w:noWrap/>
            <w:vAlign w:val="bottom"/>
          </w:tcPr>
          <w:p w14:paraId="148D097A" w14:textId="77777777" w:rsidR="004C19ED" w:rsidRPr="00FF5ACF" w:rsidRDefault="004C19ED" w:rsidP="003E2CCD">
            <w:pPr>
              <w:jc w:val="left"/>
              <w:rPr>
                <w:rFonts w:eastAsia="Times New Roman" w:cs="Arial"/>
                <w:b/>
                <w:bCs/>
                <w:szCs w:val="20"/>
                <w:lang w:eastAsia="pt-BR"/>
              </w:rPr>
            </w:pPr>
            <w:r>
              <w:rPr>
                <w:rFonts w:eastAsia="Times New Roman" w:cs="Arial"/>
                <w:b/>
                <w:bCs/>
                <w:szCs w:val="20"/>
                <w:lang w:eastAsia="pt-BR"/>
              </w:rPr>
              <w:t>CONTA</w:t>
            </w:r>
          </w:p>
        </w:tc>
        <w:tc>
          <w:tcPr>
            <w:tcW w:w="1727" w:type="dxa"/>
            <w:tcBorders>
              <w:top w:val="single" w:sz="4" w:space="0" w:color="000000"/>
              <w:left w:val="nil"/>
              <w:bottom w:val="single" w:sz="4" w:space="0" w:color="000000"/>
              <w:right w:val="nil"/>
            </w:tcBorders>
            <w:shd w:val="clear" w:color="auto" w:fill="auto"/>
            <w:noWrap/>
            <w:vAlign w:val="bottom"/>
            <w:hideMark/>
          </w:tcPr>
          <w:p w14:paraId="01B1436C"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12/2021</w:t>
            </w:r>
          </w:p>
        </w:tc>
        <w:tc>
          <w:tcPr>
            <w:tcW w:w="1420" w:type="dxa"/>
            <w:tcBorders>
              <w:top w:val="single" w:sz="4" w:space="0" w:color="000000"/>
              <w:left w:val="nil"/>
              <w:bottom w:val="single" w:sz="4" w:space="0" w:color="000000"/>
              <w:right w:val="nil"/>
            </w:tcBorders>
            <w:vAlign w:val="bottom"/>
          </w:tcPr>
          <w:p w14:paraId="08743F42"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12/2020</w:t>
            </w:r>
          </w:p>
        </w:tc>
        <w:tc>
          <w:tcPr>
            <w:tcW w:w="873" w:type="dxa"/>
            <w:tcBorders>
              <w:top w:val="single" w:sz="4" w:space="0" w:color="000000"/>
              <w:left w:val="nil"/>
              <w:bottom w:val="single" w:sz="4" w:space="0" w:color="000000"/>
              <w:right w:val="nil"/>
            </w:tcBorders>
            <w:vAlign w:val="bottom"/>
          </w:tcPr>
          <w:p w14:paraId="6EAB8338" w14:textId="77777777" w:rsidR="004C19ED" w:rsidRPr="00FF5ACF"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AH %</w:t>
            </w:r>
          </w:p>
        </w:tc>
        <w:tc>
          <w:tcPr>
            <w:tcW w:w="258" w:type="dxa"/>
            <w:tcBorders>
              <w:top w:val="single" w:sz="4" w:space="0" w:color="000000"/>
              <w:left w:val="nil"/>
              <w:bottom w:val="single" w:sz="4" w:space="0" w:color="000000"/>
              <w:right w:val="nil"/>
            </w:tcBorders>
          </w:tcPr>
          <w:p w14:paraId="44D5EDAD" w14:textId="77777777" w:rsidR="004C19ED" w:rsidRPr="00FF5ACF" w:rsidRDefault="004C19ED" w:rsidP="003E2CCD">
            <w:pPr>
              <w:jc w:val="right"/>
              <w:rPr>
                <w:rFonts w:eastAsia="Times New Roman" w:cs="Arial"/>
                <w:b/>
                <w:bCs/>
                <w:color w:val="000000"/>
                <w:szCs w:val="20"/>
                <w:lang w:eastAsia="pt-BR"/>
              </w:rPr>
            </w:pPr>
          </w:p>
        </w:tc>
        <w:tc>
          <w:tcPr>
            <w:tcW w:w="1134" w:type="dxa"/>
            <w:tcBorders>
              <w:top w:val="single" w:sz="4" w:space="0" w:color="000000"/>
              <w:left w:val="nil"/>
              <w:bottom w:val="single" w:sz="4" w:space="0" w:color="000000"/>
              <w:right w:val="nil"/>
            </w:tcBorders>
            <w:shd w:val="clear" w:color="auto" w:fill="auto"/>
            <w:noWrap/>
            <w:vAlign w:val="bottom"/>
            <w:hideMark/>
          </w:tcPr>
          <w:p w14:paraId="5E0BD798"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4C19ED" w:rsidRPr="00FF5ACF" w14:paraId="653DFFF2" w14:textId="77777777" w:rsidTr="003E2CCD">
        <w:trPr>
          <w:trHeight w:val="283"/>
        </w:trPr>
        <w:tc>
          <w:tcPr>
            <w:tcW w:w="3730" w:type="dxa"/>
            <w:tcBorders>
              <w:top w:val="nil"/>
              <w:left w:val="nil"/>
              <w:bottom w:val="nil"/>
              <w:right w:val="nil"/>
            </w:tcBorders>
            <w:shd w:val="clear" w:color="auto" w:fill="D9D9D9" w:themeFill="background1" w:themeFillShade="D9"/>
            <w:vAlign w:val="bottom"/>
            <w:hideMark/>
          </w:tcPr>
          <w:p w14:paraId="3FE771DF" w14:textId="77777777" w:rsidR="004C19ED" w:rsidRPr="00FF5ACF" w:rsidRDefault="004C19ED" w:rsidP="003E2CCD">
            <w:pPr>
              <w:jc w:val="left"/>
              <w:rPr>
                <w:rFonts w:eastAsia="Times New Roman" w:cs="Arial"/>
                <w:color w:val="000000"/>
                <w:szCs w:val="20"/>
                <w:lang w:eastAsia="pt-BR"/>
              </w:rPr>
            </w:pPr>
            <w:r>
              <w:rPr>
                <w:rFonts w:eastAsia="Times New Roman" w:cs="Arial"/>
                <w:color w:val="000000"/>
                <w:szCs w:val="20"/>
                <w:lang w:eastAsia="pt-BR"/>
              </w:rPr>
              <w:t>a liberar</w:t>
            </w:r>
          </w:p>
        </w:tc>
        <w:tc>
          <w:tcPr>
            <w:tcW w:w="1727" w:type="dxa"/>
            <w:tcBorders>
              <w:top w:val="nil"/>
              <w:left w:val="nil"/>
              <w:bottom w:val="nil"/>
              <w:right w:val="nil"/>
            </w:tcBorders>
            <w:shd w:val="clear" w:color="auto" w:fill="D9D9D9" w:themeFill="background1" w:themeFillShade="D9"/>
            <w:noWrap/>
            <w:vAlign w:val="bottom"/>
          </w:tcPr>
          <w:p w14:paraId="2D084424" w14:textId="77777777" w:rsidR="004C19ED" w:rsidRPr="00FF5ACF"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c>
          <w:tcPr>
            <w:tcW w:w="1420" w:type="dxa"/>
            <w:tcBorders>
              <w:top w:val="nil"/>
              <w:left w:val="nil"/>
              <w:bottom w:val="nil"/>
              <w:right w:val="nil"/>
            </w:tcBorders>
            <w:shd w:val="clear" w:color="auto" w:fill="D9D9D9" w:themeFill="background1" w:themeFillShade="D9"/>
            <w:vAlign w:val="bottom"/>
          </w:tcPr>
          <w:p w14:paraId="312AE189"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c>
          <w:tcPr>
            <w:tcW w:w="873" w:type="dxa"/>
            <w:tcBorders>
              <w:top w:val="nil"/>
              <w:left w:val="nil"/>
              <w:bottom w:val="nil"/>
              <w:right w:val="nil"/>
            </w:tcBorders>
            <w:shd w:val="clear" w:color="auto" w:fill="D9D9D9" w:themeFill="background1" w:themeFillShade="D9"/>
            <w:vAlign w:val="bottom"/>
          </w:tcPr>
          <w:p w14:paraId="551B110C" w14:textId="77777777" w:rsidR="004C19ED" w:rsidRDefault="004C19ED" w:rsidP="003E2CCD">
            <w:pPr>
              <w:jc w:val="right"/>
              <w:rPr>
                <w:rFonts w:eastAsia="Times New Roman" w:cs="Arial"/>
                <w:color w:val="000000"/>
                <w:szCs w:val="20"/>
                <w:lang w:eastAsia="pt-BR"/>
              </w:rPr>
            </w:pPr>
          </w:p>
        </w:tc>
        <w:tc>
          <w:tcPr>
            <w:tcW w:w="258" w:type="dxa"/>
            <w:tcBorders>
              <w:top w:val="nil"/>
              <w:left w:val="nil"/>
              <w:bottom w:val="nil"/>
              <w:right w:val="nil"/>
            </w:tcBorders>
            <w:shd w:val="clear" w:color="auto" w:fill="D9D9D9" w:themeFill="background1" w:themeFillShade="D9"/>
          </w:tcPr>
          <w:p w14:paraId="0A69CFC1" w14:textId="77777777" w:rsidR="004C19ED" w:rsidRDefault="004C19ED" w:rsidP="003E2CCD">
            <w:pPr>
              <w:jc w:val="right"/>
              <w:rPr>
                <w:rFonts w:eastAsia="Times New Roman" w:cs="Arial"/>
                <w:color w:val="000000"/>
                <w:szCs w:val="20"/>
                <w:lang w:eastAsia="pt-BR"/>
              </w:rPr>
            </w:pPr>
          </w:p>
        </w:tc>
        <w:tc>
          <w:tcPr>
            <w:tcW w:w="1134" w:type="dxa"/>
            <w:tcBorders>
              <w:top w:val="nil"/>
              <w:left w:val="nil"/>
              <w:bottom w:val="nil"/>
              <w:right w:val="nil"/>
            </w:tcBorders>
            <w:shd w:val="clear" w:color="auto" w:fill="D9D9D9" w:themeFill="background1" w:themeFillShade="D9"/>
            <w:noWrap/>
            <w:vAlign w:val="bottom"/>
            <w:hideMark/>
          </w:tcPr>
          <w:p w14:paraId="1853E327" w14:textId="77777777" w:rsidR="004C19ED" w:rsidRPr="00FF5ACF"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r>
      <w:tr w:rsidR="004C19ED" w:rsidRPr="00FF5ACF" w14:paraId="7C28BE73" w14:textId="77777777" w:rsidTr="003E2CCD">
        <w:trPr>
          <w:trHeight w:val="283"/>
        </w:trPr>
        <w:tc>
          <w:tcPr>
            <w:tcW w:w="3730" w:type="dxa"/>
            <w:tcBorders>
              <w:top w:val="nil"/>
              <w:left w:val="nil"/>
              <w:bottom w:val="nil"/>
              <w:right w:val="nil"/>
            </w:tcBorders>
            <w:shd w:val="clear" w:color="auto" w:fill="auto"/>
            <w:vAlign w:val="bottom"/>
            <w:hideMark/>
          </w:tcPr>
          <w:p w14:paraId="1690CA46" w14:textId="77777777" w:rsidR="004C19ED" w:rsidRPr="00FF5ACF" w:rsidRDefault="004C19ED" w:rsidP="003E2CCD">
            <w:pPr>
              <w:jc w:val="left"/>
              <w:rPr>
                <w:rFonts w:eastAsia="Times New Roman" w:cs="Arial"/>
                <w:color w:val="000000"/>
                <w:szCs w:val="20"/>
                <w:lang w:eastAsia="pt-BR"/>
              </w:rPr>
            </w:pPr>
            <w:r>
              <w:rPr>
                <w:rFonts w:eastAsia="Times New Roman" w:cs="Arial"/>
                <w:color w:val="000000"/>
                <w:szCs w:val="20"/>
                <w:lang w:eastAsia="pt-BR"/>
              </w:rPr>
              <w:t>a comprovar (812210102)</w:t>
            </w:r>
          </w:p>
        </w:tc>
        <w:tc>
          <w:tcPr>
            <w:tcW w:w="1727" w:type="dxa"/>
            <w:tcBorders>
              <w:top w:val="nil"/>
              <w:left w:val="nil"/>
              <w:bottom w:val="nil"/>
              <w:right w:val="nil"/>
            </w:tcBorders>
            <w:shd w:val="clear" w:color="auto" w:fill="auto"/>
            <w:noWrap/>
            <w:vAlign w:val="bottom"/>
          </w:tcPr>
          <w:p w14:paraId="4BAC8D5C" w14:textId="77777777" w:rsidR="004C19ED" w:rsidRPr="00FF5ACF" w:rsidRDefault="004C19ED" w:rsidP="003E2CCD">
            <w:pPr>
              <w:jc w:val="right"/>
              <w:rPr>
                <w:rFonts w:eastAsia="Times New Roman" w:cs="Arial"/>
                <w:color w:val="000000"/>
                <w:szCs w:val="20"/>
                <w:lang w:eastAsia="pt-BR"/>
              </w:rPr>
            </w:pPr>
            <w:r w:rsidRPr="008C5A13">
              <w:rPr>
                <w:rFonts w:eastAsia="Times New Roman" w:cs="Arial"/>
                <w:color w:val="000000"/>
                <w:szCs w:val="20"/>
                <w:lang w:eastAsia="pt-BR"/>
              </w:rPr>
              <w:t>14</w:t>
            </w:r>
            <w:r>
              <w:rPr>
                <w:rFonts w:eastAsia="Times New Roman" w:cs="Arial"/>
                <w:color w:val="000000"/>
                <w:szCs w:val="20"/>
                <w:lang w:eastAsia="pt-BR"/>
              </w:rPr>
              <w:t>.</w:t>
            </w:r>
            <w:r w:rsidRPr="008C5A13">
              <w:rPr>
                <w:rFonts w:eastAsia="Times New Roman" w:cs="Arial"/>
                <w:color w:val="000000"/>
                <w:szCs w:val="20"/>
                <w:lang w:eastAsia="pt-BR"/>
              </w:rPr>
              <w:t>584</w:t>
            </w:r>
            <w:r>
              <w:rPr>
                <w:rFonts w:eastAsia="Times New Roman" w:cs="Arial"/>
                <w:color w:val="000000"/>
                <w:szCs w:val="20"/>
                <w:lang w:eastAsia="pt-BR"/>
              </w:rPr>
              <w:t>.</w:t>
            </w:r>
            <w:r w:rsidRPr="008C5A13">
              <w:rPr>
                <w:rFonts w:eastAsia="Times New Roman" w:cs="Arial"/>
                <w:color w:val="000000"/>
                <w:szCs w:val="20"/>
                <w:lang w:eastAsia="pt-BR"/>
              </w:rPr>
              <w:t>036,80</w:t>
            </w:r>
          </w:p>
        </w:tc>
        <w:tc>
          <w:tcPr>
            <w:tcW w:w="1420" w:type="dxa"/>
            <w:tcBorders>
              <w:top w:val="nil"/>
              <w:left w:val="nil"/>
              <w:bottom w:val="nil"/>
              <w:right w:val="nil"/>
            </w:tcBorders>
            <w:vAlign w:val="bottom"/>
          </w:tcPr>
          <w:p w14:paraId="35B7E986" w14:textId="77777777" w:rsidR="004C19ED" w:rsidRDefault="004C19ED" w:rsidP="003E2CCD">
            <w:pPr>
              <w:jc w:val="right"/>
              <w:rPr>
                <w:rFonts w:eastAsia="Times New Roman" w:cs="Arial"/>
                <w:color w:val="000000"/>
                <w:szCs w:val="20"/>
                <w:lang w:eastAsia="pt-BR"/>
              </w:rPr>
            </w:pPr>
            <w:r w:rsidRPr="008C5A13">
              <w:rPr>
                <w:rFonts w:eastAsia="Times New Roman" w:cs="Arial"/>
                <w:color w:val="000000"/>
                <w:szCs w:val="20"/>
                <w:lang w:eastAsia="pt-BR"/>
              </w:rPr>
              <w:t>14</w:t>
            </w:r>
            <w:r>
              <w:rPr>
                <w:rFonts w:eastAsia="Times New Roman" w:cs="Arial"/>
                <w:color w:val="000000"/>
                <w:szCs w:val="20"/>
                <w:lang w:eastAsia="pt-BR"/>
              </w:rPr>
              <w:t>.</w:t>
            </w:r>
            <w:r w:rsidRPr="008C5A13">
              <w:rPr>
                <w:rFonts w:eastAsia="Times New Roman" w:cs="Arial"/>
                <w:color w:val="000000"/>
                <w:szCs w:val="20"/>
                <w:lang w:eastAsia="pt-BR"/>
              </w:rPr>
              <w:t>584</w:t>
            </w:r>
            <w:r>
              <w:rPr>
                <w:rFonts w:eastAsia="Times New Roman" w:cs="Arial"/>
                <w:color w:val="000000"/>
                <w:szCs w:val="20"/>
                <w:lang w:eastAsia="pt-BR"/>
              </w:rPr>
              <w:t>.</w:t>
            </w:r>
            <w:r w:rsidRPr="008C5A13">
              <w:rPr>
                <w:rFonts w:eastAsia="Times New Roman" w:cs="Arial"/>
                <w:color w:val="000000"/>
                <w:szCs w:val="20"/>
                <w:lang w:eastAsia="pt-BR"/>
              </w:rPr>
              <w:t>036,80</w:t>
            </w:r>
          </w:p>
        </w:tc>
        <w:tc>
          <w:tcPr>
            <w:tcW w:w="873" w:type="dxa"/>
            <w:tcBorders>
              <w:top w:val="nil"/>
              <w:left w:val="nil"/>
              <w:bottom w:val="nil"/>
              <w:right w:val="nil"/>
            </w:tcBorders>
            <w:vAlign w:val="bottom"/>
          </w:tcPr>
          <w:p w14:paraId="6B86911E"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258" w:type="dxa"/>
            <w:tcBorders>
              <w:top w:val="nil"/>
              <w:left w:val="nil"/>
              <w:bottom w:val="nil"/>
              <w:right w:val="nil"/>
            </w:tcBorders>
          </w:tcPr>
          <w:p w14:paraId="247A2B21" w14:textId="77777777" w:rsidR="004C19ED" w:rsidRDefault="004C19ED" w:rsidP="003E2CCD">
            <w:pPr>
              <w:jc w:val="right"/>
              <w:rPr>
                <w:rFonts w:eastAsia="Times New Roman" w:cs="Arial"/>
                <w:color w:val="000000"/>
                <w:szCs w:val="20"/>
                <w:lang w:eastAsia="pt-BR"/>
              </w:rPr>
            </w:pPr>
          </w:p>
        </w:tc>
        <w:tc>
          <w:tcPr>
            <w:tcW w:w="1134" w:type="dxa"/>
            <w:tcBorders>
              <w:top w:val="nil"/>
              <w:left w:val="nil"/>
              <w:bottom w:val="nil"/>
              <w:right w:val="nil"/>
            </w:tcBorders>
            <w:shd w:val="clear" w:color="auto" w:fill="auto"/>
            <w:noWrap/>
            <w:vAlign w:val="bottom"/>
            <w:hideMark/>
          </w:tcPr>
          <w:p w14:paraId="7DD554F2" w14:textId="77777777" w:rsidR="004C19ED" w:rsidRPr="00FF5ACF" w:rsidRDefault="004C19ED" w:rsidP="003E2CCD">
            <w:pPr>
              <w:jc w:val="right"/>
              <w:rPr>
                <w:rFonts w:eastAsia="Times New Roman" w:cs="Arial"/>
                <w:color w:val="000000"/>
                <w:szCs w:val="20"/>
                <w:lang w:eastAsia="pt-BR"/>
              </w:rPr>
            </w:pPr>
            <w:r>
              <w:rPr>
                <w:rFonts w:eastAsia="Times New Roman" w:cs="Arial"/>
                <w:color w:val="000000"/>
                <w:szCs w:val="20"/>
                <w:lang w:eastAsia="pt-BR"/>
              </w:rPr>
              <w:t>83,81</w:t>
            </w:r>
          </w:p>
        </w:tc>
      </w:tr>
      <w:tr w:rsidR="004C19ED" w:rsidRPr="00FF5ACF" w14:paraId="67B37A13" w14:textId="77777777" w:rsidTr="003E2CCD">
        <w:trPr>
          <w:trHeight w:val="287"/>
        </w:trPr>
        <w:tc>
          <w:tcPr>
            <w:tcW w:w="3730" w:type="dxa"/>
            <w:tcBorders>
              <w:top w:val="nil"/>
              <w:left w:val="nil"/>
              <w:bottom w:val="nil"/>
              <w:right w:val="nil"/>
            </w:tcBorders>
            <w:shd w:val="clear" w:color="auto" w:fill="D9D9D9" w:themeFill="background1" w:themeFillShade="D9"/>
            <w:vAlign w:val="bottom"/>
          </w:tcPr>
          <w:p w14:paraId="421F2967"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a aprovar (812210102)</w:t>
            </w:r>
          </w:p>
        </w:tc>
        <w:tc>
          <w:tcPr>
            <w:tcW w:w="1727" w:type="dxa"/>
            <w:tcBorders>
              <w:top w:val="nil"/>
              <w:left w:val="nil"/>
              <w:bottom w:val="nil"/>
              <w:right w:val="nil"/>
            </w:tcBorders>
            <w:shd w:val="clear" w:color="auto" w:fill="D9D9D9" w:themeFill="background1" w:themeFillShade="D9"/>
            <w:noWrap/>
            <w:vAlign w:val="bottom"/>
          </w:tcPr>
          <w:p w14:paraId="40843659" w14:textId="77777777" w:rsidR="004C19ED" w:rsidRPr="00EE0B93" w:rsidRDefault="004C19ED" w:rsidP="003E2CCD">
            <w:pPr>
              <w:jc w:val="right"/>
              <w:rPr>
                <w:rFonts w:eastAsia="Times New Roman" w:cs="Arial"/>
                <w:color w:val="000000"/>
                <w:szCs w:val="20"/>
                <w:lang w:eastAsia="pt-BR"/>
              </w:rPr>
            </w:pPr>
            <w:r w:rsidRPr="008C5A13">
              <w:rPr>
                <w:rFonts w:eastAsia="Times New Roman" w:cs="Arial"/>
                <w:color w:val="000000"/>
                <w:szCs w:val="20"/>
                <w:lang w:eastAsia="pt-BR"/>
              </w:rPr>
              <w:t>1</w:t>
            </w:r>
            <w:r>
              <w:rPr>
                <w:rFonts w:eastAsia="Times New Roman" w:cs="Arial"/>
                <w:color w:val="000000"/>
                <w:szCs w:val="20"/>
                <w:lang w:eastAsia="pt-BR"/>
              </w:rPr>
              <w:t>.</w:t>
            </w:r>
            <w:r w:rsidRPr="008C5A13">
              <w:rPr>
                <w:rFonts w:eastAsia="Times New Roman" w:cs="Arial"/>
                <w:color w:val="000000"/>
                <w:szCs w:val="20"/>
                <w:lang w:eastAsia="pt-BR"/>
              </w:rPr>
              <w:t>290</w:t>
            </w:r>
            <w:r>
              <w:rPr>
                <w:rFonts w:eastAsia="Times New Roman" w:cs="Arial"/>
                <w:color w:val="000000"/>
                <w:szCs w:val="20"/>
                <w:lang w:eastAsia="pt-BR"/>
              </w:rPr>
              <w:t>.</w:t>
            </w:r>
            <w:r w:rsidRPr="008C5A13">
              <w:rPr>
                <w:rFonts w:eastAsia="Times New Roman" w:cs="Arial"/>
                <w:color w:val="000000"/>
                <w:szCs w:val="20"/>
                <w:lang w:eastAsia="pt-BR"/>
              </w:rPr>
              <w:t>716,85</w:t>
            </w:r>
          </w:p>
        </w:tc>
        <w:tc>
          <w:tcPr>
            <w:tcW w:w="1420" w:type="dxa"/>
            <w:tcBorders>
              <w:top w:val="nil"/>
              <w:left w:val="nil"/>
              <w:bottom w:val="nil"/>
              <w:right w:val="nil"/>
            </w:tcBorders>
            <w:shd w:val="clear" w:color="auto" w:fill="D9D9D9" w:themeFill="background1" w:themeFillShade="D9"/>
            <w:vAlign w:val="bottom"/>
          </w:tcPr>
          <w:p w14:paraId="2B25DDAF" w14:textId="77777777" w:rsidR="004C19ED" w:rsidRDefault="004C19ED" w:rsidP="003E2CCD">
            <w:pPr>
              <w:jc w:val="right"/>
              <w:rPr>
                <w:rFonts w:eastAsia="Times New Roman" w:cs="Arial"/>
                <w:color w:val="000000"/>
                <w:szCs w:val="20"/>
                <w:lang w:eastAsia="pt-BR"/>
              </w:rPr>
            </w:pPr>
            <w:r w:rsidRPr="008C5A13">
              <w:rPr>
                <w:rFonts w:eastAsia="Times New Roman" w:cs="Arial"/>
                <w:color w:val="000000"/>
                <w:szCs w:val="20"/>
                <w:lang w:eastAsia="pt-BR"/>
              </w:rPr>
              <w:t>1</w:t>
            </w:r>
            <w:r>
              <w:rPr>
                <w:rFonts w:eastAsia="Times New Roman" w:cs="Arial"/>
                <w:color w:val="000000"/>
                <w:szCs w:val="20"/>
                <w:lang w:eastAsia="pt-BR"/>
              </w:rPr>
              <w:t>.</w:t>
            </w:r>
            <w:r w:rsidRPr="008C5A13">
              <w:rPr>
                <w:rFonts w:eastAsia="Times New Roman" w:cs="Arial"/>
                <w:color w:val="000000"/>
                <w:szCs w:val="20"/>
                <w:lang w:eastAsia="pt-BR"/>
              </w:rPr>
              <w:t>290</w:t>
            </w:r>
            <w:r>
              <w:rPr>
                <w:rFonts w:eastAsia="Times New Roman" w:cs="Arial"/>
                <w:color w:val="000000"/>
                <w:szCs w:val="20"/>
                <w:lang w:eastAsia="pt-BR"/>
              </w:rPr>
              <w:t>.</w:t>
            </w:r>
            <w:r w:rsidRPr="008C5A13">
              <w:rPr>
                <w:rFonts w:eastAsia="Times New Roman" w:cs="Arial"/>
                <w:color w:val="000000"/>
                <w:szCs w:val="20"/>
                <w:lang w:eastAsia="pt-BR"/>
              </w:rPr>
              <w:t>716,85</w:t>
            </w:r>
          </w:p>
        </w:tc>
        <w:tc>
          <w:tcPr>
            <w:tcW w:w="873" w:type="dxa"/>
            <w:tcBorders>
              <w:top w:val="nil"/>
              <w:left w:val="nil"/>
              <w:bottom w:val="nil"/>
              <w:right w:val="nil"/>
            </w:tcBorders>
            <w:shd w:val="clear" w:color="auto" w:fill="D9D9D9" w:themeFill="background1" w:themeFillShade="D9"/>
            <w:vAlign w:val="bottom"/>
          </w:tcPr>
          <w:p w14:paraId="66B644E2"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258" w:type="dxa"/>
            <w:tcBorders>
              <w:top w:val="nil"/>
              <w:left w:val="nil"/>
              <w:bottom w:val="nil"/>
              <w:right w:val="nil"/>
            </w:tcBorders>
            <w:shd w:val="clear" w:color="auto" w:fill="D9D9D9" w:themeFill="background1" w:themeFillShade="D9"/>
          </w:tcPr>
          <w:p w14:paraId="797D88C9" w14:textId="77777777" w:rsidR="004C19ED" w:rsidRDefault="004C19ED" w:rsidP="003E2CCD">
            <w:pPr>
              <w:jc w:val="right"/>
              <w:rPr>
                <w:rFonts w:eastAsia="Times New Roman" w:cs="Arial"/>
                <w:color w:val="000000"/>
                <w:szCs w:val="20"/>
                <w:lang w:eastAsia="pt-BR"/>
              </w:rPr>
            </w:pPr>
          </w:p>
        </w:tc>
        <w:tc>
          <w:tcPr>
            <w:tcW w:w="1134" w:type="dxa"/>
            <w:tcBorders>
              <w:top w:val="nil"/>
              <w:left w:val="nil"/>
              <w:bottom w:val="nil"/>
              <w:right w:val="nil"/>
            </w:tcBorders>
            <w:shd w:val="clear" w:color="auto" w:fill="D9D9D9" w:themeFill="background1" w:themeFillShade="D9"/>
            <w:noWrap/>
            <w:vAlign w:val="bottom"/>
          </w:tcPr>
          <w:p w14:paraId="5FF57C6E"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7,42</w:t>
            </w:r>
          </w:p>
        </w:tc>
      </w:tr>
      <w:tr w:rsidR="004C19ED" w:rsidRPr="00FF5ACF" w14:paraId="78CD28AC" w14:textId="77777777" w:rsidTr="003E2CCD">
        <w:trPr>
          <w:trHeight w:val="287"/>
        </w:trPr>
        <w:tc>
          <w:tcPr>
            <w:tcW w:w="3730" w:type="dxa"/>
            <w:tcBorders>
              <w:top w:val="nil"/>
              <w:left w:val="nil"/>
              <w:bottom w:val="nil"/>
              <w:right w:val="nil"/>
            </w:tcBorders>
            <w:shd w:val="clear" w:color="auto" w:fill="auto"/>
            <w:vAlign w:val="bottom"/>
          </w:tcPr>
          <w:p w14:paraId="6B5F1D3E"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Não liberado/devolvido (812210109)</w:t>
            </w:r>
          </w:p>
        </w:tc>
        <w:tc>
          <w:tcPr>
            <w:tcW w:w="1727" w:type="dxa"/>
            <w:tcBorders>
              <w:top w:val="nil"/>
              <w:left w:val="nil"/>
              <w:bottom w:val="nil"/>
              <w:right w:val="nil"/>
            </w:tcBorders>
            <w:shd w:val="clear" w:color="auto" w:fill="auto"/>
            <w:noWrap/>
            <w:vAlign w:val="bottom"/>
          </w:tcPr>
          <w:p w14:paraId="3AF1B468" w14:textId="77777777" w:rsidR="004C19ED" w:rsidRPr="008C5A13"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1420" w:type="dxa"/>
            <w:tcBorders>
              <w:top w:val="nil"/>
              <w:left w:val="nil"/>
              <w:bottom w:val="nil"/>
              <w:right w:val="nil"/>
            </w:tcBorders>
            <w:vAlign w:val="bottom"/>
          </w:tcPr>
          <w:p w14:paraId="65A2CE60" w14:textId="77777777" w:rsidR="004C19ED" w:rsidRDefault="004C19ED" w:rsidP="003E2CCD">
            <w:pPr>
              <w:jc w:val="right"/>
              <w:rPr>
                <w:rFonts w:eastAsia="Times New Roman" w:cs="Arial"/>
                <w:color w:val="000000"/>
                <w:szCs w:val="20"/>
                <w:lang w:eastAsia="pt-BR"/>
              </w:rPr>
            </w:pPr>
            <w:r w:rsidRPr="00B90007">
              <w:rPr>
                <w:rFonts w:eastAsia="Times New Roman" w:cs="Arial"/>
                <w:color w:val="000000"/>
                <w:szCs w:val="20"/>
                <w:lang w:eastAsia="pt-BR"/>
              </w:rPr>
              <w:t>1</w:t>
            </w:r>
            <w:r>
              <w:rPr>
                <w:rFonts w:eastAsia="Times New Roman" w:cs="Arial"/>
                <w:color w:val="000000"/>
                <w:szCs w:val="20"/>
                <w:lang w:eastAsia="pt-BR"/>
              </w:rPr>
              <w:t>.</w:t>
            </w:r>
            <w:r w:rsidRPr="00B90007">
              <w:rPr>
                <w:rFonts w:eastAsia="Times New Roman" w:cs="Arial"/>
                <w:color w:val="000000"/>
                <w:szCs w:val="20"/>
                <w:lang w:eastAsia="pt-BR"/>
              </w:rPr>
              <w:t>525</w:t>
            </w:r>
            <w:r>
              <w:rPr>
                <w:rFonts w:eastAsia="Times New Roman" w:cs="Arial"/>
                <w:color w:val="000000"/>
                <w:szCs w:val="20"/>
                <w:lang w:eastAsia="pt-BR"/>
              </w:rPr>
              <w:t>.</w:t>
            </w:r>
            <w:r w:rsidRPr="00B90007">
              <w:rPr>
                <w:rFonts w:eastAsia="Times New Roman" w:cs="Arial"/>
                <w:color w:val="000000"/>
                <w:szCs w:val="20"/>
                <w:lang w:eastAsia="pt-BR"/>
              </w:rPr>
              <w:t>573,90</w:t>
            </w:r>
          </w:p>
        </w:tc>
        <w:tc>
          <w:tcPr>
            <w:tcW w:w="873" w:type="dxa"/>
            <w:tcBorders>
              <w:top w:val="nil"/>
              <w:left w:val="nil"/>
              <w:bottom w:val="nil"/>
              <w:right w:val="nil"/>
            </w:tcBorders>
            <w:vAlign w:val="bottom"/>
          </w:tcPr>
          <w:p w14:paraId="31D4157D"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w:t>
            </w:r>
          </w:p>
        </w:tc>
        <w:tc>
          <w:tcPr>
            <w:tcW w:w="258" w:type="dxa"/>
            <w:tcBorders>
              <w:top w:val="nil"/>
              <w:left w:val="nil"/>
              <w:bottom w:val="nil"/>
              <w:right w:val="nil"/>
            </w:tcBorders>
          </w:tcPr>
          <w:p w14:paraId="3049235E" w14:textId="77777777" w:rsidR="004C19ED" w:rsidRDefault="004C19ED" w:rsidP="003E2CCD">
            <w:pPr>
              <w:jc w:val="right"/>
              <w:rPr>
                <w:rFonts w:eastAsia="Times New Roman" w:cs="Arial"/>
                <w:color w:val="000000"/>
                <w:szCs w:val="20"/>
                <w:lang w:eastAsia="pt-BR"/>
              </w:rPr>
            </w:pPr>
          </w:p>
        </w:tc>
        <w:tc>
          <w:tcPr>
            <w:tcW w:w="1134" w:type="dxa"/>
            <w:tcBorders>
              <w:top w:val="nil"/>
              <w:left w:val="nil"/>
              <w:bottom w:val="nil"/>
              <w:right w:val="nil"/>
            </w:tcBorders>
            <w:shd w:val="clear" w:color="auto" w:fill="auto"/>
            <w:noWrap/>
            <w:vAlign w:val="bottom"/>
          </w:tcPr>
          <w:p w14:paraId="00DEA784"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8,77</w:t>
            </w:r>
          </w:p>
        </w:tc>
      </w:tr>
      <w:tr w:rsidR="004C19ED" w:rsidRPr="00100C94" w14:paraId="469BA115" w14:textId="77777777" w:rsidTr="003E2CCD">
        <w:trPr>
          <w:trHeight w:val="287"/>
        </w:trPr>
        <w:tc>
          <w:tcPr>
            <w:tcW w:w="3730" w:type="dxa"/>
            <w:tcBorders>
              <w:top w:val="nil"/>
              <w:left w:val="nil"/>
              <w:bottom w:val="nil"/>
              <w:right w:val="nil"/>
            </w:tcBorders>
            <w:shd w:val="clear" w:color="auto" w:fill="D9D9D9" w:themeFill="background1" w:themeFillShade="D9"/>
            <w:vAlign w:val="bottom"/>
          </w:tcPr>
          <w:p w14:paraId="719E57C0" w14:textId="77777777" w:rsidR="004C19ED" w:rsidRPr="00100C94" w:rsidRDefault="004C19ED" w:rsidP="003E2CCD">
            <w:pPr>
              <w:jc w:val="left"/>
              <w:rPr>
                <w:rFonts w:eastAsia="Times New Roman" w:cs="Arial"/>
                <w:b/>
                <w:color w:val="000000"/>
                <w:szCs w:val="20"/>
                <w:lang w:eastAsia="pt-BR"/>
              </w:rPr>
            </w:pPr>
            <w:r w:rsidRPr="00100C94">
              <w:rPr>
                <w:rFonts w:eastAsia="Times New Roman" w:cs="Arial"/>
                <w:b/>
                <w:color w:val="000000"/>
                <w:szCs w:val="20"/>
                <w:lang w:eastAsia="pt-BR"/>
              </w:rPr>
              <w:t>TOTAL</w:t>
            </w:r>
          </w:p>
        </w:tc>
        <w:tc>
          <w:tcPr>
            <w:tcW w:w="1727" w:type="dxa"/>
            <w:tcBorders>
              <w:top w:val="nil"/>
              <w:left w:val="nil"/>
              <w:bottom w:val="nil"/>
              <w:right w:val="nil"/>
            </w:tcBorders>
            <w:shd w:val="clear" w:color="auto" w:fill="D9D9D9" w:themeFill="background1" w:themeFillShade="D9"/>
            <w:noWrap/>
            <w:vAlign w:val="bottom"/>
          </w:tcPr>
          <w:p w14:paraId="62996380" w14:textId="77777777" w:rsidR="004C19ED" w:rsidRPr="00E16CE4" w:rsidRDefault="004C19ED" w:rsidP="003E2CCD">
            <w:pPr>
              <w:jc w:val="right"/>
              <w:rPr>
                <w:rFonts w:cs="Arial"/>
                <w:b/>
                <w:bCs/>
                <w:szCs w:val="20"/>
              </w:rPr>
            </w:pPr>
            <w:r w:rsidRPr="00E16CE4">
              <w:rPr>
                <w:rFonts w:cs="Arial"/>
                <w:b/>
                <w:bCs/>
                <w:szCs w:val="20"/>
              </w:rPr>
              <w:t>15.874.753,65</w:t>
            </w:r>
          </w:p>
        </w:tc>
        <w:tc>
          <w:tcPr>
            <w:tcW w:w="1420" w:type="dxa"/>
            <w:tcBorders>
              <w:top w:val="nil"/>
              <w:left w:val="nil"/>
              <w:bottom w:val="nil"/>
              <w:right w:val="nil"/>
            </w:tcBorders>
            <w:shd w:val="clear" w:color="auto" w:fill="D9D9D9" w:themeFill="background1" w:themeFillShade="D9"/>
            <w:vAlign w:val="bottom"/>
          </w:tcPr>
          <w:p w14:paraId="318AFDFE" w14:textId="77777777" w:rsidR="004C19ED" w:rsidRPr="00100C94" w:rsidRDefault="004C19ED" w:rsidP="003E2CCD">
            <w:pPr>
              <w:jc w:val="right"/>
              <w:rPr>
                <w:rFonts w:eastAsia="Times New Roman" w:cs="Arial"/>
                <w:b/>
                <w:color w:val="000000"/>
                <w:szCs w:val="20"/>
                <w:lang w:eastAsia="pt-BR"/>
              </w:rPr>
            </w:pPr>
            <w:r w:rsidRPr="00100C94">
              <w:rPr>
                <w:rFonts w:eastAsia="Times New Roman" w:cs="Arial"/>
                <w:b/>
                <w:color w:val="000000"/>
                <w:szCs w:val="20"/>
                <w:lang w:eastAsia="pt-BR"/>
              </w:rPr>
              <w:t>17.400.327,55</w:t>
            </w:r>
          </w:p>
        </w:tc>
        <w:tc>
          <w:tcPr>
            <w:tcW w:w="873" w:type="dxa"/>
            <w:tcBorders>
              <w:top w:val="nil"/>
              <w:left w:val="nil"/>
              <w:bottom w:val="nil"/>
              <w:right w:val="nil"/>
            </w:tcBorders>
            <w:shd w:val="clear" w:color="auto" w:fill="D9D9D9" w:themeFill="background1" w:themeFillShade="D9"/>
          </w:tcPr>
          <w:p w14:paraId="3C3EC09B" w14:textId="77777777" w:rsidR="004C19ED" w:rsidRPr="00100C94" w:rsidRDefault="004C19ED" w:rsidP="003E2CCD">
            <w:pPr>
              <w:jc w:val="right"/>
              <w:rPr>
                <w:rFonts w:eastAsia="Times New Roman" w:cs="Arial"/>
                <w:b/>
                <w:color w:val="000000"/>
                <w:szCs w:val="20"/>
                <w:lang w:eastAsia="pt-BR"/>
              </w:rPr>
            </w:pPr>
            <w:r>
              <w:rPr>
                <w:rFonts w:eastAsia="Times New Roman" w:cs="Arial"/>
                <w:b/>
                <w:color w:val="000000"/>
                <w:szCs w:val="20"/>
                <w:lang w:eastAsia="pt-BR"/>
              </w:rPr>
              <w:t>-8,77</w:t>
            </w:r>
          </w:p>
        </w:tc>
        <w:tc>
          <w:tcPr>
            <w:tcW w:w="258" w:type="dxa"/>
            <w:tcBorders>
              <w:top w:val="nil"/>
              <w:left w:val="nil"/>
              <w:bottom w:val="nil"/>
              <w:right w:val="nil"/>
            </w:tcBorders>
            <w:shd w:val="clear" w:color="auto" w:fill="D9D9D9" w:themeFill="background1" w:themeFillShade="D9"/>
          </w:tcPr>
          <w:p w14:paraId="4E6FD126" w14:textId="77777777" w:rsidR="004C19ED" w:rsidRPr="00100C94" w:rsidRDefault="004C19ED" w:rsidP="003E2CCD">
            <w:pPr>
              <w:jc w:val="right"/>
              <w:rPr>
                <w:rFonts w:eastAsia="Times New Roman" w:cs="Arial"/>
                <w:b/>
                <w:color w:val="000000"/>
                <w:szCs w:val="20"/>
                <w:lang w:eastAsia="pt-BR"/>
              </w:rPr>
            </w:pPr>
          </w:p>
        </w:tc>
        <w:tc>
          <w:tcPr>
            <w:tcW w:w="1134" w:type="dxa"/>
            <w:tcBorders>
              <w:top w:val="nil"/>
              <w:left w:val="nil"/>
              <w:bottom w:val="nil"/>
              <w:right w:val="nil"/>
            </w:tcBorders>
            <w:shd w:val="clear" w:color="auto" w:fill="D9D9D9" w:themeFill="background1" w:themeFillShade="D9"/>
            <w:noWrap/>
            <w:vAlign w:val="bottom"/>
          </w:tcPr>
          <w:p w14:paraId="32B78CA7" w14:textId="77777777" w:rsidR="004C19ED" w:rsidRPr="00100C94" w:rsidRDefault="004C19ED" w:rsidP="003E2CCD">
            <w:pPr>
              <w:jc w:val="right"/>
              <w:rPr>
                <w:rFonts w:eastAsia="Times New Roman" w:cs="Arial"/>
                <w:b/>
                <w:color w:val="000000"/>
                <w:szCs w:val="20"/>
                <w:lang w:eastAsia="pt-BR"/>
              </w:rPr>
            </w:pPr>
            <w:r w:rsidRPr="00100C94">
              <w:rPr>
                <w:rFonts w:eastAsia="Times New Roman" w:cs="Arial"/>
                <w:b/>
                <w:color w:val="000000"/>
                <w:szCs w:val="20"/>
                <w:lang w:eastAsia="pt-BR"/>
              </w:rPr>
              <w:t>100,0</w:t>
            </w:r>
            <w:r>
              <w:rPr>
                <w:rFonts w:eastAsia="Times New Roman" w:cs="Arial"/>
                <w:b/>
                <w:color w:val="000000"/>
                <w:szCs w:val="20"/>
                <w:lang w:eastAsia="pt-BR"/>
              </w:rPr>
              <w:t>0</w:t>
            </w:r>
          </w:p>
        </w:tc>
      </w:tr>
    </w:tbl>
    <w:p w14:paraId="5B7F883B" w14:textId="77777777" w:rsidR="004C19ED" w:rsidRPr="00892CDD" w:rsidRDefault="004C19ED" w:rsidP="004C19ED">
      <w:pPr>
        <w:rPr>
          <w:i/>
          <w:noProof/>
          <w:szCs w:val="20"/>
          <w:lang w:eastAsia="pt-BR"/>
        </w:rPr>
      </w:pPr>
      <w:r w:rsidRPr="00892CDD">
        <w:rPr>
          <w:i/>
          <w:noProof/>
          <w:szCs w:val="20"/>
          <w:lang w:eastAsia="pt-BR"/>
        </w:rPr>
        <w:t>Fonte: SIAFI 20</w:t>
      </w:r>
      <w:r>
        <w:rPr>
          <w:i/>
          <w:noProof/>
          <w:szCs w:val="20"/>
          <w:lang w:eastAsia="pt-BR"/>
        </w:rPr>
        <w:t>21 e 2020</w:t>
      </w:r>
      <w:r w:rsidRPr="00892CDD">
        <w:rPr>
          <w:i/>
          <w:noProof/>
          <w:szCs w:val="20"/>
          <w:lang w:eastAsia="pt-BR"/>
        </w:rPr>
        <w:t>.</w:t>
      </w:r>
    </w:p>
    <w:p w14:paraId="469A24F6" w14:textId="77777777" w:rsidR="004C19ED" w:rsidRPr="008C5A13" w:rsidRDefault="004C19ED" w:rsidP="004C19ED">
      <w:pPr>
        <w:rPr>
          <w:rFonts w:cs="Arial"/>
          <w:b/>
          <w:sz w:val="22"/>
        </w:rPr>
      </w:pPr>
    </w:p>
    <w:p w14:paraId="2288CFEE" w14:textId="77777777" w:rsidR="004C19ED" w:rsidRDefault="004C19ED" w:rsidP="004C19ED">
      <w:pPr>
        <w:rPr>
          <w:rFonts w:cs="Arial"/>
          <w:b/>
          <w:sz w:val="22"/>
        </w:rPr>
      </w:pPr>
      <w:r w:rsidRPr="006E741A">
        <w:rPr>
          <w:rFonts w:cs="Arial"/>
          <w:b/>
          <w:sz w:val="22"/>
        </w:rPr>
        <w:t>Tabela 22 – Atos Potenciais Passivos (</w:t>
      </w:r>
      <w:proofErr w:type="spellStart"/>
      <w:r w:rsidRPr="006E741A">
        <w:rPr>
          <w:rFonts w:cs="Arial"/>
          <w:b/>
          <w:sz w:val="22"/>
        </w:rPr>
        <w:t>TEDs</w:t>
      </w:r>
      <w:proofErr w:type="spellEnd"/>
      <w:r w:rsidRPr="006E741A">
        <w:rPr>
          <w:rFonts w:cs="Arial"/>
          <w:b/>
          <w:sz w:val="22"/>
        </w:rPr>
        <w:t>)</w:t>
      </w:r>
      <w:r>
        <w:rPr>
          <w:rFonts w:cs="Arial"/>
          <w:b/>
          <w:sz w:val="22"/>
        </w:rPr>
        <w:t xml:space="preserve"> </w:t>
      </w:r>
    </w:p>
    <w:p w14:paraId="759D99C6" w14:textId="77777777" w:rsidR="004C19ED" w:rsidRDefault="004C19ED" w:rsidP="004C19ED">
      <w:pPr>
        <w:jc w:val="right"/>
        <w:rPr>
          <w:rFonts w:cs="Arial"/>
          <w:b/>
          <w:sz w:val="22"/>
        </w:rPr>
      </w:pPr>
      <w:r>
        <w:rPr>
          <w:rFonts w:cs="Arial"/>
          <w:szCs w:val="20"/>
        </w:rPr>
        <w:t>R$</w:t>
      </w:r>
    </w:p>
    <w:tbl>
      <w:tblPr>
        <w:tblW w:w="9284" w:type="dxa"/>
        <w:tblCellMar>
          <w:left w:w="70" w:type="dxa"/>
          <w:right w:w="70" w:type="dxa"/>
        </w:tblCellMar>
        <w:tblLook w:val="04A0" w:firstRow="1" w:lastRow="0" w:firstColumn="1" w:lastColumn="0" w:noHBand="0" w:noVBand="1"/>
      </w:tblPr>
      <w:tblGrid>
        <w:gridCol w:w="3671"/>
        <w:gridCol w:w="1786"/>
        <w:gridCol w:w="1531"/>
        <w:gridCol w:w="752"/>
        <w:gridCol w:w="1559"/>
      </w:tblGrid>
      <w:tr w:rsidR="004C19ED" w:rsidRPr="00FF5ACF" w14:paraId="763CA1C7" w14:textId="77777777" w:rsidTr="003E2CCD">
        <w:trPr>
          <w:trHeight w:val="255"/>
        </w:trPr>
        <w:tc>
          <w:tcPr>
            <w:tcW w:w="3671" w:type="dxa"/>
            <w:tcBorders>
              <w:top w:val="single" w:sz="4" w:space="0" w:color="000000"/>
              <w:left w:val="nil"/>
              <w:bottom w:val="single" w:sz="4" w:space="0" w:color="000000"/>
              <w:right w:val="nil"/>
            </w:tcBorders>
            <w:shd w:val="clear" w:color="auto" w:fill="auto"/>
            <w:noWrap/>
            <w:vAlign w:val="bottom"/>
          </w:tcPr>
          <w:p w14:paraId="3A214999" w14:textId="77777777" w:rsidR="004C19ED" w:rsidRPr="00FF5ACF" w:rsidRDefault="004C19ED" w:rsidP="003E2CCD">
            <w:pPr>
              <w:jc w:val="left"/>
              <w:rPr>
                <w:rFonts w:eastAsia="Times New Roman" w:cs="Arial"/>
                <w:b/>
                <w:bCs/>
                <w:szCs w:val="20"/>
                <w:lang w:eastAsia="pt-BR"/>
              </w:rPr>
            </w:pPr>
            <w:r>
              <w:rPr>
                <w:rFonts w:eastAsia="Times New Roman" w:cs="Arial"/>
                <w:b/>
                <w:bCs/>
                <w:szCs w:val="20"/>
                <w:lang w:eastAsia="pt-BR"/>
              </w:rPr>
              <w:t>CONTA</w:t>
            </w:r>
          </w:p>
        </w:tc>
        <w:tc>
          <w:tcPr>
            <w:tcW w:w="1786" w:type="dxa"/>
            <w:tcBorders>
              <w:top w:val="single" w:sz="4" w:space="0" w:color="000000"/>
              <w:left w:val="nil"/>
              <w:bottom w:val="single" w:sz="4" w:space="0" w:color="000000"/>
              <w:right w:val="nil"/>
            </w:tcBorders>
            <w:shd w:val="clear" w:color="auto" w:fill="auto"/>
            <w:noWrap/>
            <w:vAlign w:val="bottom"/>
            <w:hideMark/>
          </w:tcPr>
          <w:p w14:paraId="2A115869"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12/2021</w:t>
            </w:r>
          </w:p>
        </w:tc>
        <w:tc>
          <w:tcPr>
            <w:tcW w:w="1531" w:type="dxa"/>
            <w:tcBorders>
              <w:top w:val="single" w:sz="4" w:space="0" w:color="000000"/>
              <w:left w:val="nil"/>
              <w:bottom w:val="single" w:sz="4" w:space="0" w:color="000000"/>
              <w:right w:val="nil"/>
            </w:tcBorders>
            <w:vAlign w:val="bottom"/>
          </w:tcPr>
          <w:p w14:paraId="76798836"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12/2020</w:t>
            </w:r>
          </w:p>
        </w:tc>
        <w:tc>
          <w:tcPr>
            <w:tcW w:w="737" w:type="dxa"/>
            <w:tcBorders>
              <w:top w:val="single" w:sz="4" w:space="0" w:color="000000"/>
              <w:left w:val="nil"/>
              <w:bottom w:val="single" w:sz="4" w:space="0" w:color="000000"/>
              <w:right w:val="nil"/>
            </w:tcBorders>
            <w:vAlign w:val="bottom"/>
          </w:tcPr>
          <w:p w14:paraId="2F6B782E" w14:textId="77777777" w:rsidR="004C19ED" w:rsidRPr="00FF5ACF" w:rsidRDefault="004C19ED" w:rsidP="003E2CCD">
            <w:pPr>
              <w:jc w:val="right"/>
              <w:rPr>
                <w:rFonts w:eastAsia="Times New Roman" w:cs="Arial"/>
                <w:b/>
                <w:bCs/>
                <w:color w:val="000000"/>
                <w:szCs w:val="20"/>
                <w:lang w:eastAsia="pt-BR"/>
              </w:rPr>
            </w:pPr>
            <w:r w:rsidRPr="00484C19">
              <w:rPr>
                <w:rFonts w:eastAsia="Times New Roman" w:cs="Arial"/>
                <w:b/>
                <w:bCs/>
                <w:color w:val="000000"/>
                <w:szCs w:val="20"/>
                <w:lang w:eastAsia="pt-BR"/>
              </w:rPr>
              <w:t>AH %</w:t>
            </w:r>
          </w:p>
        </w:tc>
        <w:tc>
          <w:tcPr>
            <w:tcW w:w="1559" w:type="dxa"/>
            <w:tcBorders>
              <w:top w:val="single" w:sz="4" w:space="0" w:color="000000"/>
              <w:left w:val="nil"/>
              <w:bottom w:val="single" w:sz="4" w:space="0" w:color="000000"/>
              <w:right w:val="nil"/>
            </w:tcBorders>
            <w:shd w:val="clear" w:color="auto" w:fill="auto"/>
            <w:noWrap/>
            <w:vAlign w:val="bottom"/>
            <w:hideMark/>
          </w:tcPr>
          <w:p w14:paraId="48EE3A3A"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4C19ED" w:rsidRPr="00FF5ACF" w14:paraId="6F2E4C68" w14:textId="77777777" w:rsidTr="003E2CCD">
        <w:trPr>
          <w:trHeight w:val="283"/>
        </w:trPr>
        <w:tc>
          <w:tcPr>
            <w:tcW w:w="3671" w:type="dxa"/>
            <w:tcBorders>
              <w:top w:val="nil"/>
              <w:left w:val="nil"/>
              <w:bottom w:val="nil"/>
              <w:right w:val="nil"/>
            </w:tcBorders>
            <w:shd w:val="clear" w:color="auto" w:fill="D9D9D9" w:themeFill="background1" w:themeFillShade="D9"/>
            <w:vAlign w:val="bottom"/>
            <w:hideMark/>
          </w:tcPr>
          <w:p w14:paraId="0F173FEA" w14:textId="77777777" w:rsidR="004C19ED" w:rsidRPr="00FF5ACF" w:rsidRDefault="004C19ED" w:rsidP="003E2CCD">
            <w:pPr>
              <w:jc w:val="left"/>
              <w:rPr>
                <w:rFonts w:eastAsia="Times New Roman" w:cs="Arial"/>
                <w:color w:val="000000"/>
                <w:szCs w:val="20"/>
                <w:lang w:eastAsia="pt-BR"/>
              </w:rPr>
            </w:pPr>
            <w:r>
              <w:rPr>
                <w:rFonts w:eastAsia="Times New Roman" w:cs="Arial"/>
                <w:color w:val="000000"/>
                <w:szCs w:val="20"/>
                <w:lang w:eastAsia="pt-BR"/>
              </w:rPr>
              <w:t>a repassar (812210201)</w:t>
            </w:r>
          </w:p>
        </w:tc>
        <w:tc>
          <w:tcPr>
            <w:tcW w:w="1786" w:type="dxa"/>
            <w:tcBorders>
              <w:top w:val="nil"/>
              <w:left w:val="nil"/>
              <w:bottom w:val="nil"/>
              <w:right w:val="nil"/>
            </w:tcBorders>
            <w:shd w:val="clear" w:color="auto" w:fill="D9D9D9" w:themeFill="background1" w:themeFillShade="D9"/>
            <w:noWrap/>
            <w:vAlign w:val="bottom"/>
          </w:tcPr>
          <w:p w14:paraId="09FBA7C9" w14:textId="77777777" w:rsidR="004C19ED" w:rsidRPr="00FF5ACF" w:rsidRDefault="004C19ED" w:rsidP="003E2CCD">
            <w:pPr>
              <w:jc w:val="right"/>
              <w:rPr>
                <w:rFonts w:eastAsia="Times New Roman" w:cs="Arial"/>
                <w:color w:val="000000"/>
                <w:szCs w:val="20"/>
                <w:lang w:eastAsia="pt-BR"/>
              </w:rPr>
            </w:pPr>
            <w:r w:rsidRPr="00D214EB">
              <w:rPr>
                <w:rFonts w:eastAsia="Times New Roman" w:cs="Arial"/>
                <w:color w:val="000000"/>
                <w:szCs w:val="20"/>
                <w:lang w:eastAsia="pt-BR"/>
              </w:rPr>
              <w:t>26</w:t>
            </w:r>
            <w:r>
              <w:rPr>
                <w:rFonts w:eastAsia="Times New Roman" w:cs="Arial"/>
                <w:color w:val="000000"/>
                <w:szCs w:val="20"/>
                <w:lang w:eastAsia="pt-BR"/>
              </w:rPr>
              <w:t>.</w:t>
            </w:r>
            <w:r w:rsidRPr="00D214EB">
              <w:rPr>
                <w:rFonts w:eastAsia="Times New Roman" w:cs="Arial"/>
                <w:color w:val="000000"/>
                <w:szCs w:val="20"/>
                <w:lang w:eastAsia="pt-BR"/>
              </w:rPr>
              <w:t>351</w:t>
            </w:r>
            <w:r>
              <w:rPr>
                <w:rFonts w:eastAsia="Times New Roman" w:cs="Arial"/>
                <w:color w:val="000000"/>
                <w:szCs w:val="20"/>
                <w:lang w:eastAsia="pt-BR"/>
              </w:rPr>
              <w:t>.</w:t>
            </w:r>
            <w:r w:rsidRPr="00D214EB">
              <w:rPr>
                <w:rFonts w:eastAsia="Times New Roman" w:cs="Arial"/>
                <w:color w:val="000000"/>
                <w:szCs w:val="20"/>
                <w:lang w:eastAsia="pt-BR"/>
              </w:rPr>
              <w:t>816,19</w:t>
            </w:r>
          </w:p>
        </w:tc>
        <w:tc>
          <w:tcPr>
            <w:tcW w:w="1531" w:type="dxa"/>
            <w:tcBorders>
              <w:top w:val="nil"/>
              <w:left w:val="nil"/>
              <w:bottom w:val="nil"/>
              <w:right w:val="nil"/>
            </w:tcBorders>
            <w:shd w:val="clear" w:color="auto" w:fill="D9D9D9" w:themeFill="background1" w:themeFillShade="D9"/>
            <w:vAlign w:val="bottom"/>
          </w:tcPr>
          <w:p w14:paraId="16609134" w14:textId="77777777" w:rsidR="004C19ED" w:rsidRDefault="004C19ED" w:rsidP="003E2CCD">
            <w:pPr>
              <w:jc w:val="right"/>
              <w:rPr>
                <w:rFonts w:eastAsia="Times New Roman" w:cs="Arial"/>
                <w:color w:val="000000"/>
                <w:szCs w:val="20"/>
                <w:lang w:eastAsia="pt-BR"/>
              </w:rPr>
            </w:pPr>
            <w:r w:rsidRPr="006E741A">
              <w:rPr>
                <w:rFonts w:eastAsia="Times New Roman" w:cs="Arial"/>
                <w:color w:val="000000"/>
                <w:szCs w:val="20"/>
                <w:lang w:eastAsia="pt-BR"/>
              </w:rPr>
              <w:t>47</w:t>
            </w:r>
            <w:r>
              <w:rPr>
                <w:rFonts w:eastAsia="Times New Roman" w:cs="Arial"/>
                <w:color w:val="000000"/>
                <w:szCs w:val="20"/>
                <w:lang w:eastAsia="pt-BR"/>
              </w:rPr>
              <w:t>.</w:t>
            </w:r>
            <w:r w:rsidRPr="006E741A">
              <w:rPr>
                <w:rFonts w:eastAsia="Times New Roman" w:cs="Arial"/>
                <w:color w:val="000000"/>
                <w:szCs w:val="20"/>
                <w:lang w:eastAsia="pt-BR"/>
              </w:rPr>
              <w:t>042</w:t>
            </w:r>
            <w:r>
              <w:rPr>
                <w:rFonts w:eastAsia="Times New Roman" w:cs="Arial"/>
                <w:color w:val="000000"/>
                <w:szCs w:val="20"/>
                <w:lang w:eastAsia="pt-BR"/>
              </w:rPr>
              <w:t>.</w:t>
            </w:r>
            <w:r w:rsidRPr="006E741A">
              <w:rPr>
                <w:rFonts w:eastAsia="Times New Roman" w:cs="Arial"/>
                <w:color w:val="000000"/>
                <w:szCs w:val="20"/>
                <w:lang w:eastAsia="pt-BR"/>
              </w:rPr>
              <w:t>471,34</w:t>
            </w:r>
          </w:p>
        </w:tc>
        <w:tc>
          <w:tcPr>
            <w:tcW w:w="737" w:type="dxa"/>
            <w:tcBorders>
              <w:top w:val="nil"/>
              <w:left w:val="nil"/>
              <w:bottom w:val="nil"/>
              <w:right w:val="nil"/>
            </w:tcBorders>
            <w:shd w:val="clear" w:color="auto" w:fill="D9D9D9" w:themeFill="background1" w:themeFillShade="D9"/>
            <w:vAlign w:val="bottom"/>
          </w:tcPr>
          <w:p w14:paraId="11AF40CD"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-43,98</w:t>
            </w:r>
          </w:p>
        </w:tc>
        <w:tc>
          <w:tcPr>
            <w:tcW w:w="1559" w:type="dxa"/>
            <w:tcBorders>
              <w:top w:val="nil"/>
              <w:left w:val="nil"/>
              <w:bottom w:val="nil"/>
              <w:right w:val="nil"/>
            </w:tcBorders>
            <w:shd w:val="clear" w:color="auto" w:fill="D9D9D9" w:themeFill="background1" w:themeFillShade="D9"/>
            <w:noWrap/>
            <w:vAlign w:val="bottom"/>
            <w:hideMark/>
          </w:tcPr>
          <w:p w14:paraId="0B55A1D6" w14:textId="77777777" w:rsidR="004C19ED" w:rsidRPr="00FF5ACF" w:rsidRDefault="004C19ED" w:rsidP="003E2CCD">
            <w:pPr>
              <w:jc w:val="right"/>
              <w:rPr>
                <w:rFonts w:eastAsia="Times New Roman" w:cs="Arial"/>
                <w:color w:val="000000"/>
                <w:szCs w:val="20"/>
                <w:lang w:eastAsia="pt-BR"/>
              </w:rPr>
            </w:pPr>
            <w:r>
              <w:rPr>
                <w:rFonts w:eastAsia="Times New Roman" w:cs="Arial"/>
                <w:color w:val="000000"/>
                <w:szCs w:val="20"/>
                <w:lang w:eastAsia="pt-BR"/>
              </w:rPr>
              <w:t>12,13</w:t>
            </w:r>
          </w:p>
        </w:tc>
      </w:tr>
      <w:tr w:rsidR="004C19ED" w:rsidRPr="00FF5ACF" w14:paraId="1484C376" w14:textId="77777777" w:rsidTr="003E2CCD">
        <w:trPr>
          <w:trHeight w:val="283"/>
        </w:trPr>
        <w:tc>
          <w:tcPr>
            <w:tcW w:w="3671" w:type="dxa"/>
            <w:tcBorders>
              <w:top w:val="nil"/>
              <w:left w:val="nil"/>
              <w:bottom w:val="nil"/>
              <w:right w:val="nil"/>
            </w:tcBorders>
            <w:shd w:val="clear" w:color="auto" w:fill="auto"/>
            <w:vAlign w:val="bottom"/>
            <w:hideMark/>
          </w:tcPr>
          <w:p w14:paraId="5E361E6D" w14:textId="77777777" w:rsidR="004C19ED" w:rsidRPr="00FF5ACF" w:rsidRDefault="004C19ED" w:rsidP="003E2CCD">
            <w:pPr>
              <w:jc w:val="left"/>
              <w:rPr>
                <w:rFonts w:eastAsia="Times New Roman" w:cs="Arial"/>
                <w:color w:val="000000"/>
                <w:szCs w:val="20"/>
                <w:lang w:eastAsia="pt-BR"/>
              </w:rPr>
            </w:pPr>
            <w:r>
              <w:rPr>
                <w:rFonts w:eastAsia="Times New Roman" w:cs="Arial"/>
                <w:color w:val="000000"/>
                <w:szCs w:val="20"/>
                <w:lang w:eastAsia="pt-BR"/>
              </w:rPr>
              <w:t>a comprovar (812210202)</w:t>
            </w:r>
          </w:p>
        </w:tc>
        <w:tc>
          <w:tcPr>
            <w:tcW w:w="1786" w:type="dxa"/>
            <w:tcBorders>
              <w:top w:val="nil"/>
              <w:left w:val="nil"/>
              <w:bottom w:val="nil"/>
              <w:right w:val="nil"/>
            </w:tcBorders>
            <w:shd w:val="clear" w:color="auto" w:fill="auto"/>
            <w:noWrap/>
            <w:vAlign w:val="bottom"/>
          </w:tcPr>
          <w:p w14:paraId="5D3A241F" w14:textId="77777777" w:rsidR="004C19ED" w:rsidRPr="00FF5ACF" w:rsidRDefault="004C19ED" w:rsidP="003E2CCD">
            <w:pPr>
              <w:jc w:val="right"/>
              <w:rPr>
                <w:rFonts w:eastAsia="Times New Roman" w:cs="Arial"/>
                <w:color w:val="000000"/>
                <w:szCs w:val="20"/>
                <w:lang w:eastAsia="pt-BR"/>
              </w:rPr>
            </w:pPr>
            <w:r w:rsidRPr="000E7106">
              <w:rPr>
                <w:rFonts w:eastAsia="Times New Roman" w:cs="Arial"/>
                <w:color w:val="000000"/>
                <w:szCs w:val="20"/>
                <w:lang w:eastAsia="pt-BR"/>
              </w:rPr>
              <w:t>119</w:t>
            </w:r>
            <w:r>
              <w:rPr>
                <w:rFonts w:eastAsia="Times New Roman" w:cs="Arial"/>
                <w:color w:val="000000"/>
                <w:szCs w:val="20"/>
                <w:lang w:eastAsia="pt-BR"/>
              </w:rPr>
              <w:t>.</w:t>
            </w:r>
            <w:r w:rsidRPr="000E7106">
              <w:rPr>
                <w:rFonts w:eastAsia="Times New Roman" w:cs="Arial"/>
                <w:color w:val="000000"/>
                <w:szCs w:val="20"/>
                <w:lang w:eastAsia="pt-BR"/>
              </w:rPr>
              <w:t>579</w:t>
            </w:r>
            <w:r>
              <w:rPr>
                <w:rFonts w:eastAsia="Times New Roman" w:cs="Arial"/>
                <w:color w:val="000000"/>
                <w:szCs w:val="20"/>
                <w:lang w:eastAsia="pt-BR"/>
              </w:rPr>
              <w:t>.</w:t>
            </w:r>
            <w:r w:rsidRPr="000E7106">
              <w:rPr>
                <w:rFonts w:eastAsia="Times New Roman" w:cs="Arial"/>
                <w:color w:val="000000"/>
                <w:szCs w:val="20"/>
                <w:lang w:eastAsia="pt-BR"/>
              </w:rPr>
              <w:t>916,15</w:t>
            </w:r>
          </w:p>
        </w:tc>
        <w:tc>
          <w:tcPr>
            <w:tcW w:w="1531" w:type="dxa"/>
            <w:tcBorders>
              <w:top w:val="nil"/>
              <w:left w:val="nil"/>
              <w:bottom w:val="nil"/>
              <w:right w:val="nil"/>
            </w:tcBorders>
            <w:vAlign w:val="bottom"/>
          </w:tcPr>
          <w:p w14:paraId="1A88A204" w14:textId="77777777" w:rsidR="004C19ED" w:rsidRDefault="004C19ED" w:rsidP="003E2CCD">
            <w:pPr>
              <w:jc w:val="right"/>
              <w:rPr>
                <w:rFonts w:eastAsia="Times New Roman" w:cs="Arial"/>
                <w:color w:val="000000"/>
                <w:szCs w:val="20"/>
                <w:lang w:eastAsia="pt-BR"/>
              </w:rPr>
            </w:pPr>
            <w:r w:rsidRPr="006E741A">
              <w:rPr>
                <w:rFonts w:eastAsia="Times New Roman" w:cs="Arial"/>
                <w:color w:val="000000"/>
                <w:szCs w:val="20"/>
                <w:lang w:eastAsia="pt-BR"/>
              </w:rPr>
              <w:t>148</w:t>
            </w:r>
            <w:r>
              <w:rPr>
                <w:rFonts w:eastAsia="Times New Roman" w:cs="Arial"/>
                <w:color w:val="000000"/>
                <w:szCs w:val="20"/>
                <w:lang w:eastAsia="pt-BR"/>
              </w:rPr>
              <w:t>.</w:t>
            </w:r>
            <w:r w:rsidRPr="006E741A">
              <w:rPr>
                <w:rFonts w:eastAsia="Times New Roman" w:cs="Arial"/>
                <w:color w:val="000000"/>
                <w:szCs w:val="20"/>
                <w:lang w:eastAsia="pt-BR"/>
              </w:rPr>
              <w:t>692</w:t>
            </w:r>
            <w:r>
              <w:rPr>
                <w:rFonts w:eastAsia="Times New Roman" w:cs="Arial"/>
                <w:color w:val="000000"/>
                <w:szCs w:val="20"/>
                <w:lang w:eastAsia="pt-BR"/>
              </w:rPr>
              <w:t>.</w:t>
            </w:r>
            <w:r w:rsidRPr="006E741A">
              <w:rPr>
                <w:rFonts w:eastAsia="Times New Roman" w:cs="Arial"/>
                <w:color w:val="000000"/>
                <w:szCs w:val="20"/>
                <w:lang w:eastAsia="pt-BR"/>
              </w:rPr>
              <w:t>219,16</w:t>
            </w:r>
          </w:p>
        </w:tc>
        <w:tc>
          <w:tcPr>
            <w:tcW w:w="737" w:type="dxa"/>
            <w:tcBorders>
              <w:top w:val="nil"/>
              <w:left w:val="nil"/>
              <w:bottom w:val="nil"/>
              <w:right w:val="nil"/>
            </w:tcBorders>
            <w:vAlign w:val="bottom"/>
          </w:tcPr>
          <w:p w14:paraId="06BC2463"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-19,58</w:t>
            </w:r>
          </w:p>
        </w:tc>
        <w:tc>
          <w:tcPr>
            <w:tcW w:w="1559" w:type="dxa"/>
            <w:tcBorders>
              <w:top w:val="nil"/>
              <w:left w:val="nil"/>
              <w:bottom w:val="nil"/>
              <w:right w:val="nil"/>
            </w:tcBorders>
            <w:shd w:val="clear" w:color="auto" w:fill="auto"/>
            <w:noWrap/>
            <w:vAlign w:val="bottom"/>
            <w:hideMark/>
          </w:tcPr>
          <w:p w14:paraId="7ACC8E87" w14:textId="77777777" w:rsidR="004C19ED" w:rsidRPr="00FF5ACF" w:rsidRDefault="004C19ED" w:rsidP="003E2CCD">
            <w:pPr>
              <w:jc w:val="right"/>
              <w:rPr>
                <w:rFonts w:eastAsia="Times New Roman" w:cs="Arial"/>
                <w:color w:val="000000"/>
                <w:szCs w:val="20"/>
                <w:lang w:eastAsia="pt-BR"/>
              </w:rPr>
            </w:pPr>
            <w:r>
              <w:rPr>
                <w:rFonts w:eastAsia="Times New Roman" w:cs="Arial"/>
                <w:color w:val="000000"/>
                <w:szCs w:val="20"/>
                <w:lang w:eastAsia="pt-BR"/>
              </w:rPr>
              <w:t>55,06</w:t>
            </w:r>
          </w:p>
        </w:tc>
      </w:tr>
      <w:tr w:rsidR="004C19ED" w:rsidRPr="00FF5ACF" w14:paraId="5205CDE2" w14:textId="77777777" w:rsidTr="003E2CCD">
        <w:trPr>
          <w:trHeight w:val="287"/>
        </w:trPr>
        <w:tc>
          <w:tcPr>
            <w:tcW w:w="3671" w:type="dxa"/>
            <w:tcBorders>
              <w:top w:val="nil"/>
              <w:left w:val="nil"/>
              <w:bottom w:val="nil"/>
              <w:right w:val="nil"/>
            </w:tcBorders>
            <w:shd w:val="clear" w:color="auto" w:fill="D9D9D9" w:themeFill="background1" w:themeFillShade="D9"/>
            <w:vAlign w:val="bottom"/>
          </w:tcPr>
          <w:p w14:paraId="444B476E"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Comprovado (812210203)</w:t>
            </w:r>
          </w:p>
        </w:tc>
        <w:tc>
          <w:tcPr>
            <w:tcW w:w="1786" w:type="dxa"/>
            <w:tcBorders>
              <w:top w:val="nil"/>
              <w:left w:val="nil"/>
              <w:bottom w:val="nil"/>
              <w:right w:val="nil"/>
            </w:tcBorders>
            <w:shd w:val="clear" w:color="auto" w:fill="D9D9D9" w:themeFill="background1" w:themeFillShade="D9"/>
            <w:noWrap/>
            <w:vAlign w:val="bottom"/>
          </w:tcPr>
          <w:p w14:paraId="17001E55" w14:textId="77777777" w:rsidR="004C19ED" w:rsidRPr="00EE0B93" w:rsidRDefault="004C19ED" w:rsidP="003E2CCD">
            <w:pPr>
              <w:jc w:val="right"/>
              <w:rPr>
                <w:rFonts w:eastAsia="Times New Roman" w:cs="Arial"/>
                <w:color w:val="000000"/>
                <w:szCs w:val="20"/>
                <w:lang w:eastAsia="pt-BR"/>
              </w:rPr>
            </w:pPr>
            <w:r w:rsidRPr="000E7106">
              <w:rPr>
                <w:rFonts w:eastAsia="Times New Roman" w:cs="Arial"/>
                <w:color w:val="000000"/>
                <w:szCs w:val="20"/>
                <w:lang w:eastAsia="pt-BR"/>
              </w:rPr>
              <w:t>71</w:t>
            </w:r>
            <w:r>
              <w:rPr>
                <w:rFonts w:eastAsia="Times New Roman" w:cs="Arial"/>
                <w:color w:val="000000"/>
                <w:szCs w:val="20"/>
                <w:lang w:eastAsia="pt-BR"/>
              </w:rPr>
              <w:t>.</w:t>
            </w:r>
            <w:r w:rsidRPr="000E7106">
              <w:rPr>
                <w:rFonts w:eastAsia="Times New Roman" w:cs="Arial"/>
                <w:color w:val="000000"/>
                <w:szCs w:val="20"/>
                <w:lang w:eastAsia="pt-BR"/>
              </w:rPr>
              <w:t>252</w:t>
            </w:r>
            <w:r>
              <w:rPr>
                <w:rFonts w:eastAsia="Times New Roman" w:cs="Arial"/>
                <w:color w:val="000000"/>
                <w:szCs w:val="20"/>
                <w:lang w:eastAsia="pt-BR"/>
              </w:rPr>
              <w:t>.</w:t>
            </w:r>
            <w:r w:rsidRPr="000E7106">
              <w:rPr>
                <w:rFonts w:eastAsia="Times New Roman" w:cs="Arial"/>
                <w:color w:val="000000"/>
                <w:szCs w:val="20"/>
                <w:lang w:eastAsia="pt-BR"/>
              </w:rPr>
              <w:t>728,40</w:t>
            </w:r>
          </w:p>
        </w:tc>
        <w:tc>
          <w:tcPr>
            <w:tcW w:w="1531" w:type="dxa"/>
            <w:tcBorders>
              <w:top w:val="nil"/>
              <w:left w:val="nil"/>
              <w:bottom w:val="nil"/>
              <w:right w:val="nil"/>
            </w:tcBorders>
            <w:shd w:val="clear" w:color="auto" w:fill="D9D9D9" w:themeFill="background1" w:themeFillShade="D9"/>
            <w:vAlign w:val="bottom"/>
          </w:tcPr>
          <w:p w14:paraId="7A984E69" w14:textId="77777777" w:rsidR="004C19ED" w:rsidRDefault="004C19ED" w:rsidP="003E2CCD">
            <w:pPr>
              <w:jc w:val="right"/>
              <w:rPr>
                <w:rFonts w:eastAsia="Times New Roman" w:cs="Arial"/>
                <w:color w:val="000000"/>
                <w:szCs w:val="20"/>
                <w:lang w:eastAsia="pt-BR"/>
              </w:rPr>
            </w:pPr>
            <w:r w:rsidRPr="006E741A">
              <w:rPr>
                <w:rFonts w:eastAsia="Times New Roman" w:cs="Arial"/>
                <w:color w:val="000000"/>
                <w:szCs w:val="20"/>
                <w:lang w:eastAsia="pt-BR"/>
              </w:rPr>
              <w:t>21</w:t>
            </w:r>
            <w:r>
              <w:rPr>
                <w:rFonts w:eastAsia="Times New Roman" w:cs="Arial"/>
                <w:color w:val="000000"/>
                <w:szCs w:val="20"/>
                <w:lang w:eastAsia="pt-BR"/>
              </w:rPr>
              <w:t>.</w:t>
            </w:r>
            <w:r w:rsidRPr="006E741A">
              <w:rPr>
                <w:rFonts w:eastAsia="Times New Roman" w:cs="Arial"/>
                <w:color w:val="000000"/>
                <w:szCs w:val="20"/>
                <w:lang w:eastAsia="pt-BR"/>
              </w:rPr>
              <w:t>449</w:t>
            </w:r>
            <w:r>
              <w:rPr>
                <w:rFonts w:eastAsia="Times New Roman" w:cs="Arial"/>
                <w:color w:val="000000"/>
                <w:szCs w:val="20"/>
                <w:lang w:eastAsia="pt-BR"/>
              </w:rPr>
              <w:t>.</w:t>
            </w:r>
            <w:r w:rsidRPr="006E741A">
              <w:rPr>
                <w:rFonts w:eastAsia="Times New Roman" w:cs="Arial"/>
                <w:color w:val="000000"/>
                <w:szCs w:val="20"/>
                <w:lang w:eastAsia="pt-BR"/>
              </w:rPr>
              <w:t>770,24</w:t>
            </w:r>
          </w:p>
        </w:tc>
        <w:tc>
          <w:tcPr>
            <w:tcW w:w="737" w:type="dxa"/>
            <w:tcBorders>
              <w:top w:val="nil"/>
              <w:left w:val="nil"/>
              <w:bottom w:val="nil"/>
              <w:right w:val="nil"/>
            </w:tcBorders>
            <w:shd w:val="clear" w:color="auto" w:fill="D9D9D9" w:themeFill="background1" w:themeFillShade="D9"/>
            <w:vAlign w:val="bottom"/>
          </w:tcPr>
          <w:p w14:paraId="40050070"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232,18</w:t>
            </w:r>
          </w:p>
        </w:tc>
        <w:tc>
          <w:tcPr>
            <w:tcW w:w="1559" w:type="dxa"/>
            <w:tcBorders>
              <w:top w:val="nil"/>
              <w:left w:val="nil"/>
              <w:bottom w:val="nil"/>
              <w:right w:val="nil"/>
            </w:tcBorders>
            <w:shd w:val="clear" w:color="auto" w:fill="D9D9D9" w:themeFill="background1" w:themeFillShade="D9"/>
            <w:noWrap/>
            <w:vAlign w:val="bottom"/>
          </w:tcPr>
          <w:p w14:paraId="1AEEB0EA"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32,81</w:t>
            </w:r>
          </w:p>
        </w:tc>
      </w:tr>
      <w:tr w:rsidR="004C19ED" w:rsidRPr="00100C94" w14:paraId="61ECDCB7" w14:textId="77777777" w:rsidTr="003E2CCD">
        <w:trPr>
          <w:trHeight w:val="287"/>
        </w:trPr>
        <w:tc>
          <w:tcPr>
            <w:tcW w:w="3671" w:type="dxa"/>
            <w:tcBorders>
              <w:top w:val="nil"/>
              <w:left w:val="nil"/>
              <w:bottom w:val="nil"/>
              <w:right w:val="nil"/>
            </w:tcBorders>
            <w:shd w:val="clear" w:color="auto" w:fill="auto"/>
            <w:vAlign w:val="bottom"/>
          </w:tcPr>
          <w:p w14:paraId="43B83EE1" w14:textId="77777777" w:rsidR="004C19ED" w:rsidRPr="00100C94" w:rsidRDefault="004C19ED" w:rsidP="003E2CCD">
            <w:pPr>
              <w:jc w:val="left"/>
              <w:rPr>
                <w:rFonts w:eastAsia="Times New Roman" w:cs="Arial"/>
                <w:b/>
                <w:color w:val="000000"/>
                <w:szCs w:val="20"/>
                <w:lang w:eastAsia="pt-BR"/>
              </w:rPr>
            </w:pPr>
            <w:r w:rsidRPr="00100C94">
              <w:rPr>
                <w:rFonts w:eastAsia="Times New Roman" w:cs="Arial"/>
                <w:b/>
                <w:color w:val="000000"/>
                <w:szCs w:val="20"/>
                <w:lang w:eastAsia="pt-BR"/>
              </w:rPr>
              <w:t>TOTAL</w:t>
            </w:r>
          </w:p>
        </w:tc>
        <w:tc>
          <w:tcPr>
            <w:tcW w:w="1786" w:type="dxa"/>
            <w:tcBorders>
              <w:top w:val="nil"/>
              <w:left w:val="nil"/>
              <w:bottom w:val="nil"/>
              <w:right w:val="nil"/>
            </w:tcBorders>
            <w:shd w:val="clear" w:color="auto" w:fill="auto"/>
            <w:noWrap/>
            <w:vAlign w:val="bottom"/>
          </w:tcPr>
          <w:p w14:paraId="0E51072C" w14:textId="77777777" w:rsidR="004C19ED" w:rsidRPr="00100C94" w:rsidRDefault="004C19ED" w:rsidP="003E2CCD">
            <w:pPr>
              <w:jc w:val="right"/>
              <w:rPr>
                <w:rFonts w:eastAsia="Times New Roman" w:cs="Arial"/>
                <w:b/>
                <w:color w:val="000000"/>
                <w:szCs w:val="20"/>
                <w:lang w:eastAsia="pt-BR"/>
              </w:rPr>
            </w:pPr>
            <w:r w:rsidRPr="00B56A80">
              <w:rPr>
                <w:rFonts w:eastAsia="Times New Roman" w:cs="Arial"/>
                <w:b/>
                <w:color w:val="000000"/>
                <w:szCs w:val="20"/>
                <w:lang w:eastAsia="pt-BR"/>
              </w:rPr>
              <w:t>21</w:t>
            </w:r>
            <w:r>
              <w:rPr>
                <w:rFonts w:eastAsia="Times New Roman" w:cs="Arial"/>
                <w:b/>
                <w:color w:val="000000"/>
                <w:szCs w:val="20"/>
                <w:lang w:eastAsia="pt-BR"/>
              </w:rPr>
              <w:t>7.184.460</w:t>
            </w:r>
            <w:r w:rsidRPr="00B56A80">
              <w:rPr>
                <w:rFonts w:eastAsia="Times New Roman" w:cs="Arial"/>
                <w:b/>
                <w:color w:val="000000"/>
                <w:szCs w:val="20"/>
                <w:lang w:eastAsia="pt-BR"/>
              </w:rPr>
              <w:t>,</w:t>
            </w:r>
            <w:r>
              <w:rPr>
                <w:rFonts w:eastAsia="Times New Roman" w:cs="Arial"/>
                <w:b/>
                <w:color w:val="000000"/>
                <w:szCs w:val="20"/>
                <w:lang w:eastAsia="pt-BR"/>
              </w:rPr>
              <w:t>74</w:t>
            </w:r>
          </w:p>
        </w:tc>
        <w:tc>
          <w:tcPr>
            <w:tcW w:w="1531" w:type="dxa"/>
            <w:tcBorders>
              <w:top w:val="nil"/>
              <w:left w:val="nil"/>
              <w:bottom w:val="nil"/>
              <w:right w:val="nil"/>
            </w:tcBorders>
            <w:vAlign w:val="bottom"/>
          </w:tcPr>
          <w:p w14:paraId="558CD6C2" w14:textId="77777777" w:rsidR="004C19ED" w:rsidRPr="00100C94" w:rsidRDefault="004C19ED" w:rsidP="003E2CCD">
            <w:pPr>
              <w:jc w:val="right"/>
              <w:rPr>
                <w:rFonts w:eastAsia="Times New Roman" w:cs="Arial"/>
                <w:b/>
                <w:color w:val="000000"/>
                <w:szCs w:val="20"/>
                <w:lang w:eastAsia="pt-BR"/>
              </w:rPr>
            </w:pPr>
            <w:r w:rsidRPr="00B56A80">
              <w:rPr>
                <w:rFonts w:eastAsia="Times New Roman" w:cs="Arial"/>
                <w:b/>
                <w:color w:val="000000"/>
                <w:szCs w:val="20"/>
                <w:lang w:eastAsia="pt-BR"/>
              </w:rPr>
              <w:t>21</w:t>
            </w:r>
            <w:r>
              <w:rPr>
                <w:rFonts w:eastAsia="Times New Roman" w:cs="Arial"/>
                <w:b/>
                <w:color w:val="000000"/>
                <w:szCs w:val="20"/>
                <w:lang w:eastAsia="pt-BR"/>
              </w:rPr>
              <w:t>7.184.460</w:t>
            </w:r>
            <w:r w:rsidRPr="00B56A80">
              <w:rPr>
                <w:rFonts w:eastAsia="Times New Roman" w:cs="Arial"/>
                <w:b/>
                <w:color w:val="000000"/>
                <w:szCs w:val="20"/>
                <w:lang w:eastAsia="pt-BR"/>
              </w:rPr>
              <w:t>,</w:t>
            </w:r>
            <w:r>
              <w:rPr>
                <w:rFonts w:eastAsia="Times New Roman" w:cs="Arial"/>
                <w:b/>
                <w:color w:val="000000"/>
                <w:szCs w:val="20"/>
                <w:lang w:eastAsia="pt-BR"/>
              </w:rPr>
              <w:t>74</w:t>
            </w:r>
          </w:p>
        </w:tc>
        <w:tc>
          <w:tcPr>
            <w:tcW w:w="737" w:type="dxa"/>
            <w:tcBorders>
              <w:top w:val="nil"/>
              <w:left w:val="nil"/>
              <w:bottom w:val="nil"/>
              <w:right w:val="nil"/>
            </w:tcBorders>
            <w:vAlign w:val="bottom"/>
          </w:tcPr>
          <w:p w14:paraId="1717BE06" w14:textId="77777777" w:rsidR="004C19ED" w:rsidRPr="00100C94" w:rsidRDefault="004C19ED" w:rsidP="003E2CCD">
            <w:pPr>
              <w:jc w:val="right"/>
              <w:rPr>
                <w:rFonts w:eastAsia="Times New Roman" w:cs="Arial"/>
                <w:b/>
                <w:color w:val="000000"/>
                <w:szCs w:val="20"/>
                <w:lang w:eastAsia="pt-BR"/>
              </w:rPr>
            </w:pPr>
            <w:r>
              <w:rPr>
                <w:rFonts w:eastAsia="Times New Roman" w:cs="Arial"/>
                <w:b/>
                <w:color w:val="000000"/>
                <w:szCs w:val="20"/>
                <w:lang w:eastAsia="pt-BR"/>
              </w:rPr>
              <w:t>0</w:t>
            </w:r>
          </w:p>
        </w:tc>
        <w:tc>
          <w:tcPr>
            <w:tcW w:w="1559" w:type="dxa"/>
            <w:tcBorders>
              <w:top w:val="nil"/>
              <w:left w:val="nil"/>
              <w:bottom w:val="nil"/>
              <w:right w:val="nil"/>
            </w:tcBorders>
            <w:shd w:val="clear" w:color="auto" w:fill="auto"/>
            <w:noWrap/>
            <w:vAlign w:val="bottom"/>
          </w:tcPr>
          <w:p w14:paraId="04E1B517" w14:textId="77777777" w:rsidR="004C19ED" w:rsidRPr="00100C94" w:rsidRDefault="004C19ED" w:rsidP="003E2CCD">
            <w:pPr>
              <w:jc w:val="right"/>
              <w:rPr>
                <w:rFonts w:eastAsia="Times New Roman" w:cs="Arial"/>
                <w:b/>
                <w:color w:val="000000"/>
                <w:szCs w:val="20"/>
                <w:lang w:eastAsia="pt-BR"/>
              </w:rPr>
            </w:pPr>
            <w:r w:rsidRPr="00100C94">
              <w:rPr>
                <w:rFonts w:eastAsia="Times New Roman" w:cs="Arial"/>
                <w:b/>
                <w:color w:val="000000"/>
                <w:szCs w:val="20"/>
                <w:lang w:eastAsia="pt-BR"/>
              </w:rPr>
              <w:t>100,00%</w:t>
            </w:r>
          </w:p>
        </w:tc>
      </w:tr>
    </w:tbl>
    <w:p w14:paraId="56DC3C82" w14:textId="77777777" w:rsidR="004C19ED" w:rsidRPr="00892CDD" w:rsidRDefault="004C19ED" w:rsidP="004C19ED">
      <w:pPr>
        <w:rPr>
          <w:i/>
          <w:noProof/>
          <w:szCs w:val="20"/>
          <w:lang w:eastAsia="pt-BR"/>
        </w:rPr>
      </w:pPr>
      <w:r w:rsidRPr="00892CDD">
        <w:rPr>
          <w:i/>
          <w:noProof/>
          <w:szCs w:val="20"/>
          <w:lang w:eastAsia="pt-BR"/>
        </w:rPr>
        <w:t>Fonte: SIAFI 20</w:t>
      </w:r>
      <w:r>
        <w:rPr>
          <w:i/>
          <w:noProof/>
          <w:szCs w:val="20"/>
          <w:lang w:eastAsia="pt-BR"/>
        </w:rPr>
        <w:t>21 e 2020</w:t>
      </w:r>
      <w:r w:rsidRPr="00892CDD">
        <w:rPr>
          <w:i/>
          <w:noProof/>
          <w:szCs w:val="20"/>
          <w:lang w:eastAsia="pt-BR"/>
        </w:rPr>
        <w:t>.</w:t>
      </w:r>
    </w:p>
    <w:p w14:paraId="5A0A33DF" w14:textId="77777777" w:rsidR="004C19ED" w:rsidRDefault="004C19ED" w:rsidP="004C19ED">
      <w:pPr>
        <w:spacing w:after="160" w:line="259" w:lineRule="auto"/>
        <w:jc w:val="left"/>
        <w:rPr>
          <w:rFonts w:cs="Arial"/>
          <w:b/>
          <w:sz w:val="22"/>
        </w:rPr>
      </w:pPr>
    </w:p>
    <w:p w14:paraId="5474DA63" w14:textId="77777777" w:rsidR="004C19ED" w:rsidRDefault="004C19ED" w:rsidP="004C19ED">
      <w:pPr>
        <w:rPr>
          <w:rFonts w:cs="Arial"/>
          <w:b/>
          <w:sz w:val="22"/>
        </w:rPr>
      </w:pPr>
      <w:r>
        <w:rPr>
          <w:rFonts w:cs="Arial"/>
          <w:b/>
          <w:sz w:val="22"/>
        </w:rPr>
        <w:t>6.4 Créditos à Receber – Curto Prazo CP e Longo Prazo LP</w:t>
      </w:r>
    </w:p>
    <w:p w14:paraId="21EAE2C8" w14:textId="77777777" w:rsidR="004C19ED" w:rsidRDefault="004C19ED" w:rsidP="004C19ED">
      <w:pPr>
        <w:rPr>
          <w:rFonts w:cs="Arial"/>
          <w:b/>
          <w:sz w:val="22"/>
        </w:rPr>
      </w:pPr>
    </w:p>
    <w:p w14:paraId="4B0ACBD4" w14:textId="77777777" w:rsidR="004C19ED" w:rsidRDefault="004C19ED" w:rsidP="004C19ED">
      <w:pPr>
        <w:rPr>
          <w:rFonts w:cs="Arial"/>
          <w:sz w:val="22"/>
        </w:rPr>
      </w:pPr>
      <w:r w:rsidRPr="007E5D8D">
        <w:rPr>
          <w:rFonts w:cs="Arial"/>
          <w:sz w:val="22"/>
        </w:rPr>
        <w:t xml:space="preserve">Contas que controlam por devedor, os saldos </w:t>
      </w:r>
      <w:r>
        <w:rPr>
          <w:rFonts w:cs="Arial"/>
          <w:sz w:val="22"/>
        </w:rPr>
        <w:t xml:space="preserve">detalhados </w:t>
      </w:r>
      <w:r w:rsidRPr="007E5D8D">
        <w:rPr>
          <w:rFonts w:cs="Arial"/>
          <w:sz w:val="22"/>
        </w:rPr>
        <w:t xml:space="preserve">na Nota </w:t>
      </w:r>
      <w:r>
        <w:rPr>
          <w:rFonts w:cs="Arial"/>
          <w:sz w:val="22"/>
        </w:rPr>
        <w:t xml:space="preserve">Explicativa </w:t>
      </w:r>
      <w:r w:rsidRPr="007E5D8D">
        <w:rPr>
          <w:rFonts w:cs="Arial"/>
          <w:sz w:val="22"/>
        </w:rPr>
        <w:t>2.</w:t>
      </w:r>
      <w:r>
        <w:rPr>
          <w:rFonts w:cs="Arial"/>
          <w:sz w:val="22"/>
        </w:rPr>
        <w:t xml:space="preserve"> No ano de 2021, as inscrições </w:t>
      </w:r>
      <w:r w:rsidRPr="001C5EAC">
        <w:rPr>
          <w:rFonts w:cs="Arial"/>
          <w:sz w:val="22"/>
        </w:rPr>
        <w:t>em dívida ativa totalizaram pouco mais de R$ 22 milhões.</w:t>
      </w:r>
      <w:r>
        <w:rPr>
          <w:rFonts w:cs="Arial"/>
          <w:sz w:val="22"/>
        </w:rPr>
        <w:t xml:space="preserve"> O total da Dívida em 31/</w:t>
      </w:r>
      <w:r w:rsidRPr="001C5EAC">
        <w:rPr>
          <w:rFonts w:cs="Arial"/>
          <w:sz w:val="22"/>
        </w:rPr>
        <w:t>12/2021 supera os 1,83 bilh</w:t>
      </w:r>
      <w:r>
        <w:rPr>
          <w:rFonts w:cs="Arial"/>
          <w:sz w:val="22"/>
        </w:rPr>
        <w:t>ões. Mais detalhes, ver nota explicativa 2, item 2.2.</w:t>
      </w:r>
    </w:p>
    <w:p w14:paraId="783A4E31" w14:textId="77777777" w:rsidR="004C19ED" w:rsidRDefault="004C19ED" w:rsidP="004C19ED">
      <w:pPr>
        <w:rPr>
          <w:rFonts w:cs="Arial"/>
          <w:sz w:val="22"/>
        </w:rPr>
      </w:pPr>
    </w:p>
    <w:p w14:paraId="6FD6A742" w14:textId="77777777" w:rsidR="004C19ED" w:rsidRDefault="004C19ED" w:rsidP="004C19ED">
      <w:pPr>
        <w:rPr>
          <w:rFonts w:cs="Arial"/>
          <w:b/>
          <w:sz w:val="22"/>
        </w:rPr>
      </w:pPr>
      <w:r w:rsidRPr="00B21814">
        <w:rPr>
          <w:rFonts w:cs="Arial"/>
          <w:b/>
          <w:sz w:val="22"/>
        </w:rPr>
        <w:t>Tabela 23 - Maiores devedores da Dívida Ativa</w:t>
      </w:r>
      <w:r>
        <w:rPr>
          <w:rFonts w:cs="Arial"/>
          <w:b/>
          <w:sz w:val="22"/>
        </w:rPr>
        <w:t xml:space="preserve"> </w:t>
      </w:r>
    </w:p>
    <w:p w14:paraId="18DB79C1" w14:textId="77777777" w:rsidR="004C19ED" w:rsidRDefault="004C19ED" w:rsidP="004C19ED">
      <w:pPr>
        <w:jc w:val="right"/>
        <w:rPr>
          <w:rFonts w:cs="Arial"/>
          <w:b/>
          <w:sz w:val="22"/>
        </w:rPr>
      </w:pPr>
      <w:r>
        <w:rPr>
          <w:rFonts w:cs="Arial"/>
          <w:szCs w:val="20"/>
        </w:rPr>
        <w:t>R$</w:t>
      </w:r>
    </w:p>
    <w:tbl>
      <w:tblPr>
        <w:tblW w:w="9253" w:type="dxa"/>
        <w:tblCellMar>
          <w:left w:w="70" w:type="dxa"/>
          <w:right w:w="70" w:type="dxa"/>
        </w:tblCellMar>
        <w:tblLook w:val="04A0" w:firstRow="1" w:lastRow="0" w:firstColumn="1" w:lastColumn="0" w:noHBand="0" w:noVBand="1"/>
      </w:tblPr>
      <w:tblGrid>
        <w:gridCol w:w="2298"/>
        <w:gridCol w:w="3733"/>
        <w:gridCol w:w="2161"/>
        <w:gridCol w:w="1061"/>
      </w:tblGrid>
      <w:tr w:rsidR="004C19ED" w:rsidRPr="00FF5ACF" w14:paraId="416E4297" w14:textId="77777777" w:rsidTr="003E2CCD">
        <w:trPr>
          <w:trHeight w:val="255"/>
        </w:trPr>
        <w:tc>
          <w:tcPr>
            <w:tcW w:w="2298" w:type="dxa"/>
            <w:tcBorders>
              <w:top w:val="single" w:sz="4" w:space="0" w:color="000000"/>
              <w:left w:val="nil"/>
              <w:bottom w:val="single" w:sz="4" w:space="0" w:color="000000"/>
              <w:right w:val="nil"/>
            </w:tcBorders>
            <w:shd w:val="clear" w:color="auto" w:fill="auto"/>
            <w:noWrap/>
            <w:vAlign w:val="bottom"/>
          </w:tcPr>
          <w:p w14:paraId="36DA8E72" w14:textId="77777777" w:rsidR="004C19ED" w:rsidRPr="00FF5ACF" w:rsidRDefault="004C19ED" w:rsidP="003E2CCD">
            <w:pPr>
              <w:jc w:val="left"/>
              <w:rPr>
                <w:rFonts w:eastAsia="Times New Roman" w:cs="Arial"/>
                <w:b/>
                <w:bCs/>
                <w:szCs w:val="20"/>
                <w:lang w:eastAsia="pt-BR"/>
              </w:rPr>
            </w:pPr>
            <w:r>
              <w:rPr>
                <w:rFonts w:eastAsia="Times New Roman" w:cs="Arial"/>
                <w:b/>
                <w:bCs/>
                <w:szCs w:val="20"/>
                <w:lang w:eastAsia="pt-BR"/>
              </w:rPr>
              <w:t>CNPJ</w:t>
            </w:r>
          </w:p>
        </w:tc>
        <w:tc>
          <w:tcPr>
            <w:tcW w:w="3733" w:type="dxa"/>
            <w:tcBorders>
              <w:top w:val="single" w:sz="4" w:space="0" w:color="000000"/>
              <w:left w:val="nil"/>
              <w:bottom w:val="single" w:sz="4" w:space="0" w:color="000000"/>
              <w:right w:val="nil"/>
            </w:tcBorders>
            <w:shd w:val="clear" w:color="auto" w:fill="auto"/>
            <w:noWrap/>
            <w:vAlign w:val="bottom"/>
          </w:tcPr>
          <w:p w14:paraId="79978121" w14:textId="77777777" w:rsidR="004C19ED" w:rsidRPr="00FF5ACF" w:rsidRDefault="004C19ED" w:rsidP="003E2CCD">
            <w:pPr>
              <w:jc w:val="left"/>
              <w:rPr>
                <w:rFonts w:eastAsia="Times New Roman" w:cs="Arial"/>
                <w:b/>
                <w:bCs/>
                <w:szCs w:val="20"/>
                <w:lang w:eastAsia="pt-BR"/>
              </w:rPr>
            </w:pPr>
            <w:r>
              <w:rPr>
                <w:rFonts w:eastAsia="Times New Roman" w:cs="Arial"/>
                <w:b/>
                <w:bCs/>
                <w:szCs w:val="20"/>
                <w:lang w:eastAsia="pt-BR"/>
              </w:rPr>
              <w:t>EMPRESA</w:t>
            </w:r>
          </w:p>
        </w:tc>
        <w:tc>
          <w:tcPr>
            <w:tcW w:w="2161" w:type="dxa"/>
            <w:tcBorders>
              <w:top w:val="single" w:sz="4" w:space="0" w:color="000000"/>
              <w:left w:val="nil"/>
              <w:bottom w:val="single" w:sz="4" w:space="0" w:color="000000"/>
              <w:right w:val="nil"/>
            </w:tcBorders>
            <w:shd w:val="clear" w:color="auto" w:fill="auto"/>
            <w:noWrap/>
            <w:vAlign w:val="bottom"/>
            <w:hideMark/>
          </w:tcPr>
          <w:p w14:paraId="4441C766"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12/2021</w:t>
            </w:r>
          </w:p>
        </w:tc>
        <w:tc>
          <w:tcPr>
            <w:tcW w:w="1061" w:type="dxa"/>
            <w:tcBorders>
              <w:top w:val="single" w:sz="4" w:space="0" w:color="000000"/>
              <w:left w:val="nil"/>
              <w:bottom w:val="single" w:sz="4" w:space="0" w:color="000000"/>
              <w:right w:val="nil"/>
            </w:tcBorders>
            <w:shd w:val="clear" w:color="auto" w:fill="auto"/>
            <w:noWrap/>
            <w:vAlign w:val="bottom"/>
            <w:hideMark/>
          </w:tcPr>
          <w:p w14:paraId="2A8B6A00" w14:textId="77777777" w:rsidR="004C19ED" w:rsidRPr="00FF5ACF" w:rsidRDefault="004C19ED" w:rsidP="003E2CCD">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4C19ED" w:rsidRPr="00FF5ACF" w14:paraId="307CCB94" w14:textId="77777777" w:rsidTr="003E2CCD">
        <w:trPr>
          <w:trHeight w:val="283"/>
        </w:trPr>
        <w:tc>
          <w:tcPr>
            <w:tcW w:w="2298" w:type="dxa"/>
            <w:tcBorders>
              <w:top w:val="nil"/>
              <w:left w:val="nil"/>
              <w:bottom w:val="nil"/>
              <w:right w:val="nil"/>
            </w:tcBorders>
            <w:shd w:val="clear" w:color="auto" w:fill="D9D9D9" w:themeFill="background1" w:themeFillShade="D9"/>
            <w:noWrap/>
            <w:vAlign w:val="bottom"/>
            <w:hideMark/>
          </w:tcPr>
          <w:p w14:paraId="3DFD645C" w14:textId="77777777" w:rsidR="004C19ED" w:rsidRPr="00FF5ACF" w:rsidRDefault="004C19ED" w:rsidP="003E2CCD">
            <w:pPr>
              <w:jc w:val="left"/>
              <w:rPr>
                <w:rFonts w:eastAsia="Times New Roman" w:cs="Arial"/>
                <w:color w:val="000000"/>
                <w:szCs w:val="20"/>
                <w:lang w:eastAsia="pt-BR"/>
              </w:rPr>
            </w:pPr>
            <w:r w:rsidRPr="00F25544">
              <w:rPr>
                <w:rFonts w:eastAsia="Times New Roman" w:cs="Arial"/>
                <w:color w:val="000000"/>
                <w:szCs w:val="20"/>
                <w:lang w:eastAsia="pt-BR"/>
              </w:rPr>
              <w:t>33000167000101</w:t>
            </w:r>
          </w:p>
        </w:tc>
        <w:tc>
          <w:tcPr>
            <w:tcW w:w="3733" w:type="dxa"/>
            <w:tcBorders>
              <w:top w:val="nil"/>
              <w:left w:val="nil"/>
              <w:bottom w:val="nil"/>
              <w:right w:val="nil"/>
            </w:tcBorders>
            <w:shd w:val="clear" w:color="auto" w:fill="D9D9D9" w:themeFill="background1" w:themeFillShade="D9"/>
            <w:vAlign w:val="bottom"/>
            <w:hideMark/>
          </w:tcPr>
          <w:p w14:paraId="3CFFFE88" w14:textId="77777777" w:rsidR="004C19ED" w:rsidRPr="00FF5ACF" w:rsidRDefault="004C19ED" w:rsidP="003E2CCD">
            <w:pPr>
              <w:jc w:val="left"/>
              <w:rPr>
                <w:rFonts w:eastAsia="Times New Roman" w:cs="Arial"/>
                <w:color w:val="000000"/>
                <w:szCs w:val="20"/>
                <w:lang w:eastAsia="pt-BR"/>
              </w:rPr>
            </w:pPr>
            <w:r w:rsidRPr="005335EC">
              <w:rPr>
                <w:rFonts w:eastAsia="Times New Roman" w:cs="Arial"/>
                <w:color w:val="000000"/>
                <w:szCs w:val="20"/>
                <w:lang w:eastAsia="pt-BR"/>
              </w:rPr>
              <w:t>Petr</w:t>
            </w:r>
            <w:r>
              <w:rPr>
                <w:rFonts w:eastAsia="Times New Roman" w:cs="Arial"/>
                <w:color w:val="000000"/>
                <w:szCs w:val="20"/>
                <w:lang w:eastAsia="pt-BR"/>
              </w:rPr>
              <w:t>ó</w:t>
            </w:r>
            <w:r w:rsidRPr="005335EC">
              <w:rPr>
                <w:rFonts w:eastAsia="Times New Roman" w:cs="Arial"/>
                <w:color w:val="000000"/>
                <w:szCs w:val="20"/>
                <w:lang w:eastAsia="pt-BR"/>
              </w:rPr>
              <w:t>leo Brasileiro S A PETROBRAS</w:t>
            </w:r>
          </w:p>
        </w:tc>
        <w:tc>
          <w:tcPr>
            <w:tcW w:w="2161" w:type="dxa"/>
            <w:tcBorders>
              <w:top w:val="nil"/>
              <w:left w:val="nil"/>
              <w:bottom w:val="nil"/>
              <w:right w:val="nil"/>
            </w:tcBorders>
            <w:shd w:val="clear" w:color="auto" w:fill="D9D9D9" w:themeFill="background1" w:themeFillShade="D9"/>
            <w:noWrap/>
            <w:vAlign w:val="bottom"/>
            <w:hideMark/>
          </w:tcPr>
          <w:p w14:paraId="43D46A78" w14:textId="77777777" w:rsidR="004C19ED" w:rsidRPr="00FF5ACF" w:rsidRDefault="004C19ED" w:rsidP="003E2CCD">
            <w:pPr>
              <w:jc w:val="right"/>
              <w:rPr>
                <w:rFonts w:eastAsia="Times New Roman" w:cs="Arial"/>
                <w:color w:val="000000"/>
                <w:szCs w:val="20"/>
                <w:lang w:eastAsia="pt-BR"/>
              </w:rPr>
            </w:pPr>
            <w:r w:rsidRPr="00FB1F06">
              <w:rPr>
                <w:rFonts w:eastAsia="Times New Roman" w:cs="Arial"/>
                <w:color w:val="000000"/>
                <w:szCs w:val="20"/>
                <w:lang w:eastAsia="pt-BR"/>
              </w:rPr>
              <w:t>594</w:t>
            </w:r>
            <w:r>
              <w:rPr>
                <w:rFonts w:eastAsia="Times New Roman" w:cs="Arial"/>
                <w:color w:val="000000"/>
                <w:szCs w:val="20"/>
                <w:lang w:eastAsia="pt-BR"/>
              </w:rPr>
              <w:t>.</w:t>
            </w:r>
            <w:r w:rsidRPr="00FB1F06">
              <w:rPr>
                <w:rFonts w:eastAsia="Times New Roman" w:cs="Arial"/>
                <w:color w:val="000000"/>
                <w:szCs w:val="20"/>
                <w:lang w:eastAsia="pt-BR"/>
              </w:rPr>
              <w:t>908</w:t>
            </w:r>
            <w:r>
              <w:rPr>
                <w:rFonts w:eastAsia="Times New Roman" w:cs="Arial"/>
                <w:color w:val="000000"/>
                <w:szCs w:val="20"/>
                <w:lang w:eastAsia="pt-BR"/>
              </w:rPr>
              <w:t>.</w:t>
            </w:r>
            <w:r w:rsidRPr="00FB1F06">
              <w:rPr>
                <w:rFonts w:eastAsia="Times New Roman" w:cs="Arial"/>
                <w:color w:val="000000"/>
                <w:szCs w:val="20"/>
                <w:lang w:eastAsia="pt-BR"/>
              </w:rPr>
              <w:t>709,57</w:t>
            </w:r>
          </w:p>
        </w:tc>
        <w:tc>
          <w:tcPr>
            <w:tcW w:w="1061" w:type="dxa"/>
            <w:tcBorders>
              <w:top w:val="nil"/>
              <w:left w:val="nil"/>
              <w:bottom w:val="nil"/>
              <w:right w:val="nil"/>
            </w:tcBorders>
            <w:shd w:val="clear" w:color="auto" w:fill="D9D9D9" w:themeFill="background1" w:themeFillShade="D9"/>
            <w:noWrap/>
            <w:vAlign w:val="bottom"/>
          </w:tcPr>
          <w:p w14:paraId="470546E0" w14:textId="77777777" w:rsidR="004C19ED" w:rsidRPr="00FF5ACF" w:rsidRDefault="004C19ED" w:rsidP="003E2CCD">
            <w:pPr>
              <w:jc w:val="right"/>
              <w:rPr>
                <w:rFonts w:eastAsia="Times New Roman" w:cs="Arial"/>
                <w:color w:val="000000"/>
                <w:szCs w:val="20"/>
                <w:lang w:eastAsia="pt-BR"/>
              </w:rPr>
            </w:pPr>
            <w:r>
              <w:rPr>
                <w:rFonts w:eastAsia="Times New Roman" w:cs="Arial"/>
                <w:color w:val="000000"/>
                <w:szCs w:val="20"/>
                <w:lang w:eastAsia="pt-BR"/>
              </w:rPr>
              <w:t>32,47</w:t>
            </w:r>
          </w:p>
        </w:tc>
      </w:tr>
      <w:tr w:rsidR="004C19ED" w:rsidRPr="00FF5ACF" w14:paraId="1223DFF4" w14:textId="77777777" w:rsidTr="003E2CCD">
        <w:trPr>
          <w:trHeight w:val="283"/>
        </w:trPr>
        <w:tc>
          <w:tcPr>
            <w:tcW w:w="2298" w:type="dxa"/>
            <w:tcBorders>
              <w:top w:val="nil"/>
              <w:left w:val="nil"/>
              <w:bottom w:val="nil"/>
              <w:right w:val="nil"/>
            </w:tcBorders>
            <w:shd w:val="clear" w:color="auto" w:fill="auto"/>
            <w:noWrap/>
            <w:vAlign w:val="bottom"/>
            <w:hideMark/>
          </w:tcPr>
          <w:p w14:paraId="3E9ABC31" w14:textId="77777777" w:rsidR="004C19ED" w:rsidRPr="00FF5ACF" w:rsidRDefault="004C19ED" w:rsidP="003E2CCD">
            <w:pPr>
              <w:jc w:val="left"/>
              <w:rPr>
                <w:rFonts w:eastAsia="Times New Roman" w:cs="Arial"/>
                <w:color w:val="000000"/>
                <w:szCs w:val="20"/>
                <w:lang w:eastAsia="pt-BR"/>
              </w:rPr>
            </w:pPr>
            <w:r w:rsidRPr="005335EC">
              <w:rPr>
                <w:rFonts w:eastAsia="Times New Roman" w:cs="Arial"/>
                <w:color w:val="000000"/>
                <w:szCs w:val="20"/>
                <w:lang w:eastAsia="pt-BR"/>
              </w:rPr>
              <w:t>33000167104900</w:t>
            </w:r>
          </w:p>
        </w:tc>
        <w:tc>
          <w:tcPr>
            <w:tcW w:w="3733" w:type="dxa"/>
            <w:tcBorders>
              <w:top w:val="nil"/>
              <w:left w:val="nil"/>
              <w:bottom w:val="nil"/>
              <w:right w:val="nil"/>
            </w:tcBorders>
            <w:shd w:val="clear" w:color="auto" w:fill="auto"/>
            <w:vAlign w:val="bottom"/>
            <w:hideMark/>
          </w:tcPr>
          <w:p w14:paraId="51326BF5" w14:textId="77777777" w:rsidR="004C19ED" w:rsidRPr="00FF5ACF" w:rsidRDefault="004C19ED" w:rsidP="003E2CCD">
            <w:pPr>
              <w:jc w:val="left"/>
              <w:rPr>
                <w:rFonts w:eastAsia="Times New Roman" w:cs="Arial"/>
                <w:color w:val="000000"/>
                <w:szCs w:val="20"/>
                <w:lang w:eastAsia="pt-BR"/>
              </w:rPr>
            </w:pPr>
            <w:r w:rsidRPr="005335EC">
              <w:rPr>
                <w:rFonts w:eastAsia="Times New Roman" w:cs="Arial"/>
                <w:color w:val="000000"/>
                <w:szCs w:val="20"/>
                <w:lang w:eastAsia="pt-BR"/>
              </w:rPr>
              <w:t>Petr</w:t>
            </w:r>
            <w:r>
              <w:rPr>
                <w:rFonts w:eastAsia="Times New Roman" w:cs="Arial"/>
                <w:color w:val="000000"/>
                <w:szCs w:val="20"/>
                <w:lang w:eastAsia="pt-BR"/>
              </w:rPr>
              <w:t>ó</w:t>
            </w:r>
            <w:r w:rsidRPr="005335EC">
              <w:rPr>
                <w:rFonts w:eastAsia="Times New Roman" w:cs="Arial"/>
                <w:color w:val="000000"/>
                <w:szCs w:val="20"/>
                <w:lang w:eastAsia="pt-BR"/>
              </w:rPr>
              <w:t>leo Brasileiro S A PETROBRAS</w:t>
            </w:r>
          </w:p>
        </w:tc>
        <w:tc>
          <w:tcPr>
            <w:tcW w:w="2161" w:type="dxa"/>
            <w:tcBorders>
              <w:top w:val="nil"/>
              <w:left w:val="nil"/>
              <w:bottom w:val="nil"/>
              <w:right w:val="nil"/>
            </w:tcBorders>
            <w:shd w:val="clear" w:color="auto" w:fill="auto"/>
            <w:noWrap/>
            <w:vAlign w:val="bottom"/>
            <w:hideMark/>
          </w:tcPr>
          <w:p w14:paraId="16646CC6" w14:textId="77777777" w:rsidR="004C19ED" w:rsidRPr="00FF5ACF" w:rsidRDefault="004C19ED" w:rsidP="003E2CCD">
            <w:pPr>
              <w:jc w:val="right"/>
              <w:rPr>
                <w:rFonts w:eastAsia="Times New Roman" w:cs="Arial"/>
                <w:color w:val="000000"/>
                <w:szCs w:val="20"/>
                <w:lang w:eastAsia="pt-BR"/>
              </w:rPr>
            </w:pPr>
            <w:r w:rsidRPr="005335EC">
              <w:rPr>
                <w:rFonts w:eastAsia="Times New Roman" w:cs="Arial"/>
                <w:color w:val="000000"/>
                <w:szCs w:val="20"/>
                <w:lang w:eastAsia="pt-BR"/>
              </w:rPr>
              <w:t>61</w:t>
            </w:r>
            <w:r>
              <w:rPr>
                <w:rFonts w:eastAsia="Times New Roman" w:cs="Arial"/>
                <w:color w:val="000000"/>
                <w:szCs w:val="20"/>
                <w:lang w:eastAsia="pt-BR"/>
              </w:rPr>
              <w:t>.</w:t>
            </w:r>
            <w:r w:rsidRPr="005335EC">
              <w:rPr>
                <w:rFonts w:eastAsia="Times New Roman" w:cs="Arial"/>
                <w:color w:val="000000"/>
                <w:szCs w:val="20"/>
                <w:lang w:eastAsia="pt-BR"/>
              </w:rPr>
              <w:t>719</w:t>
            </w:r>
            <w:r>
              <w:rPr>
                <w:rFonts w:eastAsia="Times New Roman" w:cs="Arial"/>
                <w:color w:val="000000"/>
                <w:szCs w:val="20"/>
                <w:lang w:eastAsia="pt-BR"/>
              </w:rPr>
              <w:t>.</w:t>
            </w:r>
            <w:r w:rsidRPr="005335EC">
              <w:rPr>
                <w:rFonts w:eastAsia="Times New Roman" w:cs="Arial"/>
                <w:color w:val="000000"/>
                <w:szCs w:val="20"/>
                <w:lang w:eastAsia="pt-BR"/>
              </w:rPr>
              <w:t>414,77</w:t>
            </w:r>
          </w:p>
        </w:tc>
        <w:tc>
          <w:tcPr>
            <w:tcW w:w="1061" w:type="dxa"/>
            <w:tcBorders>
              <w:top w:val="nil"/>
              <w:left w:val="nil"/>
              <w:bottom w:val="nil"/>
              <w:right w:val="nil"/>
            </w:tcBorders>
            <w:shd w:val="clear" w:color="auto" w:fill="auto"/>
            <w:noWrap/>
            <w:vAlign w:val="bottom"/>
          </w:tcPr>
          <w:p w14:paraId="25ADA872" w14:textId="77777777" w:rsidR="004C19ED" w:rsidRPr="00FF5ACF" w:rsidRDefault="004C19ED" w:rsidP="003E2CCD">
            <w:pPr>
              <w:jc w:val="right"/>
              <w:rPr>
                <w:rFonts w:eastAsia="Times New Roman" w:cs="Arial"/>
                <w:color w:val="000000"/>
                <w:szCs w:val="20"/>
                <w:lang w:eastAsia="pt-BR"/>
              </w:rPr>
            </w:pPr>
            <w:r>
              <w:rPr>
                <w:rFonts w:eastAsia="Times New Roman" w:cs="Arial"/>
                <w:color w:val="000000"/>
                <w:szCs w:val="20"/>
                <w:lang w:eastAsia="pt-BR"/>
              </w:rPr>
              <w:t>3,37</w:t>
            </w:r>
          </w:p>
        </w:tc>
      </w:tr>
      <w:tr w:rsidR="004C19ED" w:rsidRPr="00FF5ACF" w14:paraId="2D2E5047" w14:textId="77777777" w:rsidTr="003E2CCD">
        <w:trPr>
          <w:trHeight w:val="287"/>
        </w:trPr>
        <w:tc>
          <w:tcPr>
            <w:tcW w:w="2298" w:type="dxa"/>
            <w:tcBorders>
              <w:top w:val="nil"/>
              <w:left w:val="nil"/>
              <w:bottom w:val="nil"/>
              <w:right w:val="nil"/>
            </w:tcBorders>
            <w:shd w:val="clear" w:color="auto" w:fill="D9D9D9" w:themeFill="background1" w:themeFillShade="D9"/>
            <w:noWrap/>
            <w:vAlign w:val="bottom"/>
          </w:tcPr>
          <w:p w14:paraId="05535282" w14:textId="77777777" w:rsidR="004C19ED" w:rsidRDefault="004C19ED" w:rsidP="003E2CCD">
            <w:pPr>
              <w:jc w:val="left"/>
              <w:rPr>
                <w:rFonts w:eastAsia="Times New Roman" w:cs="Arial"/>
                <w:color w:val="000000"/>
                <w:szCs w:val="20"/>
                <w:lang w:eastAsia="pt-BR"/>
              </w:rPr>
            </w:pPr>
            <w:r w:rsidRPr="00FB1F06">
              <w:rPr>
                <w:rFonts w:eastAsia="Times New Roman" w:cs="Arial"/>
                <w:color w:val="000000"/>
                <w:szCs w:val="20"/>
                <w:lang w:eastAsia="pt-BR"/>
              </w:rPr>
              <w:t>02031413000169</w:t>
            </w:r>
          </w:p>
        </w:tc>
        <w:tc>
          <w:tcPr>
            <w:tcW w:w="3733" w:type="dxa"/>
            <w:tcBorders>
              <w:top w:val="nil"/>
              <w:left w:val="nil"/>
              <w:bottom w:val="nil"/>
              <w:right w:val="nil"/>
            </w:tcBorders>
            <w:shd w:val="clear" w:color="auto" w:fill="D9D9D9" w:themeFill="background1" w:themeFillShade="D9"/>
            <w:vAlign w:val="bottom"/>
          </w:tcPr>
          <w:p w14:paraId="689107E9" w14:textId="77777777" w:rsidR="004C19ED" w:rsidRDefault="004C19ED" w:rsidP="003E2CCD">
            <w:pPr>
              <w:jc w:val="left"/>
              <w:rPr>
                <w:rFonts w:eastAsia="Times New Roman" w:cs="Arial"/>
                <w:color w:val="000000"/>
                <w:szCs w:val="20"/>
                <w:lang w:eastAsia="pt-BR"/>
              </w:rPr>
            </w:pPr>
            <w:r>
              <w:rPr>
                <w:rFonts w:eastAsia="Times New Roman" w:cs="Arial"/>
                <w:color w:val="000000"/>
                <w:szCs w:val="20"/>
                <w:lang w:eastAsia="pt-BR"/>
              </w:rPr>
              <w:t>Petro Rio Jaguar Petróleo</w:t>
            </w:r>
            <w:r w:rsidRPr="005335EC">
              <w:rPr>
                <w:rFonts w:eastAsia="Times New Roman" w:cs="Arial"/>
                <w:color w:val="000000"/>
                <w:szCs w:val="20"/>
                <w:lang w:eastAsia="pt-BR"/>
              </w:rPr>
              <w:t xml:space="preserve"> Ltda</w:t>
            </w:r>
          </w:p>
        </w:tc>
        <w:tc>
          <w:tcPr>
            <w:tcW w:w="2161" w:type="dxa"/>
            <w:tcBorders>
              <w:top w:val="nil"/>
              <w:left w:val="nil"/>
              <w:bottom w:val="nil"/>
              <w:right w:val="nil"/>
            </w:tcBorders>
            <w:shd w:val="clear" w:color="auto" w:fill="D9D9D9" w:themeFill="background1" w:themeFillShade="D9"/>
            <w:noWrap/>
            <w:vAlign w:val="bottom"/>
          </w:tcPr>
          <w:p w14:paraId="1EE968D0" w14:textId="77777777" w:rsidR="004C19ED" w:rsidRPr="00EE0B93" w:rsidRDefault="004C19ED" w:rsidP="003E2CCD">
            <w:pPr>
              <w:jc w:val="right"/>
              <w:rPr>
                <w:rFonts w:eastAsia="Times New Roman" w:cs="Arial"/>
                <w:color w:val="000000"/>
                <w:szCs w:val="20"/>
                <w:lang w:eastAsia="pt-BR"/>
              </w:rPr>
            </w:pPr>
            <w:r w:rsidRPr="005335EC">
              <w:rPr>
                <w:rFonts w:eastAsia="Times New Roman" w:cs="Arial"/>
                <w:color w:val="000000"/>
                <w:szCs w:val="20"/>
                <w:lang w:eastAsia="pt-BR"/>
              </w:rPr>
              <w:t>28.991.708,72</w:t>
            </w:r>
          </w:p>
        </w:tc>
        <w:tc>
          <w:tcPr>
            <w:tcW w:w="1061" w:type="dxa"/>
            <w:tcBorders>
              <w:top w:val="nil"/>
              <w:left w:val="nil"/>
              <w:bottom w:val="nil"/>
              <w:right w:val="nil"/>
            </w:tcBorders>
            <w:shd w:val="clear" w:color="auto" w:fill="D9D9D9" w:themeFill="background1" w:themeFillShade="D9"/>
            <w:noWrap/>
            <w:vAlign w:val="bottom"/>
          </w:tcPr>
          <w:p w14:paraId="7B66AE01"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1,58</w:t>
            </w:r>
          </w:p>
        </w:tc>
      </w:tr>
    </w:tbl>
    <w:p w14:paraId="64CA8DA1" w14:textId="77777777" w:rsidR="004C19ED" w:rsidRPr="00892CDD" w:rsidRDefault="004C19ED" w:rsidP="004C19ED">
      <w:pPr>
        <w:rPr>
          <w:i/>
          <w:noProof/>
          <w:szCs w:val="20"/>
          <w:lang w:eastAsia="pt-BR"/>
        </w:rPr>
      </w:pPr>
      <w:r w:rsidRPr="00892CDD">
        <w:rPr>
          <w:i/>
          <w:noProof/>
          <w:szCs w:val="20"/>
          <w:lang w:eastAsia="pt-BR"/>
        </w:rPr>
        <w:t>Fonte: SIAFI 20</w:t>
      </w:r>
      <w:r>
        <w:rPr>
          <w:i/>
          <w:noProof/>
          <w:szCs w:val="20"/>
          <w:lang w:eastAsia="pt-BR"/>
        </w:rPr>
        <w:t>21 e 2020</w:t>
      </w:r>
      <w:r w:rsidRPr="00892CDD">
        <w:rPr>
          <w:i/>
          <w:noProof/>
          <w:szCs w:val="20"/>
          <w:lang w:eastAsia="pt-BR"/>
        </w:rPr>
        <w:t>.</w:t>
      </w:r>
    </w:p>
    <w:p w14:paraId="49A85186" w14:textId="77777777" w:rsidR="004C19ED" w:rsidRDefault="004C19ED" w:rsidP="004C19ED">
      <w:pPr>
        <w:rPr>
          <w:rFonts w:cs="Arial"/>
          <w:b/>
          <w:sz w:val="22"/>
        </w:rPr>
      </w:pPr>
    </w:p>
    <w:p w14:paraId="594C5B11" w14:textId="77777777" w:rsidR="004C19ED" w:rsidRPr="00407107" w:rsidRDefault="004C19ED" w:rsidP="004C19ED">
      <w:pPr>
        <w:rPr>
          <w:rFonts w:cs="Arial"/>
          <w:b/>
          <w:sz w:val="22"/>
        </w:rPr>
      </w:pPr>
    </w:p>
    <w:p w14:paraId="614E8FC3" w14:textId="77777777" w:rsidR="004C19ED" w:rsidRDefault="004C19ED" w:rsidP="004C19ED">
      <w:pPr>
        <w:rPr>
          <w:rFonts w:cs="Arial"/>
          <w:b/>
          <w:sz w:val="22"/>
        </w:rPr>
      </w:pPr>
      <w:r>
        <w:rPr>
          <w:rFonts w:cs="Arial"/>
          <w:b/>
          <w:sz w:val="22"/>
        </w:rPr>
        <w:t>6.5 Comodato de Bens</w:t>
      </w:r>
    </w:p>
    <w:p w14:paraId="1DEE1DF5" w14:textId="77777777" w:rsidR="004C19ED" w:rsidRDefault="004C19ED" w:rsidP="004C19ED">
      <w:pPr>
        <w:rPr>
          <w:rFonts w:cs="Arial"/>
          <w:b/>
          <w:sz w:val="22"/>
        </w:rPr>
      </w:pPr>
    </w:p>
    <w:p w14:paraId="53000BFB" w14:textId="77777777" w:rsidR="004C19ED" w:rsidRDefault="004C19ED" w:rsidP="004C19ED">
      <w:pPr>
        <w:rPr>
          <w:rFonts w:cs="Arial"/>
          <w:sz w:val="22"/>
        </w:rPr>
      </w:pPr>
      <w:r w:rsidRPr="002E705E">
        <w:rPr>
          <w:rFonts w:cs="Arial"/>
          <w:sz w:val="22"/>
        </w:rPr>
        <w:t>Em 31/12/2021, a ANP possuía R$ 5,3 milhões em bens de terceiros sob sua</w:t>
      </w:r>
      <w:r>
        <w:rPr>
          <w:rFonts w:cs="Arial"/>
          <w:sz w:val="22"/>
        </w:rPr>
        <w:t xml:space="preserve"> responsabilidade, </w:t>
      </w:r>
      <w:r w:rsidRPr="009928B1">
        <w:rPr>
          <w:rFonts w:cs="Arial"/>
          <w:sz w:val="22"/>
        </w:rPr>
        <w:t xml:space="preserve">através de comodato em imóveis e/ou parte deles cedidos e bens, </w:t>
      </w:r>
      <w:r>
        <w:rPr>
          <w:rFonts w:cs="Arial"/>
          <w:sz w:val="22"/>
        </w:rPr>
        <w:t xml:space="preserve">conforme tabelas: </w:t>
      </w:r>
    </w:p>
    <w:p w14:paraId="43D87D11" w14:textId="77777777" w:rsidR="004C19ED" w:rsidRDefault="004C19ED" w:rsidP="004C19ED">
      <w:pPr>
        <w:rPr>
          <w:rFonts w:cs="Arial"/>
          <w:sz w:val="22"/>
        </w:rPr>
      </w:pPr>
    </w:p>
    <w:p w14:paraId="6342C9B1" w14:textId="77777777" w:rsidR="004C19ED" w:rsidRDefault="004C19ED" w:rsidP="004C19ED">
      <w:pPr>
        <w:rPr>
          <w:rFonts w:cs="Arial"/>
          <w:b/>
          <w:sz w:val="22"/>
        </w:rPr>
      </w:pPr>
      <w:r w:rsidRPr="00DC2695">
        <w:rPr>
          <w:rFonts w:cs="Arial"/>
          <w:b/>
          <w:sz w:val="22"/>
        </w:rPr>
        <w:t>Tabela</w:t>
      </w:r>
      <w:r>
        <w:rPr>
          <w:rFonts w:cs="Arial"/>
          <w:b/>
          <w:sz w:val="22"/>
        </w:rPr>
        <w:t xml:space="preserve"> 24</w:t>
      </w:r>
      <w:r w:rsidRPr="00DC2695">
        <w:rPr>
          <w:rFonts w:cs="Arial"/>
          <w:b/>
          <w:sz w:val="22"/>
        </w:rPr>
        <w:t xml:space="preserve"> - </w:t>
      </w:r>
      <w:r>
        <w:rPr>
          <w:rFonts w:cs="Arial"/>
          <w:b/>
          <w:sz w:val="22"/>
        </w:rPr>
        <w:t>Lista de Bens M</w:t>
      </w:r>
      <w:r w:rsidRPr="00DC2695">
        <w:rPr>
          <w:rFonts w:cs="Arial"/>
          <w:b/>
          <w:sz w:val="22"/>
        </w:rPr>
        <w:t>óveis – Identificação e Localização.</w:t>
      </w:r>
    </w:p>
    <w:p w14:paraId="1440874F" w14:textId="77777777" w:rsidR="004C19ED" w:rsidRDefault="004C19ED" w:rsidP="004C19ED">
      <w:pPr>
        <w:rPr>
          <w:rFonts w:cs="Arial"/>
          <w:b/>
          <w:sz w:val="22"/>
        </w:rPr>
      </w:pPr>
    </w:p>
    <w:tbl>
      <w:tblPr>
        <w:tblW w:w="9399" w:type="dxa"/>
        <w:tblInd w:w="-10" w:type="dxa"/>
        <w:tblCellMar>
          <w:left w:w="70" w:type="dxa"/>
          <w:right w:w="70" w:type="dxa"/>
        </w:tblCellMar>
        <w:tblLook w:val="04A0" w:firstRow="1" w:lastRow="0" w:firstColumn="1" w:lastColumn="0" w:noHBand="0" w:noVBand="1"/>
      </w:tblPr>
      <w:tblGrid>
        <w:gridCol w:w="1735"/>
        <w:gridCol w:w="3064"/>
        <w:gridCol w:w="2572"/>
        <w:gridCol w:w="2028"/>
      </w:tblGrid>
      <w:tr w:rsidR="004C19ED" w:rsidRPr="00833F42" w14:paraId="3FDF34BF" w14:textId="77777777" w:rsidTr="003E2CCD">
        <w:trPr>
          <w:trHeight w:val="320"/>
        </w:trPr>
        <w:tc>
          <w:tcPr>
            <w:tcW w:w="1735" w:type="dxa"/>
            <w:tcBorders>
              <w:top w:val="single" w:sz="8" w:space="0" w:color="000000"/>
              <w:left w:val="single" w:sz="8" w:space="0" w:color="000000"/>
              <w:bottom w:val="single" w:sz="8" w:space="0" w:color="000000"/>
              <w:right w:val="single" w:sz="8" w:space="0" w:color="auto"/>
            </w:tcBorders>
            <w:shd w:val="clear" w:color="auto" w:fill="auto"/>
            <w:vAlign w:val="center"/>
            <w:hideMark/>
          </w:tcPr>
          <w:p w14:paraId="0A93ACC8" w14:textId="77777777" w:rsidR="004C19ED" w:rsidRPr="00833F42" w:rsidRDefault="004C19ED" w:rsidP="003E2CCD">
            <w:pPr>
              <w:jc w:val="center"/>
              <w:rPr>
                <w:rFonts w:eastAsia="Times New Roman" w:cs="Arial"/>
                <w:b/>
                <w:bCs/>
                <w:color w:val="000000"/>
                <w:szCs w:val="20"/>
                <w:lang w:eastAsia="pt-BR"/>
              </w:rPr>
            </w:pPr>
            <w:r w:rsidRPr="00833F42">
              <w:rPr>
                <w:rFonts w:eastAsia="Times New Roman" w:cs="Arial"/>
                <w:b/>
                <w:bCs/>
                <w:color w:val="000000"/>
                <w:szCs w:val="20"/>
                <w:lang w:eastAsia="pt-BR"/>
              </w:rPr>
              <w:t>Unidade Gestora</w:t>
            </w:r>
          </w:p>
        </w:tc>
        <w:tc>
          <w:tcPr>
            <w:tcW w:w="3064" w:type="dxa"/>
            <w:tcBorders>
              <w:top w:val="single" w:sz="8" w:space="0" w:color="000000"/>
              <w:left w:val="nil"/>
              <w:bottom w:val="single" w:sz="8" w:space="0" w:color="auto"/>
              <w:right w:val="single" w:sz="8" w:space="0" w:color="auto"/>
            </w:tcBorders>
            <w:shd w:val="clear" w:color="auto" w:fill="auto"/>
            <w:vAlign w:val="center"/>
            <w:hideMark/>
          </w:tcPr>
          <w:p w14:paraId="5E582848" w14:textId="77777777" w:rsidR="004C19ED" w:rsidRPr="00833F42" w:rsidRDefault="004C19ED" w:rsidP="003E2CCD">
            <w:pPr>
              <w:jc w:val="center"/>
              <w:rPr>
                <w:rFonts w:eastAsia="Times New Roman" w:cs="Arial"/>
                <w:b/>
                <w:bCs/>
                <w:color w:val="000000"/>
                <w:szCs w:val="20"/>
                <w:lang w:eastAsia="pt-BR"/>
              </w:rPr>
            </w:pPr>
            <w:r>
              <w:rPr>
                <w:rFonts w:eastAsia="Times New Roman" w:cs="Arial"/>
                <w:b/>
                <w:bCs/>
                <w:color w:val="000000"/>
                <w:szCs w:val="20"/>
                <w:lang w:eastAsia="pt-BR"/>
              </w:rPr>
              <w:t>Empresa</w:t>
            </w:r>
          </w:p>
        </w:tc>
        <w:tc>
          <w:tcPr>
            <w:tcW w:w="2572" w:type="dxa"/>
            <w:tcBorders>
              <w:top w:val="single" w:sz="8" w:space="0" w:color="000000"/>
              <w:left w:val="nil"/>
              <w:bottom w:val="single" w:sz="8" w:space="0" w:color="auto"/>
              <w:right w:val="single" w:sz="8" w:space="0" w:color="auto"/>
            </w:tcBorders>
            <w:shd w:val="clear" w:color="auto" w:fill="auto"/>
            <w:vAlign w:val="center"/>
            <w:hideMark/>
          </w:tcPr>
          <w:p w14:paraId="770E31C3" w14:textId="77777777" w:rsidR="004C19ED" w:rsidRPr="00833F42" w:rsidRDefault="004C19ED" w:rsidP="003E2CCD">
            <w:pPr>
              <w:jc w:val="center"/>
              <w:rPr>
                <w:rFonts w:eastAsia="Times New Roman" w:cs="Arial"/>
                <w:b/>
                <w:bCs/>
                <w:color w:val="000000"/>
                <w:szCs w:val="20"/>
                <w:lang w:eastAsia="pt-BR"/>
              </w:rPr>
            </w:pPr>
            <w:r>
              <w:rPr>
                <w:rFonts w:eastAsia="Times New Roman" w:cs="Arial"/>
                <w:b/>
                <w:bCs/>
                <w:color w:val="000000"/>
                <w:szCs w:val="20"/>
                <w:lang w:eastAsia="pt-BR"/>
              </w:rPr>
              <w:t>BEM</w:t>
            </w:r>
          </w:p>
        </w:tc>
        <w:tc>
          <w:tcPr>
            <w:tcW w:w="2028" w:type="dxa"/>
            <w:tcBorders>
              <w:top w:val="single" w:sz="8" w:space="0" w:color="000000"/>
              <w:left w:val="nil"/>
              <w:bottom w:val="single" w:sz="8" w:space="0" w:color="auto"/>
              <w:right w:val="single" w:sz="8" w:space="0" w:color="auto"/>
            </w:tcBorders>
          </w:tcPr>
          <w:p w14:paraId="7697FD59" w14:textId="77777777" w:rsidR="004C19ED" w:rsidRDefault="004C19ED" w:rsidP="003E2CCD">
            <w:pPr>
              <w:jc w:val="center"/>
              <w:rPr>
                <w:rFonts w:eastAsia="Times New Roman" w:cs="Arial"/>
                <w:b/>
                <w:bCs/>
                <w:color w:val="000000"/>
                <w:szCs w:val="20"/>
                <w:lang w:eastAsia="pt-BR"/>
              </w:rPr>
            </w:pPr>
            <w:r>
              <w:rPr>
                <w:rFonts w:eastAsia="Times New Roman" w:cs="Arial"/>
                <w:b/>
                <w:bCs/>
                <w:color w:val="000000"/>
                <w:szCs w:val="20"/>
                <w:lang w:eastAsia="pt-BR"/>
              </w:rPr>
              <w:t xml:space="preserve">R$ </w:t>
            </w:r>
          </w:p>
        </w:tc>
      </w:tr>
      <w:tr w:rsidR="004C19ED" w:rsidRPr="00833F42" w14:paraId="13786B76" w14:textId="77777777" w:rsidTr="003E2CCD">
        <w:trPr>
          <w:trHeight w:val="533"/>
        </w:trPr>
        <w:tc>
          <w:tcPr>
            <w:tcW w:w="1735" w:type="dxa"/>
            <w:tcBorders>
              <w:top w:val="nil"/>
              <w:left w:val="single" w:sz="8" w:space="0" w:color="000000"/>
              <w:bottom w:val="single" w:sz="8" w:space="0" w:color="auto"/>
              <w:right w:val="single" w:sz="8" w:space="0" w:color="auto"/>
            </w:tcBorders>
            <w:shd w:val="clear" w:color="000000" w:fill="D9D9D9"/>
            <w:vAlign w:val="center"/>
            <w:hideMark/>
          </w:tcPr>
          <w:p w14:paraId="70F74F23" w14:textId="77777777" w:rsidR="004C19ED" w:rsidRPr="00833F42" w:rsidRDefault="004C19ED" w:rsidP="003E2CCD">
            <w:pPr>
              <w:jc w:val="center"/>
              <w:rPr>
                <w:rFonts w:eastAsia="Times New Roman" w:cs="Arial"/>
                <w:color w:val="000000"/>
                <w:szCs w:val="20"/>
                <w:lang w:eastAsia="pt-BR"/>
              </w:rPr>
            </w:pPr>
            <w:r>
              <w:rPr>
                <w:rFonts w:eastAsia="Times New Roman" w:cs="Arial"/>
                <w:color w:val="000000"/>
                <w:szCs w:val="20"/>
                <w:lang w:eastAsia="pt-BR"/>
              </w:rPr>
              <w:t>323030 / CPT</w:t>
            </w:r>
          </w:p>
        </w:tc>
        <w:tc>
          <w:tcPr>
            <w:tcW w:w="3064" w:type="dxa"/>
            <w:tcBorders>
              <w:top w:val="nil"/>
              <w:left w:val="nil"/>
              <w:bottom w:val="single" w:sz="8" w:space="0" w:color="auto"/>
              <w:right w:val="single" w:sz="8" w:space="0" w:color="auto"/>
            </w:tcBorders>
            <w:shd w:val="clear" w:color="000000" w:fill="D9D9D9"/>
            <w:vAlign w:val="center"/>
            <w:hideMark/>
          </w:tcPr>
          <w:p w14:paraId="5AA3E40E" w14:textId="77777777" w:rsidR="004C19ED" w:rsidRPr="00833F42" w:rsidRDefault="004C19ED" w:rsidP="003E2CCD">
            <w:pPr>
              <w:rPr>
                <w:rFonts w:eastAsia="Times New Roman" w:cs="Arial"/>
                <w:color w:val="000000"/>
                <w:szCs w:val="20"/>
                <w:lang w:eastAsia="pt-BR"/>
              </w:rPr>
            </w:pPr>
            <w:proofErr w:type="spellStart"/>
            <w:r>
              <w:rPr>
                <w:rFonts w:eastAsia="Times New Roman" w:cs="Arial"/>
                <w:color w:val="000000"/>
                <w:szCs w:val="20"/>
                <w:lang w:eastAsia="pt-BR"/>
              </w:rPr>
              <w:t>Tracerco</w:t>
            </w:r>
            <w:proofErr w:type="spellEnd"/>
            <w:r>
              <w:rPr>
                <w:rFonts w:eastAsia="Times New Roman" w:cs="Arial"/>
                <w:color w:val="000000"/>
                <w:szCs w:val="20"/>
                <w:lang w:eastAsia="pt-BR"/>
              </w:rPr>
              <w:t xml:space="preserve"> do Brasil</w:t>
            </w:r>
          </w:p>
        </w:tc>
        <w:tc>
          <w:tcPr>
            <w:tcW w:w="2572" w:type="dxa"/>
            <w:tcBorders>
              <w:top w:val="nil"/>
              <w:left w:val="nil"/>
              <w:bottom w:val="single" w:sz="8" w:space="0" w:color="auto"/>
              <w:right w:val="single" w:sz="8" w:space="0" w:color="auto"/>
            </w:tcBorders>
            <w:shd w:val="clear" w:color="000000" w:fill="D9D9D9"/>
            <w:noWrap/>
            <w:vAlign w:val="center"/>
            <w:hideMark/>
          </w:tcPr>
          <w:p w14:paraId="5C70CE1E" w14:textId="77777777" w:rsidR="004C19ED" w:rsidRPr="00833F42" w:rsidRDefault="004C19ED" w:rsidP="003E2CCD">
            <w:pPr>
              <w:jc w:val="right"/>
              <w:rPr>
                <w:rFonts w:eastAsia="Times New Roman" w:cs="Arial"/>
                <w:color w:val="000000"/>
                <w:szCs w:val="20"/>
                <w:lang w:eastAsia="pt-BR"/>
              </w:rPr>
            </w:pPr>
            <w:r>
              <w:rPr>
                <w:rFonts w:eastAsia="Times New Roman" w:cs="Arial"/>
                <w:color w:val="000000"/>
                <w:szCs w:val="20"/>
                <w:lang w:eastAsia="pt-BR"/>
              </w:rPr>
              <w:t>Sistema de Cromatografia</w:t>
            </w:r>
          </w:p>
        </w:tc>
        <w:tc>
          <w:tcPr>
            <w:tcW w:w="2028" w:type="dxa"/>
            <w:tcBorders>
              <w:top w:val="nil"/>
              <w:left w:val="nil"/>
              <w:bottom w:val="single" w:sz="8" w:space="0" w:color="auto"/>
              <w:right w:val="single" w:sz="8" w:space="0" w:color="auto"/>
            </w:tcBorders>
            <w:shd w:val="clear" w:color="000000" w:fill="D9D9D9"/>
          </w:tcPr>
          <w:p w14:paraId="6EA0375A"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224.131,71</w:t>
            </w:r>
          </w:p>
        </w:tc>
      </w:tr>
    </w:tbl>
    <w:p w14:paraId="0DBF59C6" w14:textId="77777777" w:rsidR="004C19ED" w:rsidRDefault="004C19ED" w:rsidP="004C19ED">
      <w:pPr>
        <w:rPr>
          <w:rFonts w:cs="Arial"/>
          <w:b/>
          <w:sz w:val="22"/>
        </w:rPr>
      </w:pPr>
    </w:p>
    <w:p w14:paraId="00E3B47C" w14:textId="77777777" w:rsidR="004C19ED" w:rsidRDefault="004C19ED" w:rsidP="004C19ED">
      <w:pPr>
        <w:spacing w:after="160" w:line="259" w:lineRule="auto"/>
        <w:jc w:val="left"/>
        <w:rPr>
          <w:rFonts w:cs="Arial"/>
          <w:b/>
          <w:sz w:val="22"/>
        </w:rPr>
      </w:pPr>
      <w:r>
        <w:rPr>
          <w:rFonts w:cs="Arial"/>
          <w:b/>
          <w:sz w:val="22"/>
        </w:rPr>
        <w:lastRenderedPageBreak/>
        <w:br w:type="page"/>
      </w:r>
    </w:p>
    <w:p w14:paraId="3A8FAB53" w14:textId="77777777" w:rsidR="004C19ED" w:rsidRPr="00E65DFE" w:rsidRDefault="004C19ED" w:rsidP="004C19ED">
      <w:pPr>
        <w:rPr>
          <w:rFonts w:cs="Arial"/>
          <w:b/>
          <w:sz w:val="22"/>
        </w:rPr>
      </w:pPr>
      <w:r w:rsidRPr="00DC2695">
        <w:rPr>
          <w:rFonts w:cs="Arial"/>
          <w:b/>
          <w:sz w:val="22"/>
        </w:rPr>
        <w:lastRenderedPageBreak/>
        <w:t>Tabela</w:t>
      </w:r>
      <w:r>
        <w:rPr>
          <w:rFonts w:cs="Arial"/>
          <w:b/>
          <w:sz w:val="22"/>
        </w:rPr>
        <w:t xml:space="preserve"> 25</w:t>
      </w:r>
      <w:r w:rsidRPr="00DC2695">
        <w:rPr>
          <w:rFonts w:cs="Arial"/>
          <w:b/>
          <w:sz w:val="22"/>
        </w:rPr>
        <w:t xml:space="preserve"> - </w:t>
      </w:r>
      <w:r>
        <w:rPr>
          <w:rFonts w:cs="Arial"/>
          <w:b/>
          <w:sz w:val="22"/>
        </w:rPr>
        <w:t xml:space="preserve">Lista de </w:t>
      </w:r>
      <w:r w:rsidRPr="00DC2695">
        <w:rPr>
          <w:rFonts w:cs="Arial"/>
          <w:b/>
          <w:sz w:val="22"/>
        </w:rPr>
        <w:t>Bens Imóveis – Identificação e Localização.</w:t>
      </w:r>
    </w:p>
    <w:p w14:paraId="34AC646C" w14:textId="77777777" w:rsidR="004C19ED" w:rsidRDefault="004C19ED" w:rsidP="004C19ED">
      <w:pPr>
        <w:rPr>
          <w:rFonts w:cs="Arial"/>
          <w:sz w:val="22"/>
        </w:rPr>
      </w:pPr>
    </w:p>
    <w:tbl>
      <w:tblPr>
        <w:tblW w:w="9204" w:type="dxa"/>
        <w:tblInd w:w="-10" w:type="dxa"/>
        <w:tblCellMar>
          <w:left w:w="70" w:type="dxa"/>
          <w:right w:w="70" w:type="dxa"/>
        </w:tblCellMar>
        <w:tblLook w:val="04A0" w:firstRow="1" w:lastRow="0" w:firstColumn="1" w:lastColumn="0" w:noHBand="0" w:noVBand="1"/>
      </w:tblPr>
      <w:tblGrid>
        <w:gridCol w:w="1735"/>
        <w:gridCol w:w="3064"/>
        <w:gridCol w:w="2377"/>
        <w:gridCol w:w="2028"/>
      </w:tblGrid>
      <w:tr w:rsidR="004C19ED" w:rsidRPr="00833F42" w14:paraId="4E7A81D1" w14:textId="77777777" w:rsidTr="003E2CCD">
        <w:trPr>
          <w:trHeight w:val="320"/>
        </w:trPr>
        <w:tc>
          <w:tcPr>
            <w:tcW w:w="1735" w:type="dxa"/>
            <w:tcBorders>
              <w:top w:val="single" w:sz="8" w:space="0" w:color="000000"/>
              <w:left w:val="single" w:sz="8" w:space="0" w:color="000000"/>
              <w:bottom w:val="single" w:sz="8" w:space="0" w:color="000000"/>
              <w:right w:val="single" w:sz="8" w:space="0" w:color="auto"/>
            </w:tcBorders>
            <w:shd w:val="clear" w:color="auto" w:fill="auto"/>
            <w:vAlign w:val="center"/>
            <w:hideMark/>
          </w:tcPr>
          <w:p w14:paraId="54955D4C" w14:textId="77777777" w:rsidR="004C19ED" w:rsidRPr="00833F42" w:rsidRDefault="004C19ED" w:rsidP="003E2CCD">
            <w:pPr>
              <w:jc w:val="center"/>
              <w:rPr>
                <w:rFonts w:eastAsia="Times New Roman" w:cs="Arial"/>
                <w:b/>
                <w:bCs/>
                <w:color w:val="000000"/>
                <w:szCs w:val="20"/>
                <w:lang w:eastAsia="pt-BR"/>
              </w:rPr>
            </w:pPr>
            <w:r w:rsidRPr="00833F42">
              <w:rPr>
                <w:rFonts w:eastAsia="Times New Roman" w:cs="Arial"/>
                <w:b/>
                <w:bCs/>
                <w:color w:val="000000"/>
                <w:szCs w:val="20"/>
                <w:lang w:eastAsia="pt-BR"/>
              </w:rPr>
              <w:t>Unidade Gestora</w:t>
            </w:r>
          </w:p>
        </w:tc>
        <w:tc>
          <w:tcPr>
            <w:tcW w:w="3064" w:type="dxa"/>
            <w:tcBorders>
              <w:top w:val="single" w:sz="8" w:space="0" w:color="000000"/>
              <w:left w:val="nil"/>
              <w:bottom w:val="single" w:sz="8" w:space="0" w:color="auto"/>
              <w:right w:val="single" w:sz="8" w:space="0" w:color="auto"/>
            </w:tcBorders>
            <w:shd w:val="clear" w:color="auto" w:fill="auto"/>
            <w:vAlign w:val="center"/>
            <w:hideMark/>
          </w:tcPr>
          <w:p w14:paraId="01291331" w14:textId="77777777" w:rsidR="004C19ED" w:rsidRPr="00833F42" w:rsidRDefault="004C19ED" w:rsidP="003E2CCD">
            <w:pPr>
              <w:jc w:val="center"/>
              <w:rPr>
                <w:rFonts w:eastAsia="Times New Roman" w:cs="Arial"/>
                <w:b/>
                <w:bCs/>
                <w:color w:val="000000"/>
                <w:szCs w:val="20"/>
                <w:lang w:eastAsia="pt-BR"/>
              </w:rPr>
            </w:pPr>
            <w:r w:rsidRPr="00833F42">
              <w:rPr>
                <w:rFonts w:eastAsia="Times New Roman" w:cs="Arial"/>
                <w:b/>
                <w:bCs/>
                <w:color w:val="000000"/>
                <w:szCs w:val="20"/>
                <w:lang w:eastAsia="pt-BR"/>
              </w:rPr>
              <w:t>Endereço</w:t>
            </w:r>
          </w:p>
        </w:tc>
        <w:tc>
          <w:tcPr>
            <w:tcW w:w="2377" w:type="dxa"/>
            <w:tcBorders>
              <w:top w:val="single" w:sz="8" w:space="0" w:color="000000"/>
              <w:left w:val="nil"/>
              <w:bottom w:val="single" w:sz="8" w:space="0" w:color="auto"/>
              <w:right w:val="single" w:sz="8" w:space="0" w:color="auto"/>
            </w:tcBorders>
            <w:shd w:val="clear" w:color="auto" w:fill="auto"/>
            <w:vAlign w:val="center"/>
            <w:hideMark/>
          </w:tcPr>
          <w:p w14:paraId="1FD1E577" w14:textId="77777777" w:rsidR="004C19ED" w:rsidRPr="00833F42" w:rsidRDefault="004C19ED" w:rsidP="003E2CCD">
            <w:pPr>
              <w:jc w:val="center"/>
              <w:rPr>
                <w:rFonts w:eastAsia="Times New Roman" w:cs="Arial"/>
                <w:b/>
                <w:bCs/>
                <w:color w:val="000000"/>
                <w:szCs w:val="20"/>
                <w:lang w:eastAsia="pt-BR"/>
              </w:rPr>
            </w:pPr>
            <w:r>
              <w:rPr>
                <w:rFonts w:eastAsia="Times New Roman" w:cs="Arial"/>
                <w:b/>
                <w:bCs/>
                <w:color w:val="000000"/>
                <w:szCs w:val="20"/>
                <w:lang w:eastAsia="pt-BR"/>
              </w:rPr>
              <w:t>Sigla</w:t>
            </w:r>
          </w:p>
        </w:tc>
        <w:tc>
          <w:tcPr>
            <w:tcW w:w="2028" w:type="dxa"/>
            <w:tcBorders>
              <w:top w:val="single" w:sz="8" w:space="0" w:color="000000"/>
              <w:left w:val="nil"/>
              <w:bottom w:val="single" w:sz="8" w:space="0" w:color="auto"/>
              <w:right w:val="single" w:sz="8" w:space="0" w:color="auto"/>
            </w:tcBorders>
          </w:tcPr>
          <w:p w14:paraId="525CD594" w14:textId="77777777" w:rsidR="004C19ED" w:rsidRDefault="004C19ED" w:rsidP="003E2CCD">
            <w:pPr>
              <w:jc w:val="center"/>
              <w:rPr>
                <w:rFonts w:eastAsia="Times New Roman" w:cs="Arial"/>
                <w:b/>
                <w:bCs/>
                <w:color w:val="000000"/>
                <w:szCs w:val="20"/>
                <w:lang w:eastAsia="pt-BR"/>
              </w:rPr>
            </w:pPr>
            <w:r>
              <w:rPr>
                <w:rFonts w:eastAsia="Times New Roman" w:cs="Arial"/>
                <w:b/>
                <w:bCs/>
                <w:color w:val="000000"/>
                <w:szCs w:val="20"/>
                <w:lang w:eastAsia="pt-BR"/>
              </w:rPr>
              <w:t xml:space="preserve">R$ </w:t>
            </w:r>
          </w:p>
        </w:tc>
      </w:tr>
      <w:tr w:rsidR="004C19ED" w:rsidRPr="00833F42" w14:paraId="04F526D6" w14:textId="77777777" w:rsidTr="003E2CCD">
        <w:trPr>
          <w:trHeight w:val="533"/>
        </w:trPr>
        <w:tc>
          <w:tcPr>
            <w:tcW w:w="1735" w:type="dxa"/>
            <w:tcBorders>
              <w:top w:val="nil"/>
              <w:left w:val="single" w:sz="8" w:space="0" w:color="000000"/>
              <w:bottom w:val="single" w:sz="8" w:space="0" w:color="auto"/>
              <w:right w:val="single" w:sz="8" w:space="0" w:color="auto"/>
            </w:tcBorders>
            <w:shd w:val="clear" w:color="000000" w:fill="D9D9D9"/>
            <w:vAlign w:val="center"/>
            <w:hideMark/>
          </w:tcPr>
          <w:p w14:paraId="4CD3186D" w14:textId="77777777" w:rsidR="004C19ED" w:rsidRPr="00833F42" w:rsidRDefault="004C19ED" w:rsidP="003E2CCD">
            <w:pPr>
              <w:jc w:val="center"/>
              <w:rPr>
                <w:rFonts w:eastAsia="Times New Roman" w:cs="Arial"/>
                <w:color w:val="000000"/>
                <w:szCs w:val="20"/>
                <w:lang w:eastAsia="pt-BR"/>
              </w:rPr>
            </w:pPr>
            <w:r>
              <w:rPr>
                <w:rFonts w:eastAsia="Times New Roman" w:cs="Arial"/>
                <w:color w:val="000000"/>
                <w:szCs w:val="20"/>
                <w:lang w:eastAsia="pt-BR"/>
              </w:rPr>
              <w:t>320056</w:t>
            </w:r>
          </w:p>
        </w:tc>
        <w:tc>
          <w:tcPr>
            <w:tcW w:w="3064" w:type="dxa"/>
            <w:tcBorders>
              <w:top w:val="nil"/>
              <w:left w:val="nil"/>
              <w:bottom w:val="single" w:sz="8" w:space="0" w:color="auto"/>
              <w:right w:val="single" w:sz="8" w:space="0" w:color="auto"/>
            </w:tcBorders>
            <w:shd w:val="clear" w:color="000000" w:fill="D9D9D9"/>
            <w:vAlign w:val="center"/>
            <w:hideMark/>
          </w:tcPr>
          <w:p w14:paraId="595CDDD8" w14:textId="77777777" w:rsidR="004C19ED" w:rsidRPr="00833F42" w:rsidRDefault="004C19ED" w:rsidP="003E2CCD">
            <w:pPr>
              <w:rPr>
                <w:rFonts w:eastAsia="Times New Roman" w:cs="Arial"/>
                <w:color w:val="000000"/>
                <w:szCs w:val="20"/>
                <w:lang w:eastAsia="pt-BR"/>
              </w:rPr>
            </w:pPr>
            <w:proofErr w:type="spellStart"/>
            <w:r>
              <w:rPr>
                <w:rFonts w:eastAsia="Times New Roman" w:cs="Arial"/>
                <w:color w:val="000000"/>
                <w:szCs w:val="20"/>
                <w:lang w:eastAsia="pt-BR"/>
              </w:rPr>
              <w:t>Av</w:t>
            </w:r>
            <w:proofErr w:type="spellEnd"/>
            <w:r>
              <w:rPr>
                <w:rFonts w:eastAsia="Times New Roman" w:cs="Arial"/>
                <w:color w:val="000000"/>
                <w:szCs w:val="20"/>
                <w:lang w:eastAsia="pt-BR"/>
              </w:rPr>
              <w:t xml:space="preserve"> do Turismo 1350 - Tarumã</w:t>
            </w:r>
          </w:p>
        </w:tc>
        <w:tc>
          <w:tcPr>
            <w:tcW w:w="2377" w:type="dxa"/>
            <w:tcBorders>
              <w:top w:val="nil"/>
              <w:left w:val="nil"/>
              <w:bottom w:val="single" w:sz="8" w:space="0" w:color="auto"/>
              <w:right w:val="single" w:sz="8" w:space="0" w:color="auto"/>
            </w:tcBorders>
            <w:shd w:val="clear" w:color="000000" w:fill="D9D9D9"/>
            <w:noWrap/>
            <w:vAlign w:val="center"/>
            <w:hideMark/>
          </w:tcPr>
          <w:p w14:paraId="5AB795E9" w14:textId="77777777" w:rsidR="004C19ED" w:rsidRPr="00833F42" w:rsidRDefault="004C19ED" w:rsidP="003E2CCD">
            <w:pPr>
              <w:jc w:val="right"/>
              <w:rPr>
                <w:rFonts w:eastAsia="Times New Roman" w:cs="Arial"/>
                <w:color w:val="000000"/>
                <w:szCs w:val="20"/>
                <w:lang w:eastAsia="pt-BR"/>
              </w:rPr>
            </w:pPr>
            <w:r>
              <w:rPr>
                <w:rFonts w:eastAsia="Times New Roman" w:cs="Arial"/>
                <w:color w:val="000000"/>
                <w:szCs w:val="20"/>
                <w:lang w:eastAsia="pt-BR"/>
              </w:rPr>
              <w:t>NMA – Escritório de Manaus*</w:t>
            </w:r>
          </w:p>
        </w:tc>
        <w:tc>
          <w:tcPr>
            <w:tcW w:w="2028" w:type="dxa"/>
            <w:tcBorders>
              <w:top w:val="nil"/>
              <w:left w:val="nil"/>
              <w:bottom w:val="single" w:sz="8" w:space="0" w:color="auto"/>
              <w:right w:val="single" w:sz="8" w:space="0" w:color="auto"/>
            </w:tcBorders>
            <w:shd w:val="clear" w:color="000000" w:fill="D9D9D9"/>
          </w:tcPr>
          <w:p w14:paraId="4FFF01CE"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0,00</w:t>
            </w:r>
          </w:p>
        </w:tc>
      </w:tr>
      <w:tr w:rsidR="004C19ED" w:rsidRPr="00833F42" w14:paraId="5C3BEBBD" w14:textId="77777777" w:rsidTr="003E2CCD">
        <w:trPr>
          <w:trHeight w:val="533"/>
        </w:trPr>
        <w:tc>
          <w:tcPr>
            <w:tcW w:w="1735" w:type="dxa"/>
            <w:tcBorders>
              <w:top w:val="nil"/>
              <w:left w:val="single" w:sz="8" w:space="0" w:color="000000"/>
              <w:bottom w:val="single" w:sz="8" w:space="0" w:color="auto"/>
              <w:right w:val="single" w:sz="8" w:space="0" w:color="auto"/>
            </w:tcBorders>
            <w:shd w:val="clear" w:color="000000" w:fill="FFFFFF"/>
            <w:vAlign w:val="center"/>
            <w:hideMark/>
          </w:tcPr>
          <w:p w14:paraId="4BDFA1E7" w14:textId="77777777" w:rsidR="004C19ED" w:rsidRPr="00833F42" w:rsidRDefault="004C19ED" w:rsidP="003E2CCD">
            <w:pPr>
              <w:jc w:val="center"/>
              <w:rPr>
                <w:rFonts w:eastAsia="Times New Roman" w:cs="Arial"/>
                <w:color w:val="000000"/>
                <w:szCs w:val="20"/>
                <w:lang w:eastAsia="pt-BR"/>
              </w:rPr>
            </w:pPr>
            <w:r>
              <w:rPr>
                <w:rFonts w:eastAsia="Times New Roman" w:cs="Arial"/>
                <w:color w:val="000000"/>
                <w:szCs w:val="20"/>
                <w:lang w:eastAsia="pt-BR"/>
              </w:rPr>
              <w:t>320059</w:t>
            </w:r>
          </w:p>
        </w:tc>
        <w:tc>
          <w:tcPr>
            <w:tcW w:w="3064" w:type="dxa"/>
            <w:tcBorders>
              <w:top w:val="nil"/>
              <w:left w:val="nil"/>
              <w:bottom w:val="single" w:sz="8" w:space="0" w:color="auto"/>
              <w:right w:val="single" w:sz="8" w:space="0" w:color="auto"/>
            </w:tcBorders>
            <w:shd w:val="clear" w:color="000000" w:fill="FFFFFF"/>
            <w:vAlign w:val="center"/>
            <w:hideMark/>
          </w:tcPr>
          <w:p w14:paraId="5D5303AB" w14:textId="77777777" w:rsidR="004C19ED" w:rsidRPr="00833F42" w:rsidRDefault="004C19ED" w:rsidP="003E2CCD">
            <w:pPr>
              <w:jc w:val="left"/>
              <w:rPr>
                <w:rFonts w:eastAsia="Times New Roman" w:cs="Arial"/>
                <w:color w:val="000000"/>
                <w:szCs w:val="20"/>
                <w:lang w:eastAsia="pt-BR"/>
              </w:rPr>
            </w:pPr>
            <w:proofErr w:type="spellStart"/>
            <w:r>
              <w:rPr>
                <w:rFonts w:eastAsia="Times New Roman" w:cs="Arial"/>
                <w:color w:val="000000"/>
                <w:szCs w:val="20"/>
                <w:lang w:eastAsia="pt-BR"/>
              </w:rPr>
              <w:t>Av</w:t>
            </w:r>
            <w:proofErr w:type="spellEnd"/>
            <w:r>
              <w:rPr>
                <w:rFonts w:eastAsia="Times New Roman" w:cs="Arial"/>
                <w:color w:val="000000"/>
                <w:szCs w:val="20"/>
                <w:lang w:eastAsia="pt-BR"/>
              </w:rPr>
              <w:t xml:space="preserve"> Loureiro da Silva 445 8 andar  sala 822 - Centro</w:t>
            </w:r>
          </w:p>
        </w:tc>
        <w:tc>
          <w:tcPr>
            <w:tcW w:w="2377" w:type="dxa"/>
            <w:tcBorders>
              <w:top w:val="nil"/>
              <w:left w:val="nil"/>
              <w:bottom w:val="single" w:sz="8" w:space="0" w:color="auto"/>
              <w:right w:val="single" w:sz="8" w:space="0" w:color="auto"/>
            </w:tcBorders>
            <w:shd w:val="clear" w:color="000000" w:fill="FFFFFF"/>
            <w:noWrap/>
            <w:vAlign w:val="center"/>
            <w:hideMark/>
          </w:tcPr>
          <w:p w14:paraId="54C08E69" w14:textId="77777777" w:rsidR="004C19ED" w:rsidRPr="00833F42" w:rsidRDefault="004C19ED" w:rsidP="003E2CCD">
            <w:pPr>
              <w:jc w:val="right"/>
              <w:rPr>
                <w:rFonts w:eastAsia="Times New Roman" w:cs="Arial"/>
                <w:color w:val="000000"/>
                <w:szCs w:val="20"/>
                <w:lang w:eastAsia="pt-BR"/>
              </w:rPr>
            </w:pPr>
            <w:r>
              <w:rPr>
                <w:rFonts w:eastAsia="Times New Roman" w:cs="Arial"/>
                <w:color w:val="000000"/>
                <w:szCs w:val="20"/>
                <w:lang w:eastAsia="pt-BR"/>
              </w:rPr>
              <w:t>NPA – Escritório de Porto Alegre</w:t>
            </w:r>
          </w:p>
        </w:tc>
        <w:tc>
          <w:tcPr>
            <w:tcW w:w="2028" w:type="dxa"/>
            <w:tcBorders>
              <w:top w:val="nil"/>
              <w:left w:val="nil"/>
              <w:bottom w:val="single" w:sz="8" w:space="0" w:color="auto"/>
              <w:right w:val="single" w:sz="8" w:space="0" w:color="auto"/>
            </w:tcBorders>
            <w:shd w:val="clear" w:color="000000" w:fill="FFFFFF"/>
          </w:tcPr>
          <w:p w14:paraId="7A24436F"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741.258,33</w:t>
            </w:r>
          </w:p>
        </w:tc>
      </w:tr>
      <w:tr w:rsidR="004C19ED" w:rsidRPr="00833F42" w14:paraId="2D7653DE" w14:textId="77777777" w:rsidTr="003E2CCD">
        <w:trPr>
          <w:trHeight w:val="533"/>
        </w:trPr>
        <w:tc>
          <w:tcPr>
            <w:tcW w:w="1735" w:type="dxa"/>
            <w:tcBorders>
              <w:top w:val="nil"/>
              <w:left w:val="single" w:sz="8" w:space="0" w:color="000000"/>
              <w:bottom w:val="nil"/>
              <w:right w:val="single" w:sz="8" w:space="0" w:color="auto"/>
            </w:tcBorders>
            <w:shd w:val="clear" w:color="D9D9D9" w:fill="D9D9D9"/>
            <w:vAlign w:val="center"/>
          </w:tcPr>
          <w:p w14:paraId="01CF9997" w14:textId="77777777" w:rsidR="004C19ED" w:rsidRDefault="004C19ED" w:rsidP="003E2CCD">
            <w:pPr>
              <w:jc w:val="center"/>
              <w:rPr>
                <w:rFonts w:eastAsia="Times New Roman" w:cs="Arial"/>
                <w:color w:val="000000"/>
                <w:szCs w:val="20"/>
                <w:lang w:eastAsia="pt-BR"/>
              </w:rPr>
            </w:pPr>
            <w:r>
              <w:rPr>
                <w:rFonts w:eastAsia="Times New Roman" w:cs="Arial"/>
                <w:color w:val="000000"/>
                <w:szCs w:val="20"/>
                <w:lang w:eastAsia="pt-BR"/>
              </w:rPr>
              <w:t>320058</w:t>
            </w:r>
          </w:p>
        </w:tc>
        <w:tc>
          <w:tcPr>
            <w:tcW w:w="3064" w:type="dxa"/>
            <w:tcBorders>
              <w:top w:val="nil"/>
              <w:left w:val="nil"/>
              <w:bottom w:val="nil"/>
              <w:right w:val="single" w:sz="8" w:space="0" w:color="auto"/>
            </w:tcBorders>
            <w:shd w:val="clear" w:color="D9D9D9" w:fill="D9D9D9"/>
            <w:vAlign w:val="center"/>
          </w:tcPr>
          <w:p w14:paraId="1443E6DD" w14:textId="77777777" w:rsidR="004C19ED" w:rsidRDefault="004C19ED" w:rsidP="003E2CCD">
            <w:pPr>
              <w:jc w:val="left"/>
              <w:rPr>
                <w:rFonts w:eastAsia="Times New Roman" w:cs="Arial"/>
                <w:color w:val="000000"/>
                <w:szCs w:val="20"/>
                <w:lang w:eastAsia="pt-BR"/>
              </w:rPr>
            </w:pPr>
            <w:proofErr w:type="spellStart"/>
            <w:r>
              <w:rPr>
                <w:rFonts w:eastAsia="Times New Roman" w:cs="Arial"/>
                <w:color w:val="000000"/>
                <w:szCs w:val="20"/>
                <w:lang w:eastAsia="pt-BR"/>
              </w:rPr>
              <w:t>Av</w:t>
            </w:r>
            <w:proofErr w:type="spellEnd"/>
            <w:r>
              <w:rPr>
                <w:rFonts w:eastAsia="Times New Roman" w:cs="Arial"/>
                <w:color w:val="000000"/>
                <w:szCs w:val="20"/>
                <w:lang w:eastAsia="pt-BR"/>
              </w:rPr>
              <w:t xml:space="preserve"> Afonso Pena 867 - Centro </w:t>
            </w:r>
          </w:p>
        </w:tc>
        <w:tc>
          <w:tcPr>
            <w:tcW w:w="2377" w:type="dxa"/>
            <w:tcBorders>
              <w:top w:val="nil"/>
              <w:left w:val="nil"/>
              <w:bottom w:val="nil"/>
              <w:right w:val="single" w:sz="8" w:space="0" w:color="auto"/>
            </w:tcBorders>
            <w:shd w:val="clear" w:color="D9D9D9" w:fill="D9D9D9"/>
            <w:noWrap/>
            <w:vAlign w:val="center"/>
          </w:tcPr>
          <w:p w14:paraId="0BFC57D3"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NBH - Escritório de Belo Horizonte</w:t>
            </w:r>
          </w:p>
        </w:tc>
        <w:tc>
          <w:tcPr>
            <w:tcW w:w="2028" w:type="dxa"/>
            <w:tcBorders>
              <w:top w:val="nil"/>
              <w:left w:val="nil"/>
              <w:bottom w:val="nil"/>
              <w:right w:val="single" w:sz="8" w:space="0" w:color="auto"/>
            </w:tcBorders>
            <w:shd w:val="clear" w:color="D9D9D9" w:fill="D9D9D9"/>
          </w:tcPr>
          <w:p w14:paraId="6AC1F239" w14:textId="77777777" w:rsidR="004C19ED" w:rsidRDefault="004C19ED" w:rsidP="003E2CCD">
            <w:pPr>
              <w:jc w:val="right"/>
              <w:rPr>
                <w:rFonts w:eastAsia="Times New Roman" w:cs="Arial"/>
                <w:color w:val="000000"/>
                <w:szCs w:val="20"/>
                <w:lang w:eastAsia="pt-BR"/>
              </w:rPr>
            </w:pPr>
            <w:r w:rsidRPr="001C5EAC">
              <w:rPr>
                <w:rFonts w:eastAsia="Times New Roman" w:cs="Arial"/>
                <w:color w:val="000000"/>
                <w:szCs w:val="20"/>
                <w:lang w:eastAsia="pt-BR"/>
              </w:rPr>
              <w:t>448.981,58</w:t>
            </w:r>
          </w:p>
        </w:tc>
      </w:tr>
      <w:tr w:rsidR="004C19ED" w:rsidRPr="00833F42" w14:paraId="59160AF8" w14:textId="77777777" w:rsidTr="003E2CCD">
        <w:trPr>
          <w:trHeight w:val="533"/>
        </w:trPr>
        <w:tc>
          <w:tcPr>
            <w:tcW w:w="1735" w:type="dxa"/>
            <w:tcBorders>
              <w:top w:val="nil"/>
              <w:left w:val="single" w:sz="8" w:space="0" w:color="000000"/>
              <w:bottom w:val="nil"/>
              <w:right w:val="single" w:sz="8" w:space="0" w:color="auto"/>
            </w:tcBorders>
            <w:shd w:val="clear" w:color="auto" w:fill="auto"/>
            <w:vAlign w:val="center"/>
          </w:tcPr>
          <w:p w14:paraId="2F7C395A" w14:textId="77777777" w:rsidR="004C19ED" w:rsidRDefault="004C19ED" w:rsidP="003E2CCD">
            <w:pPr>
              <w:jc w:val="center"/>
              <w:rPr>
                <w:rFonts w:eastAsia="Times New Roman" w:cs="Arial"/>
                <w:color w:val="000000"/>
                <w:szCs w:val="20"/>
                <w:lang w:eastAsia="pt-BR"/>
              </w:rPr>
            </w:pPr>
            <w:r>
              <w:rPr>
                <w:rFonts w:eastAsia="Times New Roman" w:cs="Arial"/>
                <w:color w:val="000000"/>
                <w:szCs w:val="20"/>
                <w:lang w:eastAsia="pt-BR"/>
              </w:rPr>
              <w:t>---</w:t>
            </w:r>
          </w:p>
        </w:tc>
        <w:tc>
          <w:tcPr>
            <w:tcW w:w="3064" w:type="dxa"/>
            <w:tcBorders>
              <w:top w:val="nil"/>
              <w:left w:val="nil"/>
              <w:bottom w:val="nil"/>
              <w:right w:val="single" w:sz="8" w:space="0" w:color="auto"/>
            </w:tcBorders>
            <w:shd w:val="clear" w:color="auto" w:fill="auto"/>
            <w:vAlign w:val="center"/>
          </w:tcPr>
          <w:p w14:paraId="4BB0F308" w14:textId="77777777" w:rsidR="004C19ED" w:rsidRDefault="004C19ED" w:rsidP="003E2CCD">
            <w:pPr>
              <w:jc w:val="left"/>
              <w:rPr>
                <w:rFonts w:eastAsia="Times New Roman" w:cs="Arial"/>
                <w:color w:val="000000"/>
                <w:szCs w:val="20"/>
                <w:lang w:eastAsia="pt-BR"/>
              </w:rPr>
            </w:pPr>
            <w:proofErr w:type="spellStart"/>
            <w:r>
              <w:rPr>
                <w:rFonts w:eastAsia="Times New Roman" w:cs="Arial"/>
                <w:color w:val="000000"/>
                <w:szCs w:val="20"/>
                <w:lang w:eastAsia="pt-BR"/>
              </w:rPr>
              <w:t>Av</w:t>
            </w:r>
            <w:proofErr w:type="spellEnd"/>
            <w:r>
              <w:rPr>
                <w:rFonts w:eastAsia="Times New Roman" w:cs="Arial"/>
                <w:color w:val="000000"/>
                <w:szCs w:val="20"/>
                <w:lang w:eastAsia="pt-BR"/>
              </w:rPr>
              <w:t xml:space="preserve"> Pasteur 404 Bloco A4 - Urca</w:t>
            </w:r>
          </w:p>
        </w:tc>
        <w:tc>
          <w:tcPr>
            <w:tcW w:w="2377" w:type="dxa"/>
            <w:tcBorders>
              <w:top w:val="nil"/>
              <w:left w:val="nil"/>
              <w:bottom w:val="nil"/>
              <w:right w:val="single" w:sz="8" w:space="0" w:color="auto"/>
            </w:tcBorders>
            <w:shd w:val="clear" w:color="auto" w:fill="auto"/>
            <w:noWrap/>
            <w:vAlign w:val="center"/>
          </w:tcPr>
          <w:p w14:paraId="5E6862BB"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 xml:space="preserve">BDEP </w:t>
            </w:r>
          </w:p>
        </w:tc>
        <w:tc>
          <w:tcPr>
            <w:tcW w:w="2028" w:type="dxa"/>
            <w:tcBorders>
              <w:top w:val="nil"/>
              <w:left w:val="nil"/>
              <w:bottom w:val="nil"/>
              <w:right w:val="single" w:sz="8" w:space="0" w:color="auto"/>
            </w:tcBorders>
          </w:tcPr>
          <w:p w14:paraId="65A07E31" w14:textId="77777777" w:rsidR="004C19ED" w:rsidRDefault="004C19ED" w:rsidP="003E2CCD">
            <w:pPr>
              <w:jc w:val="right"/>
              <w:rPr>
                <w:rFonts w:eastAsia="Times New Roman" w:cs="Arial"/>
                <w:color w:val="000000"/>
                <w:szCs w:val="20"/>
                <w:lang w:eastAsia="pt-BR"/>
              </w:rPr>
            </w:pPr>
            <w:r>
              <w:rPr>
                <w:rFonts w:eastAsia="Times New Roman" w:cs="Arial"/>
                <w:color w:val="000000"/>
                <w:szCs w:val="20"/>
                <w:lang w:eastAsia="pt-BR"/>
              </w:rPr>
              <w:t>3.889.108,46</w:t>
            </w:r>
          </w:p>
        </w:tc>
      </w:tr>
      <w:tr w:rsidR="004C19ED" w:rsidRPr="009928B1" w14:paraId="651615B1" w14:textId="77777777" w:rsidTr="003E2CCD">
        <w:trPr>
          <w:trHeight w:val="533"/>
        </w:trPr>
        <w:tc>
          <w:tcPr>
            <w:tcW w:w="1735" w:type="dxa"/>
            <w:tcBorders>
              <w:top w:val="nil"/>
              <w:left w:val="single" w:sz="8" w:space="0" w:color="000000"/>
              <w:bottom w:val="single" w:sz="8" w:space="0" w:color="auto"/>
              <w:right w:val="single" w:sz="8" w:space="0" w:color="auto"/>
            </w:tcBorders>
            <w:shd w:val="clear" w:color="auto" w:fill="D9D9D9" w:themeFill="background1" w:themeFillShade="D9"/>
            <w:vAlign w:val="center"/>
          </w:tcPr>
          <w:p w14:paraId="3DAFBEE2" w14:textId="77777777" w:rsidR="004C19ED" w:rsidRPr="009928B1" w:rsidRDefault="004C19ED" w:rsidP="003E2CCD">
            <w:pPr>
              <w:jc w:val="center"/>
              <w:rPr>
                <w:rFonts w:eastAsia="Times New Roman" w:cs="Arial"/>
                <w:b/>
                <w:color w:val="000000"/>
                <w:szCs w:val="20"/>
                <w:lang w:eastAsia="pt-BR"/>
              </w:rPr>
            </w:pPr>
            <w:r w:rsidRPr="009928B1">
              <w:rPr>
                <w:rFonts w:eastAsia="Times New Roman" w:cs="Arial"/>
                <w:b/>
                <w:color w:val="000000"/>
                <w:szCs w:val="20"/>
                <w:lang w:eastAsia="pt-BR"/>
              </w:rPr>
              <w:t>TOTAL</w:t>
            </w:r>
          </w:p>
        </w:tc>
        <w:tc>
          <w:tcPr>
            <w:tcW w:w="3064" w:type="dxa"/>
            <w:tcBorders>
              <w:top w:val="nil"/>
              <w:left w:val="nil"/>
              <w:bottom w:val="single" w:sz="8" w:space="0" w:color="auto"/>
              <w:right w:val="single" w:sz="8" w:space="0" w:color="auto"/>
            </w:tcBorders>
            <w:shd w:val="clear" w:color="auto" w:fill="D9D9D9" w:themeFill="background1" w:themeFillShade="D9"/>
            <w:vAlign w:val="center"/>
          </w:tcPr>
          <w:p w14:paraId="1A3AC86F" w14:textId="77777777" w:rsidR="004C19ED" w:rsidRPr="009928B1" w:rsidRDefault="004C19ED" w:rsidP="003E2CCD">
            <w:pPr>
              <w:jc w:val="left"/>
              <w:rPr>
                <w:rFonts w:eastAsia="Times New Roman" w:cs="Arial"/>
                <w:b/>
                <w:color w:val="000000"/>
                <w:szCs w:val="20"/>
                <w:lang w:eastAsia="pt-BR"/>
              </w:rPr>
            </w:pPr>
          </w:p>
        </w:tc>
        <w:tc>
          <w:tcPr>
            <w:tcW w:w="2377" w:type="dxa"/>
            <w:tcBorders>
              <w:top w:val="nil"/>
              <w:left w:val="nil"/>
              <w:bottom w:val="single" w:sz="8" w:space="0" w:color="auto"/>
              <w:right w:val="single" w:sz="8" w:space="0" w:color="auto"/>
            </w:tcBorders>
            <w:shd w:val="clear" w:color="auto" w:fill="D9D9D9" w:themeFill="background1" w:themeFillShade="D9"/>
            <w:noWrap/>
            <w:vAlign w:val="center"/>
          </w:tcPr>
          <w:p w14:paraId="5C28061E" w14:textId="77777777" w:rsidR="004C19ED" w:rsidRPr="009928B1" w:rsidRDefault="004C19ED" w:rsidP="003E2CCD">
            <w:pPr>
              <w:jc w:val="right"/>
              <w:rPr>
                <w:rFonts w:eastAsia="Times New Roman" w:cs="Arial"/>
                <w:b/>
                <w:color w:val="000000"/>
                <w:szCs w:val="20"/>
                <w:lang w:eastAsia="pt-BR"/>
              </w:rPr>
            </w:pPr>
          </w:p>
        </w:tc>
        <w:tc>
          <w:tcPr>
            <w:tcW w:w="2028" w:type="dxa"/>
            <w:tcBorders>
              <w:top w:val="nil"/>
              <w:left w:val="nil"/>
              <w:bottom w:val="single" w:sz="8" w:space="0" w:color="auto"/>
              <w:right w:val="single" w:sz="8" w:space="0" w:color="auto"/>
            </w:tcBorders>
            <w:shd w:val="clear" w:color="auto" w:fill="D9D9D9" w:themeFill="background1" w:themeFillShade="D9"/>
          </w:tcPr>
          <w:p w14:paraId="067F84CB" w14:textId="77777777" w:rsidR="004C19ED" w:rsidRPr="009928B1" w:rsidRDefault="004C19ED" w:rsidP="003E2CCD">
            <w:pPr>
              <w:jc w:val="right"/>
              <w:rPr>
                <w:rFonts w:eastAsia="Times New Roman" w:cs="Arial"/>
                <w:b/>
                <w:color w:val="000000"/>
                <w:szCs w:val="20"/>
                <w:lang w:eastAsia="pt-BR"/>
              </w:rPr>
            </w:pPr>
            <w:r w:rsidRPr="001C5EAC">
              <w:rPr>
                <w:rFonts w:eastAsia="Times New Roman" w:cs="Arial"/>
                <w:b/>
                <w:color w:val="000000"/>
                <w:szCs w:val="20"/>
                <w:lang w:eastAsia="pt-BR"/>
              </w:rPr>
              <w:t>5</w:t>
            </w:r>
            <w:r>
              <w:rPr>
                <w:rFonts w:eastAsia="Times New Roman" w:cs="Arial"/>
                <w:b/>
                <w:color w:val="000000"/>
                <w:szCs w:val="20"/>
                <w:lang w:eastAsia="pt-BR"/>
              </w:rPr>
              <w:t>.</w:t>
            </w:r>
            <w:r w:rsidRPr="001C5EAC">
              <w:rPr>
                <w:rFonts w:eastAsia="Times New Roman" w:cs="Arial"/>
                <w:b/>
                <w:color w:val="000000"/>
                <w:szCs w:val="20"/>
                <w:lang w:eastAsia="pt-BR"/>
              </w:rPr>
              <w:t>303</w:t>
            </w:r>
            <w:r>
              <w:rPr>
                <w:rFonts w:eastAsia="Times New Roman" w:cs="Arial"/>
                <w:b/>
                <w:color w:val="000000"/>
                <w:szCs w:val="20"/>
                <w:lang w:eastAsia="pt-BR"/>
              </w:rPr>
              <w:t>.</w:t>
            </w:r>
            <w:r w:rsidRPr="001C5EAC">
              <w:rPr>
                <w:rFonts w:eastAsia="Times New Roman" w:cs="Arial"/>
                <w:b/>
                <w:color w:val="000000"/>
                <w:szCs w:val="20"/>
                <w:lang w:eastAsia="pt-BR"/>
              </w:rPr>
              <w:t>480,08</w:t>
            </w:r>
          </w:p>
        </w:tc>
      </w:tr>
    </w:tbl>
    <w:p w14:paraId="1B4B1F1D" w14:textId="77777777" w:rsidR="004C19ED" w:rsidRPr="00EB50B5" w:rsidRDefault="004C19ED" w:rsidP="004C19ED">
      <w:pPr>
        <w:rPr>
          <w:rFonts w:cs="Arial"/>
          <w:sz w:val="22"/>
        </w:rPr>
      </w:pPr>
      <w:r w:rsidRPr="00EB50B5">
        <w:rPr>
          <w:rFonts w:cs="Arial"/>
          <w:sz w:val="22"/>
        </w:rPr>
        <w:t>Os valores representam o percentual em metros quadrados que a ANP ocupa em relação ao valor do imóvel disponível no SPIU e/ou do valor venal do imóvel.</w:t>
      </w:r>
    </w:p>
    <w:p w14:paraId="2BF56005" w14:textId="77777777" w:rsidR="004C19ED" w:rsidRDefault="004C19ED" w:rsidP="004C19ED">
      <w:pPr>
        <w:rPr>
          <w:rFonts w:cs="Arial"/>
          <w:b/>
          <w:sz w:val="22"/>
        </w:rPr>
      </w:pPr>
    </w:p>
    <w:p w14:paraId="7F717A67" w14:textId="77777777" w:rsidR="004C19ED" w:rsidRPr="00EB50B5" w:rsidRDefault="004C19ED" w:rsidP="004C19ED">
      <w:pPr>
        <w:rPr>
          <w:rFonts w:cs="Arial"/>
          <w:b/>
          <w:sz w:val="22"/>
        </w:rPr>
      </w:pPr>
    </w:p>
    <w:p w14:paraId="3F71B269" w14:textId="77777777" w:rsidR="004C19ED" w:rsidRDefault="004C19ED" w:rsidP="004C19ED">
      <w:pPr>
        <w:rPr>
          <w:rFonts w:cs="Arial"/>
          <w:sz w:val="22"/>
        </w:rPr>
      </w:pPr>
      <w:r>
        <w:rPr>
          <w:rFonts w:cs="Arial"/>
          <w:sz w:val="22"/>
        </w:rPr>
        <w:t xml:space="preserve">** Sem </w:t>
      </w:r>
      <w:r w:rsidRPr="00EB50B5">
        <w:rPr>
          <w:rFonts w:cs="Arial"/>
          <w:sz w:val="22"/>
        </w:rPr>
        <w:t>registro pois o imóvel cedido pelo CENSIPAM ainda se encontra registrado em nome da União.</w:t>
      </w:r>
    </w:p>
    <w:p w14:paraId="07D63CB1" w14:textId="77777777" w:rsidR="004C19ED" w:rsidRDefault="004C19ED" w:rsidP="004C19ED">
      <w:pPr>
        <w:rPr>
          <w:rFonts w:cs="Arial"/>
          <w:sz w:val="22"/>
        </w:rPr>
      </w:pPr>
    </w:p>
    <w:p w14:paraId="40E2FDE9" w14:textId="77777777" w:rsidR="004C19ED" w:rsidRDefault="004C19ED" w:rsidP="004C19ED">
      <w:pPr>
        <w:rPr>
          <w:rFonts w:cs="Arial"/>
          <w:sz w:val="22"/>
        </w:rPr>
      </w:pPr>
      <w:r>
        <w:rPr>
          <w:rFonts w:cs="Arial"/>
          <w:sz w:val="22"/>
        </w:rPr>
        <w:t xml:space="preserve">Ressalte-se que, para adequação contábil a </w:t>
      </w:r>
      <w:proofErr w:type="spellStart"/>
      <w:r>
        <w:rPr>
          <w:rFonts w:cs="Arial"/>
          <w:sz w:val="22"/>
        </w:rPr>
        <w:t>macrofunção</w:t>
      </w:r>
      <w:proofErr w:type="spellEnd"/>
      <w:r>
        <w:rPr>
          <w:rFonts w:cs="Arial"/>
          <w:sz w:val="22"/>
        </w:rPr>
        <w:t xml:space="preserve"> SIAFI e ao MCASP, os itens em comodato também foram registrados no ativo imobilizado (móveis/imóveis). </w:t>
      </w:r>
    </w:p>
    <w:p w14:paraId="5F33A28B" w14:textId="77777777" w:rsidR="004C19ED" w:rsidRDefault="004C19ED" w:rsidP="004C19ED">
      <w:pPr>
        <w:rPr>
          <w:rFonts w:cs="Arial"/>
          <w:sz w:val="22"/>
        </w:rPr>
      </w:pPr>
    </w:p>
    <w:p w14:paraId="5AEF9299" w14:textId="6BA3D99B" w:rsidR="004C19ED" w:rsidRPr="00EB50B5" w:rsidRDefault="004C19ED" w:rsidP="004C19ED">
      <w:pPr>
        <w:rPr>
          <w:rFonts w:cs="Arial"/>
          <w:sz w:val="22"/>
        </w:rPr>
      </w:pPr>
      <w:r w:rsidRPr="008220D5">
        <w:rPr>
          <w:rFonts w:cs="Arial"/>
          <w:sz w:val="22"/>
        </w:rPr>
        <w:t xml:space="preserve">Os itens BDEP e NPA ainda necessitam de ajustes em seu valor, </w:t>
      </w:r>
      <w:r w:rsidR="003A3F62">
        <w:rPr>
          <w:rFonts w:cs="Arial"/>
          <w:sz w:val="22"/>
        </w:rPr>
        <w:t xml:space="preserve">refletindo no ativo na conta bens móveis a classificar, </w:t>
      </w:r>
      <w:r w:rsidRPr="008220D5">
        <w:rPr>
          <w:rFonts w:cs="Arial"/>
          <w:sz w:val="22"/>
        </w:rPr>
        <w:t xml:space="preserve">pois se encontram em fase de levantamento de informações, após contato inicial com os proprietários dos imóveis correspondentes, aguardando transferência no </w:t>
      </w:r>
      <w:proofErr w:type="spellStart"/>
      <w:r w:rsidRPr="008220D5">
        <w:rPr>
          <w:rFonts w:cs="Arial"/>
          <w:sz w:val="22"/>
        </w:rPr>
        <w:t>SPIUnet</w:t>
      </w:r>
      <w:proofErr w:type="spellEnd"/>
      <w:r w:rsidRPr="008220D5">
        <w:rPr>
          <w:rFonts w:cs="Arial"/>
          <w:sz w:val="22"/>
        </w:rPr>
        <w:t xml:space="preserve"> e relatórios.</w:t>
      </w:r>
    </w:p>
    <w:p w14:paraId="33D7EB33" w14:textId="77777777" w:rsidR="004C19ED" w:rsidRDefault="004C19ED" w:rsidP="004C19ED">
      <w:pPr>
        <w:rPr>
          <w:rFonts w:cs="Arial"/>
          <w:b/>
          <w:sz w:val="22"/>
        </w:rPr>
      </w:pPr>
    </w:p>
    <w:p w14:paraId="7D66C16A" w14:textId="77777777" w:rsidR="004C19ED" w:rsidRDefault="004C19ED" w:rsidP="004C19ED">
      <w:pPr>
        <w:rPr>
          <w:rFonts w:cs="Arial"/>
          <w:b/>
          <w:sz w:val="22"/>
        </w:rPr>
      </w:pPr>
      <w:r>
        <w:rPr>
          <w:rFonts w:cs="Arial"/>
          <w:b/>
          <w:sz w:val="22"/>
        </w:rPr>
        <w:t>6.6 Diversos Responsáveis (Desfalques, Desvios e Pagamentos sem respaldo Orçamentário – 897320300/897320600)</w:t>
      </w:r>
    </w:p>
    <w:p w14:paraId="6A17010E" w14:textId="77777777" w:rsidR="004C19ED" w:rsidRDefault="004C19ED" w:rsidP="004C19ED">
      <w:pPr>
        <w:rPr>
          <w:rFonts w:cs="Arial"/>
          <w:b/>
          <w:sz w:val="22"/>
        </w:rPr>
      </w:pPr>
    </w:p>
    <w:p w14:paraId="0F90788A" w14:textId="77777777" w:rsidR="004C19ED" w:rsidRDefault="004C19ED" w:rsidP="004C19ED">
      <w:pPr>
        <w:rPr>
          <w:rFonts w:cs="Arial"/>
          <w:sz w:val="22"/>
        </w:rPr>
      </w:pPr>
      <w:r w:rsidRPr="005E406D">
        <w:rPr>
          <w:rFonts w:cs="Arial"/>
          <w:sz w:val="22"/>
        </w:rPr>
        <w:t>Em 31/12/20</w:t>
      </w:r>
      <w:r>
        <w:rPr>
          <w:rFonts w:cs="Arial"/>
          <w:sz w:val="22"/>
        </w:rPr>
        <w:t>21</w:t>
      </w:r>
      <w:r w:rsidRPr="005E406D">
        <w:rPr>
          <w:rFonts w:cs="Arial"/>
          <w:sz w:val="22"/>
        </w:rPr>
        <w:t xml:space="preserve">, a ANP possuía junto ao TCU </w:t>
      </w:r>
      <w:r>
        <w:rPr>
          <w:rFonts w:cs="Arial"/>
          <w:sz w:val="22"/>
        </w:rPr>
        <w:t xml:space="preserve">dois </w:t>
      </w:r>
      <w:r w:rsidRPr="005E406D">
        <w:rPr>
          <w:rFonts w:cs="Arial"/>
          <w:sz w:val="22"/>
        </w:rPr>
        <w:t>processo</w:t>
      </w:r>
      <w:r>
        <w:rPr>
          <w:rFonts w:cs="Arial"/>
          <w:sz w:val="22"/>
        </w:rPr>
        <w:t>s</w:t>
      </w:r>
      <w:r w:rsidRPr="005E406D">
        <w:rPr>
          <w:rFonts w:cs="Arial"/>
          <w:sz w:val="22"/>
        </w:rPr>
        <w:t xml:space="preserve"> </w:t>
      </w:r>
      <w:r>
        <w:rPr>
          <w:rFonts w:cs="Arial"/>
          <w:sz w:val="22"/>
        </w:rPr>
        <w:t>pendentes de julgamento</w:t>
      </w:r>
      <w:r w:rsidRPr="005E406D">
        <w:rPr>
          <w:rFonts w:cs="Arial"/>
          <w:sz w:val="22"/>
        </w:rPr>
        <w:t xml:space="preserve">, </w:t>
      </w:r>
      <w:r w:rsidRPr="00EB7F6F">
        <w:rPr>
          <w:rFonts w:cs="Arial"/>
          <w:sz w:val="22"/>
        </w:rPr>
        <w:t>totalizando R$ 2</w:t>
      </w:r>
      <w:r>
        <w:rPr>
          <w:rFonts w:cs="Arial"/>
          <w:sz w:val="22"/>
        </w:rPr>
        <w:t>23</w:t>
      </w:r>
      <w:r w:rsidRPr="00EB7F6F">
        <w:rPr>
          <w:rFonts w:cs="Arial"/>
          <w:sz w:val="22"/>
        </w:rPr>
        <w:t>.</w:t>
      </w:r>
      <w:r>
        <w:rPr>
          <w:rFonts w:cs="Arial"/>
          <w:sz w:val="22"/>
        </w:rPr>
        <w:t>2</w:t>
      </w:r>
      <w:r w:rsidRPr="00EB7F6F">
        <w:rPr>
          <w:rFonts w:cs="Arial"/>
          <w:sz w:val="22"/>
        </w:rPr>
        <w:t>4</w:t>
      </w:r>
      <w:r>
        <w:rPr>
          <w:rFonts w:cs="Arial"/>
          <w:sz w:val="22"/>
        </w:rPr>
        <w:t>3</w:t>
      </w:r>
      <w:r w:rsidRPr="00EB7F6F">
        <w:rPr>
          <w:rFonts w:cs="Arial"/>
          <w:sz w:val="22"/>
        </w:rPr>
        <w:t>,</w:t>
      </w:r>
      <w:r>
        <w:rPr>
          <w:rFonts w:cs="Arial"/>
          <w:sz w:val="22"/>
        </w:rPr>
        <w:t>55</w:t>
      </w:r>
      <w:r w:rsidRPr="00EB7F6F">
        <w:rPr>
          <w:rFonts w:cs="Arial"/>
          <w:sz w:val="22"/>
        </w:rPr>
        <w:t>.</w:t>
      </w:r>
    </w:p>
    <w:p w14:paraId="346D02AD" w14:textId="77777777" w:rsidR="004C19ED" w:rsidRDefault="004C19ED" w:rsidP="004C19ED">
      <w:pPr>
        <w:rPr>
          <w:rFonts w:cs="Arial"/>
          <w:b/>
          <w:sz w:val="22"/>
        </w:rPr>
      </w:pPr>
    </w:p>
    <w:p w14:paraId="550C77B2" w14:textId="77777777" w:rsidR="004C19ED" w:rsidRPr="00076AF7" w:rsidRDefault="004C19ED" w:rsidP="004C19ED">
      <w:pPr>
        <w:rPr>
          <w:rFonts w:cs="Arial"/>
          <w:bCs/>
          <w:sz w:val="22"/>
        </w:rPr>
      </w:pPr>
      <w:r>
        <w:rPr>
          <w:rFonts w:cs="Arial"/>
          <w:b/>
          <w:sz w:val="22"/>
        </w:rPr>
        <w:t xml:space="preserve">6.7 Precatórios – </w:t>
      </w:r>
      <w:r w:rsidRPr="00076AF7">
        <w:rPr>
          <w:rFonts w:cs="Arial"/>
          <w:bCs/>
          <w:sz w:val="22"/>
        </w:rPr>
        <w:t>Ver Nota Explicativa 5, item 5.3</w:t>
      </w:r>
    </w:p>
    <w:p w14:paraId="5A58C121" w14:textId="77777777" w:rsidR="004C19ED" w:rsidRDefault="004C19ED" w:rsidP="004C19ED">
      <w:pPr>
        <w:rPr>
          <w:rFonts w:cs="Arial"/>
          <w:b/>
          <w:sz w:val="22"/>
        </w:rPr>
      </w:pPr>
    </w:p>
    <w:p w14:paraId="0D5CFD03" w14:textId="77777777" w:rsidR="004C19ED" w:rsidRPr="002A533A" w:rsidRDefault="004C19ED" w:rsidP="004C19ED">
      <w:pPr>
        <w:rPr>
          <w:rFonts w:cs="Arial"/>
          <w:b/>
          <w:szCs w:val="20"/>
        </w:rPr>
      </w:pPr>
      <w:r w:rsidRPr="002A533A">
        <w:rPr>
          <w:rFonts w:cs="Arial"/>
          <w:b/>
          <w:szCs w:val="20"/>
        </w:rPr>
        <w:t>Nota 0</w:t>
      </w:r>
      <w:r>
        <w:rPr>
          <w:rFonts w:cs="Arial"/>
          <w:b/>
          <w:szCs w:val="20"/>
        </w:rPr>
        <w:t>7</w:t>
      </w:r>
      <w:r w:rsidRPr="002A533A">
        <w:rPr>
          <w:rFonts w:cs="Arial"/>
          <w:b/>
          <w:szCs w:val="20"/>
        </w:rPr>
        <w:t xml:space="preserve"> – Ajustes de Exercícios Anteriores</w:t>
      </w:r>
    </w:p>
    <w:p w14:paraId="43631EC7" w14:textId="77777777" w:rsidR="004C19ED" w:rsidRPr="002A533A" w:rsidRDefault="004C19ED" w:rsidP="004C19ED">
      <w:pPr>
        <w:rPr>
          <w:rFonts w:cs="Arial"/>
          <w:szCs w:val="20"/>
        </w:rPr>
      </w:pPr>
    </w:p>
    <w:p w14:paraId="4CA08518" w14:textId="77777777" w:rsidR="004C19ED" w:rsidRPr="002A533A" w:rsidRDefault="004C19ED" w:rsidP="004C19ED">
      <w:pPr>
        <w:rPr>
          <w:rFonts w:cs="Arial"/>
          <w:szCs w:val="20"/>
        </w:rPr>
      </w:pPr>
      <w:r w:rsidRPr="002A533A">
        <w:rPr>
          <w:rFonts w:cs="Arial"/>
          <w:szCs w:val="20"/>
        </w:rPr>
        <w:t>Os ajustes de exercícios anteriores reconhecidos do exercício de 20</w:t>
      </w:r>
      <w:r>
        <w:rPr>
          <w:rFonts w:cs="Arial"/>
          <w:szCs w:val="20"/>
        </w:rPr>
        <w:t>21</w:t>
      </w:r>
      <w:r w:rsidRPr="002A533A">
        <w:rPr>
          <w:rFonts w:cs="Arial"/>
          <w:szCs w:val="20"/>
        </w:rPr>
        <w:t xml:space="preserve"> referem-se a erros imputados a exercícios anteriores bem como à mudança de política contábil. </w:t>
      </w:r>
    </w:p>
    <w:p w14:paraId="451ECA87" w14:textId="77777777" w:rsidR="004C19ED" w:rsidRPr="002A533A" w:rsidRDefault="004C19ED" w:rsidP="004C19ED">
      <w:pPr>
        <w:rPr>
          <w:rFonts w:cs="Arial"/>
          <w:szCs w:val="20"/>
        </w:rPr>
      </w:pPr>
    </w:p>
    <w:p w14:paraId="494C6A98" w14:textId="77777777" w:rsidR="004C19ED" w:rsidRPr="002A533A" w:rsidRDefault="004C19ED" w:rsidP="004C19ED">
      <w:pPr>
        <w:rPr>
          <w:rFonts w:cs="Arial"/>
          <w:szCs w:val="20"/>
        </w:rPr>
      </w:pPr>
      <w:r w:rsidRPr="002A533A">
        <w:rPr>
          <w:rFonts w:cs="Arial"/>
          <w:szCs w:val="20"/>
        </w:rPr>
        <w:t>A seguir, apresenta-se a tabela com a variações dos Ajustes de Exercícios Anteriores:</w:t>
      </w:r>
    </w:p>
    <w:p w14:paraId="13A222FC" w14:textId="77777777" w:rsidR="004C19ED" w:rsidRPr="002A533A" w:rsidRDefault="004C19ED" w:rsidP="004C19ED">
      <w:pPr>
        <w:rPr>
          <w:rFonts w:cs="Arial"/>
          <w:szCs w:val="20"/>
        </w:rPr>
      </w:pPr>
    </w:p>
    <w:p w14:paraId="4E24E840" w14:textId="77777777" w:rsidR="004C19ED" w:rsidRPr="002A533A" w:rsidRDefault="004C19ED" w:rsidP="004C19ED">
      <w:pPr>
        <w:rPr>
          <w:rFonts w:cs="Arial"/>
          <w:b/>
          <w:szCs w:val="20"/>
        </w:rPr>
      </w:pPr>
      <w:r w:rsidRPr="00BF45D8">
        <w:rPr>
          <w:rFonts w:cs="Arial"/>
          <w:b/>
          <w:szCs w:val="20"/>
        </w:rPr>
        <w:t>Tabela 26 – Ajustes de Exercícios Anteriores – Variação.</w:t>
      </w:r>
    </w:p>
    <w:p w14:paraId="78EEBCC2" w14:textId="77777777" w:rsidR="004C19ED" w:rsidRPr="002A533A" w:rsidRDefault="004C19ED" w:rsidP="004C19ED">
      <w:pPr>
        <w:jc w:val="center"/>
        <w:rPr>
          <w:rFonts w:cs="Arial"/>
          <w:szCs w:val="20"/>
        </w:rPr>
      </w:pPr>
      <w:r w:rsidRPr="002A533A">
        <w:rPr>
          <w:rFonts w:cs="Arial"/>
          <w:szCs w:val="20"/>
        </w:rPr>
        <w:t xml:space="preserve">                                                                                                                                            R$</w:t>
      </w:r>
    </w:p>
    <w:tbl>
      <w:tblPr>
        <w:tblW w:w="9038" w:type="dxa"/>
        <w:tblCellMar>
          <w:left w:w="70" w:type="dxa"/>
          <w:right w:w="70" w:type="dxa"/>
        </w:tblCellMar>
        <w:tblLook w:val="04A0" w:firstRow="1" w:lastRow="0" w:firstColumn="1" w:lastColumn="0" w:noHBand="0" w:noVBand="1"/>
      </w:tblPr>
      <w:tblGrid>
        <w:gridCol w:w="3550"/>
        <w:gridCol w:w="2162"/>
        <w:gridCol w:w="2162"/>
        <w:gridCol w:w="1164"/>
      </w:tblGrid>
      <w:tr w:rsidR="004C19ED" w:rsidRPr="002A533A" w14:paraId="1411BBF6" w14:textId="77777777" w:rsidTr="003E2CCD">
        <w:trPr>
          <w:trHeight w:val="317"/>
        </w:trPr>
        <w:tc>
          <w:tcPr>
            <w:tcW w:w="3550" w:type="dxa"/>
            <w:tcBorders>
              <w:top w:val="single" w:sz="4" w:space="0" w:color="000000"/>
              <w:left w:val="nil"/>
              <w:bottom w:val="single" w:sz="4" w:space="0" w:color="000000"/>
              <w:right w:val="nil"/>
            </w:tcBorders>
            <w:shd w:val="clear" w:color="auto" w:fill="auto"/>
            <w:noWrap/>
            <w:vAlign w:val="bottom"/>
            <w:hideMark/>
          </w:tcPr>
          <w:p w14:paraId="79CC52B0" w14:textId="77777777" w:rsidR="004C19ED" w:rsidRPr="002A533A" w:rsidRDefault="004C19ED" w:rsidP="003E2CCD">
            <w:pPr>
              <w:jc w:val="left"/>
              <w:rPr>
                <w:rFonts w:eastAsia="Times New Roman" w:cs="Arial"/>
                <w:b/>
                <w:bCs/>
                <w:color w:val="FFFFFF"/>
                <w:szCs w:val="20"/>
                <w:lang w:eastAsia="pt-BR"/>
              </w:rPr>
            </w:pPr>
            <w:r w:rsidRPr="002A533A">
              <w:rPr>
                <w:rFonts w:eastAsia="Times New Roman" w:cs="Arial"/>
                <w:b/>
                <w:bCs/>
                <w:color w:val="FFFFFF"/>
                <w:szCs w:val="20"/>
                <w:lang w:eastAsia="pt-BR"/>
              </w:rPr>
              <w:t>Colunas1</w:t>
            </w:r>
          </w:p>
        </w:tc>
        <w:tc>
          <w:tcPr>
            <w:tcW w:w="2162" w:type="dxa"/>
            <w:tcBorders>
              <w:top w:val="single" w:sz="4" w:space="0" w:color="000000"/>
              <w:left w:val="nil"/>
              <w:bottom w:val="single" w:sz="4" w:space="0" w:color="000000"/>
              <w:right w:val="nil"/>
            </w:tcBorders>
            <w:shd w:val="clear" w:color="auto" w:fill="auto"/>
            <w:noWrap/>
            <w:vAlign w:val="bottom"/>
            <w:hideMark/>
          </w:tcPr>
          <w:p w14:paraId="2E8D1FA7" w14:textId="77777777" w:rsidR="004C19ED" w:rsidRPr="002A533A" w:rsidRDefault="004C19ED" w:rsidP="003E2CCD">
            <w:pPr>
              <w:jc w:val="right"/>
              <w:rPr>
                <w:rFonts w:eastAsia="Times New Roman" w:cs="Arial"/>
                <w:b/>
                <w:bCs/>
                <w:color w:val="000000"/>
                <w:szCs w:val="20"/>
                <w:lang w:eastAsia="pt-BR"/>
              </w:rPr>
            </w:pPr>
            <w:r w:rsidRPr="002A533A">
              <w:rPr>
                <w:rFonts w:eastAsia="Times New Roman" w:cs="Arial"/>
                <w:b/>
                <w:bCs/>
                <w:color w:val="000000"/>
                <w:szCs w:val="20"/>
                <w:lang w:eastAsia="pt-BR"/>
              </w:rPr>
              <w:t>31/12/20</w:t>
            </w:r>
            <w:r>
              <w:rPr>
                <w:rFonts w:eastAsia="Times New Roman" w:cs="Arial"/>
                <w:b/>
                <w:bCs/>
                <w:color w:val="000000"/>
                <w:szCs w:val="20"/>
                <w:lang w:eastAsia="pt-BR"/>
              </w:rPr>
              <w:t>21</w:t>
            </w:r>
          </w:p>
        </w:tc>
        <w:tc>
          <w:tcPr>
            <w:tcW w:w="2162" w:type="dxa"/>
            <w:tcBorders>
              <w:top w:val="single" w:sz="4" w:space="0" w:color="000000"/>
              <w:left w:val="nil"/>
              <w:bottom w:val="single" w:sz="4" w:space="0" w:color="000000"/>
              <w:right w:val="nil"/>
            </w:tcBorders>
            <w:shd w:val="clear" w:color="auto" w:fill="auto"/>
            <w:noWrap/>
            <w:vAlign w:val="bottom"/>
            <w:hideMark/>
          </w:tcPr>
          <w:p w14:paraId="77040AED" w14:textId="77777777" w:rsidR="004C19ED" w:rsidRPr="002A533A"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31/12/2020</w:t>
            </w:r>
          </w:p>
        </w:tc>
        <w:tc>
          <w:tcPr>
            <w:tcW w:w="1164" w:type="dxa"/>
            <w:tcBorders>
              <w:top w:val="single" w:sz="4" w:space="0" w:color="000000"/>
              <w:left w:val="nil"/>
              <w:bottom w:val="single" w:sz="4" w:space="0" w:color="000000"/>
              <w:right w:val="nil"/>
            </w:tcBorders>
            <w:shd w:val="clear" w:color="auto" w:fill="auto"/>
            <w:noWrap/>
            <w:vAlign w:val="bottom"/>
            <w:hideMark/>
          </w:tcPr>
          <w:p w14:paraId="71242E51" w14:textId="77777777" w:rsidR="004C19ED" w:rsidRPr="002A533A" w:rsidRDefault="004C19ED" w:rsidP="003E2CCD">
            <w:pPr>
              <w:jc w:val="right"/>
              <w:rPr>
                <w:rFonts w:eastAsia="Times New Roman" w:cs="Arial"/>
                <w:b/>
                <w:bCs/>
                <w:color w:val="000000"/>
                <w:szCs w:val="20"/>
                <w:lang w:eastAsia="pt-BR"/>
              </w:rPr>
            </w:pPr>
            <w:r w:rsidRPr="002A533A">
              <w:rPr>
                <w:rFonts w:eastAsia="Times New Roman" w:cs="Arial"/>
                <w:b/>
                <w:bCs/>
                <w:color w:val="000000"/>
                <w:szCs w:val="20"/>
                <w:lang w:eastAsia="pt-BR"/>
              </w:rPr>
              <w:t>AH (%)</w:t>
            </w:r>
          </w:p>
        </w:tc>
      </w:tr>
      <w:tr w:rsidR="004C19ED" w:rsidRPr="002A533A" w14:paraId="62940379" w14:textId="77777777" w:rsidTr="003E2CCD">
        <w:trPr>
          <w:trHeight w:val="317"/>
        </w:trPr>
        <w:tc>
          <w:tcPr>
            <w:tcW w:w="3550" w:type="dxa"/>
            <w:tcBorders>
              <w:top w:val="nil"/>
              <w:left w:val="nil"/>
              <w:bottom w:val="nil"/>
              <w:right w:val="nil"/>
            </w:tcBorders>
            <w:shd w:val="clear" w:color="D9D9D9" w:fill="D9D9D9"/>
            <w:noWrap/>
            <w:vAlign w:val="bottom"/>
            <w:hideMark/>
          </w:tcPr>
          <w:p w14:paraId="07647A74" w14:textId="77777777" w:rsidR="004C19ED" w:rsidRPr="002A533A" w:rsidRDefault="004C19ED" w:rsidP="003E2CCD">
            <w:pPr>
              <w:jc w:val="left"/>
              <w:rPr>
                <w:rFonts w:eastAsia="Times New Roman" w:cs="Arial"/>
                <w:color w:val="000000"/>
                <w:szCs w:val="20"/>
                <w:lang w:eastAsia="pt-BR"/>
              </w:rPr>
            </w:pPr>
            <w:r w:rsidRPr="002A533A">
              <w:rPr>
                <w:rFonts w:eastAsia="Times New Roman" w:cs="Arial"/>
                <w:color w:val="000000"/>
                <w:szCs w:val="20"/>
                <w:lang w:eastAsia="pt-BR"/>
              </w:rPr>
              <w:t>Ajustes de Exercícios Anteriores</w:t>
            </w:r>
          </w:p>
        </w:tc>
        <w:tc>
          <w:tcPr>
            <w:tcW w:w="2162" w:type="dxa"/>
            <w:tcBorders>
              <w:top w:val="nil"/>
              <w:left w:val="nil"/>
              <w:bottom w:val="nil"/>
              <w:right w:val="nil"/>
            </w:tcBorders>
            <w:shd w:val="clear" w:color="D9D9D9" w:fill="D9D9D9"/>
            <w:noWrap/>
            <w:vAlign w:val="bottom"/>
          </w:tcPr>
          <w:p w14:paraId="34BA5C74" w14:textId="77777777" w:rsidR="004C19ED" w:rsidRPr="002A533A" w:rsidRDefault="004C19ED" w:rsidP="003E2CCD">
            <w:pPr>
              <w:jc w:val="right"/>
              <w:rPr>
                <w:rFonts w:eastAsia="Times New Roman" w:cs="Arial"/>
                <w:color w:val="000000"/>
                <w:szCs w:val="20"/>
                <w:lang w:eastAsia="pt-BR"/>
              </w:rPr>
            </w:pPr>
            <w:r w:rsidRPr="00C72FC0">
              <w:rPr>
                <w:rFonts w:eastAsia="Times New Roman" w:cs="Arial"/>
                <w:color w:val="000000"/>
                <w:szCs w:val="20"/>
                <w:lang w:eastAsia="pt-BR"/>
              </w:rPr>
              <w:t>233</w:t>
            </w:r>
            <w:r>
              <w:rPr>
                <w:rFonts w:eastAsia="Times New Roman" w:cs="Arial"/>
                <w:color w:val="000000"/>
                <w:szCs w:val="20"/>
                <w:lang w:eastAsia="pt-BR"/>
              </w:rPr>
              <w:t>.</w:t>
            </w:r>
            <w:r w:rsidRPr="00C72FC0">
              <w:rPr>
                <w:rFonts w:eastAsia="Times New Roman" w:cs="Arial"/>
                <w:color w:val="000000"/>
                <w:szCs w:val="20"/>
                <w:lang w:eastAsia="pt-BR"/>
              </w:rPr>
              <w:t>702</w:t>
            </w:r>
            <w:r>
              <w:rPr>
                <w:rFonts w:eastAsia="Times New Roman" w:cs="Arial"/>
                <w:color w:val="000000"/>
                <w:szCs w:val="20"/>
                <w:lang w:eastAsia="pt-BR"/>
              </w:rPr>
              <w:t>.</w:t>
            </w:r>
            <w:r w:rsidRPr="00C72FC0">
              <w:rPr>
                <w:rFonts w:eastAsia="Times New Roman" w:cs="Arial"/>
                <w:color w:val="000000"/>
                <w:szCs w:val="20"/>
                <w:lang w:eastAsia="pt-BR"/>
              </w:rPr>
              <w:t>940,35</w:t>
            </w:r>
          </w:p>
        </w:tc>
        <w:tc>
          <w:tcPr>
            <w:tcW w:w="2162" w:type="dxa"/>
            <w:tcBorders>
              <w:top w:val="nil"/>
              <w:left w:val="nil"/>
              <w:bottom w:val="nil"/>
              <w:right w:val="nil"/>
            </w:tcBorders>
            <w:shd w:val="clear" w:color="D9D9D9" w:fill="D9D9D9"/>
            <w:noWrap/>
            <w:vAlign w:val="bottom"/>
            <w:hideMark/>
          </w:tcPr>
          <w:p w14:paraId="6C799D56" w14:textId="77777777" w:rsidR="004C19ED" w:rsidRPr="002A533A" w:rsidRDefault="004C19ED" w:rsidP="003E2CCD">
            <w:pPr>
              <w:jc w:val="right"/>
              <w:rPr>
                <w:rFonts w:eastAsia="Times New Roman" w:cs="Arial"/>
                <w:color w:val="000000"/>
                <w:szCs w:val="20"/>
                <w:lang w:eastAsia="pt-BR"/>
              </w:rPr>
            </w:pPr>
            <w:r w:rsidRPr="00544274">
              <w:rPr>
                <w:rFonts w:eastAsia="Times New Roman" w:cs="Arial"/>
                <w:color w:val="000000"/>
                <w:szCs w:val="20"/>
                <w:lang w:eastAsia="pt-BR"/>
              </w:rPr>
              <w:t>10</w:t>
            </w:r>
            <w:r>
              <w:rPr>
                <w:rFonts w:eastAsia="Times New Roman" w:cs="Arial"/>
                <w:color w:val="000000"/>
                <w:szCs w:val="20"/>
                <w:lang w:eastAsia="pt-BR"/>
              </w:rPr>
              <w:t>.</w:t>
            </w:r>
            <w:r w:rsidRPr="00544274">
              <w:rPr>
                <w:rFonts w:eastAsia="Times New Roman" w:cs="Arial"/>
                <w:color w:val="000000"/>
                <w:szCs w:val="20"/>
                <w:lang w:eastAsia="pt-BR"/>
              </w:rPr>
              <w:t>903</w:t>
            </w:r>
            <w:r>
              <w:rPr>
                <w:rFonts w:eastAsia="Times New Roman" w:cs="Arial"/>
                <w:color w:val="000000"/>
                <w:szCs w:val="20"/>
                <w:lang w:eastAsia="pt-BR"/>
              </w:rPr>
              <w:t>.</w:t>
            </w:r>
            <w:r w:rsidRPr="00544274">
              <w:rPr>
                <w:rFonts w:eastAsia="Times New Roman" w:cs="Arial"/>
                <w:color w:val="000000"/>
                <w:szCs w:val="20"/>
                <w:lang w:eastAsia="pt-BR"/>
              </w:rPr>
              <w:t>150,72</w:t>
            </w:r>
          </w:p>
        </w:tc>
        <w:tc>
          <w:tcPr>
            <w:tcW w:w="1164" w:type="dxa"/>
            <w:tcBorders>
              <w:top w:val="nil"/>
              <w:left w:val="nil"/>
              <w:bottom w:val="nil"/>
              <w:right w:val="nil"/>
            </w:tcBorders>
            <w:shd w:val="clear" w:color="D9D9D9" w:fill="D9D9D9"/>
            <w:noWrap/>
            <w:vAlign w:val="bottom"/>
            <w:hideMark/>
          </w:tcPr>
          <w:p w14:paraId="1095EC39" w14:textId="77777777" w:rsidR="004C19ED" w:rsidRPr="002A533A" w:rsidRDefault="004C19ED" w:rsidP="003E2CCD">
            <w:pPr>
              <w:jc w:val="right"/>
              <w:rPr>
                <w:rFonts w:eastAsia="Times New Roman" w:cs="Arial"/>
                <w:color w:val="000000"/>
                <w:szCs w:val="20"/>
                <w:lang w:eastAsia="pt-BR"/>
              </w:rPr>
            </w:pPr>
            <w:r>
              <w:rPr>
                <w:rFonts w:eastAsia="Times New Roman" w:cs="Arial"/>
                <w:color w:val="000000"/>
                <w:szCs w:val="20"/>
                <w:lang w:eastAsia="pt-BR"/>
              </w:rPr>
              <w:t>2043,744</w:t>
            </w:r>
          </w:p>
        </w:tc>
      </w:tr>
      <w:tr w:rsidR="004C19ED" w:rsidRPr="002A533A" w14:paraId="588F7EEA" w14:textId="77777777" w:rsidTr="003E2CCD">
        <w:trPr>
          <w:trHeight w:val="317"/>
        </w:trPr>
        <w:tc>
          <w:tcPr>
            <w:tcW w:w="3550" w:type="dxa"/>
            <w:tcBorders>
              <w:top w:val="nil"/>
              <w:left w:val="nil"/>
              <w:bottom w:val="single" w:sz="4" w:space="0" w:color="000000"/>
              <w:right w:val="nil"/>
            </w:tcBorders>
            <w:shd w:val="clear" w:color="auto" w:fill="auto"/>
            <w:noWrap/>
            <w:vAlign w:val="bottom"/>
            <w:hideMark/>
          </w:tcPr>
          <w:p w14:paraId="63561EB5" w14:textId="77777777" w:rsidR="004C19ED" w:rsidRPr="002A533A" w:rsidRDefault="004C19ED" w:rsidP="003E2CCD">
            <w:pPr>
              <w:jc w:val="left"/>
              <w:rPr>
                <w:rFonts w:eastAsia="Times New Roman" w:cs="Arial"/>
                <w:b/>
                <w:bCs/>
                <w:color w:val="000000"/>
                <w:szCs w:val="20"/>
                <w:lang w:eastAsia="pt-BR"/>
              </w:rPr>
            </w:pPr>
            <w:r w:rsidRPr="002A533A">
              <w:rPr>
                <w:rFonts w:eastAsia="Times New Roman" w:cs="Arial"/>
                <w:b/>
                <w:bCs/>
                <w:color w:val="000000"/>
                <w:szCs w:val="20"/>
                <w:lang w:eastAsia="pt-BR"/>
              </w:rPr>
              <w:t>Total</w:t>
            </w:r>
          </w:p>
        </w:tc>
        <w:tc>
          <w:tcPr>
            <w:tcW w:w="2162" w:type="dxa"/>
            <w:tcBorders>
              <w:top w:val="nil"/>
              <w:left w:val="nil"/>
              <w:bottom w:val="single" w:sz="4" w:space="0" w:color="000000"/>
              <w:right w:val="nil"/>
            </w:tcBorders>
            <w:shd w:val="clear" w:color="auto" w:fill="auto"/>
            <w:noWrap/>
            <w:vAlign w:val="bottom"/>
          </w:tcPr>
          <w:p w14:paraId="79E4F937" w14:textId="77777777" w:rsidR="004C19ED" w:rsidRPr="00C72FC0" w:rsidRDefault="004C19ED" w:rsidP="003E2CCD">
            <w:pPr>
              <w:jc w:val="right"/>
              <w:rPr>
                <w:rFonts w:eastAsia="Times New Roman" w:cs="Arial"/>
                <w:b/>
                <w:bCs/>
                <w:color w:val="000000"/>
                <w:szCs w:val="20"/>
                <w:lang w:eastAsia="pt-BR"/>
              </w:rPr>
            </w:pPr>
            <w:r w:rsidRPr="00C72FC0">
              <w:rPr>
                <w:rFonts w:eastAsia="Times New Roman" w:cs="Arial"/>
                <w:b/>
                <w:bCs/>
                <w:color w:val="000000"/>
                <w:szCs w:val="20"/>
                <w:lang w:eastAsia="pt-BR"/>
              </w:rPr>
              <w:t>233.702.940,35</w:t>
            </w:r>
          </w:p>
        </w:tc>
        <w:tc>
          <w:tcPr>
            <w:tcW w:w="2162" w:type="dxa"/>
            <w:tcBorders>
              <w:top w:val="nil"/>
              <w:left w:val="nil"/>
              <w:bottom w:val="single" w:sz="4" w:space="0" w:color="000000"/>
              <w:right w:val="nil"/>
            </w:tcBorders>
            <w:shd w:val="clear" w:color="auto" w:fill="auto"/>
            <w:noWrap/>
            <w:vAlign w:val="bottom"/>
            <w:hideMark/>
          </w:tcPr>
          <w:p w14:paraId="6039AFA9" w14:textId="77777777" w:rsidR="004C19ED" w:rsidRPr="002A533A" w:rsidRDefault="004C19ED" w:rsidP="003E2CCD">
            <w:pPr>
              <w:jc w:val="right"/>
              <w:rPr>
                <w:rFonts w:eastAsia="Times New Roman" w:cs="Arial"/>
                <w:b/>
                <w:bCs/>
                <w:color w:val="000000"/>
                <w:szCs w:val="20"/>
                <w:lang w:eastAsia="pt-BR"/>
              </w:rPr>
            </w:pPr>
            <w:r w:rsidRPr="00544274">
              <w:rPr>
                <w:rFonts w:eastAsia="Times New Roman" w:cs="Arial"/>
                <w:b/>
                <w:bCs/>
                <w:color w:val="000000"/>
                <w:szCs w:val="20"/>
                <w:lang w:eastAsia="pt-BR"/>
              </w:rPr>
              <w:t>10.903.150,72</w:t>
            </w:r>
          </w:p>
        </w:tc>
        <w:tc>
          <w:tcPr>
            <w:tcW w:w="1164" w:type="dxa"/>
            <w:tcBorders>
              <w:top w:val="nil"/>
              <w:left w:val="nil"/>
              <w:bottom w:val="single" w:sz="4" w:space="0" w:color="000000"/>
              <w:right w:val="nil"/>
            </w:tcBorders>
            <w:shd w:val="clear" w:color="auto" w:fill="auto"/>
            <w:noWrap/>
            <w:vAlign w:val="bottom"/>
            <w:hideMark/>
          </w:tcPr>
          <w:p w14:paraId="2014C9D4" w14:textId="77777777" w:rsidR="004C19ED" w:rsidRPr="00544274" w:rsidRDefault="004C19ED" w:rsidP="003E2CCD">
            <w:pPr>
              <w:jc w:val="right"/>
              <w:rPr>
                <w:rFonts w:eastAsia="Times New Roman" w:cs="Arial"/>
                <w:b/>
                <w:bCs/>
                <w:color w:val="000000"/>
                <w:szCs w:val="20"/>
                <w:lang w:eastAsia="pt-BR"/>
              </w:rPr>
            </w:pPr>
            <w:r>
              <w:rPr>
                <w:rFonts w:eastAsia="Times New Roman" w:cs="Arial"/>
                <w:b/>
                <w:bCs/>
                <w:color w:val="000000"/>
                <w:szCs w:val="20"/>
                <w:lang w:eastAsia="pt-BR"/>
              </w:rPr>
              <w:t>2043</w:t>
            </w:r>
            <w:r w:rsidRPr="00544274">
              <w:rPr>
                <w:rFonts w:eastAsia="Times New Roman" w:cs="Arial"/>
                <w:b/>
                <w:bCs/>
                <w:color w:val="000000"/>
                <w:szCs w:val="20"/>
                <w:lang w:eastAsia="pt-BR"/>
              </w:rPr>
              <w:t>,</w:t>
            </w:r>
            <w:r>
              <w:rPr>
                <w:rFonts w:eastAsia="Times New Roman" w:cs="Arial"/>
                <w:b/>
                <w:bCs/>
                <w:color w:val="000000"/>
                <w:szCs w:val="20"/>
                <w:lang w:eastAsia="pt-BR"/>
              </w:rPr>
              <w:t>44</w:t>
            </w:r>
          </w:p>
        </w:tc>
      </w:tr>
    </w:tbl>
    <w:p w14:paraId="1404B9FE" w14:textId="77777777" w:rsidR="004C19ED" w:rsidRPr="002A533A" w:rsidRDefault="004C19ED" w:rsidP="004C19ED">
      <w:pPr>
        <w:rPr>
          <w:rFonts w:cs="Arial"/>
          <w:i/>
          <w:szCs w:val="20"/>
        </w:rPr>
      </w:pPr>
      <w:r w:rsidRPr="002A533A">
        <w:rPr>
          <w:rFonts w:cs="Arial"/>
          <w:i/>
          <w:szCs w:val="20"/>
        </w:rPr>
        <w:t>Fonte: SIAFI, 20</w:t>
      </w:r>
      <w:r>
        <w:rPr>
          <w:rFonts w:cs="Arial"/>
          <w:i/>
          <w:szCs w:val="20"/>
        </w:rPr>
        <w:t>21</w:t>
      </w:r>
      <w:r w:rsidRPr="002A533A">
        <w:rPr>
          <w:rFonts w:cs="Arial"/>
          <w:i/>
          <w:szCs w:val="20"/>
        </w:rPr>
        <w:t xml:space="preserve"> e 20</w:t>
      </w:r>
      <w:r>
        <w:rPr>
          <w:rFonts w:cs="Arial"/>
          <w:i/>
          <w:szCs w:val="20"/>
        </w:rPr>
        <w:t>20</w:t>
      </w:r>
      <w:r w:rsidRPr="002A533A">
        <w:rPr>
          <w:rFonts w:cs="Arial"/>
          <w:i/>
          <w:szCs w:val="20"/>
        </w:rPr>
        <w:t>.</w:t>
      </w:r>
    </w:p>
    <w:p w14:paraId="145FF6BB" w14:textId="77777777" w:rsidR="004C19ED" w:rsidRPr="002A533A" w:rsidRDefault="004C19ED" w:rsidP="004C19ED">
      <w:pPr>
        <w:rPr>
          <w:rFonts w:cs="Arial"/>
          <w:szCs w:val="20"/>
        </w:rPr>
      </w:pPr>
    </w:p>
    <w:p w14:paraId="408912EA" w14:textId="77777777" w:rsidR="004C19ED" w:rsidRDefault="004C19ED" w:rsidP="004C19ED">
      <w:pPr>
        <w:rPr>
          <w:rFonts w:cs="Arial"/>
          <w:szCs w:val="20"/>
        </w:rPr>
      </w:pPr>
      <w:r>
        <w:rPr>
          <w:rFonts w:cs="Arial"/>
          <w:szCs w:val="20"/>
        </w:rPr>
        <w:lastRenderedPageBreak/>
        <w:t xml:space="preserve">A parte mais significativa do aumento </w:t>
      </w:r>
      <w:r w:rsidRPr="002A533A">
        <w:rPr>
          <w:rFonts w:cs="Arial"/>
          <w:szCs w:val="20"/>
        </w:rPr>
        <w:t>corresponde</w:t>
      </w:r>
      <w:r>
        <w:rPr>
          <w:rFonts w:cs="Arial"/>
          <w:szCs w:val="20"/>
        </w:rPr>
        <w:t xml:space="preserve"> ao registro das receitas oriundas da conta corrente que a ANP possui junto ao Banco do Brasil e que não era contabilizada desde o ano de 2009. A partir de 2022, esse fato não mais ocorrerá, dado que a área responsável pela conta corrente criou uma sistemática de reconhecimento e recolhimento dos valores de forma automática à conta única.</w:t>
      </w:r>
    </w:p>
    <w:p w14:paraId="65A77093" w14:textId="77777777" w:rsidR="004C19ED" w:rsidRDefault="004C19ED" w:rsidP="004C19ED">
      <w:pPr>
        <w:rPr>
          <w:rFonts w:cs="Arial"/>
          <w:szCs w:val="20"/>
        </w:rPr>
      </w:pPr>
    </w:p>
    <w:p w14:paraId="6396A1E0" w14:textId="77777777" w:rsidR="004C19ED" w:rsidRDefault="004C19ED" w:rsidP="004C19ED">
      <w:pPr>
        <w:rPr>
          <w:rFonts w:cs="Arial"/>
          <w:szCs w:val="20"/>
        </w:rPr>
      </w:pPr>
      <w:r w:rsidRPr="002A533A">
        <w:rPr>
          <w:rFonts w:cs="Arial"/>
          <w:szCs w:val="20"/>
        </w:rPr>
        <w:t xml:space="preserve">Os </w:t>
      </w:r>
      <w:r>
        <w:rPr>
          <w:rFonts w:cs="Arial"/>
          <w:szCs w:val="20"/>
        </w:rPr>
        <w:t xml:space="preserve">valores restantes referem-se </w:t>
      </w:r>
      <w:r w:rsidRPr="002A533A">
        <w:rPr>
          <w:rFonts w:cs="Arial"/>
          <w:szCs w:val="20"/>
        </w:rPr>
        <w:t xml:space="preserve">às omissões de despesas (as informações não estavam disponíveis quando da elaboração das demonstrações contábeis do período a que se referem), cujos fatos geradores ocorreram em exercícios anteriores e somente foram </w:t>
      </w:r>
      <w:r>
        <w:rPr>
          <w:rFonts w:cs="Arial"/>
          <w:szCs w:val="20"/>
        </w:rPr>
        <w:t xml:space="preserve">empenhados em 2021, pois não havia crédito suficiente </w:t>
      </w:r>
      <w:r w:rsidRPr="002A533A">
        <w:rPr>
          <w:rFonts w:cs="Arial"/>
          <w:szCs w:val="20"/>
        </w:rPr>
        <w:t>durante o exercício de 201</w:t>
      </w:r>
      <w:r>
        <w:rPr>
          <w:rFonts w:cs="Arial"/>
          <w:szCs w:val="20"/>
        </w:rPr>
        <w:t>9</w:t>
      </w:r>
      <w:r w:rsidRPr="002A533A">
        <w:rPr>
          <w:rFonts w:cs="Arial"/>
          <w:szCs w:val="20"/>
        </w:rPr>
        <w:t>. Estes ajustes correspondem aos reconhecimentos de passivos relacionados a despesa orçamentária classificada como Despesa de Exercícios Anteriores – DEA. Mormente, os passivos reconhecidos referem-se a despesas de exercícios encerrados, para os quais o orçamento consignava crédito próprio, com saldo suficiente para atendê-las, mas que não foram processados em época própria.</w:t>
      </w:r>
    </w:p>
    <w:p w14:paraId="24CCEC7D" w14:textId="77777777" w:rsidR="004C19ED" w:rsidRDefault="004C19ED" w:rsidP="004C19ED">
      <w:pPr>
        <w:rPr>
          <w:rFonts w:cs="Arial"/>
          <w:szCs w:val="20"/>
        </w:rPr>
      </w:pPr>
    </w:p>
    <w:p w14:paraId="64993047" w14:textId="61318FBE" w:rsidR="004C19ED" w:rsidRDefault="004C19ED" w:rsidP="004C19ED">
      <w:pPr>
        <w:rPr>
          <w:rFonts w:cs="Arial"/>
          <w:szCs w:val="20"/>
        </w:rPr>
      </w:pPr>
      <w:r>
        <w:rPr>
          <w:rFonts w:cs="Arial"/>
          <w:szCs w:val="20"/>
        </w:rPr>
        <w:t>Todos as movimentações encontradas na tabela 26, estão presentes na Demonstração das Mutações do Patrimônio Líquido – DMPL.</w:t>
      </w:r>
    </w:p>
    <w:p w14:paraId="63DE0ED3" w14:textId="77777777" w:rsidR="004C19ED" w:rsidRDefault="004C19ED" w:rsidP="004C19ED">
      <w:pPr>
        <w:rPr>
          <w:rFonts w:cs="Arial"/>
          <w:szCs w:val="20"/>
        </w:rPr>
      </w:pPr>
    </w:p>
    <w:p w14:paraId="58EB983B" w14:textId="77777777" w:rsidR="004C19ED" w:rsidRDefault="004C19ED" w:rsidP="004C19ED">
      <w:pPr>
        <w:rPr>
          <w:rFonts w:cs="Arial"/>
          <w:szCs w:val="20"/>
        </w:rPr>
      </w:pPr>
    </w:p>
    <w:p w14:paraId="613BF8A2" w14:textId="77777777" w:rsidR="004C19ED" w:rsidRDefault="004C19ED" w:rsidP="004C19ED">
      <w:pPr>
        <w:rPr>
          <w:rFonts w:cs="Arial"/>
          <w:szCs w:val="20"/>
        </w:rPr>
      </w:pPr>
    </w:p>
    <w:p w14:paraId="54BE3997" w14:textId="77777777" w:rsidR="004C19ED" w:rsidRPr="002A533A" w:rsidRDefault="004C19ED" w:rsidP="004C19ED">
      <w:pPr>
        <w:rPr>
          <w:rFonts w:cs="Arial"/>
          <w:b/>
          <w:szCs w:val="20"/>
        </w:rPr>
      </w:pPr>
    </w:p>
    <w:p w14:paraId="297CB1DA" w14:textId="77777777" w:rsidR="004C19ED" w:rsidRPr="004015BE" w:rsidRDefault="004C19ED" w:rsidP="004C19ED">
      <w:pPr>
        <w:rPr>
          <w:rFonts w:cs="Arial"/>
          <w:sz w:val="22"/>
        </w:rPr>
      </w:pPr>
    </w:p>
    <w:p w14:paraId="2FBFC35A" w14:textId="77777777" w:rsidR="004C19ED" w:rsidRPr="004015BE" w:rsidRDefault="004C19ED" w:rsidP="004C19ED">
      <w:pPr>
        <w:rPr>
          <w:rFonts w:cs="Arial"/>
          <w:sz w:val="22"/>
        </w:rPr>
      </w:pPr>
    </w:p>
    <w:p w14:paraId="6AB60E49" w14:textId="77777777" w:rsidR="004C19ED" w:rsidRPr="004015BE" w:rsidRDefault="004C19ED" w:rsidP="004C19ED">
      <w:pPr>
        <w:rPr>
          <w:rFonts w:cs="Arial"/>
          <w:sz w:val="22"/>
        </w:rPr>
      </w:pPr>
    </w:p>
    <w:p w14:paraId="654F085E" w14:textId="77777777" w:rsidR="004C19ED" w:rsidRPr="004015BE" w:rsidRDefault="004C19ED" w:rsidP="004C19ED">
      <w:pPr>
        <w:rPr>
          <w:rFonts w:cs="Arial"/>
          <w:sz w:val="22"/>
        </w:rPr>
      </w:pPr>
    </w:p>
    <w:p w14:paraId="2400F609" w14:textId="77777777" w:rsidR="004C19ED" w:rsidRPr="004015BE" w:rsidRDefault="004C19ED" w:rsidP="004C19ED">
      <w:pPr>
        <w:rPr>
          <w:rFonts w:cs="Arial"/>
          <w:sz w:val="22"/>
        </w:rPr>
      </w:pPr>
    </w:p>
    <w:p w14:paraId="53EB82B9" w14:textId="77777777" w:rsidR="004C19ED" w:rsidRPr="004015BE" w:rsidRDefault="004C19ED" w:rsidP="004C19ED">
      <w:pPr>
        <w:rPr>
          <w:rFonts w:cs="Arial"/>
          <w:sz w:val="22"/>
        </w:rPr>
      </w:pPr>
    </w:p>
    <w:p w14:paraId="0D02C9AD" w14:textId="77777777" w:rsidR="004C19ED" w:rsidRPr="004015BE" w:rsidRDefault="004C19ED" w:rsidP="004C19ED">
      <w:pPr>
        <w:rPr>
          <w:rFonts w:cs="Arial"/>
          <w:sz w:val="22"/>
        </w:rPr>
      </w:pPr>
    </w:p>
    <w:p w14:paraId="3EFFBCDA" w14:textId="77777777" w:rsidR="004C19ED" w:rsidRPr="004015BE" w:rsidRDefault="004C19ED" w:rsidP="004C19ED">
      <w:pPr>
        <w:rPr>
          <w:rFonts w:cs="Arial"/>
          <w:sz w:val="22"/>
        </w:rPr>
      </w:pPr>
    </w:p>
    <w:p w14:paraId="73FCCA37" w14:textId="77777777" w:rsidR="004C19ED" w:rsidRPr="004015BE" w:rsidRDefault="004C19ED" w:rsidP="004C19ED">
      <w:pPr>
        <w:rPr>
          <w:rFonts w:cs="Arial"/>
          <w:sz w:val="22"/>
        </w:rPr>
      </w:pPr>
    </w:p>
    <w:p w14:paraId="43E683B6" w14:textId="77777777" w:rsidR="004C19ED" w:rsidRPr="004015BE" w:rsidRDefault="004C19ED" w:rsidP="004C19ED">
      <w:pPr>
        <w:rPr>
          <w:rFonts w:cs="Arial"/>
          <w:sz w:val="22"/>
        </w:rPr>
      </w:pPr>
    </w:p>
    <w:p w14:paraId="7D57ADF6" w14:textId="77777777" w:rsidR="004C19ED" w:rsidRPr="004015BE" w:rsidRDefault="004C19ED" w:rsidP="004C19ED">
      <w:pPr>
        <w:rPr>
          <w:rFonts w:cs="Arial"/>
          <w:sz w:val="22"/>
        </w:rPr>
      </w:pPr>
    </w:p>
    <w:p w14:paraId="5370C69B" w14:textId="77777777" w:rsidR="004C19ED" w:rsidRPr="004028B5" w:rsidRDefault="004C19ED" w:rsidP="004C19ED">
      <w:pPr>
        <w:rPr>
          <w:rFonts w:eastAsia="Times New Roman" w:cs="Arial"/>
          <w:sz w:val="22"/>
        </w:rPr>
      </w:pPr>
    </w:p>
    <w:p w14:paraId="6AF067A8" w14:textId="77777777" w:rsidR="004C19ED" w:rsidRPr="004028B5" w:rsidRDefault="004C19ED" w:rsidP="004C19ED">
      <w:pPr>
        <w:rPr>
          <w:rFonts w:eastAsia="Times New Roman" w:cs="Arial"/>
          <w:sz w:val="22"/>
        </w:rPr>
      </w:pPr>
    </w:p>
    <w:p w14:paraId="227D69B1" w14:textId="77777777" w:rsidR="004C19ED" w:rsidRDefault="004C19ED" w:rsidP="004C19ED">
      <w:pPr>
        <w:rPr>
          <w:rFonts w:cs="Arial"/>
          <w:szCs w:val="20"/>
        </w:rPr>
      </w:pPr>
    </w:p>
    <w:p w14:paraId="404C7C26" w14:textId="77777777" w:rsidR="004C19ED" w:rsidRDefault="004C19ED" w:rsidP="004C19ED">
      <w:pPr>
        <w:rPr>
          <w:rFonts w:cs="Arial"/>
          <w:szCs w:val="20"/>
        </w:rPr>
      </w:pPr>
    </w:p>
    <w:p w14:paraId="51439745" w14:textId="77777777" w:rsidR="004C19ED" w:rsidRDefault="004C19ED" w:rsidP="004C19ED">
      <w:pPr>
        <w:rPr>
          <w:rFonts w:cs="Arial"/>
          <w:szCs w:val="20"/>
        </w:rPr>
      </w:pPr>
    </w:p>
    <w:p w14:paraId="1BDD44AB" w14:textId="77777777" w:rsidR="004C19ED" w:rsidRDefault="004C19ED" w:rsidP="004C19ED">
      <w:pPr>
        <w:rPr>
          <w:rFonts w:cs="Arial"/>
          <w:sz w:val="22"/>
        </w:rPr>
      </w:pPr>
    </w:p>
    <w:p w14:paraId="12A01935" w14:textId="77777777" w:rsidR="004C19ED" w:rsidRDefault="004C19ED" w:rsidP="004C19ED">
      <w:pPr>
        <w:rPr>
          <w:rFonts w:cs="Arial"/>
          <w:sz w:val="22"/>
        </w:rPr>
      </w:pPr>
    </w:p>
    <w:p w14:paraId="22F3CBDD" w14:textId="77777777" w:rsidR="004C19ED" w:rsidRPr="0035559B" w:rsidRDefault="004C19ED" w:rsidP="004C19ED">
      <w:pPr>
        <w:rPr>
          <w:rFonts w:cs="Arial"/>
          <w:sz w:val="22"/>
        </w:rPr>
      </w:pPr>
    </w:p>
    <w:p w14:paraId="7DE0AD4E" w14:textId="77777777" w:rsidR="004C19ED" w:rsidRDefault="004C19ED" w:rsidP="004C19ED">
      <w:pPr>
        <w:rPr>
          <w:rFonts w:cs="Arial"/>
          <w:sz w:val="22"/>
        </w:rPr>
      </w:pPr>
    </w:p>
    <w:p w14:paraId="2F65893D" w14:textId="77777777" w:rsidR="004C19ED" w:rsidRDefault="004C19ED" w:rsidP="004C19ED">
      <w:pPr>
        <w:rPr>
          <w:rFonts w:cs="Arial"/>
          <w:sz w:val="22"/>
        </w:rPr>
      </w:pPr>
    </w:p>
    <w:p w14:paraId="654EC565" w14:textId="77777777" w:rsidR="004C19ED" w:rsidRDefault="004C19ED" w:rsidP="004C19ED">
      <w:pPr>
        <w:rPr>
          <w:rFonts w:cs="Arial"/>
          <w:sz w:val="22"/>
        </w:rPr>
      </w:pPr>
    </w:p>
    <w:p w14:paraId="19F7A489" w14:textId="77777777" w:rsidR="004C19ED" w:rsidRDefault="004C19ED" w:rsidP="004C19ED">
      <w:pPr>
        <w:rPr>
          <w:rFonts w:cs="Arial"/>
          <w:sz w:val="22"/>
        </w:rPr>
      </w:pPr>
    </w:p>
    <w:p w14:paraId="4C6FE460" w14:textId="77777777" w:rsidR="004C19ED" w:rsidRDefault="004C19ED" w:rsidP="004C19ED">
      <w:pPr>
        <w:rPr>
          <w:rFonts w:eastAsia="Times New Roman" w:cs="Arial"/>
          <w:sz w:val="22"/>
        </w:rPr>
      </w:pPr>
    </w:p>
    <w:p w14:paraId="7B991116" w14:textId="77777777" w:rsidR="004C19ED" w:rsidRDefault="004C19ED" w:rsidP="004C19ED">
      <w:pPr>
        <w:rPr>
          <w:rFonts w:eastAsia="Times New Roman" w:cs="Arial"/>
          <w:sz w:val="22"/>
        </w:rPr>
      </w:pPr>
    </w:p>
    <w:p w14:paraId="3A316D82" w14:textId="77777777" w:rsidR="004C19ED" w:rsidRPr="00270E09" w:rsidRDefault="004C19ED" w:rsidP="004C19ED">
      <w:pPr>
        <w:rPr>
          <w:rFonts w:ascii="Times New Roman" w:eastAsia="Times New Roman" w:hAnsi="Times New Roman" w:cs="Times New Roman"/>
          <w:sz w:val="24"/>
          <w:szCs w:val="24"/>
          <w:lang w:eastAsia="pt-BR"/>
        </w:rPr>
      </w:pPr>
    </w:p>
    <w:p w14:paraId="1542D917" w14:textId="77777777" w:rsidR="004C19ED" w:rsidRPr="00051094" w:rsidRDefault="004C19ED" w:rsidP="004C19ED">
      <w:pPr>
        <w:rPr>
          <w:rFonts w:cs="Arial"/>
          <w:sz w:val="22"/>
        </w:rPr>
      </w:pPr>
    </w:p>
    <w:p w14:paraId="3F4A2EA7" w14:textId="77777777" w:rsidR="004C19ED" w:rsidRDefault="004C19ED" w:rsidP="004C19ED">
      <w:pPr>
        <w:rPr>
          <w:rFonts w:cs="Arial"/>
          <w:sz w:val="22"/>
        </w:rPr>
      </w:pPr>
    </w:p>
    <w:p w14:paraId="5BC5BF6C" w14:textId="77777777" w:rsidR="004C19ED" w:rsidRDefault="004C19ED">
      <w:pPr>
        <w:spacing w:after="160" w:line="259" w:lineRule="auto"/>
        <w:jc w:val="left"/>
        <w:rPr>
          <w:rFonts w:cs="Arial"/>
          <w:sz w:val="22"/>
        </w:rPr>
      </w:pPr>
      <w:r>
        <w:rPr>
          <w:rFonts w:cs="Arial"/>
          <w:sz w:val="22"/>
        </w:rPr>
        <w:br w:type="page"/>
      </w:r>
    </w:p>
    <w:p w14:paraId="4B5FD7E6" w14:textId="77777777" w:rsidR="004C19ED" w:rsidRDefault="004C19ED" w:rsidP="004C19ED">
      <w:pPr>
        <w:rPr>
          <w:rFonts w:cs="Arial"/>
          <w:sz w:val="22"/>
        </w:rPr>
      </w:pPr>
    </w:p>
    <w:p w14:paraId="141FE41D" w14:textId="77777777" w:rsidR="0041147E" w:rsidRPr="004C19ED" w:rsidRDefault="0041147E" w:rsidP="004C19ED"/>
    <w:sectPr w:rsidR="0041147E" w:rsidRPr="004C19ED" w:rsidSect="00EB50B5">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28F3" w14:textId="77777777" w:rsidR="001D3B30" w:rsidRDefault="001D3B30" w:rsidP="00602F9A">
      <w:r>
        <w:separator/>
      </w:r>
    </w:p>
  </w:endnote>
  <w:endnote w:type="continuationSeparator" w:id="0">
    <w:p w14:paraId="606100EA" w14:textId="77777777" w:rsidR="001D3B30" w:rsidRDefault="001D3B30" w:rsidP="0060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530"/>
    </w:tblGrid>
    <w:tr w:rsidR="006E243E" w14:paraId="49C21B07" w14:textId="77777777" w:rsidTr="00A51619">
      <w:tc>
        <w:tcPr>
          <w:tcW w:w="4530" w:type="dxa"/>
        </w:tcPr>
        <w:p w14:paraId="12D7D16B" w14:textId="77777777" w:rsidR="006E243E" w:rsidRDefault="006E243E" w:rsidP="00A51619">
          <w:pPr>
            <w:pStyle w:val="Rodap"/>
            <w:rPr>
              <w:rFonts w:ascii="Helvetica-Bold" w:hAnsi="Helvetica-Bold" w:cs="Helvetica-Bold"/>
              <w:b/>
              <w:bCs/>
              <w:sz w:val="16"/>
              <w:szCs w:val="16"/>
            </w:rPr>
          </w:pPr>
        </w:p>
      </w:tc>
      <w:tc>
        <w:tcPr>
          <w:tcW w:w="5530" w:type="dxa"/>
        </w:tcPr>
        <w:p w14:paraId="7C89B3C2" w14:textId="548EF248" w:rsidR="006E243E" w:rsidRDefault="006E243E" w:rsidP="007E08F5">
          <w:pPr>
            <w:pStyle w:val="Rodap"/>
            <w:jc w:val="right"/>
            <w:rPr>
              <w:rFonts w:ascii="Helvetica-Bold" w:hAnsi="Helvetica-Bold" w:cs="Helvetica-Bold"/>
              <w:b/>
              <w:bCs/>
              <w:sz w:val="16"/>
              <w:szCs w:val="16"/>
            </w:rPr>
          </w:pPr>
          <w:r>
            <w:rPr>
              <w:rFonts w:ascii="Helvetica-Bold" w:hAnsi="Helvetica-Bold" w:cs="Helvetica-Bold"/>
              <w:b/>
              <w:bCs/>
              <w:sz w:val="16"/>
              <w:szCs w:val="16"/>
            </w:rPr>
            <w:t>202</w:t>
          </w:r>
          <w:r w:rsidR="004C19ED">
            <w:rPr>
              <w:rFonts w:ascii="Helvetica-Bold" w:hAnsi="Helvetica-Bold" w:cs="Helvetica-Bold"/>
              <w:b/>
              <w:bCs/>
              <w:sz w:val="16"/>
              <w:szCs w:val="16"/>
            </w:rPr>
            <w:t>1</w:t>
          </w:r>
        </w:p>
      </w:tc>
    </w:tr>
  </w:tbl>
  <w:p w14:paraId="3693B7A1" w14:textId="77777777" w:rsidR="006E243E" w:rsidRDefault="006E243E" w:rsidP="00A51619">
    <w:pPr>
      <w:pStyle w:val="Rodap"/>
    </w:pPr>
    <w:r>
      <w:rPr>
        <w:rFonts w:ascii="Helvetica-Bold" w:hAnsi="Helvetica-Bold" w:cs="Helvetica-Bold"/>
        <w:b/>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035A" w14:textId="77777777" w:rsidR="001D3B30" w:rsidRDefault="001D3B30" w:rsidP="00602F9A">
      <w:r>
        <w:separator/>
      </w:r>
    </w:p>
  </w:footnote>
  <w:footnote w:type="continuationSeparator" w:id="0">
    <w:p w14:paraId="46FA32C2" w14:textId="77777777" w:rsidR="001D3B30" w:rsidRDefault="001D3B30" w:rsidP="00602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MON_1171267988"/>
  <w:bookmarkEnd w:id="5"/>
  <w:p w14:paraId="544938C0" w14:textId="77777777" w:rsidR="006E243E" w:rsidRPr="00B47CD5" w:rsidRDefault="006E243E" w:rsidP="00A31B04">
    <w:pPr>
      <w:tabs>
        <w:tab w:val="left" w:pos="567"/>
      </w:tabs>
      <w:jc w:val="left"/>
      <w:rPr>
        <w:b/>
        <w:sz w:val="16"/>
        <w:szCs w:val="16"/>
      </w:rPr>
    </w:pPr>
    <w:r>
      <w:rPr>
        <w:snapToGrid w:val="0"/>
      </w:rPr>
      <w:object w:dxaOrig="880" w:dyaOrig="1480" w14:anchorId="477BB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74.15pt" fillcolor="window">
          <v:imagedata r:id="rId1" o:title=""/>
        </v:shape>
        <o:OLEObject Type="Embed" ProgID="Word.Picture.8" ShapeID="_x0000_i1025" DrawAspect="Content" ObjectID="_1705476722" r:id="rId2"/>
      </w:object>
    </w:r>
  </w:p>
  <w:p w14:paraId="18131304" w14:textId="77777777" w:rsidR="006E243E" w:rsidRPr="00602F9A" w:rsidRDefault="006E243E" w:rsidP="00602F9A">
    <w:pPr>
      <w:pStyle w:val="Cabealh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25BC4"/>
    <w:multiLevelType w:val="hybridMultilevel"/>
    <w:tmpl w:val="89945BA8"/>
    <w:lvl w:ilvl="0" w:tplc="0416000D">
      <w:start w:val="1"/>
      <w:numFmt w:val="bullet"/>
      <w:lvlText w:val=""/>
      <w:lvlJc w:val="left"/>
      <w:pPr>
        <w:ind w:left="2205" w:hanging="360"/>
      </w:pPr>
      <w:rPr>
        <w:rFonts w:ascii="Wingdings" w:hAnsi="Wingdings" w:hint="default"/>
      </w:rPr>
    </w:lvl>
    <w:lvl w:ilvl="1" w:tplc="04160003" w:tentative="1">
      <w:start w:val="1"/>
      <w:numFmt w:val="bullet"/>
      <w:lvlText w:val="o"/>
      <w:lvlJc w:val="left"/>
      <w:pPr>
        <w:ind w:left="2925" w:hanging="360"/>
      </w:pPr>
      <w:rPr>
        <w:rFonts w:ascii="Courier New" w:hAnsi="Courier New" w:cs="Courier New" w:hint="default"/>
      </w:rPr>
    </w:lvl>
    <w:lvl w:ilvl="2" w:tplc="04160005" w:tentative="1">
      <w:start w:val="1"/>
      <w:numFmt w:val="bullet"/>
      <w:lvlText w:val=""/>
      <w:lvlJc w:val="left"/>
      <w:pPr>
        <w:ind w:left="3645" w:hanging="360"/>
      </w:pPr>
      <w:rPr>
        <w:rFonts w:ascii="Wingdings" w:hAnsi="Wingdings" w:hint="default"/>
      </w:rPr>
    </w:lvl>
    <w:lvl w:ilvl="3" w:tplc="04160001" w:tentative="1">
      <w:start w:val="1"/>
      <w:numFmt w:val="bullet"/>
      <w:lvlText w:val=""/>
      <w:lvlJc w:val="left"/>
      <w:pPr>
        <w:ind w:left="4365" w:hanging="360"/>
      </w:pPr>
      <w:rPr>
        <w:rFonts w:ascii="Symbol" w:hAnsi="Symbol" w:hint="default"/>
      </w:rPr>
    </w:lvl>
    <w:lvl w:ilvl="4" w:tplc="04160003" w:tentative="1">
      <w:start w:val="1"/>
      <w:numFmt w:val="bullet"/>
      <w:lvlText w:val="o"/>
      <w:lvlJc w:val="left"/>
      <w:pPr>
        <w:ind w:left="5085" w:hanging="360"/>
      </w:pPr>
      <w:rPr>
        <w:rFonts w:ascii="Courier New" w:hAnsi="Courier New" w:cs="Courier New" w:hint="default"/>
      </w:rPr>
    </w:lvl>
    <w:lvl w:ilvl="5" w:tplc="04160005" w:tentative="1">
      <w:start w:val="1"/>
      <w:numFmt w:val="bullet"/>
      <w:lvlText w:val=""/>
      <w:lvlJc w:val="left"/>
      <w:pPr>
        <w:ind w:left="5805" w:hanging="360"/>
      </w:pPr>
      <w:rPr>
        <w:rFonts w:ascii="Wingdings" w:hAnsi="Wingdings" w:hint="default"/>
      </w:rPr>
    </w:lvl>
    <w:lvl w:ilvl="6" w:tplc="04160001" w:tentative="1">
      <w:start w:val="1"/>
      <w:numFmt w:val="bullet"/>
      <w:lvlText w:val=""/>
      <w:lvlJc w:val="left"/>
      <w:pPr>
        <w:ind w:left="6525" w:hanging="360"/>
      </w:pPr>
      <w:rPr>
        <w:rFonts w:ascii="Symbol" w:hAnsi="Symbol" w:hint="default"/>
      </w:rPr>
    </w:lvl>
    <w:lvl w:ilvl="7" w:tplc="04160003" w:tentative="1">
      <w:start w:val="1"/>
      <w:numFmt w:val="bullet"/>
      <w:lvlText w:val="o"/>
      <w:lvlJc w:val="left"/>
      <w:pPr>
        <w:ind w:left="7245" w:hanging="360"/>
      </w:pPr>
      <w:rPr>
        <w:rFonts w:ascii="Courier New" w:hAnsi="Courier New" w:cs="Courier New" w:hint="default"/>
      </w:rPr>
    </w:lvl>
    <w:lvl w:ilvl="8" w:tplc="04160005" w:tentative="1">
      <w:start w:val="1"/>
      <w:numFmt w:val="bullet"/>
      <w:lvlText w:val=""/>
      <w:lvlJc w:val="left"/>
      <w:pPr>
        <w:ind w:left="7965" w:hanging="360"/>
      </w:pPr>
      <w:rPr>
        <w:rFonts w:ascii="Wingdings" w:hAnsi="Wingdings" w:hint="default"/>
      </w:rPr>
    </w:lvl>
  </w:abstractNum>
  <w:abstractNum w:abstractNumId="1" w15:restartNumberingAfterBreak="0">
    <w:nsid w:val="167B2303"/>
    <w:multiLevelType w:val="hybridMultilevel"/>
    <w:tmpl w:val="D7CE7C28"/>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2" w15:restartNumberingAfterBreak="0">
    <w:nsid w:val="178F0E3B"/>
    <w:multiLevelType w:val="hybridMultilevel"/>
    <w:tmpl w:val="DBF6F1D4"/>
    <w:lvl w:ilvl="0" w:tplc="0416000F">
      <w:start w:val="1"/>
      <w:numFmt w:val="decimal"/>
      <w:lvlText w:val="%1."/>
      <w:lvlJc w:val="left"/>
      <w:pPr>
        <w:tabs>
          <w:tab w:val="num" w:pos="578"/>
        </w:tabs>
        <w:ind w:left="578" w:hanging="360"/>
      </w:p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3" w15:restartNumberingAfterBreak="0">
    <w:nsid w:val="19F6330D"/>
    <w:multiLevelType w:val="hybridMultilevel"/>
    <w:tmpl w:val="7D209A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E621C"/>
    <w:multiLevelType w:val="hybridMultilevel"/>
    <w:tmpl w:val="43D23D42"/>
    <w:lvl w:ilvl="0" w:tplc="0416000F">
      <w:start w:val="1"/>
      <w:numFmt w:val="decimal"/>
      <w:lvlText w:val="%1."/>
      <w:lvlJc w:val="left"/>
      <w:pPr>
        <w:ind w:left="644"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23E9594F"/>
    <w:multiLevelType w:val="hybridMultilevel"/>
    <w:tmpl w:val="8A8EF510"/>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242C5E2D"/>
    <w:multiLevelType w:val="hybridMultilevel"/>
    <w:tmpl w:val="2B70C2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430411"/>
    <w:multiLevelType w:val="hybridMultilevel"/>
    <w:tmpl w:val="3CD075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AB94008"/>
    <w:multiLevelType w:val="hybridMultilevel"/>
    <w:tmpl w:val="8014F3F0"/>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9" w15:restartNumberingAfterBreak="0">
    <w:nsid w:val="2F4A74C5"/>
    <w:multiLevelType w:val="hybridMultilevel"/>
    <w:tmpl w:val="E7B84354"/>
    <w:lvl w:ilvl="0" w:tplc="83BC59F8">
      <w:start w:val="1"/>
      <w:numFmt w:val="decimal"/>
      <w:lvlText w:val="%1."/>
      <w:lvlJc w:val="left"/>
      <w:pPr>
        <w:ind w:left="1140" w:hanging="360"/>
      </w:pPr>
      <w:rPr>
        <w:rFonts w:ascii="Times New Roman" w:eastAsia="Times New Roman" w:hAnsi="Times New Roman" w:cs="Times New Roman"/>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0" w15:restartNumberingAfterBreak="0">
    <w:nsid w:val="3061427A"/>
    <w:multiLevelType w:val="hybridMultilevel"/>
    <w:tmpl w:val="50BA50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D505E64"/>
    <w:multiLevelType w:val="hybridMultilevel"/>
    <w:tmpl w:val="125E07CC"/>
    <w:lvl w:ilvl="0" w:tplc="1B2A7CB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6160BF"/>
    <w:multiLevelType w:val="hybridMultilevel"/>
    <w:tmpl w:val="9EFCA6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D3656E"/>
    <w:multiLevelType w:val="hybridMultilevel"/>
    <w:tmpl w:val="F69C4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FDC0B25"/>
    <w:multiLevelType w:val="hybridMultilevel"/>
    <w:tmpl w:val="0BF4E1DC"/>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548F3207"/>
    <w:multiLevelType w:val="hybridMultilevel"/>
    <w:tmpl w:val="3C3AD740"/>
    <w:lvl w:ilvl="0" w:tplc="540256F8">
      <w:start w:val="1"/>
      <w:numFmt w:val="decimal"/>
      <w:lvlText w:val="%1."/>
      <w:lvlJc w:val="left"/>
      <w:pPr>
        <w:tabs>
          <w:tab w:val="num" w:pos="720"/>
        </w:tabs>
        <w:ind w:left="720" w:hanging="360"/>
      </w:pPr>
      <w:rPr>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88F22E9"/>
    <w:multiLevelType w:val="hybridMultilevel"/>
    <w:tmpl w:val="6730324C"/>
    <w:lvl w:ilvl="0" w:tplc="3042DCCE">
      <w:start w:val="1"/>
      <w:numFmt w:val="decimal"/>
      <w:lvlText w:val="%1."/>
      <w:lvlJc w:val="left"/>
      <w:pPr>
        <w:ind w:left="1469" w:hanging="1185"/>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652B6A66"/>
    <w:multiLevelType w:val="hybridMultilevel"/>
    <w:tmpl w:val="69CA02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9056AC"/>
    <w:multiLevelType w:val="hybridMultilevel"/>
    <w:tmpl w:val="56AA20AA"/>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6F347720"/>
    <w:multiLevelType w:val="hybridMultilevel"/>
    <w:tmpl w:val="BB9E22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D72373"/>
    <w:multiLevelType w:val="hybridMultilevel"/>
    <w:tmpl w:val="2804A7D8"/>
    <w:lvl w:ilvl="0" w:tplc="9A38DAAC">
      <w:start w:val="1"/>
      <w:numFmt w:val="decimal"/>
      <w:lvlText w:val="%1."/>
      <w:lvlJc w:val="left"/>
      <w:pPr>
        <w:tabs>
          <w:tab w:val="num" w:pos="502"/>
        </w:tabs>
        <w:ind w:left="502" w:hanging="360"/>
      </w:pPr>
      <w:rPr>
        <w:sz w:val="24"/>
        <w:szCs w:val="24"/>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1" w15:restartNumberingAfterBreak="0">
    <w:nsid w:val="72376EA4"/>
    <w:multiLevelType w:val="hybridMultilevel"/>
    <w:tmpl w:val="2976DC7E"/>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15:restartNumberingAfterBreak="0">
    <w:nsid w:val="7D3D59D0"/>
    <w:multiLevelType w:val="hybridMultilevel"/>
    <w:tmpl w:val="75DAC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7D9472D4"/>
    <w:multiLevelType w:val="hybridMultilevel"/>
    <w:tmpl w:val="489285CA"/>
    <w:lvl w:ilvl="0" w:tplc="0416000F">
      <w:start w:val="1"/>
      <w:numFmt w:val="decimal"/>
      <w:lvlText w:val="%1."/>
      <w:lvlJc w:val="left"/>
      <w:pPr>
        <w:ind w:left="1724" w:hanging="360"/>
      </w:pPr>
      <w:rPr>
        <w:rFonts w:hint="default"/>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22"/>
  </w:num>
  <w:num w:numId="2">
    <w:abstractNumId w:val="19"/>
  </w:num>
  <w:num w:numId="3">
    <w:abstractNumId w:val="15"/>
  </w:num>
  <w:num w:numId="4">
    <w:abstractNumId w:val="6"/>
  </w:num>
  <w:num w:numId="5">
    <w:abstractNumId w:val="2"/>
  </w:num>
  <w:num w:numId="6">
    <w:abstractNumId w:val="7"/>
  </w:num>
  <w:num w:numId="7">
    <w:abstractNumId w:val="12"/>
  </w:num>
  <w:num w:numId="8">
    <w:abstractNumId w:val="9"/>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6"/>
  </w:num>
  <w:num w:numId="20">
    <w:abstractNumId w:val="0"/>
  </w:num>
  <w:num w:numId="21">
    <w:abstractNumId w:val="1"/>
  </w:num>
  <w:num w:numId="22">
    <w:abstractNumId w:val="8"/>
  </w:num>
  <w:num w:numId="23">
    <w:abstractNumId w:val="13"/>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9A"/>
    <w:rsid w:val="0001188D"/>
    <w:rsid w:val="00023136"/>
    <w:rsid w:val="0004011E"/>
    <w:rsid w:val="00045689"/>
    <w:rsid w:val="00051094"/>
    <w:rsid w:val="00052E3C"/>
    <w:rsid w:val="00052E5D"/>
    <w:rsid w:val="00053EC3"/>
    <w:rsid w:val="00055047"/>
    <w:rsid w:val="00081374"/>
    <w:rsid w:val="00083AB8"/>
    <w:rsid w:val="000A1C26"/>
    <w:rsid w:val="000A39AD"/>
    <w:rsid w:val="000A42CA"/>
    <w:rsid w:val="000D080D"/>
    <w:rsid w:val="000D7EA7"/>
    <w:rsid w:val="000E04D4"/>
    <w:rsid w:val="00100FCD"/>
    <w:rsid w:val="0010541C"/>
    <w:rsid w:val="001067A5"/>
    <w:rsid w:val="001127BD"/>
    <w:rsid w:val="00114132"/>
    <w:rsid w:val="00122FA5"/>
    <w:rsid w:val="00133669"/>
    <w:rsid w:val="00136FBB"/>
    <w:rsid w:val="001424AA"/>
    <w:rsid w:val="0014342D"/>
    <w:rsid w:val="001545BD"/>
    <w:rsid w:val="001547F7"/>
    <w:rsid w:val="00166CBE"/>
    <w:rsid w:val="0017280F"/>
    <w:rsid w:val="00177F91"/>
    <w:rsid w:val="0018614E"/>
    <w:rsid w:val="001867F4"/>
    <w:rsid w:val="0019104D"/>
    <w:rsid w:val="001B270D"/>
    <w:rsid w:val="001B45D8"/>
    <w:rsid w:val="001B7AFC"/>
    <w:rsid w:val="001C285E"/>
    <w:rsid w:val="001D3370"/>
    <w:rsid w:val="001D3B30"/>
    <w:rsid w:val="00213AE6"/>
    <w:rsid w:val="0021732B"/>
    <w:rsid w:val="00233756"/>
    <w:rsid w:val="0023387B"/>
    <w:rsid w:val="00233CB7"/>
    <w:rsid w:val="0023590D"/>
    <w:rsid w:val="00236947"/>
    <w:rsid w:val="00242972"/>
    <w:rsid w:val="002508AC"/>
    <w:rsid w:val="0025470D"/>
    <w:rsid w:val="00270E09"/>
    <w:rsid w:val="002722C0"/>
    <w:rsid w:val="00272D57"/>
    <w:rsid w:val="00277B32"/>
    <w:rsid w:val="002954FF"/>
    <w:rsid w:val="002A0038"/>
    <w:rsid w:val="002A087F"/>
    <w:rsid w:val="002A1399"/>
    <w:rsid w:val="002A6BE1"/>
    <w:rsid w:val="002A703F"/>
    <w:rsid w:val="002A7E22"/>
    <w:rsid w:val="002A7EA2"/>
    <w:rsid w:val="002C46AC"/>
    <w:rsid w:val="002C5309"/>
    <w:rsid w:val="002E7B7A"/>
    <w:rsid w:val="002F26B8"/>
    <w:rsid w:val="0030216A"/>
    <w:rsid w:val="003067CA"/>
    <w:rsid w:val="00306985"/>
    <w:rsid w:val="003209DB"/>
    <w:rsid w:val="003340CA"/>
    <w:rsid w:val="003345B8"/>
    <w:rsid w:val="00337497"/>
    <w:rsid w:val="00353F7F"/>
    <w:rsid w:val="0035559B"/>
    <w:rsid w:val="00361619"/>
    <w:rsid w:val="00367F84"/>
    <w:rsid w:val="003700E1"/>
    <w:rsid w:val="00372214"/>
    <w:rsid w:val="0039147A"/>
    <w:rsid w:val="00392E61"/>
    <w:rsid w:val="00395D94"/>
    <w:rsid w:val="003A0E60"/>
    <w:rsid w:val="003A3F62"/>
    <w:rsid w:val="003C4156"/>
    <w:rsid w:val="003C5055"/>
    <w:rsid w:val="003D08B6"/>
    <w:rsid w:val="003E6934"/>
    <w:rsid w:val="003F1706"/>
    <w:rsid w:val="003F5AE6"/>
    <w:rsid w:val="003F63FC"/>
    <w:rsid w:val="0041147E"/>
    <w:rsid w:val="00423020"/>
    <w:rsid w:val="004239CB"/>
    <w:rsid w:val="004368A9"/>
    <w:rsid w:val="00450B24"/>
    <w:rsid w:val="004614F2"/>
    <w:rsid w:val="00467E23"/>
    <w:rsid w:val="004749E9"/>
    <w:rsid w:val="00480FF7"/>
    <w:rsid w:val="004853DD"/>
    <w:rsid w:val="00493C33"/>
    <w:rsid w:val="00494C80"/>
    <w:rsid w:val="00496E58"/>
    <w:rsid w:val="004A40E0"/>
    <w:rsid w:val="004B02D5"/>
    <w:rsid w:val="004C19ED"/>
    <w:rsid w:val="004C42D3"/>
    <w:rsid w:val="004E0E71"/>
    <w:rsid w:val="004E2A73"/>
    <w:rsid w:val="00515387"/>
    <w:rsid w:val="00537BCC"/>
    <w:rsid w:val="0055302F"/>
    <w:rsid w:val="005B4DAC"/>
    <w:rsid w:val="005B6845"/>
    <w:rsid w:val="005B7C2E"/>
    <w:rsid w:val="005C02EE"/>
    <w:rsid w:val="005C2CBF"/>
    <w:rsid w:val="005C5DB3"/>
    <w:rsid w:val="005C66A3"/>
    <w:rsid w:val="005E4A0C"/>
    <w:rsid w:val="005E5C7C"/>
    <w:rsid w:val="00602F9A"/>
    <w:rsid w:val="00602FA2"/>
    <w:rsid w:val="00605CA2"/>
    <w:rsid w:val="00606870"/>
    <w:rsid w:val="00623B28"/>
    <w:rsid w:val="006256C1"/>
    <w:rsid w:val="00652621"/>
    <w:rsid w:val="00663D1A"/>
    <w:rsid w:val="0066742E"/>
    <w:rsid w:val="00676FCB"/>
    <w:rsid w:val="0069052A"/>
    <w:rsid w:val="0069506A"/>
    <w:rsid w:val="006A0949"/>
    <w:rsid w:val="006A1E1A"/>
    <w:rsid w:val="006A6E6A"/>
    <w:rsid w:val="006A7E6E"/>
    <w:rsid w:val="006B33A1"/>
    <w:rsid w:val="006B3DFE"/>
    <w:rsid w:val="006C1405"/>
    <w:rsid w:val="006C25C9"/>
    <w:rsid w:val="006C370A"/>
    <w:rsid w:val="006C4951"/>
    <w:rsid w:val="006D5526"/>
    <w:rsid w:val="006E2215"/>
    <w:rsid w:val="006E243E"/>
    <w:rsid w:val="006E6D1D"/>
    <w:rsid w:val="00705CAF"/>
    <w:rsid w:val="007127DB"/>
    <w:rsid w:val="00731874"/>
    <w:rsid w:val="007353C0"/>
    <w:rsid w:val="007531D3"/>
    <w:rsid w:val="00755BF9"/>
    <w:rsid w:val="00762BBB"/>
    <w:rsid w:val="007815F1"/>
    <w:rsid w:val="00783CE4"/>
    <w:rsid w:val="0079409F"/>
    <w:rsid w:val="007A7F55"/>
    <w:rsid w:val="007B3628"/>
    <w:rsid w:val="007B660F"/>
    <w:rsid w:val="007C564C"/>
    <w:rsid w:val="007D0DF9"/>
    <w:rsid w:val="007E08F5"/>
    <w:rsid w:val="007F1DA9"/>
    <w:rsid w:val="007F3942"/>
    <w:rsid w:val="00810D2C"/>
    <w:rsid w:val="0083209C"/>
    <w:rsid w:val="00832161"/>
    <w:rsid w:val="00833DB9"/>
    <w:rsid w:val="0083554E"/>
    <w:rsid w:val="00844E44"/>
    <w:rsid w:val="00845C4D"/>
    <w:rsid w:val="00847CD1"/>
    <w:rsid w:val="00847F3E"/>
    <w:rsid w:val="00857672"/>
    <w:rsid w:val="0086419A"/>
    <w:rsid w:val="00867E8D"/>
    <w:rsid w:val="0089389A"/>
    <w:rsid w:val="008A5C3E"/>
    <w:rsid w:val="008C0432"/>
    <w:rsid w:val="008C6BE1"/>
    <w:rsid w:val="008C7533"/>
    <w:rsid w:val="008D2300"/>
    <w:rsid w:val="008D434E"/>
    <w:rsid w:val="008D77EA"/>
    <w:rsid w:val="008E7357"/>
    <w:rsid w:val="008F4251"/>
    <w:rsid w:val="008F5E31"/>
    <w:rsid w:val="00901052"/>
    <w:rsid w:val="009209CF"/>
    <w:rsid w:val="009311D1"/>
    <w:rsid w:val="009357EA"/>
    <w:rsid w:val="00945E59"/>
    <w:rsid w:val="00950EFE"/>
    <w:rsid w:val="009524C5"/>
    <w:rsid w:val="00957CFC"/>
    <w:rsid w:val="00965A26"/>
    <w:rsid w:val="00984BB4"/>
    <w:rsid w:val="009A68F5"/>
    <w:rsid w:val="009A6EC9"/>
    <w:rsid w:val="009C0020"/>
    <w:rsid w:val="009C6F29"/>
    <w:rsid w:val="009D3464"/>
    <w:rsid w:val="009D7FE8"/>
    <w:rsid w:val="009F219F"/>
    <w:rsid w:val="009F2E8F"/>
    <w:rsid w:val="00A26F8D"/>
    <w:rsid w:val="00A31B04"/>
    <w:rsid w:val="00A32568"/>
    <w:rsid w:val="00A4731B"/>
    <w:rsid w:val="00A477A5"/>
    <w:rsid w:val="00A51619"/>
    <w:rsid w:val="00A6055D"/>
    <w:rsid w:val="00A83146"/>
    <w:rsid w:val="00AA1003"/>
    <w:rsid w:val="00AB1BB8"/>
    <w:rsid w:val="00AD0A6C"/>
    <w:rsid w:val="00AD31BC"/>
    <w:rsid w:val="00AD6AB1"/>
    <w:rsid w:val="00B01256"/>
    <w:rsid w:val="00B130A8"/>
    <w:rsid w:val="00B1334C"/>
    <w:rsid w:val="00B21DF1"/>
    <w:rsid w:val="00B24922"/>
    <w:rsid w:val="00B303F2"/>
    <w:rsid w:val="00B342F4"/>
    <w:rsid w:val="00B353E4"/>
    <w:rsid w:val="00B47CD5"/>
    <w:rsid w:val="00B577B8"/>
    <w:rsid w:val="00B61004"/>
    <w:rsid w:val="00B67405"/>
    <w:rsid w:val="00B676C0"/>
    <w:rsid w:val="00B72E73"/>
    <w:rsid w:val="00B93025"/>
    <w:rsid w:val="00B965F1"/>
    <w:rsid w:val="00BA279F"/>
    <w:rsid w:val="00BC634B"/>
    <w:rsid w:val="00BC776E"/>
    <w:rsid w:val="00BD51C4"/>
    <w:rsid w:val="00BE16B1"/>
    <w:rsid w:val="00BE3582"/>
    <w:rsid w:val="00BE6449"/>
    <w:rsid w:val="00BE6AE8"/>
    <w:rsid w:val="00BF08F4"/>
    <w:rsid w:val="00BF27FE"/>
    <w:rsid w:val="00BF550E"/>
    <w:rsid w:val="00C0371B"/>
    <w:rsid w:val="00C07190"/>
    <w:rsid w:val="00C13110"/>
    <w:rsid w:val="00C207FD"/>
    <w:rsid w:val="00C235B2"/>
    <w:rsid w:val="00C25808"/>
    <w:rsid w:val="00C30E99"/>
    <w:rsid w:val="00C349E3"/>
    <w:rsid w:val="00C42DC0"/>
    <w:rsid w:val="00C52773"/>
    <w:rsid w:val="00C7231E"/>
    <w:rsid w:val="00C76145"/>
    <w:rsid w:val="00CA4B93"/>
    <w:rsid w:val="00CA7EE7"/>
    <w:rsid w:val="00CB29F6"/>
    <w:rsid w:val="00CB5CC9"/>
    <w:rsid w:val="00CC1022"/>
    <w:rsid w:val="00CD1688"/>
    <w:rsid w:val="00CE443E"/>
    <w:rsid w:val="00D117A6"/>
    <w:rsid w:val="00D12DB5"/>
    <w:rsid w:val="00D20CB1"/>
    <w:rsid w:val="00D226EA"/>
    <w:rsid w:val="00D23074"/>
    <w:rsid w:val="00D32C6D"/>
    <w:rsid w:val="00D343B8"/>
    <w:rsid w:val="00D37CD2"/>
    <w:rsid w:val="00D40142"/>
    <w:rsid w:val="00D51954"/>
    <w:rsid w:val="00D550AD"/>
    <w:rsid w:val="00D63EE3"/>
    <w:rsid w:val="00D700F8"/>
    <w:rsid w:val="00DB4B3B"/>
    <w:rsid w:val="00DD2A4C"/>
    <w:rsid w:val="00DD5391"/>
    <w:rsid w:val="00E0027B"/>
    <w:rsid w:val="00E0414E"/>
    <w:rsid w:val="00E27EB1"/>
    <w:rsid w:val="00E44BD9"/>
    <w:rsid w:val="00E47ED6"/>
    <w:rsid w:val="00E575DD"/>
    <w:rsid w:val="00E63606"/>
    <w:rsid w:val="00E80717"/>
    <w:rsid w:val="00E84315"/>
    <w:rsid w:val="00E8483A"/>
    <w:rsid w:val="00EA2859"/>
    <w:rsid w:val="00EB50B5"/>
    <w:rsid w:val="00EB79E1"/>
    <w:rsid w:val="00EC1B75"/>
    <w:rsid w:val="00EC423B"/>
    <w:rsid w:val="00ED13F7"/>
    <w:rsid w:val="00EF0429"/>
    <w:rsid w:val="00EF122B"/>
    <w:rsid w:val="00F07BE7"/>
    <w:rsid w:val="00F12FDA"/>
    <w:rsid w:val="00F32546"/>
    <w:rsid w:val="00F435E1"/>
    <w:rsid w:val="00F4583C"/>
    <w:rsid w:val="00FA06EC"/>
    <w:rsid w:val="00FA4EDF"/>
    <w:rsid w:val="00FA5D1B"/>
    <w:rsid w:val="00FB6D4C"/>
    <w:rsid w:val="00FC4D2E"/>
    <w:rsid w:val="00FD4093"/>
    <w:rsid w:val="00FE2FB6"/>
    <w:rsid w:val="00FF1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AFEE"/>
  <w15:docId w15:val="{A3696A73-DEFF-4C2C-B903-55B595F6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9A"/>
    <w:pPr>
      <w:spacing w:after="0" w:line="240" w:lineRule="auto"/>
      <w:jc w:val="both"/>
    </w:pPr>
    <w:rPr>
      <w:rFonts w:ascii="Arial" w:hAnsi="Arial"/>
      <w:sz w:val="20"/>
    </w:rPr>
  </w:style>
  <w:style w:type="paragraph" w:styleId="Ttulo3">
    <w:name w:val="heading 3"/>
    <w:basedOn w:val="Normal"/>
    <w:next w:val="Normal"/>
    <w:link w:val="Ttulo3Char"/>
    <w:qFormat/>
    <w:rsid w:val="00B47CD5"/>
    <w:pPr>
      <w:keepNext/>
      <w:jc w:val="center"/>
      <w:outlineLvl w:val="2"/>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B47CD5"/>
    <w:pPr>
      <w:keepNext/>
      <w:jc w:val="center"/>
      <w:outlineLvl w:val="3"/>
    </w:pPr>
    <w:rPr>
      <w:rFonts w:eastAsia="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02F9A"/>
    <w:pPr>
      <w:tabs>
        <w:tab w:val="center" w:pos="4252"/>
        <w:tab w:val="right" w:pos="8504"/>
      </w:tabs>
    </w:pPr>
  </w:style>
  <w:style w:type="character" w:customStyle="1" w:styleId="CabealhoChar">
    <w:name w:val="Cabeçalho Char"/>
    <w:basedOn w:val="Fontepargpadro"/>
    <w:link w:val="Cabealho"/>
    <w:rsid w:val="00602F9A"/>
    <w:rPr>
      <w:rFonts w:ascii="Arial" w:hAnsi="Arial"/>
      <w:sz w:val="20"/>
    </w:rPr>
  </w:style>
  <w:style w:type="paragraph" w:styleId="Rodap">
    <w:name w:val="footer"/>
    <w:basedOn w:val="Normal"/>
    <w:link w:val="RodapChar"/>
    <w:unhideWhenUsed/>
    <w:rsid w:val="00602F9A"/>
    <w:pPr>
      <w:tabs>
        <w:tab w:val="center" w:pos="4252"/>
        <w:tab w:val="right" w:pos="8504"/>
      </w:tabs>
    </w:pPr>
  </w:style>
  <w:style w:type="character" w:customStyle="1" w:styleId="RodapChar">
    <w:name w:val="Rodapé Char"/>
    <w:basedOn w:val="Fontepargpadro"/>
    <w:link w:val="Rodap"/>
    <w:rsid w:val="00602F9A"/>
    <w:rPr>
      <w:rFonts w:ascii="Arial" w:hAnsi="Arial"/>
      <w:sz w:val="20"/>
    </w:rPr>
  </w:style>
  <w:style w:type="table" w:styleId="Tabelacomgrade">
    <w:name w:val="Table Grid"/>
    <w:basedOn w:val="Tabelanormal"/>
    <w:uiPriority w:val="39"/>
    <w:rsid w:val="0060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A6E6A"/>
    <w:pPr>
      <w:ind w:left="720"/>
      <w:contextualSpacing/>
    </w:pPr>
  </w:style>
  <w:style w:type="character" w:customStyle="1" w:styleId="Ttulo3Char">
    <w:name w:val="Título 3 Char"/>
    <w:basedOn w:val="Fontepargpadro"/>
    <w:link w:val="Ttulo3"/>
    <w:rsid w:val="00B47CD5"/>
    <w:rPr>
      <w:rFonts w:ascii="Times New Roman" w:eastAsia="Times New Roman" w:hAnsi="Times New Roman" w:cs="Times New Roman"/>
      <w:sz w:val="28"/>
      <w:szCs w:val="20"/>
      <w:lang w:eastAsia="pt-BR"/>
    </w:rPr>
  </w:style>
  <w:style w:type="character" w:customStyle="1" w:styleId="Ttulo4Char">
    <w:name w:val="Título 4 Char"/>
    <w:basedOn w:val="Fontepargpadro"/>
    <w:link w:val="Ttulo4"/>
    <w:rsid w:val="00B47CD5"/>
    <w:rPr>
      <w:rFonts w:ascii="Arial" w:eastAsia="Times New Roman" w:hAnsi="Arial" w:cs="Times New Roman"/>
      <w:b/>
      <w:bCs/>
      <w:sz w:val="28"/>
      <w:szCs w:val="20"/>
      <w:lang w:eastAsia="pt-BR"/>
    </w:rPr>
  </w:style>
  <w:style w:type="character" w:styleId="Forte">
    <w:name w:val="Strong"/>
    <w:basedOn w:val="Fontepargpadro"/>
    <w:uiPriority w:val="22"/>
    <w:qFormat/>
    <w:rsid w:val="00B47CD5"/>
    <w:rPr>
      <w:b/>
      <w:bCs/>
    </w:rPr>
  </w:style>
  <w:style w:type="paragraph" w:styleId="Textodebalo">
    <w:name w:val="Balloon Text"/>
    <w:basedOn w:val="Normal"/>
    <w:link w:val="TextodebaloChar"/>
    <w:rsid w:val="00B47CD5"/>
    <w:pPr>
      <w:jc w:val="left"/>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B47CD5"/>
    <w:rPr>
      <w:rFonts w:ascii="Tahoma" w:eastAsia="Times New Roman" w:hAnsi="Tahoma" w:cs="Tahoma"/>
      <w:sz w:val="16"/>
      <w:szCs w:val="16"/>
      <w:lang w:eastAsia="pt-BR"/>
    </w:rPr>
  </w:style>
  <w:style w:type="paragraph" w:customStyle="1" w:styleId="Default">
    <w:name w:val="Default"/>
    <w:rsid w:val="00B47CD5"/>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customStyle="1" w:styleId="apple-converted-space">
    <w:name w:val="apple-converted-space"/>
    <w:basedOn w:val="Fontepargpadro"/>
    <w:rsid w:val="00B47CD5"/>
  </w:style>
  <w:style w:type="character" w:customStyle="1" w:styleId="unit">
    <w:name w:val="unit"/>
    <w:basedOn w:val="Fontepargpadro"/>
    <w:rsid w:val="00B47CD5"/>
  </w:style>
  <w:style w:type="paragraph" w:styleId="NormalWeb">
    <w:name w:val="Normal (Web)"/>
    <w:basedOn w:val="Normal"/>
    <w:uiPriority w:val="99"/>
    <w:semiHidden/>
    <w:unhideWhenUsed/>
    <w:rsid w:val="00B47CD5"/>
    <w:pPr>
      <w:spacing w:before="100" w:beforeAutospacing="1" w:after="100" w:afterAutospacing="1"/>
      <w:jc w:val="left"/>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9795">
      <w:bodyDiv w:val="1"/>
      <w:marLeft w:val="0"/>
      <w:marRight w:val="0"/>
      <w:marTop w:val="0"/>
      <w:marBottom w:val="0"/>
      <w:divBdr>
        <w:top w:val="none" w:sz="0" w:space="0" w:color="auto"/>
        <w:left w:val="none" w:sz="0" w:space="0" w:color="auto"/>
        <w:bottom w:val="none" w:sz="0" w:space="0" w:color="auto"/>
        <w:right w:val="none" w:sz="0" w:space="0" w:color="auto"/>
      </w:divBdr>
    </w:div>
    <w:div w:id="233783093">
      <w:bodyDiv w:val="1"/>
      <w:marLeft w:val="0"/>
      <w:marRight w:val="0"/>
      <w:marTop w:val="0"/>
      <w:marBottom w:val="0"/>
      <w:divBdr>
        <w:top w:val="none" w:sz="0" w:space="0" w:color="auto"/>
        <w:left w:val="none" w:sz="0" w:space="0" w:color="auto"/>
        <w:bottom w:val="none" w:sz="0" w:space="0" w:color="auto"/>
        <w:right w:val="none" w:sz="0" w:space="0" w:color="auto"/>
      </w:divBdr>
    </w:div>
    <w:div w:id="281115818">
      <w:bodyDiv w:val="1"/>
      <w:marLeft w:val="0"/>
      <w:marRight w:val="0"/>
      <w:marTop w:val="0"/>
      <w:marBottom w:val="0"/>
      <w:divBdr>
        <w:top w:val="none" w:sz="0" w:space="0" w:color="auto"/>
        <w:left w:val="none" w:sz="0" w:space="0" w:color="auto"/>
        <w:bottom w:val="none" w:sz="0" w:space="0" w:color="auto"/>
        <w:right w:val="none" w:sz="0" w:space="0" w:color="auto"/>
      </w:divBdr>
    </w:div>
    <w:div w:id="515777124">
      <w:bodyDiv w:val="1"/>
      <w:marLeft w:val="0"/>
      <w:marRight w:val="0"/>
      <w:marTop w:val="0"/>
      <w:marBottom w:val="0"/>
      <w:divBdr>
        <w:top w:val="none" w:sz="0" w:space="0" w:color="auto"/>
        <w:left w:val="none" w:sz="0" w:space="0" w:color="auto"/>
        <w:bottom w:val="none" w:sz="0" w:space="0" w:color="auto"/>
        <w:right w:val="none" w:sz="0" w:space="0" w:color="auto"/>
      </w:divBdr>
    </w:div>
    <w:div w:id="638606002">
      <w:bodyDiv w:val="1"/>
      <w:marLeft w:val="0"/>
      <w:marRight w:val="0"/>
      <w:marTop w:val="0"/>
      <w:marBottom w:val="0"/>
      <w:divBdr>
        <w:top w:val="none" w:sz="0" w:space="0" w:color="auto"/>
        <w:left w:val="none" w:sz="0" w:space="0" w:color="auto"/>
        <w:bottom w:val="none" w:sz="0" w:space="0" w:color="auto"/>
        <w:right w:val="none" w:sz="0" w:space="0" w:color="auto"/>
      </w:divBdr>
    </w:div>
    <w:div w:id="678774646">
      <w:bodyDiv w:val="1"/>
      <w:marLeft w:val="0"/>
      <w:marRight w:val="0"/>
      <w:marTop w:val="0"/>
      <w:marBottom w:val="0"/>
      <w:divBdr>
        <w:top w:val="none" w:sz="0" w:space="0" w:color="auto"/>
        <w:left w:val="none" w:sz="0" w:space="0" w:color="auto"/>
        <w:bottom w:val="none" w:sz="0" w:space="0" w:color="auto"/>
        <w:right w:val="none" w:sz="0" w:space="0" w:color="auto"/>
      </w:divBdr>
    </w:div>
    <w:div w:id="716972137">
      <w:bodyDiv w:val="1"/>
      <w:marLeft w:val="0"/>
      <w:marRight w:val="0"/>
      <w:marTop w:val="0"/>
      <w:marBottom w:val="0"/>
      <w:divBdr>
        <w:top w:val="none" w:sz="0" w:space="0" w:color="auto"/>
        <w:left w:val="none" w:sz="0" w:space="0" w:color="auto"/>
        <w:bottom w:val="none" w:sz="0" w:space="0" w:color="auto"/>
        <w:right w:val="none" w:sz="0" w:space="0" w:color="auto"/>
      </w:divBdr>
    </w:div>
    <w:div w:id="726732521">
      <w:bodyDiv w:val="1"/>
      <w:marLeft w:val="0"/>
      <w:marRight w:val="0"/>
      <w:marTop w:val="0"/>
      <w:marBottom w:val="0"/>
      <w:divBdr>
        <w:top w:val="none" w:sz="0" w:space="0" w:color="auto"/>
        <w:left w:val="none" w:sz="0" w:space="0" w:color="auto"/>
        <w:bottom w:val="none" w:sz="0" w:space="0" w:color="auto"/>
        <w:right w:val="none" w:sz="0" w:space="0" w:color="auto"/>
      </w:divBdr>
    </w:div>
    <w:div w:id="728501381">
      <w:bodyDiv w:val="1"/>
      <w:marLeft w:val="0"/>
      <w:marRight w:val="0"/>
      <w:marTop w:val="0"/>
      <w:marBottom w:val="0"/>
      <w:divBdr>
        <w:top w:val="none" w:sz="0" w:space="0" w:color="auto"/>
        <w:left w:val="none" w:sz="0" w:space="0" w:color="auto"/>
        <w:bottom w:val="none" w:sz="0" w:space="0" w:color="auto"/>
        <w:right w:val="none" w:sz="0" w:space="0" w:color="auto"/>
      </w:divBdr>
    </w:div>
    <w:div w:id="743335213">
      <w:bodyDiv w:val="1"/>
      <w:marLeft w:val="0"/>
      <w:marRight w:val="0"/>
      <w:marTop w:val="0"/>
      <w:marBottom w:val="0"/>
      <w:divBdr>
        <w:top w:val="none" w:sz="0" w:space="0" w:color="auto"/>
        <w:left w:val="none" w:sz="0" w:space="0" w:color="auto"/>
        <w:bottom w:val="none" w:sz="0" w:space="0" w:color="auto"/>
        <w:right w:val="none" w:sz="0" w:space="0" w:color="auto"/>
      </w:divBdr>
    </w:div>
    <w:div w:id="774206231">
      <w:bodyDiv w:val="1"/>
      <w:marLeft w:val="0"/>
      <w:marRight w:val="0"/>
      <w:marTop w:val="0"/>
      <w:marBottom w:val="0"/>
      <w:divBdr>
        <w:top w:val="none" w:sz="0" w:space="0" w:color="auto"/>
        <w:left w:val="none" w:sz="0" w:space="0" w:color="auto"/>
        <w:bottom w:val="none" w:sz="0" w:space="0" w:color="auto"/>
        <w:right w:val="none" w:sz="0" w:space="0" w:color="auto"/>
      </w:divBdr>
    </w:div>
    <w:div w:id="825365867">
      <w:bodyDiv w:val="1"/>
      <w:marLeft w:val="0"/>
      <w:marRight w:val="0"/>
      <w:marTop w:val="0"/>
      <w:marBottom w:val="0"/>
      <w:divBdr>
        <w:top w:val="none" w:sz="0" w:space="0" w:color="auto"/>
        <w:left w:val="none" w:sz="0" w:space="0" w:color="auto"/>
        <w:bottom w:val="none" w:sz="0" w:space="0" w:color="auto"/>
        <w:right w:val="none" w:sz="0" w:space="0" w:color="auto"/>
      </w:divBdr>
    </w:div>
    <w:div w:id="844787668">
      <w:bodyDiv w:val="1"/>
      <w:marLeft w:val="0"/>
      <w:marRight w:val="0"/>
      <w:marTop w:val="0"/>
      <w:marBottom w:val="0"/>
      <w:divBdr>
        <w:top w:val="none" w:sz="0" w:space="0" w:color="auto"/>
        <w:left w:val="none" w:sz="0" w:space="0" w:color="auto"/>
        <w:bottom w:val="none" w:sz="0" w:space="0" w:color="auto"/>
        <w:right w:val="none" w:sz="0" w:space="0" w:color="auto"/>
      </w:divBdr>
    </w:div>
    <w:div w:id="918488966">
      <w:bodyDiv w:val="1"/>
      <w:marLeft w:val="0"/>
      <w:marRight w:val="0"/>
      <w:marTop w:val="0"/>
      <w:marBottom w:val="0"/>
      <w:divBdr>
        <w:top w:val="none" w:sz="0" w:space="0" w:color="auto"/>
        <w:left w:val="none" w:sz="0" w:space="0" w:color="auto"/>
        <w:bottom w:val="none" w:sz="0" w:space="0" w:color="auto"/>
        <w:right w:val="none" w:sz="0" w:space="0" w:color="auto"/>
      </w:divBdr>
    </w:div>
    <w:div w:id="1015811842">
      <w:bodyDiv w:val="1"/>
      <w:marLeft w:val="0"/>
      <w:marRight w:val="0"/>
      <w:marTop w:val="0"/>
      <w:marBottom w:val="0"/>
      <w:divBdr>
        <w:top w:val="none" w:sz="0" w:space="0" w:color="auto"/>
        <w:left w:val="none" w:sz="0" w:space="0" w:color="auto"/>
        <w:bottom w:val="none" w:sz="0" w:space="0" w:color="auto"/>
        <w:right w:val="none" w:sz="0" w:space="0" w:color="auto"/>
      </w:divBdr>
    </w:div>
    <w:div w:id="1030954945">
      <w:bodyDiv w:val="1"/>
      <w:marLeft w:val="0"/>
      <w:marRight w:val="0"/>
      <w:marTop w:val="0"/>
      <w:marBottom w:val="0"/>
      <w:divBdr>
        <w:top w:val="none" w:sz="0" w:space="0" w:color="auto"/>
        <w:left w:val="none" w:sz="0" w:space="0" w:color="auto"/>
        <w:bottom w:val="none" w:sz="0" w:space="0" w:color="auto"/>
        <w:right w:val="none" w:sz="0" w:space="0" w:color="auto"/>
      </w:divBdr>
    </w:div>
    <w:div w:id="1035889983">
      <w:bodyDiv w:val="1"/>
      <w:marLeft w:val="0"/>
      <w:marRight w:val="0"/>
      <w:marTop w:val="0"/>
      <w:marBottom w:val="0"/>
      <w:divBdr>
        <w:top w:val="none" w:sz="0" w:space="0" w:color="auto"/>
        <w:left w:val="none" w:sz="0" w:space="0" w:color="auto"/>
        <w:bottom w:val="none" w:sz="0" w:space="0" w:color="auto"/>
        <w:right w:val="none" w:sz="0" w:space="0" w:color="auto"/>
      </w:divBdr>
    </w:div>
    <w:div w:id="1180315124">
      <w:bodyDiv w:val="1"/>
      <w:marLeft w:val="0"/>
      <w:marRight w:val="0"/>
      <w:marTop w:val="0"/>
      <w:marBottom w:val="0"/>
      <w:divBdr>
        <w:top w:val="none" w:sz="0" w:space="0" w:color="auto"/>
        <w:left w:val="none" w:sz="0" w:space="0" w:color="auto"/>
        <w:bottom w:val="none" w:sz="0" w:space="0" w:color="auto"/>
        <w:right w:val="none" w:sz="0" w:space="0" w:color="auto"/>
      </w:divBdr>
    </w:div>
    <w:div w:id="1185361552">
      <w:bodyDiv w:val="1"/>
      <w:marLeft w:val="0"/>
      <w:marRight w:val="0"/>
      <w:marTop w:val="0"/>
      <w:marBottom w:val="0"/>
      <w:divBdr>
        <w:top w:val="none" w:sz="0" w:space="0" w:color="auto"/>
        <w:left w:val="none" w:sz="0" w:space="0" w:color="auto"/>
        <w:bottom w:val="none" w:sz="0" w:space="0" w:color="auto"/>
        <w:right w:val="none" w:sz="0" w:space="0" w:color="auto"/>
      </w:divBdr>
    </w:div>
    <w:div w:id="1463578218">
      <w:bodyDiv w:val="1"/>
      <w:marLeft w:val="0"/>
      <w:marRight w:val="0"/>
      <w:marTop w:val="0"/>
      <w:marBottom w:val="0"/>
      <w:divBdr>
        <w:top w:val="none" w:sz="0" w:space="0" w:color="auto"/>
        <w:left w:val="none" w:sz="0" w:space="0" w:color="auto"/>
        <w:bottom w:val="none" w:sz="0" w:space="0" w:color="auto"/>
        <w:right w:val="none" w:sz="0" w:space="0" w:color="auto"/>
      </w:divBdr>
    </w:div>
    <w:div w:id="1510176395">
      <w:bodyDiv w:val="1"/>
      <w:marLeft w:val="0"/>
      <w:marRight w:val="0"/>
      <w:marTop w:val="0"/>
      <w:marBottom w:val="0"/>
      <w:divBdr>
        <w:top w:val="none" w:sz="0" w:space="0" w:color="auto"/>
        <w:left w:val="none" w:sz="0" w:space="0" w:color="auto"/>
        <w:bottom w:val="none" w:sz="0" w:space="0" w:color="auto"/>
        <w:right w:val="none" w:sz="0" w:space="0" w:color="auto"/>
      </w:divBdr>
    </w:div>
    <w:div w:id="1552882420">
      <w:bodyDiv w:val="1"/>
      <w:marLeft w:val="0"/>
      <w:marRight w:val="0"/>
      <w:marTop w:val="0"/>
      <w:marBottom w:val="0"/>
      <w:divBdr>
        <w:top w:val="none" w:sz="0" w:space="0" w:color="auto"/>
        <w:left w:val="none" w:sz="0" w:space="0" w:color="auto"/>
        <w:bottom w:val="none" w:sz="0" w:space="0" w:color="auto"/>
        <w:right w:val="none" w:sz="0" w:space="0" w:color="auto"/>
      </w:divBdr>
    </w:div>
    <w:div w:id="1678001912">
      <w:bodyDiv w:val="1"/>
      <w:marLeft w:val="0"/>
      <w:marRight w:val="0"/>
      <w:marTop w:val="0"/>
      <w:marBottom w:val="0"/>
      <w:divBdr>
        <w:top w:val="none" w:sz="0" w:space="0" w:color="auto"/>
        <w:left w:val="none" w:sz="0" w:space="0" w:color="auto"/>
        <w:bottom w:val="none" w:sz="0" w:space="0" w:color="auto"/>
        <w:right w:val="none" w:sz="0" w:space="0" w:color="auto"/>
      </w:divBdr>
    </w:div>
    <w:div w:id="1712731670">
      <w:bodyDiv w:val="1"/>
      <w:marLeft w:val="0"/>
      <w:marRight w:val="0"/>
      <w:marTop w:val="0"/>
      <w:marBottom w:val="0"/>
      <w:divBdr>
        <w:top w:val="none" w:sz="0" w:space="0" w:color="auto"/>
        <w:left w:val="none" w:sz="0" w:space="0" w:color="auto"/>
        <w:bottom w:val="none" w:sz="0" w:space="0" w:color="auto"/>
        <w:right w:val="none" w:sz="0" w:space="0" w:color="auto"/>
      </w:divBdr>
    </w:div>
    <w:div w:id="1881548634">
      <w:bodyDiv w:val="1"/>
      <w:marLeft w:val="0"/>
      <w:marRight w:val="0"/>
      <w:marTop w:val="0"/>
      <w:marBottom w:val="0"/>
      <w:divBdr>
        <w:top w:val="none" w:sz="0" w:space="0" w:color="auto"/>
        <w:left w:val="none" w:sz="0" w:space="0" w:color="auto"/>
        <w:bottom w:val="none" w:sz="0" w:space="0" w:color="auto"/>
        <w:right w:val="none" w:sz="0" w:space="0" w:color="auto"/>
      </w:divBdr>
    </w:div>
    <w:div w:id="1881670335">
      <w:bodyDiv w:val="1"/>
      <w:marLeft w:val="0"/>
      <w:marRight w:val="0"/>
      <w:marTop w:val="0"/>
      <w:marBottom w:val="0"/>
      <w:divBdr>
        <w:top w:val="none" w:sz="0" w:space="0" w:color="auto"/>
        <w:left w:val="none" w:sz="0" w:space="0" w:color="auto"/>
        <w:bottom w:val="none" w:sz="0" w:space="0" w:color="auto"/>
        <w:right w:val="none" w:sz="0" w:space="0" w:color="auto"/>
      </w:divBdr>
    </w:div>
    <w:div w:id="2008903304">
      <w:bodyDiv w:val="1"/>
      <w:marLeft w:val="0"/>
      <w:marRight w:val="0"/>
      <w:marTop w:val="0"/>
      <w:marBottom w:val="0"/>
      <w:divBdr>
        <w:top w:val="none" w:sz="0" w:space="0" w:color="auto"/>
        <w:left w:val="none" w:sz="0" w:space="0" w:color="auto"/>
        <w:bottom w:val="none" w:sz="0" w:space="0" w:color="auto"/>
        <w:right w:val="none" w:sz="0" w:space="0" w:color="auto"/>
      </w:divBdr>
    </w:div>
    <w:div w:id="2014337607">
      <w:bodyDiv w:val="1"/>
      <w:marLeft w:val="0"/>
      <w:marRight w:val="0"/>
      <w:marTop w:val="0"/>
      <w:marBottom w:val="0"/>
      <w:divBdr>
        <w:top w:val="none" w:sz="0" w:space="0" w:color="auto"/>
        <w:left w:val="none" w:sz="0" w:space="0" w:color="auto"/>
        <w:bottom w:val="none" w:sz="0" w:space="0" w:color="auto"/>
        <w:right w:val="none" w:sz="0" w:space="0" w:color="auto"/>
      </w:divBdr>
    </w:div>
    <w:div w:id="2086490911">
      <w:bodyDiv w:val="1"/>
      <w:marLeft w:val="0"/>
      <w:marRight w:val="0"/>
      <w:marTop w:val="0"/>
      <w:marBottom w:val="0"/>
      <w:divBdr>
        <w:top w:val="none" w:sz="0" w:space="0" w:color="auto"/>
        <w:left w:val="none" w:sz="0" w:space="0" w:color="auto"/>
        <w:bottom w:val="none" w:sz="0" w:space="0" w:color="auto"/>
        <w:right w:val="none" w:sz="0" w:space="0" w:color="auto"/>
      </w:divBdr>
    </w:div>
    <w:div w:id="2089039110">
      <w:bodyDiv w:val="1"/>
      <w:marLeft w:val="0"/>
      <w:marRight w:val="0"/>
      <w:marTop w:val="0"/>
      <w:marBottom w:val="0"/>
      <w:divBdr>
        <w:top w:val="none" w:sz="0" w:space="0" w:color="auto"/>
        <w:left w:val="none" w:sz="0" w:space="0" w:color="auto"/>
        <w:bottom w:val="none" w:sz="0" w:space="0" w:color="auto"/>
        <w:right w:val="none" w:sz="0" w:space="0" w:color="auto"/>
      </w:divBdr>
    </w:div>
    <w:div w:id="2098743896">
      <w:bodyDiv w:val="1"/>
      <w:marLeft w:val="0"/>
      <w:marRight w:val="0"/>
      <w:marTop w:val="0"/>
      <w:marBottom w:val="0"/>
      <w:divBdr>
        <w:top w:val="none" w:sz="0" w:space="0" w:color="auto"/>
        <w:left w:val="none" w:sz="0" w:space="0" w:color="auto"/>
        <w:bottom w:val="none" w:sz="0" w:space="0" w:color="auto"/>
        <w:right w:val="none" w:sz="0" w:space="0" w:color="auto"/>
      </w:divBdr>
    </w:div>
    <w:div w:id="2100174881">
      <w:bodyDiv w:val="1"/>
      <w:marLeft w:val="0"/>
      <w:marRight w:val="0"/>
      <w:marTop w:val="0"/>
      <w:marBottom w:val="0"/>
      <w:divBdr>
        <w:top w:val="none" w:sz="0" w:space="0" w:color="auto"/>
        <w:left w:val="none" w:sz="0" w:space="0" w:color="auto"/>
        <w:bottom w:val="none" w:sz="0" w:space="0" w:color="auto"/>
        <w:right w:val="none" w:sz="0" w:space="0" w:color="auto"/>
      </w:divBdr>
    </w:div>
    <w:div w:id="21022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15ECB-7FBA-4671-A2F1-FDEDD3E8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19</Pages>
  <Words>6041</Words>
  <Characters>32622</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Janilson Antonio Da Silva Suzart</dc:creator>
  <cp:keywords/>
  <dc:description/>
  <cp:lastModifiedBy>Thiago</cp:lastModifiedBy>
  <cp:revision>19</cp:revision>
  <cp:lastPrinted>2017-10-16T17:24:00Z</cp:lastPrinted>
  <dcterms:created xsi:type="dcterms:W3CDTF">2021-01-27T15:47:00Z</dcterms:created>
  <dcterms:modified xsi:type="dcterms:W3CDTF">2022-02-04T13:45:00Z</dcterms:modified>
</cp:coreProperties>
</file>