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51094" w:rsidRDefault="00051094" w:rsidP="009311D1"/>
    <w:p w:rsidR="0041147E" w:rsidRPr="00177927" w:rsidRDefault="0041147E" w:rsidP="0041147E">
      <w:pPr>
        <w:rPr>
          <w:rFonts w:cs="Arial"/>
          <w:b/>
          <w:sz w:val="22"/>
        </w:rPr>
      </w:pPr>
      <w:r w:rsidRPr="00177927">
        <w:rPr>
          <w:rFonts w:cs="Arial"/>
          <w:b/>
          <w:sz w:val="22"/>
        </w:rPr>
        <w:t>Nota 0</w:t>
      </w:r>
      <w:r>
        <w:rPr>
          <w:rFonts w:cs="Arial"/>
          <w:b/>
          <w:sz w:val="22"/>
        </w:rPr>
        <w:t>0</w:t>
      </w:r>
      <w:r w:rsidRPr="00177927">
        <w:rPr>
          <w:rFonts w:cs="Arial"/>
          <w:b/>
          <w:sz w:val="22"/>
        </w:rPr>
        <w:t xml:space="preserve"> </w:t>
      </w:r>
      <w:r>
        <w:rPr>
          <w:rFonts w:cs="Arial"/>
          <w:b/>
          <w:sz w:val="22"/>
        </w:rPr>
        <w:t>– Resultado Orçamentário</w:t>
      </w:r>
    </w:p>
    <w:p w:rsidR="0041147E" w:rsidRPr="00177927" w:rsidRDefault="0041147E" w:rsidP="0041147E">
      <w:pPr>
        <w:rPr>
          <w:rFonts w:cs="Arial"/>
          <w:b/>
          <w:sz w:val="22"/>
        </w:rPr>
      </w:pPr>
    </w:p>
    <w:p w:rsidR="0041147E" w:rsidRDefault="0041147E" w:rsidP="0041147E">
      <w:pPr>
        <w:rPr>
          <w:rFonts w:cs="Arial"/>
          <w:sz w:val="22"/>
        </w:rPr>
      </w:pPr>
      <w:r>
        <w:rPr>
          <w:rFonts w:cs="Arial"/>
          <w:sz w:val="22"/>
        </w:rPr>
        <w:t>Os valores arrecadados no exercício de 2019 estão apresentados na tabela abaixo, comparados com o mesmo período do exercício anterior:</w:t>
      </w:r>
    </w:p>
    <w:p w:rsidR="0041147E" w:rsidRDefault="0041147E" w:rsidP="0041147E">
      <w:pPr>
        <w:rPr>
          <w:rFonts w:cs="Arial"/>
          <w:sz w:val="22"/>
        </w:rPr>
      </w:pPr>
    </w:p>
    <w:p w:rsidR="0041147E" w:rsidRDefault="0041147E" w:rsidP="0041147E">
      <w:pPr>
        <w:rPr>
          <w:rFonts w:cs="Arial"/>
          <w:sz w:val="22"/>
        </w:rPr>
      </w:pPr>
      <w:r w:rsidRPr="00177927">
        <w:rPr>
          <w:rFonts w:cs="Arial"/>
          <w:b/>
          <w:sz w:val="22"/>
        </w:rPr>
        <w:t xml:space="preserve">Tabela 1 – </w:t>
      </w:r>
      <w:r>
        <w:rPr>
          <w:rFonts w:cs="Arial"/>
          <w:b/>
          <w:sz w:val="22"/>
        </w:rPr>
        <w:t xml:space="preserve">Execução Orçamentária da </w:t>
      </w:r>
      <w:r w:rsidRPr="00177927">
        <w:rPr>
          <w:rFonts w:cs="Arial"/>
          <w:b/>
          <w:sz w:val="22"/>
        </w:rPr>
        <w:t>Receita.</w:t>
      </w:r>
      <w:r w:rsidRPr="00177927">
        <w:rPr>
          <w:rFonts w:cs="Arial"/>
          <w:sz w:val="22"/>
        </w:rPr>
        <w:t xml:space="preserve"> </w:t>
      </w:r>
    </w:p>
    <w:p w:rsidR="0041147E" w:rsidRDefault="0041147E" w:rsidP="0041147E">
      <w:pPr>
        <w:rPr>
          <w:rFonts w:cs="Arial"/>
          <w:sz w:val="22"/>
        </w:rPr>
      </w:pPr>
      <w:r>
        <w:rPr>
          <w:rFonts w:cs="Arial"/>
          <w:sz w:val="22"/>
        </w:rPr>
        <w:t xml:space="preserve">                                                                                                                                            R$</w:t>
      </w:r>
    </w:p>
    <w:tbl>
      <w:tblPr>
        <w:tblW w:w="9107" w:type="dxa"/>
        <w:tblCellMar>
          <w:left w:w="70" w:type="dxa"/>
          <w:right w:w="70" w:type="dxa"/>
        </w:tblCellMar>
        <w:tblLook w:val="04A0" w:firstRow="1" w:lastRow="0" w:firstColumn="1" w:lastColumn="0" w:noHBand="0" w:noVBand="1"/>
      </w:tblPr>
      <w:tblGrid>
        <w:gridCol w:w="2198"/>
        <w:gridCol w:w="2303"/>
        <w:gridCol w:w="2303"/>
        <w:gridCol w:w="2303"/>
      </w:tblGrid>
      <w:tr w:rsidR="0041147E" w:rsidRPr="00183239" w:rsidTr="008F4251">
        <w:trPr>
          <w:trHeight w:val="288"/>
        </w:trPr>
        <w:tc>
          <w:tcPr>
            <w:tcW w:w="2198" w:type="dxa"/>
            <w:tcBorders>
              <w:top w:val="single" w:sz="4" w:space="0" w:color="000000"/>
              <w:left w:val="nil"/>
              <w:bottom w:val="single" w:sz="4" w:space="0" w:color="000000"/>
              <w:right w:val="nil"/>
            </w:tcBorders>
            <w:shd w:val="clear" w:color="auto" w:fill="auto"/>
            <w:noWrap/>
            <w:vAlign w:val="bottom"/>
            <w:hideMark/>
          </w:tcPr>
          <w:p w:rsidR="0041147E" w:rsidRPr="00183239" w:rsidRDefault="0041147E" w:rsidP="008F4251">
            <w:pPr>
              <w:jc w:val="left"/>
              <w:rPr>
                <w:rFonts w:eastAsia="Times New Roman" w:cs="Arial"/>
                <w:b/>
                <w:bCs/>
                <w:color w:val="FFFFFF"/>
                <w:szCs w:val="20"/>
                <w:lang w:eastAsia="pt-BR"/>
              </w:rPr>
            </w:pPr>
            <w:r w:rsidRPr="00183239">
              <w:rPr>
                <w:rFonts w:eastAsia="Times New Roman" w:cs="Arial"/>
                <w:b/>
                <w:bCs/>
                <w:color w:val="FFFFFF"/>
                <w:szCs w:val="20"/>
                <w:lang w:eastAsia="pt-BR"/>
              </w:rPr>
              <w:t>Colunas1</w:t>
            </w:r>
          </w:p>
        </w:tc>
        <w:tc>
          <w:tcPr>
            <w:tcW w:w="2303" w:type="dxa"/>
            <w:tcBorders>
              <w:top w:val="single" w:sz="4" w:space="0" w:color="000000"/>
              <w:left w:val="nil"/>
              <w:bottom w:val="single" w:sz="4" w:space="0" w:color="000000"/>
              <w:right w:val="nil"/>
            </w:tcBorders>
            <w:shd w:val="clear" w:color="auto" w:fill="auto"/>
            <w:noWrap/>
            <w:vAlign w:val="bottom"/>
            <w:hideMark/>
          </w:tcPr>
          <w:p w:rsidR="0041147E" w:rsidRPr="00183239" w:rsidRDefault="0041147E" w:rsidP="008F4251">
            <w:pPr>
              <w:jc w:val="right"/>
              <w:rPr>
                <w:rFonts w:eastAsia="Times New Roman" w:cs="Arial"/>
                <w:b/>
                <w:bCs/>
                <w:color w:val="000000"/>
                <w:szCs w:val="20"/>
                <w:lang w:eastAsia="pt-BR"/>
              </w:rPr>
            </w:pPr>
            <w:r w:rsidRPr="00183239">
              <w:rPr>
                <w:rFonts w:eastAsia="Times New Roman" w:cs="Arial"/>
                <w:b/>
                <w:bCs/>
                <w:color w:val="000000"/>
                <w:szCs w:val="20"/>
                <w:lang w:eastAsia="pt-BR"/>
              </w:rPr>
              <w:t>3</w:t>
            </w:r>
            <w:r>
              <w:rPr>
                <w:rFonts w:eastAsia="Times New Roman" w:cs="Arial"/>
                <w:b/>
                <w:bCs/>
                <w:color w:val="000000"/>
                <w:szCs w:val="20"/>
                <w:lang w:eastAsia="pt-BR"/>
              </w:rPr>
              <w:t>1</w:t>
            </w:r>
            <w:r w:rsidRPr="00183239">
              <w:rPr>
                <w:rFonts w:eastAsia="Times New Roman" w:cs="Arial"/>
                <w:b/>
                <w:bCs/>
                <w:color w:val="000000"/>
                <w:szCs w:val="20"/>
                <w:lang w:eastAsia="pt-BR"/>
              </w:rPr>
              <w:t>/</w:t>
            </w:r>
            <w:r>
              <w:rPr>
                <w:rFonts w:eastAsia="Times New Roman" w:cs="Arial"/>
                <w:b/>
                <w:bCs/>
                <w:color w:val="000000"/>
                <w:szCs w:val="20"/>
                <w:lang w:eastAsia="pt-BR"/>
              </w:rPr>
              <w:t>12</w:t>
            </w:r>
            <w:r w:rsidRPr="00183239">
              <w:rPr>
                <w:rFonts w:eastAsia="Times New Roman" w:cs="Arial"/>
                <w:b/>
                <w:bCs/>
                <w:color w:val="000000"/>
                <w:szCs w:val="20"/>
                <w:lang w:eastAsia="pt-BR"/>
              </w:rPr>
              <w:t>/201</w:t>
            </w:r>
            <w:r>
              <w:rPr>
                <w:rFonts w:eastAsia="Times New Roman" w:cs="Arial"/>
                <w:b/>
                <w:bCs/>
                <w:color w:val="000000"/>
                <w:szCs w:val="20"/>
                <w:lang w:eastAsia="pt-BR"/>
              </w:rPr>
              <w:t>9</w:t>
            </w:r>
          </w:p>
        </w:tc>
        <w:tc>
          <w:tcPr>
            <w:tcW w:w="2303" w:type="dxa"/>
            <w:tcBorders>
              <w:top w:val="single" w:sz="4" w:space="0" w:color="000000"/>
              <w:left w:val="nil"/>
              <w:bottom w:val="single" w:sz="4" w:space="0" w:color="000000"/>
              <w:right w:val="nil"/>
            </w:tcBorders>
            <w:shd w:val="clear" w:color="auto" w:fill="auto"/>
            <w:noWrap/>
            <w:vAlign w:val="bottom"/>
            <w:hideMark/>
          </w:tcPr>
          <w:p w:rsidR="0041147E" w:rsidRPr="00183239" w:rsidRDefault="0041147E" w:rsidP="008F4251">
            <w:pPr>
              <w:jc w:val="right"/>
              <w:rPr>
                <w:rFonts w:eastAsia="Times New Roman" w:cs="Arial"/>
                <w:b/>
                <w:bCs/>
                <w:color w:val="000000"/>
                <w:szCs w:val="20"/>
                <w:lang w:eastAsia="pt-BR"/>
              </w:rPr>
            </w:pPr>
            <w:r w:rsidRPr="00183239">
              <w:rPr>
                <w:rFonts w:eastAsia="Times New Roman" w:cs="Arial"/>
                <w:b/>
                <w:bCs/>
                <w:color w:val="000000"/>
                <w:szCs w:val="20"/>
                <w:lang w:eastAsia="pt-BR"/>
              </w:rPr>
              <w:t>3</w:t>
            </w:r>
            <w:r>
              <w:rPr>
                <w:rFonts w:eastAsia="Times New Roman" w:cs="Arial"/>
                <w:b/>
                <w:bCs/>
                <w:color w:val="000000"/>
                <w:szCs w:val="20"/>
                <w:lang w:eastAsia="pt-BR"/>
              </w:rPr>
              <w:t>1</w:t>
            </w:r>
            <w:r w:rsidRPr="00183239">
              <w:rPr>
                <w:rFonts w:eastAsia="Times New Roman" w:cs="Arial"/>
                <w:b/>
                <w:bCs/>
                <w:color w:val="000000"/>
                <w:szCs w:val="20"/>
                <w:lang w:eastAsia="pt-BR"/>
              </w:rPr>
              <w:t>/</w:t>
            </w:r>
            <w:r>
              <w:rPr>
                <w:rFonts w:eastAsia="Times New Roman" w:cs="Arial"/>
                <w:b/>
                <w:bCs/>
                <w:color w:val="000000"/>
                <w:szCs w:val="20"/>
                <w:lang w:eastAsia="pt-BR"/>
              </w:rPr>
              <w:t>12</w:t>
            </w:r>
            <w:r w:rsidRPr="00183239">
              <w:rPr>
                <w:rFonts w:eastAsia="Times New Roman" w:cs="Arial"/>
                <w:b/>
                <w:bCs/>
                <w:color w:val="000000"/>
                <w:szCs w:val="20"/>
                <w:lang w:eastAsia="pt-BR"/>
              </w:rPr>
              <w:t>/201</w:t>
            </w:r>
            <w:r>
              <w:rPr>
                <w:rFonts w:eastAsia="Times New Roman" w:cs="Arial"/>
                <w:b/>
                <w:bCs/>
                <w:color w:val="000000"/>
                <w:szCs w:val="20"/>
                <w:lang w:eastAsia="pt-BR"/>
              </w:rPr>
              <w:t>8</w:t>
            </w:r>
          </w:p>
        </w:tc>
        <w:tc>
          <w:tcPr>
            <w:tcW w:w="2303" w:type="dxa"/>
            <w:tcBorders>
              <w:top w:val="single" w:sz="4" w:space="0" w:color="000000"/>
              <w:left w:val="nil"/>
              <w:bottom w:val="single" w:sz="4" w:space="0" w:color="000000"/>
              <w:right w:val="nil"/>
            </w:tcBorders>
            <w:shd w:val="clear" w:color="auto" w:fill="auto"/>
            <w:noWrap/>
            <w:vAlign w:val="bottom"/>
            <w:hideMark/>
          </w:tcPr>
          <w:p w:rsidR="0041147E" w:rsidRPr="00183239" w:rsidRDefault="0041147E" w:rsidP="008F4251">
            <w:pPr>
              <w:jc w:val="right"/>
              <w:rPr>
                <w:rFonts w:eastAsia="Times New Roman" w:cs="Arial"/>
                <w:b/>
                <w:bCs/>
                <w:color w:val="000000"/>
                <w:szCs w:val="20"/>
                <w:lang w:eastAsia="pt-BR"/>
              </w:rPr>
            </w:pPr>
            <w:r w:rsidRPr="00183239">
              <w:rPr>
                <w:rFonts w:eastAsia="Times New Roman" w:cs="Arial"/>
                <w:b/>
                <w:bCs/>
                <w:color w:val="000000"/>
                <w:szCs w:val="20"/>
                <w:lang w:eastAsia="pt-BR"/>
              </w:rPr>
              <w:t xml:space="preserve"> AH (%)</w:t>
            </w:r>
          </w:p>
        </w:tc>
      </w:tr>
      <w:tr w:rsidR="0041147E" w:rsidRPr="00183239" w:rsidTr="008F4251">
        <w:trPr>
          <w:trHeight w:val="288"/>
        </w:trPr>
        <w:tc>
          <w:tcPr>
            <w:tcW w:w="2198" w:type="dxa"/>
            <w:tcBorders>
              <w:top w:val="nil"/>
              <w:left w:val="nil"/>
              <w:bottom w:val="nil"/>
              <w:right w:val="nil"/>
            </w:tcBorders>
            <w:shd w:val="clear" w:color="D9D9D9" w:fill="D9D9D9"/>
            <w:noWrap/>
            <w:vAlign w:val="bottom"/>
            <w:hideMark/>
          </w:tcPr>
          <w:p w:rsidR="0041147E" w:rsidRPr="00183239" w:rsidRDefault="0041147E" w:rsidP="008F4251">
            <w:pPr>
              <w:jc w:val="left"/>
              <w:rPr>
                <w:rFonts w:eastAsia="Times New Roman" w:cs="Arial"/>
                <w:color w:val="000000"/>
                <w:szCs w:val="20"/>
                <w:lang w:eastAsia="pt-BR"/>
              </w:rPr>
            </w:pPr>
            <w:r w:rsidRPr="00183239">
              <w:rPr>
                <w:rFonts w:eastAsia="Times New Roman" w:cs="Arial"/>
                <w:color w:val="000000"/>
                <w:szCs w:val="20"/>
                <w:lang w:eastAsia="pt-BR"/>
              </w:rPr>
              <w:t xml:space="preserve">Receitas Correntes </w:t>
            </w:r>
            <w:r>
              <w:rPr>
                <w:rFonts w:eastAsia="Times New Roman" w:cs="Arial"/>
                <w:color w:val="000000"/>
                <w:szCs w:val="20"/>
                <w:lang w:eastAsia="pt-BR"/>
              </w:rPr>
              <w:t>Realizadas</w:t>
            </w:r>
          </w:p>
        </w:tc>
        <w:tc>
          <w:tcPr>
            <w:tcW w:w="2303" w:type="dxa"/>
            <w:tcBorders>
              <w:top w:val="nil"/>
              <w:left w:val="nil"/>
              <w:bottom w:val="nil"/>
              <w:right w:val="nil"/>
            </w:tcBorders>
            <w:shd w:val="clear" w:color="D9D9D9" w:fill="D9D9D9"/>
            <w:noWrap/>
            <w:vAlign w:val="bottom"/>
            <w:hideMark/>
          </w:tcPr>
          <w:p w:rsidR="0041147E" w:rsidRPr="007C4EAA" w:rsidRDefault="0041147E" w:rsidP="008F4251">
            <w:pPr>
              <w:jc w:val="right"/>
              <w:rPr>
                <w:rFonts w:cs="Arial"/>
                <w:bCs/>
                <w:color w:val="000000"/>
                <w:szCs w:val="20"/>
              </w:rPr>
            </w:pPr>
            <w:r w:rsidRPr="007C4EAA">
              <w:rPr>
                <w:rFonts w:cs="Arial"/>
                <w:bCs/>
                <w:color w:val="000000"/>
                <w:szCs w:val="20"/>
              </w:rPr>
              <w:t>84.582.952.010,27</w:t>
            </w:r>
          </w:p>
          <w:p w:rsidR="0041147E" w:rsidRPr="00183239" w:rsidRDefault="0041147E" w:rsidP="008F4251">
            <w:pPr>
              <w:jc w:val="right"/>
              <w:rPr>
                <w:rFonts w:eastAsia="Times New Roman" w:cs="Arial"/>
                <w:color w:val="000000"/>
                <w:szCs w:val="20"/>
                <w:lang w:eastAsia="pt-BR"/>
              </w:rPr>
            </w:pPr>
          </w:p>
        </w:tc>
        <w:tc>
          <w:tcPr>
            <w:tcW w:w="2303" w:type="dxa"/>
            <w:tcBorders>
              <w:top w:val="nil"/>
              <w:left w:val="nil"/>
              <w:bottom w:val="nil"/>
              <w:right w:val="nil"/>
            </w:tcBorders>
            <w:shd w:val="clear" w:color="D9D9D9" w:fill="D9D9D9"/>
            <w:noWrap/>
            <w:vAlign w:val="bottom"/>
            <w:hideMark/>
          </w:tcPr>
          <w:p w:rsidR="0041147E" w:rsidRPr="00183239" w:rsidRDefault="0041147E" w:rsidP="008F4251">
            <w:pPr>
              <w:jc w:val="right"/>
              <w:rPr>
                <w:rFonts w:eastAsia="Times New Roman" w:cs="Arial"/>
                <w:color w:val="000000"/>
                <w:szCs w:val="20"/>
                <w:lang w:eastAsia="pt-BR"/>
              </w:rPr>
            </w:pPr>
            <w:r w:rsidRPr="0033433E">
              <w:rPr>
                <w:rFonts w:eastAsia="Times New Roman" w:cs="Arial"/>
                <w:color w:val="000000"/>
                <w:szCs w:val="20"/>
                <w:lang w:eastAsia="pt-BR"/>
              </w:rPr>
              <w:t>737</w:t>
            </w:r>
            <w:r>
              <w:rPr>
                <w:rFonts w:eastAsia="Times New Roman" w:cs="Arial"/>
                <w:color w:val="000000"/>
                <w:szCs w:val="20"/>
                <w:lang w:eastAsia="pt-BR"/>
              </w:rPr>
              <w:t>.</w:t>
            </w:r>
            <w:r w:rsidRPr="0033433E">
              <w:rPr>
                <w:rFonts w:eastAsia="Times New Roman" w:cs="Arial"/>
                <w:color w:val="000000"/>
                <w:szCs w:val="20"/>
                <w:lang w:eastAsia="pt-BR"/>
              </w:rPr>
              <w:t>548</w:t>
            </w:r>
            <w:r>
              <w:rPr>
                <w:rFonts w:eastAsia="Times New Roman" w:cs="Arial"/>
                <w:color w:val="000000"/>
                <w:szCs w:val="20"/>
                <w:lang w:eastAsia="pt-BR"/>
              </w:rPr>
              <w:t>.</w:t>
            </w:r>
            <w:r w:rsidRPr="0033433E">
              <w:rPr>
                <w:rFonts w:eastAsia="Times New Roman" w:cs="Arial"/>
                <w:color w:val="000000"/>
                <w:szCs w:val="20"/>
                <w:lang w:eastAsia="pt-BR"/>
              </w:rPr>
              <w:t>903,67</w:t>
            </w:r>
          </w:p>
        </w:tc>
        <w:tc>
          <w:tcPr>
            <w:tcW w:w="2303" w:type="dxa"/>
            <w:tcBorders>
              <w:top w:val="nil"/>
              <w:left w:val="nil"/>
              <w:bottom w:val="nil"/>
              <w:right w:val="nil"/>
            </w:tcBorders>
            <w:shd w:val="clear" w:color="D9D9D9" w:fill="D9D9D9"/>
            <w:noWrap/>
            <w:vAlign w:val="bottom"/>
            <w:hideMark/>
          </w:tcPr>
          <w:p w:rsidR="0041147E" w:rsidRPr="00183239" w:rsidRDefault="0041147E" w:rsidP="008F4251">
            <w:pPr>
              <w:jc w:val="right"/>
              <w:rPr>
                <w:rFonts w:eastAsia="Times New Roman" w:cs="Arial"/>
                <w:color w:val="000000"/>
                <w:szCs w:val="20"/>
                <w:lang w:eastAsia="pt-BR"/>
              </w:rPr>
            </w:pPr>
            <w:r>
              <w:rPr>
                <w:rFonts w:eastAsia="Times New Roman" w:cs="Arial"/>
                <w:color w:val="000000"/>
                <w:szCs w:val="20"/>
                <w:lang w:eastAsia="pt-BR"/>
              </w:rPr>
              <w:t>11368,11</w:t>
            </w:r>
          </w:p>
        </w:tc>
      </w:tr>
      <w:tr w:rsidR="0041147E" w:rsidRPr="00AF4CC9" w:rsidTr="008F4251">
        <w:trPr>
          <w:trHeight w:val="288"/>
        </w:trPr>
        <w:tc>
          <w:tcPr>
            <w:tcW w:w="2198" w:type="dxa"/>
            <w:tcBorders>
              <w:top w:val="nil"/>
              <w:left w:val="nil"/>
              <w:bottom w:val="single" w:sz="4" w:space="0" w:color="000000"/>
              <w:right w:val="nil"/>
            </w:tcBorders>
            <w:shd w:val="clear" w:color="auto" w:fill="auto"/>
            <w:noWrap/>
            <w:vAlign w:val="bottom"/>
            <w:hideMark/>
          </w:tcPr>
          <w:p w:rsidR="0041147E" w:rsidRPr="00AF4CC9" w:rsidRDefault="0041147E" w:rsidP="008F4251">
            <w:pPr>
              <w:jc w:val="left"/>
              <w:rPr>
                <w:rFonts w:eastAsia="Times New Roman" w:cs="Arial"/>
                <w:b/>
                <w:bCs/>
                <w:color w:val="000000"/>
                <w:szCs w:val="20"/>
                <w:lang w:eastAsia="pt-BR"/>
              </w:rPr>
            </w:pPr>
            <w:r w:rsidRPr="00AF4CC9">
              <w:rPr>
                <w:rFonts w:eastAsia="Times New Roman" w:cs="Arial"/>
                <w:b/>
                <w:bCs/>
                <w:color w:val="000000"/>
                <w:szCs w:val="20"/>
                <w:lang w:eastAsia="pt-BR"/>
              </w:rPr>
              <w:t xml:space="preserve">Total </w:t>
            </w:r>
          </w:p>
        </w:tc>
        <w:tc>
          <w:tcPr>
            <w:tcW w:w="2303" w:type="dxa"/>
            <w:tcBorders>
              <w:top w:val="nil"/>
              <w:left w:val="nil"/>
              <w:bottom w:val="single" w:sz="4" w:space="0" w:color="000000"/>
              <w:right w:val="nil"/>
            </w:tcBorders>
            <w:shd w:val="clear" w:color="auto" w:fill="auto"/>
            <w:noWrap/>
            <w:vAlign w:val="bottom"/>
            <w:hideMark/>
          </w:tcPr>
          <w:p w:rsidR="0041147E" w:rsidRPr="007C4EAA" w:rsidRDefault="0041147E" w:rsidP="008F4251">
            <w:pPr>
              <w:jc w:val="right"/>
              <w:rPr>
                <w:rFonts w:eastAsia="Times New Roman" w:cs="Arial"/>
                <w:b/>
                <w:bCs/>
                <w:color w:val="000000"/>
                <w:szCs w:val="20"/>
                <w:lang w:eastAsia="pt-BR"/>
              </w:rPr>
            </w:pPr>
            <w:r w:rsidRPr="007C4EAA">
              <w:rPr>
                <w:rFonts w:cs="Arial"/>
                <w:b/>
                <w:bCs/>
                <w:color w:val="000000"/>
                <w:szCs w:val="20"/>
              </w:rPr>
              <w:t>84.582.952.010,27</w:t>
            </w:r>
          </w:p>
        </w:tc>
        <w:tc>
          <w:tcPr>
            <w:tcW w:w="2303" w:type="dxa"/>
            <w:tcBorders>
              <w:top w:val="nil"/>
              <w:left w:val="nil"/>
              <w:bottom w:val="single" w:sz="4" w:space="0" w:color="000000"/>
              <w:right w:val="nil"/>
            </w:tcBorders>
            <w:shd w:val="clear" w:color="auto" w:fill="auto"/>
            <w:noWrap/>
            <w:vAlign w:val="bottom"/>
            <w:hideMark/>
          </w:tcPr>
          <w:p w:rsidR="0041147E" w:rsidRPr="0033433E" w:rsidRDefault="0041147E" w:rsidP="008F4251">
            <w:pPr>
              <w:jc w:val="right"/>
              <w:rPr>
                <w:rFonts w:eastAsia="Times New Roman" w:cs="Arial"/>
                <w:b/>
                <w:bCs/>
                <w:color w:val="000000"/>
                <w:szCs w:val="20"/>
                <w:lang w:eastAsia="pt-BR"/>
              </w:rPr>
            </w:pPr>
            <w:r w:rsidRPr="0033433E">
              <w:rPr>
                <w:rFonts w:eastAsia="Times New Roman" w:cs="Arial"/>
                <w:b/>
                <w:color w:val="000000"/>
                <w:szCs w:val="20"/>
                <w:lang w:eastAsia="pt-BR"/>
              </w:rPr>
              <w:t>737.548.903,67</w:t>
            </w:r>
          </w:p>
        </w:tc>
        <w:tc>
          <w:tcPr>
            <w:tcW w:w="2303" w:type="dxa"/>
            <w:tcBorders>
              <w:top w:val="nil"/>
              <w:left w:val="nil"/>
              <w:bottom w:val="single" w:sz="4" w:space="0" w:color="000000"/>
              <w:right w:val="nil"/>
            </w:tcBorders>
            <w:shd w:val="clear" w:color="auto" w:fill="auto"/>
            <w:noWrap/>
            <w:vAlign w:val="bottom"/>
            <w:hideMark/>
          </w:tcPr>
          <w:p w:rsidR="0041147E" w:rsidRPr="00AF4CC9" w:rsidRDefault="0041147E" w:rsidP="008F4251">
            <w:pPr>
              <w:jc w:val="right"/>
              <w:rPr>
                <w:rFonts w:eastAsia="Times New Roman" w:cs="Arial"/>
                <w:b/>
                <w:color w:val="000000"/>
                <w:szCs w:val="20"/>
                <w:lang w:eastAsia="pt-BR"/>
              </w:rPr>
            </w:pPr>
            <w:r>
              <w:rPr>
                <w:rFonts w:eastAsia="Times New Roman" w:cs="Arial"/>
                <w:b/>
                <w:color w:val="000000"/>
                <w:szCs w:val="20"/>
                <w:lang w:eastAsia="pt-BR"/>
              </w:rPr>
              <w:t>11368,11</w:t>
            </w:r>
          </w:p>
        </w:tc>
      </w:tr>
    </w:tbl>
    <w:p w:rsidR="0041147E" w:rsidRPr="003B4733" w:rsidRDefault="0041147E" w:rsidP="0041147E">
      <w:pPr>
        <w:rPr>
          <w:rFonts w:cs="Arial"/>
          <w:i/>
          <w:szCs w:val="20"/>
        </w:rPr>
      </w:pPr>
      <w:r w:rsidRPr="003B4733">
        <w:rPr>
          <w:rFonts w:cs="Arial"/>
          <w:i/>
          <w:szCs w:val="20"/>
        </w:rPr>
        <w:t>Fonte: SIAFI, 201</w:t>
      </w:r>
      <w:r>
        <w:rPr>
          <w:rFonts w:cs="Arial"/>
          <w:i/>
          <w:szCs w:val="20"/>
        </w:rPr>
        <w:t>9</w:t>
      </w:r>
      <w:r w:rsidRPr="003B4733">
        <w:rPr>
          <w:rFonts w:cs="Arial"/>
          <w:i/>
          <w:szCs w:val="20"/>
        </w:rPr>
        <w:t xml:space="preserve"> e 201</w:t>
      </w:r>
      <w:r>
        <w:rPr>
          <w:rFonts w:cs="Arial"/>
          <w:i/>
          <w:szCs w:val="20"/>
        </w:rPr>
        <w:t>8</w:t>
      </w:r>
      <w:r w:rsidRPr="003B4733">
        <w:rPr>
          <w:rFonts w:cs="Arial"/>
          <w:i/>
          <w:szCs w:val="20"/>
        </w:rPr>
        <w:t>.</w:t>
      </w:r>
    </w:p>
    <w:p w:rsidR="0041147E" w:rsidRDefault="0041147E" w:rsidP="0041147E">
      <w:pPr>
        <w:rPr>
          <w:rFonts w:cs="Arial"/>
          <w:sz w:val="22"/>
        </w:rPr>
      </w:pPr>
    </w:p>
    <w:p w:rsidR="0041147E" w:rsidRPr="00177927" w:rsidRDefault="0041147E" w:rsidP="0041147E">
      <w:pPr>
        <w:rPr>
          <w:rFonts w:cs="Arial"/>
          <w:sz w:val="22"/>
        </w:rPr>
      </w:pPr>
      <w:r>
        <w:rPr>
          <w:rFonts w:cs="Arial"/>
          <w:sz w:val="22"/>
        </w:rPr>
        <w:t xml:space="preserve">No Balanço Orçamentário, as </w:t>
      </w:r>
      <w:r w:rsidRPr="00177927">
        <w:rPr>
          <w:rFonts w:cs="Arial"/>
          <w:sz w:val="22"/>
        </w:rPr>
        <w:t>Receitas Correntes da A</w:t>
      </w:r>
      <w:r>
        <w:rPr>
          <w:rFonts w:cs="Arial"/>
          <w:sz w:val="22"/>
        </w:rPr>
        <w:t>NP estão evidenciadas conforme a seguinte classificação:</w:t>
      </w:r>
      <w:r w:rsidRPr="00177927">
        <w:rPr>
          <w:rFonts w:cs="Arial"/>
          <w:sz w:val="22"/>
        </w:rPr>
        <w:t xml:space="preserve"> (i) Patrimonial, </w:t>
      </w:r>
      <w:r>
        <w:rPr>
          <w:rFonts w:cs="Arial"/>
          <w:sz w:val="22"/>
        </w:rPr>
        <w:t>(</w:t>
      </w:r>
      <w:proofErr w:type="spellStart"/>
      <w:r>
        <w:rPr>
          <w:rFonts w:cs="Arial"/>
          <w:sz w:val="22"/>
        </w:rPr>
        <w:t>ii</w:t>
      </w:r>
      <w:proofErr w:type="spellEnd"/>
      <w:r>
        <w:rPr>
          <w:rFonts w:cs="Arial"/>
          <w:sz w:val="22"/>
        </w:rPr>
        <w:t>) de Serviços e (</w:t>
      </w:r>
      <w:proofErr w:type="spellStart"/>
      <w:r>
        <w:rPr>
          <w:rFonts w:cs="Arial"/>
          <w:sz w:val="22"/>
        </w:rPr>
        <w:t>iii</w:t>
      </w:r>
      <w:proofErr w:type="spellEnd"/>
      <w:r>
        <w:rPr>
          <w:rFonts w:cs="Arial"/>
          <w:sz w:val="22"/>
        </w:rPr>
        <w:t>) Outras Receitas Correntes</w:t>
      </w:r>
      <w:r w:rsidRPr="00177927">
        <w:rPr>
          <w:rFonts w:cs="Arial"/>
          <w:sz w:val="22"/>
        </w:rPr>
        <w:t>. A seguir, é apresentada a composição destes grupos de receitas,</w:t>
      </w:r>
      <w:r>
        <w:rPr>
          <w:rFonts w:cs="Arial"/>
          <w:sz w:val="22"/>
        </w:rPr>
        <w:t xml:space="preserve"> conforme origem,</w:t>
      </w:r>
      <w:r w:rsidRPr="00177927">
        <w:rPr>
          <w:rFonts w:cs="Arial"/>
          <w:sz w:val="22"/>
        </w:rPr>
        <w:t xml:space="preserve"> na data base de 3</w:t>
      </w:r>
      <w:r>
        <w:rPr>
          <w:rFonts w:cs="Arial"/>
          <w:sz w:val="22"/>
        </w:rPr>
        <w:t>1</w:t>
      </w:r>
      <w:r w:rsidRPr="00177927">
        <w:rPr>
          <w:rFonts w:cs="Arial"/>
          <w:sz w:val="22"/>
        </w:rPr>
        <w:t>/</w:t>
      </w:r>
      <w:r>
        <w:rPr>
          <w:rFonts w:cs="Arial"/>
          <w:sz w:val="22"/>
        </w:rPr>
        <w:t>12</w:t>
      </w:r>
      <w:r w:rsidRPr="00177927">
        <w:rPr>
          <w:rFonts w:cs="Arial"/>
          <w:sz w:val="22"/>
        </w:rPr>
        <w:t>/201</w:t>
      </w:r>
      <w:r>
        <w:rPr>
          <w:rFonts w:cs="Arial"/>
          <w:sz w:val="22"/>
        </w:rPr>
        <w:t>9</w:t>
      </w:r>
      <w:r w:rsidRPr="00177927">
        <w:rPr>
          <w:rFonts w:cs="Arial"/>
          <w:sz w:val="22"/>
        </w:rPr>
        <w:t>:</w:t>
      </w:r>
    </w:p>
    <w:p w:rsidR="0041147E" w:rsidRPr="00177927" w:rsidRDefault="0041147E" w:rsidP="0041147E">
      <w:pPr>
        <w:rPr>
          <w:rFonts w:cs="Arial"/>
          <w:sz w:val="22"/>
        </w:rPr>
      </w:pPr>
    </w:p>
    <w:p w:rsidR="0041147E" w:rsidRDefault="0041147E" w:rsidP="0041147E">
      <w:pPr>
        <w:rPr>
          <w:rFonts w:cs="Arial"/>
          <w:sz w:val="22"/>
        </w:rPr>
      </w:pPr>
      <w:r w:rsidRPr="00177927">
        <w:rPr>
          <w:rFonts w:cs="Arial"/>
          <w:b/>
          <w:sz w:val="22"/>
        </w:rPr>
        <w:t xml:space="preserve">Tabela </w:t>
      </w:r>
      <w:r>
        <w:rPr>
          <w:rFonts w:cs="Arial"/>
          <w:b/>
          <w:sz w:val="22"/>
        </w:rPr>
        <w:t>2</w:t>
      </w:r>
      <w:r w:rsidRPr="00177927">
        <w:rPr>
          <w:rFonts w:cs="Arial"/>
          <w:b/>
          <w:sz w:val="22"/>
        </w:rPr>
        <w:t xml:space="preserve"> – </w:t>
      </w:r>
      <w:r>
        <w:rPr>
          <w:rFonts w:cs="Arial"/>
          <w:b/>
          <w:sz w:val="22"/>
        </w:rPr>
        <w:t xml:space="preserve">Execução das </w:t>
      </w:r>
      <w:r w:rsidRPr="00177927">
        <w:rPr>
          <w:rFonts w:cs="Arial"/>
          <w:b/>
          <w:sz w:val="22"/>
        </w:rPr>
        <w:t>Receita</w:t>
      </w:r>
      <w:r>
        <w:rPr>
          <w:rFonts w:cs="Arial"/>
          <w:b/>
          <w:sz w:val="22"/>
        </w:rPr>
        <w:t>s</w:t>
      </w:r>
      <w:r w:rsidRPr="00177927">
        <w:rPr>
          <w:rFonts w:cs="Arial"/>
          <w:b/>
          <w:sz w:val="22"/>
        </w:rPr>
        <w:t xml:space="preserve"> </w:t>
      </w:r>
      <w:r>
        <w:rPr>
          <w:rFonts w:cs="Arial"/>
          <w:b/>
          <w:sz w:val="22"/>
        </w:rPr>
        <w:t>Correntes por espécies</w:t>
      </w:r>
      <w:r w:rsidRPr="00177927">
        <w:rPr>
          <w:rFonts w:cs="Arial"/>
          <w:b/>
          <w:sz w:val="22"/>
        </w:rPr>
        <w:t>.</w:t>
      </w:r>
      <w:r w:rsidRPr="00177927">
        <w:rPr>
          <w:rFonts w:cs="Arial"/>
          <w:sz w:val="22"/>
        </w:rPr>
        <w:t xml:space="preserve"> </w:t>
      </w:r>
    </w:p>
    <w:p w:rsidR="0041147E" w:rsidRDefault="0041147E" w:rsidP="0041147E">
      <w:pPr>
        <w:rPr>
          <w:noProof/>
          <w:sz w:val="22"/>
          <w:lang w:eastAsia="pt-BR"/>
        </w:rPr>
      </w:pPr>
      <w:r>
        <w:rPr>
          <w:rFonts w:cs="Arial"/>
          <w:sz w:val="22"/>
        </w:rPr>
        <w:t xml:space="preserve">                                                                                                                                           </w:t>
      </w:r>
      <w:r w:rsidRPr="00177927">
        <w:rPr>
          <w:rFonts w:cs="Arial"/>
          <w:sz w:val="22"/>
        </w:rPr>
        <w:t>R$</w:t>
      </w:r>
    </w:p>
    <w:tbl>
      <w:tblPr>
        <w:tblW w:w="9305" w:type="dxa"/>
        <w:tblCellMar>
          <w:left w:w="70" w:type="dxa"/>
          <w:right w:w="70" w:type="dxa"/>
        </w:tblCellMar>
        <w:tblLook w:val="04A0" w:firstRow="1" w:lastRow="0" w:firstColumn="1" w:lastColumn="0" w:noHBand="0" w:noVBand="1"/>
      </w:tblPr>
      <w:tblGrid>
        <w:gridCol w:w="5032"/>
        <w:gridCol w:w="2989"/>
        <w:gridCol w:w="1284"/>
      </w:tblGrid>
      <w:tr w:rsidR="0041147E" w:rsidRPr="00922606" w:rsidTr="008F4251">
        <w:trPr>
          <w:trHeight w:val="298"/>
        </w:trPr>
        <w:tc>
          <w:tcPr>
            <w:tcW w:w="5032" w:type="dxa"/>
            <w:tcBorders>
              <w:top w:val="single" w:sz="8" w:space="0" w:color="000000"/>
              <w:left w:val="nil"/>
              <w:bottom w:val="single" w:sz="8" w:space="0" w:color="000000"/>
              <w:right w:val="nil"/>
            </w:tcBorders>
            <w:shd w:val="clear" w:color="auto" w:fill="auto"/>
            <w:noWrap/>
            <w:vAlign w:val="center"/>
            <w:hideMark/>
          </w:tcPr>
          <w:p w:rsidR="0041147E" w:rsidRPr="00922606" w:rsidRDefault="0041147E" w:rsidP="008F4251">
            <w:pPr>
              <w:jc w:val="left"/>
              <w:rPr>
                <w:rFonts w:eastAsia="Times New Roman" w:cs="Arial"/>
                <w:b/>
                <w:bCs/>
                <w:color w:val="FFFFFF"/>
                <w:szCs w:val="20"/>
                <w:lang w:eastAsia="pt-BR"/>
              </w:rPr>
            </w:pPr>
            <w:r w:rsidRPr="00922606">
              <w:rPr>
                <w:rFonts w:eastAsia="Times New Roman" w:cs="Arial"/>
                <w:b/>
                <w:bCs/>
                <w:color w:val="FFFFFF"/>
                <w:szCs w:val="20"/>
                <w:lang w:eastAsia="pt-BR"/>
              </w:rPr>
              <w:t>Colunas1</w:t>
            </w:r>
          </w:p>
        </w:tc>
        <w:tc>
          <w:tcPr>
            <w:tcW w:w="2989" w:type="dxa"/>
            <w:tcBorders>
              <w:top w:val="single" w:sz="8" w:space="0" w:color="000000"/>
              <w:left w:val="nil"/>
              <w:bottom w:val="single" w:sz="8" w:space="0" w:color="000000"/>
              <w:right w:val="nil"/>
            </w:tcBorders>
            <w:shd w:val="clear" w:color="auto" w:fill="auto"/>
            <w:noWrap/>
            <w:vAlign w:val="center"/>
            <w:hideMark/>
          </w:tcPr>
          <w:p w:rsidR="0041147E" w:rsidRPr="00922606" w:rsidRDefault="0041147E" w:rsidP="008F4251">
            <w:pPr>
              <w:jc w:val="right"/>
              <w:rPr>
                <w:rFonts w:eastAsia="Times New Roman" w:cs="Arial"/>
                <w:b/>
                <w:bCs/>
                <w:color w:val="000000"/>
                <w:szCs w:val="20"/>
                <w:lang w:eastAsia="pt-BR"/>
              </w:rPr>
            </w:pPr>
            <w:r w:rsidRPr="00922606">
              <w:rPr>
                <w:rFonts w:eastAsia="Times New Roman" w:cs="Arial"/>
                <w:b/>
                <w:bCs/>
                <w:color w:val="000000"/>
                <w:szCs w:val="20"/>
                <w:lang w:eastAsia="pt-BR"/>
              </w:rPr>
              <w:t>3</w:t>
            </w:r>
            <w:r>
              <w:rPr>
                <w:rFonts w:eastAsia="Times New Roman" w:cs="Arial"/>
                <w:b/>
                <w:bCs/>
                <w:color w:val="000000"/>
                <w:szCs w:val="20"/>
                <w:lang w:eastAsia="pt-BR"/>
              </w:rPr>
              <w:t>1</w:t>
            </w:r>
            <w:r w:rsidRPr="00922606">
              <w:rPr>
                <w:rFonts w:eastAsia="Times New Roman" w:cs="Arial"/>
                <w:b/>
                <w:bCs/>
                <w:color w:val="000000"/>
                <w:szCs w:val="20"/>
                <w:lang w:eastAsia="pt-BR"/>
              </w:rPr>
              <w:t>/</w:t>
            </w:r>
            <w:r>
              <w:rPr>
                <w:rFonts w:eastAsia="Times New Roman" w:cs="Arial"/>
                <w:b/>
                <w:bCs/>
                <w:color w:val="000000"/>
                <w:szCs w:val="20"/>
                <w:lang w:eastAsia="pt-BR"/>
              </w:rPr>
              <w:t>12</w:t>
            </w:r>
            <w:r w:rsidRPr="00922606">
              <w:rPr>
                <w:rFonts w:eastAsia="Times New Roman" w:cs="Arial"/>
                <w:b/>
                <w:bCs/>
                <w:color w:val="000000"/>
                <w:szCs w:val="20"/>
                <w:lang w:eastAsia="pt-BR"/>
              </w:rPr>
              <w:t>/201</w:t>
            </w:r>
            <w:r>
              <w:rPr>
                <w:rFonts w:eastAsia="Times New Roman" w:cs="Arial"/>
                <w:b/>
                <w:bCs/>
                <w:color w:val="000000"/>
                <w:szCs w:val="20"/>
                <w:lang w:eastAsia="pt-BR"/>
              </w:rPr>
              <w:t>9</w:t>
            </w:r>
          </w:p>
        </w:tc>
        <w:tc>
          <w:tcPr>
            <w:tcW w:w="1284" w:type="dxa"/>
            <w:tcBorders>
              <w:top w:val="single" w:sz="8" w:space="0" w:color="000000"/>
              <w:left w:val="nil"/>
              <w:bottom w:val="single" w:sz="8" w:space="0" w:color="000000"/>
              <w:right w:val="nil"/>
            </w:tcBorders>
            <w:shd w:val="clear" w:color="auto" w:fill="auto"/>
            <w:noWrap/>
            <w:vAlign w:val="center"/>
            <w:hideMark/>
          </w:tcPr>
          <w:p w:rsidR="0041147E" w:rsidRPr="00922606" w:rsidRDefault="0041147E" w:rsidP="008F4251">
            <w:pPr>
              <w:jc w:val="right"/>
              <w:rPr>
                <w:rFonts w:eastAsia="Times New Roman" w:cs="Arial"/>
                <w:b/>
                <w:bCs/>
                <w:color w:val="000000"/>
                <w:szCs w:val="20"/>
                <w:lang w:eastAsia="pt-BR"/>
              </w:rPr>
            </w:pPr>
            <w:r w:rsidRPr="00922606">
              <w:rPr>
                <w:rFonts w:eastAsia="Times New Roman" w:cs="Arial"/>
                <w:b/>
                <w:bCs/>
                <w:color w:val="000000"/>
                <w:szCs w:val="20"/>
                <w:lang w:eastAsia="pt-BR"/>
              </w:rPr>
              <w:t>AV (%)</w:t>
            </w:r>
          </w:p>
        </w:tc>
      </w:tr>
      <w:tr w:rsidR="0041147E" w:rsidRPr="00922606" w:rsidTr="008F4251">
        <w:trPr>
          <w:trHeight w:val="281"/>
        </w:trPr>
        <w:tc>
          <w:tcPr>
            <w:tcW w:w="5032" w:type="dxa"/>
            <w:tcBorders>
              <w:top w:val="nil"/>
              <w:left w:val="nil"/>
              <w:bottom w:val="nil"/>
              <w:right w:val="nil"/>
            </w:tcBorders>
            <w:shd w:val="clear" w:color="auto" w:fill="D9D9D9" w:themeFill="background1" w:themeFillShade="D9"/>
            <w:noWrap/>
            <w:vAlign w:val="center"/>
            <w:hideMark/>
          </w:tcPr>
          <w:p w:rsidR="0041147E" w:rsidRPr="00922606" w:rsidRDefault="0041147E" w:rsidP="008F4251">
            <w:pPr>
              <w:jc w:val="left"/>
              <w:rPr>
                <w:rFonts w:eastAsia="Times New Roman" w:cs="Arial"/>
                <w:color w:val="000000"/>
                <w:szCs w:val="20"/>
                <w:lang w:eastAsia="pt-BR"/>
              </w:rPr>
            </w:pPr>
            <w:r w:rsidRPr="00922606">
              <w:rPr>
                <w:rFonts w:eastAsia="Times New Roman" w:cs="Arial"/>
                <w:color w:val="000000"/>
                <w:szCs w:val="20"/>
                <w:lang w:eastAsia="pt-BR"/>
              </w:rPr>
              <w:t>Receita Patrimonial</w:t>
            </w:r>
            <w:r>
              <w:rPr>
                <w:rFonts w:eastAsia="Times New Roman" w:cs="Arial"/>
                <w:color w:val="000000"/>
                <w:szCs w:val="20"/>
                <w:lang w:eastAsia="pt-BR"/>
              </w:rPr>
              <w:t xml:space="preserve"> - Exploração de Recursos Naturais</w:t>
            </w:r>
          </w:p>
        </w:tc>
        <w:tc>
          <w:tcPr>
            <w:tcW w:w="2989" w:type="dxa"/>
            <w:tcBorders>
              <w:top w:val="nil"/>
              <w:left w:val="nil"/>
              <w:bottom w:val="nil"/>
              <w:right w:val="nil"/>
            </w:tcBorders>
            <w:shd w:val="clear" w:color="auto" w:fill="D9D9D9" w:themeFill="background1" w:themeFillShade="D9"/>
            <w:noWrap/>
            <w:vAlign w:val="center"/>
            <w:hideMark/>
          </w:tcPr>
          <w:p w:rsidR="0041147E" w:rsidRPr="00922606" w:rsidRDefault="0041147E" w:rsidP="008F4251">
            <w:pPr>
              <w:jc w:val="right"/>
              <w:rPr>
                <w:rFonts w:eastAsia="Times New Roman" w:cs="Arial"/>
                <w:color w:val="000000"/>
                <w:szCs w:val="20"/>
                <w:lang w:eastAsia="pt-BR"/>
              </w:rPr>
            </w:pPr>
            <w:r>
              <w:rPr>
                <w:rFonts w:eastAsia="Times New Roman" w:cs="Arial"/>
                <w:color w:val="000000"/>
                <w:szCs w:val="20"/>
                <w:lang w:eastAsia="pt-BR"/>
              </w:rPr>
              <w:t xml:space="preserve">                     </w:t>
            </w:r>
            <w:r w:rsidRPr="007C4EAA">
              <w:rPr>
                <w:rFonts w:eastAsia="Times New Roman" w:cs="Arial"/>
                <w:color w:val="000000"/>
                <w:szCs w:val="20"/>
                <w:lang w:eastAsia="pt-BR"/>
              </w:rPr>
              <w:t>84</w:t>
            </w:r>
            <w:r>
              <w:rPr>
                <w:rFonts w:eastAsia="Times New Roman" w:cs="Arial"/>
                <w:color w:val="000000"/>
                <w:szCs w:val="20"/>
                <w:lang w:eastAsia="pt-BR"/>
              </w:rPr>
              <w:t>.209.438.835</w:t>
            </w:r>
            <w:r w:rsidRPr="007C4EAA">
              <w:rPr>
                <w:rFonts w:eastAsia="Times New Roman" w:cs="Arial"/>
                <w:color w:val="000000"/>
                <w:szCs w:val="20"/>
                <w:lang w:eastAsia="pt-BR"/>
              </w:rPr>
              <w:t>,2</w:t>
            </w:r>
            <w:r>
              <w:rPr>
                <w:rFonts w:eastAsia="Times New Roman" w:cs="Arial"/>
                <w:color w:val="000000"/>
                <w:szCs w:val="20"/>
                <w:lang w:eastAsia="pt-BR"/>
              </w:rPr>
              <w:t>4</w:t>
            </w:r>
            <w:r w:rsidRPr="007C4EAA">
              <w:rPr>
                <w:rFonts w:eastAsia="Times New Roman" w:cs="Arial"/>
                <w:color w:val="000000"/>
                <w:szCs w:val="20"/>
                <w:lang w:eastAsia="pt-BR"/>
              </w:rPr>
              <w:tab/>
            </w:r>
          </w:p>
        </w:tc>
        <w:tc>
          <w:tcPr>
            <w:tcW w:w="1284" w:type="dxa"/>
            <w:tcBorders>
              <w:top w:val="nil"/>
              <w:left w:val="nil"/>
              <w:bottom w:val="nil"/>
              <w:right w:val="nil"/>
            </w:tcBorders>
            <w:shd w:val="clear" w:color="auto" w:fill="D9D9D9" w:themeFill="background1" w:themeFillShade="D9"/>
            <w:noWrap/>
            <w:vAlign w:val="center"/>
            <w:hideMark/>
          </w:tcPr>
          <w:p w:rsidR="0041147E" w:rsidRPr="00922606" w:rsidRDefault="0041147E" w:rsidP="008F4251">
            <w:pPr>
              <w:jc w:val="right"/>
              <w:rPr>
                <w:rFonts w:eastAsia="Times New Roman" w:cs="Arial"/>
                <w:color w:val="000000"/>
                <w:szCs w:val="20"/>
                <w:lang w:eastAsia="pt-BR"/>
              </w:rPr>
            </w:pPr>
            <w:r>
              <w:rPr>
                <w:rFonts w:eastAsia="Times New Roman" w:cs="Arial"/>
                <w:color w:val="000000"/>
                <w:szCs w:val="20"/>
                <w:lang w:eastAsia="pt-BR"/>
              </w:rPr>
              <w:t>99,56</w:t>
            </w:r>
            <w:r w:rsidRPr="00922606">
              <w:rPr>
                <w:rFonts w:eastAsia="Times New Roman" w:cs="Arial"/>
                <w:color w:val="000000"/>
                <w:szCs w:val="20"/>
                <w:lang w:eastAsia="pt-BR"/>
              </w:rPr>
              <w:t>%</w:t>
            </w:r>
          </w:p>
        </w:tc>
      </w:tr>
      <w:tr w:rsidR="0041147E" w:rsidRPr="00922606" w:rsidTr="008F4251">
        <w:trPr>
          <w:trHeight w:val="281"/>
        </w:trPr>
        <w:tc>
          <w:tcPr>
            <w:tcW w:w="5032" w:type="dxa"/>
            <w:tcBorders>
              <w:top w:val="nil"/>
              <w:left w:val="nil"/>
              <w:bottom w:val="nil"/>
              <w:right w:val="nil"/>
            </w:tcBorders>
            <w:shd w:val="clear" w:color="auto" w:fill="auto"/>
            <w:noWrap/>
            <w:vAlign w:val="center"/>
            <w:hideMark/>
          </w:tcPr>
          <w:p w:rsidR="0041147E" w:rsidRPr="00922606" w:rsidRDefault="0041147E" w:rsidP="008F4251">
            <w:pPr>
              <w:jc w:val="left"/>
              <w:rPr>
                <w:rFonts w:eastAsia="Times New Roman" w:cs="Arial"/>
                <w:color w:val="000000"/>
                <w:szCs w:val="20"/>
                <w:lang w:eastAsia="pt-BR"/>
              </w:rPr>
            </w:pPr>
            <w:r w:rsidRPr="00922606">
              <w:rPr>
                <w:rFonts w:eastAsia="Times New Roman" w:cs="Arial"/>
                <w:color w:val="000000"/>
                <w:szCs w:val="20"/>
                <w:lang w:eastAsia="pt-BR"/>
              </w:rPr>
              <w:t xml:space="preserve">Receitas de Serviços </w:t>
            </w:r>
            <w:r>
              <w:rPr>
                <w:rFonts w:eastAsia="Times New Roman" w:cs="Arial"/>
                <w:color w:val="000000"/>
                <w:szCs w:val="20"/>
                <w:lang w:eastAsia="pt-BR"/>
              </w:rPr>
              <w:t xml:space="preserve">- </w:t>
            </w:r>
            <w:r w:rsidRPr="00F378F8">
              <w:rPr>
                <w:rFonts w:eastAsia="Times New Roman" w:cs="Arial"/>
                <w:color w:val="000000"/>
                <w:szCs w:val="20"/>
                <w:lang w:eastAsia="pt-BR"/>
              </w:rPr>
              <w:t>Serviços Administrativos</w:t>
            </w:r>
          </w:p>
        </w:tc>
        <w:tc>
          <w:tcPr>
            <w:tcW w:w="2989" w:type="dxa"/>
            <w:tcBorders>
              <w:top w:val="nil"/>
              <w:left w:val="nil"/>
              <w:bottom w:val="nil"/>
              <w:right w:val="nil"/>
            </w:tcBorders>
            <w:shd w:val="clear" w:color="auto" w:fill="auto"/>
            <w:noWrap/>
            <w:vAlign w:val="center"/>
            <w:hideMark/>
          </w:tcPr>
          <w:p w:rsidR="0041147E" w:rsidRPr="00922606" w:rsidRDefault="0041147E" w:rsidP="008F4251">
            <w:pPr>
              <w:jc w:val="right"/>
              <w:rPr>
                <w:rFonts w:eastAsia="Times New Roman" w:cs="Arial"/>
                <w:color w:val="000000"/>
                <w:szCs w:val="20"/>
                <w:lang w:eastAsia="pt-BR"/>
              </w:rPr>
            </w:pPr>
            <w:r w:rsidRPr="007C4EAA">
              <w:rPr>
                <w:rFonts w:eastAsia="Times New Roman" w:cs="Arial"/>
                <w:color w:val="000000"/>
                <w:szCs w:val="20"/>
                <w:lang w:eastAsia="pt-BR"/>
              </w:rPr>
              <w:t>184</w:t>
            </w:r>
            <w:r>
              <w:rPr>
                <w:rFonts w:eastAsia="Times New Roman" w:cs="Arial"/>
                <w:color w:val="000000"/>
                <w:szCs w:val="20"/>
                <w:lang w:eastAsia="pt-BR"/>
              </w:rPr>
              <w:t>.</w:t>
            </w:r>
            <w:r w:rsidRPr="007C4EAA">
              <w:rPr>
                <w:rFonts w:eastAsia="Times New Roman" w:cs="Arial"/>
                <w:color w:val="000000"/>
                <w:szCs w:val="20"/>
                <w:lang w:eastAsia="pt-BR"/>
              </w:rPr>
              <w:t>097</w:t>
            </w:r>
            <w:r>
              <w:rPr>
                <w:rFonts w:eastAsia="Times New Roman" w:cs="Arial"/>
                <w:color w:val="000000"/>
                <w:szCs w:val="20"/>
                <w:lang w:eastAsia="pt-BR"/>
              </w:rPr>
              <w:t>.</w:t>
            </w:r>
            <w:r w:rsidRPr="007C4EAA">
              <w:rPr>
                <w:rFonts w:eastAsia="Times New Roman" w:cs="Arial"/>
                <w:color w:val="000000"/>
                <w:szCs w:val="20"/>
                <w:lang w:eastAsia="pt-BR"/>
              </w:rPr>
              <w:t>942,57</w:t>
            </w:r>
          </w:p>
        </w:tc>
        <w:tc>
          <w:tcPr>
            <w:tcW w:w="1284" w:type="dxa"/>
            <w:tcBorders>
              <w:top w:val="nil"/>
              <w:left w:val="nil"/>
              <w:bottom w:val="nil"/>
              <w:right w:val="nil"/>
            </w:tcBorders>
            <w:shd w:val="clear" w:color="auto" w:fill="auto"/>
            <w:noWrap/>
            <w:vAlign w:val="center"/>
            <w:hideMark/>
          </w:tcPr>
          <w:p w:rsidR="0041147E" w:rsidRPr="00922606" w:rsidRDefault="0041147E" w:rsidP="008F4251">
            <w:pPr>
              <w:jc w:val="right"/>
              <w:rPr>
                <w:rFonts w:eastAsia="Times New Roman" w:cs="Arial"/>
                <w:color w:val="000000"/>
                <w:szCs w:val="20"/>
                <w:lang w:eastAsia="pt-BR"/>
              </w:rPr>
            </w:pPr>
            <w:r>
              <w:rPr>
                <w:rFonts w:eastAsia="Times New Roman" w:cs="Arial"/>
                <w:color w:val="000000"/>
                <w:szCs w:val="20"/>
                <w:lang w:eastAsia="pt-BR"/>
              </w:rPr>
              <w:t>0,22</w:t>
            </w:r>
            <w:r w:rsidRPr="00922606">
              <w:rPr>
                <w:rFonts w:eastAsia="Times New Roman" w:cs="Arial"/>
                <w:color w:val="000000"/>
                <w:szCs w:val="20"/>
                <w:lang w:eastAsia="pt-BR"/>
              </w:rPr>
              <w:t>%</w:t>
            </w:r>
          </w:p>
        </w:tc>
      </w:tr>
      <w:tr w:rsidR="0041147E" w:rsidRPr="00AF4CC9" w:rsidTr="008F4251">
        <w:trPr>
          <w:trHeight w:val="281"/>
        </w:trPr>
        <w:tc>
          <w:tcPr>
            <w:tcW w:w="5032" w:type="dxa"/>
            <w:tcBorders>
              <w:top w:val="nil"/>
              <w:left w:val="nil"/>
              <w:bottom w:val="single" w:sz="8" w:space="0" w:color="000000"/>
              <w:right w:val="nil"/>
            </w:tcBorders>
            <w:shd w:val="clear" w:color="auto" w:fill="D9D9D9" w:themeFill="background1" w:themeFillShade="D9"/>
            <w:noWrap/>
            <w:vAlign w:val="center"/>
          </w:tcPr>
          <w:p w:rsidR="0041147E" w:rsidRPr="00AF4CC9" w:rsidRDefault="0041147E" w:rsidP="008F4251">
            <w:pPr>
              <w:jc w:val="left"/>
              <w:rPr>
                <w:rFonts w:eastAsia="Times New Roman" w:cs="Arial"/>
                <w:bCs/>
                <w:color w:val="000000"/>
                <w:szCs w:val="20"/>
                <w:lang w:eastAsia="pt-BR"/>
              </w:rPr>
            </w:pPr>
            <w:r w:rsidRPr="00AF4CC9">
              <w:rPr>
                <w:rFonts w:eastAsia="Times New Roman" w:cs="Arial"/>
                <w:bCs/>
                <w:color w:val="000000"/>
                <w:szCs w:val="20"/>
                <w:lang w:eastAsia="pt-BR"/>
              </w:rPr>
              <w:t>Outras Receitas Correntes</w:t>
            </w:r>
            <w:r>
              <w:rPr>
                <w:rFonts w:eastAsia="Times New Roman" w:cs="Arial"/>
                <w:bCs/>
                <w:color w:val="000000"/>
                <w:szCs w:val="20"/>
                <w:lang w:eastAsia="pt-BR"/>
              </w:rPr>
              <w:t xml:space="preserve"> - </w:t>
            </w:r>
            <w:r w:rsidRPr="00A04F23">
              <w:rPr>
                <w:rFonts w:eastAsia="Times New Roman" w:cs="Arial"/>
                <w:color w:val="000000"/>
                <w:szCs w:val="20"/>
                <w:lang w:eastAsia="pt-BR"/>
              </w:rPr>
              <w:t>Multas administrativas, contratuais e judiciais</w:t>
            </w:r>
          </w:p>
        </w:tc>
        <w:tc>
          <w:tcPr>
            <w:tcW w:w="2989" w:type="dxa"/>
            <w:tcBorders>
              <w:top w:val="nil"/>
              <w:left w:val="nil"/>
              <w:bottom w:val="single" w:sz="8" w:space="0" w:color="000000"/>
              <w:right w:val="nil"/>
            </w:tcBorders>
            <w:shd w:val="clear" w:color="auto" w:fill="D9D9D9" w:themeFill="background1" w:themeFillShade="D9"/>
            <w:noWrap/>
            <w:vAlign w:val="center"/>
          </w:tcPr>
          <w:p w:rsidR="0041147E" w:rsidRPr="00AF4CC9" w:rsidRDefault="0041147E" w:rsidP="008F4251">
            <w:pPr>
              <w:jc w:val="right"/>
              <w:rPr>
                <w:rFonts w:eastAsia="Times New Roman" w:cs="Arial"/>
                <w:bCs/>
                <w:color w:val="000000"/>
                <w:szCs w:val="20"/>
                <w:lang w:eastAsia="pt-BR"/>
              </w:rPr>
            </w:pPr>
            <w:r w:rsidRPr="007C4EAA">
              <w:rPr>
                <w:rFonts w:eastAsia="Times New Roman" w:cs="Arial"/>
                <w:color w:val="000000"/>
                <w:szCs w:val="20"/>
                <w:lang w:eastAsia="pt-BR"/>
              </w:rPr>
              <w:t>189</w:t>
            </w:r>
            <w:r>
              <w:rPr>
                <w:rFonts w:eastAsia="Times New Roman" w:cs="Arial"/>
                <w:color w:val="000000"/>
                <w:szCs w:val="20"/>
                <w:lang w:eastAsia="pt-BR"/>
              </w:rPr>
              <w:t>.</w:t>
            </w:r>
            <w:r w:rsidRPr="007C4EAA">
              <w:rPr>
                <w:rFonts w:eastAsia="Times New Roman" w:cs="Arial"/>
                <w:color w:val="000000"/>
                <w:szCs w:val="20"/>
                <w:lang w:eastAsia="pt-BR"/>
              </w:rPr>
              <w:t>412</w:t>
            </w:r>
            <w:r>
              <w:rPr>
                <w:rFonts w:eastAsia="Times New Roman" w:cs="Arial"/>
                <w:color w:val="000000"/>
                <w:szCs w:val="20"/>
                <w:lang w:eastAsia="pt-BR"/>
              </w:rPr>
              <w:t>.</w:t>
            </w:r>
            <w:r w:rsidRPr="007C4EAA">
              <w:rPr>
                <w:rFonts w:eastAsia="Times New Roman" w:cs="Arial"/>
                <w:color w:val="000000"/>
                <w:szCs w:val="20"/>
                <w:lang w:eastAsia="pt-BR"/>
              </w:rPr>
              <w:t>621,13</w:t>
            </w:r>
          </w:p>
        </w:tc>
        <w:tc>
          <w:tcPr>
            <w:tcW w:w="1284" w:type="dxa"/>
            <w:tcBorders>
              <w:top w:val="nil"/>
              <w:left w:val="nil"/>
              <w:bottom w:val="single" w:sz="8" w:space="0" w:color="000000"/>
              <w:right w:val="nil"/>
            </w:tcBorders>
            <w:shd w:val="clear" w:color="auto" w:fill="D9D9D9" w:themeFill="background1" w:themeFillShade="D9"/>
            <w:noWrap/>
            <w:vAlign w:val="center"/>
          </w:tcPr>
          <w:p w:rsidR="0041147E" w:rsidRPr="00AF4CC9" w:rsidRDefault="0041147E" w:rsidP="008F4251">
            <w:pPr>
              <w:jc w:val="right"/>
              <w:rPr>
                <w:rFonts w:eastAsia="Times New Roman" w:cs="Arial"/>
                <w:bCs/>
                <w:color w:val="000000"/>
                <w:szCs w:val="20"/>
                <w:lang w:eastAsia="pt-BR"/>
              </w:rPr>
            </w:pPr>
            <w:r>
              <w:rPr>
                <w:rFonts w:eastAsia="Times New Roman" w:cs="Arial"/>
                <w:bCs/>
                <w:color w:val="000000"/>
                <w:szCs w:val="20"/>
                <w:lang w:eastAsia="pt-BR"/>
              </w:rPr>
              <w:t>0</w:t>
            </w:r>
            <w:r w:rsidRPr="00AF4CC9">
              <w:rPr>
                <w:rFonts w:eastAsia="Times New Roman" w:cs="Arial"/>
                <w:bCs/>
                <w:color w:val="000000"/>
                <w:szCs w:val="20"/>
                <w:lang w:eastAsia="pt-BR"/>
              </w:rPr>
              <w:t>,</w:t>
            </w:r>
            <w:r>
              <w:rPr>
                <w:rFonts w:eastAsia="Times New Roman" w:cs="Arial"/>
                <w:bCs/>
                <w:color w:val="000000"/>
                <w:szCs w:val="20"/>
                <w:lang w:eastAsia="pt-BR"/>
              </w:rPr>
              <w:t>22</w:t>
            </w:r>
            <w:r w:rsidRPr="00AF4CC9">
              <w:rPr>
                <w:rFonts w:eastAsia="Times New Roman" w:cs="Arial"/>
                <w:bCs/>
                <w:color w:val="000000"/>
                <w:szCs w:val="20"/>
                <w:lang w:eastAsia="pt-BR"/>
              </w:rPr>
              <w:t>%</w:t>
            </w:r>
          </w:p>
        </w:tc>
      </w:tr>
      <w:tr w:rsidR="0041147E" w:rsidRPr="00AF4CC9" w:rsidTr="008F4251">
        <w:trPr>
          <w:trHeight w:val="281"/>
        </w:trPr>
        <w:tc>
          <w:tcPr>
            <w:tcW w:w="5032" w:type="dxa"/>
            <w:tcBorders>
              <w:top w:val="nil"/>
              <w:left w:val="nil"/>
              <w:bottom w:val="single" w:sz="8" w:space="0" w:color="000000"/>
              <w:right w:val="nil"/>
            </w:tcBorders>
            <w:shd w:val="clear" w:color="auto" w:fill="auto"/>
            <w:noWrap/>
            <w:vAlign w:val="center"/>
          </w:tcPr>
          <w:p w:rsidR="0041147E" w:rsidRPr="00AF4CC9" w:rsidRDefault="0041147E" w:rsidP="008F4251">
            <w:pPr>
              <w:jc w:val="left"/>
              <w:rPr>
                <w:rFonts w:eastAsia="Times New Roman" w:cs="Arial"/>
                <w:bCs/>
                <w:color w:val="000000"/>
                <w:szCs w:val="20"/>
                <w:lang w:eastAsia="pt-BR"/>
              </w:rPr>
            </w:pPr>
            <w:r w:rsidRPr="00A04F23">
              <w:rPr>
                <w:rFonts w:eastAsia="Times New Roman" w:cs="Arial"/>
                <w:color w:val="000000"/>
                <w:szCs w:val="20"/>
                <w:lang w:eastAsia="pt-BR"/>
              </w:rPr>
              <w:t>Indenizações, restituições e ressarcimentos</w:t>
            </w:r>
          </w:p>
        </w:tc>
        <w:tc>
          <w:tcPr>
            <w:tcW w:w="2989" w:type="dxa"/>
            <w:tcBorders>
              <w:top w:val="nil"/>
              <w:left w:val="nil"/>
              <w:bottom w:val="single" w:sz="8" w:space="0" w:color="000000"/>
              <w:right w:val="nil"/>
            </w:tcBorders>
            <w:shd w:val="clear" w:color="auto" w:fill="auto"/>
            <w:noWrap/>
            <w:vAlign w:val="center"/>
          </w:tcPr>
          <w:p w:rsidR="0041147E" w:rsidRPr="0033433E" w:rsidRDefault="0041147E" w:rsidP="008F4251">
            <w:pPr>
              <w:jc w:val="right"/>
              <w:rPr>
                <w:rFonts w:eastAsia="Times New Roman" w:cs="Arial"/>
                <w:color w:val="000000"/>
                <w:szCs w:val="20"/>
                <w:lang w:eastAsia="pt-BR"/>
              </w:rPr>
            </w:pPr>
            <w:r>
              <w:rPr>
                <w:rFonts w:eastAsia="Times New Roman" w:cs="Arial"/>
                <w:color w:val="000000"/>
                <w:szCs w:val="20"/>
                <w:lang w:eastAsia="pt-BR"/>
              </w:rPr>
              <w:t>2.</w:t>
            </w:r>
            <w:r w:rsidRPr="0033433E">
              <w:rPr>
                <w:rFonts w:eastAsia="Times New Roman" w:cs="Arial"/>
                <w:color w:val="000000"/>
                <w:szCs w:val="20"/>
                <w:lang w:eastAsia="pt-BR"/>
              </w:rPr>
              <w:t>6</w:t>
            </w:r>
            <w:r>
              <w:rPr>
                <w:rFonts w:eastAsia="Times New Roman" w:cs="Arial"/>
                <w:color w:val="000000"/>
                <w:szCs w:val="20"/>
                <w:lang w:eastAsia="pt-BR"/>
              </w:rPr>
              <w:t>11</w:t>
            </w:r>
            <w:r w:rsidRPr="0033433E">
              <w:rPr>
                <w:rFonts w:eastAsia="Times New Roman" w:cs="Arial"/>
                <w:color w:val="000000"/>
                <w:szCs w:val="20"/>
                <w:lang w:eastAsia="pt-BR"/>
              </w:rPr>
              <w:t>,</w:t>
            </w:r>
            <w:r>
              <w:rPr>
                <w:rFonts w:eastAsia="Times New Roman" w:cs="Arial"/>
                <w:color w:val="000000"/>
                <w:szCs w:val="20"/>
                <w:lang w:eastAsia="pt-BR"/>
              </w:rPr>
              <w:t>33</w:t>
            </w:r>
          </w:p>
        </w:tc>
        <w:tc>
          <w:tcPr>
            <w:tcW w:w="1284" w:type="dxa"/>
            <w:tcBorders>
              <w:top w:val="nil"/>
              <w:left w:val="nil"/>
              <w:bottom w:val="single" w:sz="8" w:space="0" w:color="000000"/>
              <w:right w:val="nil"/>
            </w:tcBorders>
            <w:shd w:val="clear" w:color="auto" w:fill="auto"/>
            <w:noWrap/>
            <w:vAlign w:val="center"/>
          </w:tcPr>
          <w:p w:rsidR="0041147E" w:rsidRDefault="0041147E" w:rsidP="008F4251">
            <w:pPr>
              <w:jc w:val="right"/>
              <w:rPr>
                <w:rFonts w:eastAsia="Times New Roman" w:cs="Arial"/>
                <w:bCs/>
                <w:color w:val="000000"/>
                <w:szCs w:val="20"/>
                <w:lang w:eastAsia="pt-BR"/>
              </w:rPr>
            </w:pPr>
            <w:r>
              <w:rPr>
                <w:rFonts w:eastAsia="Times New Roman" w:cs="Arial"/>
                <w:bCs/>
                <w:color w:val="000000"/>
                <w:szCs w:val="20"/>
                <w:lang w:eastAsia="pt-BR"/>
              </w:rPr>
              <w:t>0,00%</w:t>
            </w:r>
          </w:p>
        </w:tc>
      </w:tr>
      <w:tr w:rsidR="0041147E" w:rsidRPr="00922606" w:rsidTr="008F4251">
        <w:trPr>
          <w:trHeight w:val="281"/>
        </w:trPr>
        <w:tc>
          <w:tcPr>
            <w:tcW w:w="5032" w:type="dxa"/>
            <w:tcBorders>
              <w:top w:val="nil"/>
              <w:left w:val="nil"/>
              <w:bottom w:val="single" w:sz="8" w:space="0" w:color="000000"/>
              <w:right w:val="nil"/>
            </w:tcBorders>
            <w:shd w:val="clear" w:color="auto" w:fill="D9D9D9" w:themeFill="background1" w:themeFillShade="D9"/>
            <w:noWrap/>
            <w:vAlign w:val="center"/>
            <w:hideMark/>
          </w:tcPr>
          <w:p w:rsidR="0041147E" w:rsidRPr="00922606" w:rsidRDefault="0041147E" w:rsidP="008F4251">
            <w:pPr>
              <w:jc w:val="left"/>
              <w:rPr>
                <w:rFonts w:eastAsia="Times New Roman" w:cs="Arial"/>
                <w:b/>
                <w:bCs/>
                <w:color w:val="000000"/>
                <w:szCs w:val="20"/>
                <w:lang w:eastAsia="pt-BR"/>
              </w:rPr>
            </w:pPr>
            <w:r w:rsidRPr="00922606">
              <w:rPr>
                <w:rFonts w:eastAsia="Times New Roman" w:cs="Arial"/>
                <w:b/>
                <w:bCs/>
                <w:color w:val="000000"/>
                <w:szCs w:val="20"/>
                <w:lang w:eastAsia="pt-BR"/>
              </w:rPr>
              <w:t>Total</w:t>
            </w:r>
          </w:p>
        </w:tc>
        <w:tc>
          <w:tcPr>
            <w:tcW w:w="2989" w:type="dxa"/>
            <w:tcBorders>
              <w:top w:val="nil"/>
              <w:left w:val="nil"/>
              <w:bottom w:val="single" w:sz="8" w:space="0" w:color="000000"/>
              <w:right w:val="nil"/>
            </w:tcBorders>
            <w:shd w:val="clear" w:color="auto" w:fill="D9D9D9" w:themeFill="background1" w:themeFillShade="D9"/>
            <w:noWrap/>
            <w:vAlign w:val="center"/>
            <w:hideMark/>
          </w:tcPr>
          <w:p w:rsidR="0041147E" w:rsidRPr="00922606" w:rsidRDefault="0041147E" w:rsidP="008F4251">
            <w:pPr>
              <w:jc w:val="right"/>
              <w:rPr>
                <w:rFonts w:eastAsia="Times New Roman" w:cs="Arial"/>
                <w:b/>
                <w:bCs/>
                <w:color w:val="000000"/>
                <w:szCs w:val="20"/>
                <w:lang w:eastAsia="pt-BR"/>
              </w:rPr>
            </w:pPr>
            <w:r w:rsidRPr="007C4EAA">
              <w:rPr>
                <w:rFonts w:cs="Arial"/>
                <w:b/>
                <w:bCs/>
                <w:color w:val="000000"/>
                <w:szCs w:val="20"/>
              </w:rPr>
              <w:t>84.582.952.010,27</w:t>
            </w:r>
          </w:p>
        </w:tc>
        <w:tc>
          <w:tcPr>
            <w:tcW w:w="1284" w:type="dxa"/>
            <w:tcBorders>
              <w:top w:val="nil"/>
              <w:left w:val="nil"/>
              <w:bottom w:val="single" w:sz="8" w:space="0" w:color="000000"/>
              <w:right w:val="nil"/>
            </w:tcBorders>
            <w:shd w:val="clear" w:color="auto" w:fill="D9D9D9" w:themeFill="background1" w:themeFillShade="D9"/>
            <w:noWrap/>
            <w:vAlign w:val="center"/>
            <w:hideMark/>
          </w:tcPr>
          <w:p w:rsidR="0041147E" w:rsidRPr="00922606" w:rsidRDefault="0041147E" w:rsidP="008F4251">
            <w:pPr>
              <w:jc w:val="right"/>
              <w:rPr>
                <w:rFonts w:eastAsia="Times New Roman" w:cs="Arial"/>
                <w:b/>
                <w:bCs/>
                <w:color w:val="000000"/>
                <w:szCs w:val="20"/>
                <w:lang w:eastAsia="pt-BR"/>
              </w:rPr>
            </w:pPr>
            <w:r w:rsidRPr="00922606">
              <w:rPr>
                <w:rFonts w:eastAsia="Times New Roman" w:cs="Arial"/>
                <w:b/>
                <w:bCs/>
                <w:color w:val="000000"/>
                <w:szCs w:val="20"/>
                <w:lang w:eastAsia="pt-BR"/>
              </w:rPr>
              <w:t>100,00%</w:t>
            </w:r>
          </w:p>
        </w:tc>
      </w:tr>
    </w:tbl>
    <w:p w:rsidR="0041147E" w:rsidRPr="003B4733" w:rsidRDefault="0041147E" w:rsidP="0041147E">
      <w:pPr>
        <w:rPr>
          <w:rFonts w:cs="Arial"/>
          <w:i/>
          <w:szCs w:val="20"/>
        </w:rPr>
      </w:pPr>
      <w:r w:rsidRPr="003B4733">
        <w:rPr>
          <w:rFonts w:cs="Arial"/>
          <w:i/>
          <w:szCs w:val="20"/>
        </w:rPr>
        <w:t>Fonte: SIAFI, 201</w:t>
      </w:r>
      <w:r>
        <w:rPr>
          <w:rFonts w:cs="Arial"/>
          <w:i/>
          <w:szCs w:val="20"/>
        </w:rPr>
        <w:t>9</w:t>
      </w:r>
      <w:r w:rsidRPr="003B4733">
        <w:rPr>
          <w:rFonts w:cs="Arial"/>
          <w:i/>
          <w:szCs w:val="20"/>
        </w:rPr>
        <w:t>.</w:t>
      </w:r>
    </w:p>
    <w:p w:rsidR="0041147E" w:rsidRDefault="0041147E" w:rsidP="0041147E">
      <w:pPr>
        <w:rPr>
          <w:rFonts w:cs="Arial"/>
          <w:sz w:val="22"/>
        </w:rPr>
      </w:pPr>
    </w:p>
    <w:p w:rsidR="0041147E" w:rsidRDefault="0041147E" w:rsidP="0041147E">
      <w:pPr>
        <w:rPr>
          <w:rFonts w:cs="Arial"/>
          <w:sz w:val="22"/>
        </w:rPr>
      </w:pPr>
      <w:r w:rsidRPr="00757229">
        <w:rPr>
          <w:rFonts w:cs="Arial"/>
          <w:sz w:val="22"/>
        </w:rPr>
        <w:t>No exercício de 2019, a dotação da receita, inicial e atualizada de 2 bilhões, foi muito distante da efetivamente arrecadada em decorrência das rodadas de licitação realizadas no</w:t>
      </w:r>
      <w:r w:rsidRPr="002351CC">
        <w:rPr>
          <w:rFonts w:cs="Arial"/>
          <w:sz w:val="22"/>
        </w:rPr>
        <w:t xml:space="preserve"> último quadrimestre de 2019.</w:t>
      </w:r>
      <w:r>
        <w:rPr>
          <w:rFonts w:cs="Arial"/>
          <w:sz w:val="22"/>
        </w:rPr>
        <w:t xml:space="preserve"> </w:t>
      </w:r>
    </w:p>
    <w:p w:rsidR="0041147E" w:rsidRDefault="0041147E" w:rsidP="0041147E">
      <w:pPr>
        <w:rPr>
          <w:rFonts w:cs="Arial"/>
          <w:sz w:val="22"/>
        </w:rPr>
      </w:pPr>
    </w:p>
    <w:p w:rsidR="0041147E" w:rsidRPr="00351BB7" w:rsidRDefault="0041147E" w:rsidP="0041147E">
      <w:pPr>
        <w:rPr>
          <w:rFonts w:cs="Arial"/>
          <w:b/>
          <w:sz w:val="22"/>
        </w:rPr>
      </w:pPr>
      <w:r>
        <w:rPr>
          <w:rFonts w:cs="Arial"/>
          <w:sz w:val="22"/>
        </w:rPr>
        <w:t>F</w:t>
      </w:r>
      <w:r w:rsidRPr="00351BB7">
        <w:rPr>
          <w:rFonts w:cs="Arial"/>
          <w:sz w:val="22"/>
        </w:rPr>
        <w:t xml:space="preserve">oram empenhados valores superiores a R$ </w:t>
      </w:r>
      <w:r>
        <w:rPr>
          <w:rFonts w:cs="Arial"/>
          <w:sz w:val="22"/>
        </w:rPr>
        <w:t>21 b</w:t>
      </w:r>
      <w:r w:rsidRPr="00351BB7">
        <w:rPr>
          <w:rFonts w:cs="Arial"/>
          <w:sz w:val="22"/>
        </w:rPr>
        <w:t>ilhões, cuja comparação com o exercício anterior é demonstrada da tabela a seguir:</w:t>
      </w:r>
    </w:p>
    <w:p w:rsidR="0041147E" w:rsidRPr="00351BB7" w:rsidRDefault="0041147E" w:rsidP="0041147E">
      <w:pPr>
        <w:rPr>
          <w:rFonts w:cs="Arial"/>
          <w:b/>
          <w:sz w:val="22"/>
        </w:rPr>
      </w:pPr>
    </w:p>
    <w:p w:rsidR="0041147E" w:rsidRPr="00351BB7" w:rsidRDefault="0041147E" w:rsidP="0041147E">
      <w:pPr>
        <w:rPr>
          <w:rFonts w:cs="Arial"/>
          <w:sz w:val="22"/>
        </w:rPr>
      </w:pPr>
      <w:r w:rsidRPr="00C449FB">
        <w:rPr>
          <w:rFonts w:cs="Arial"/>
          <w:b/>
          <w:sz w:val="22"/>
        </w:rPr>
        <w:t>Tabela 6 – Execução Orçamentária da Despesa - Despesa Empenhada.</w:t>
      </w:r>
      <w:r w:rsidRPr="00351BB7">
        <w:rPr>
          <w:rFonts w:cs="Arial"/>
          <w:sz w:val="22"/>
        </w:rPr>
        <w:t xml:space="preserve">                                                                                                                                        </w:t>
      </w:r>
    </w:p>
    <w:p w:rsidR="0041147E" w:rsidRPr="00351BB7" w:rsidRDefault="0041147E" w:rsidP="0041147E">
      <w:pPr>
        <w:rPr>
          <w:rFonts w:cs="Arial"/>
          <w:sz w:val="22"/>
        </w:rPr>
      </w:pPr>
      <w:r w:rsidRPr="00351BB7">
        <w:rPr>
          <w:rFonts w:cs="Arial"/>
          <w:sz w:val="22"/>
        </w:rPr>
        <w:t xml:space="preserve">            </w:t>
      </w:r>
      <w:r w:rsidRPr="00351BB7">
        <w:rPr>
          <w:rFonts w:cs="Arial"/>
          <w:sz w:val="22"/>
        </w:rPr>
        <w:tab/>
      </w:r>
      <w:r w:rsidRPr="00351BB7">
        <w:rPr>
          <w:rFonts w:cs="Arial"/>
          <w:sz w:val="22"/>
        </w:rPr>
        <w:tab/>
      </w:r>
      <w:r w:rsidRPr="00351BB7">
        <w:rPr>
          <w:rFonts w:cs="Arial"/>
          <w:sz w:val="22"/>
        </w:rPr>
        <w:tab/>
      </w:r>
      <w:r w:rsidRPr="00351BB7">
        <w:rPr>
          <w:rFonts w:cs="Arial"/>
          <w:sz w:val="22"/>
        </w:rPr>
        <w:tab/>
      </w:r>
      <w:r w:rsidRPr="00351BB7">
        <w:rPr>
          <w:rFonts w:cs="Arial"/>
          <w:sz w:val="22"/>
        </w:rPr>
        <w:tab/>
      </w:r>
      <w:r w:rsidRPr="00351BB7">
        <w:rPr>
          <w:rFonts w:cs="Arial"/>
          <w:sz w:val="22"/>
        </w:rPr>
        <w:tab/>
      </w:r>
      <w:r w:rsidRPr="00351BB7">
        <w:rPr>
          <w:rFonts w:cs="Arial"/>
          <w:sz w:val="22"/>
        </w:rPr>
        <w:tab/>
      </w:r>
      <w:r w:rsidRPr="00351BB7">
        <w:rPr>
          <w:rFonts w:cs="Arial"/>
          <w:sz w:val="22"/>
        </w:rPr>
        <w:tab/>
      </w:r>
      <w:r w:rsidRPr="00351BB7">
        <w:rPr>
          <w:rFonts w:cs="Arial"/>
          <w:sz w:val="22"/>
        </w:rPr>
        <w:tab/>
      </w:r>
      <w:r w:rsidRPr="00351BB7">
        <w:rPr>
          <w:rFonts w:cs="Arial"/>
          <w:sz w:val="22"/>
        </w:rPr>
        <w:tab/>
      </w:r>
      <w:r w:rsidRPr="00351BB7">
        <w:rPr>
          <w:rFonts w:cs="Arial"/>
          <w:sz w:val="22"/>
        </w:rPr>
        <w:tab/>
        <w:t>R$</w:t>
      </w:r>
    </w:p>
    <w:tbl>
      <w:tblPr>
        <w:tblW w:w="9096" w:type="dxa"/>
        <w:tblCellMar>
          <w:left w:w="70" w:type="dxa"/>
          <w:right w:w="70" w:type="dxa"/>
        </w:tblCellMar>
        <w:tblLook w:val="04A0" w:firstRow="1" w:lastRow="0" w:firstColumn="1" w:lastColumn="0" w:noHBand="0" w:noVBand="1"/>
      </w:tblPr>
      <w:tblGrid>
        <w:gridCol w:w="2663"/>
        <w:gridCol w:w="2584"/>
        <w:gridCol w:w="2584"/>
        <w:gridCol w:w="1265"/>
      </w:tblGrid>
      <w:tr w:rsidR="0041147E" w:rsidRPr="00E819F8" w:rsidTr="008F4251">
        <w:trPr>
          <w:trHeight w:val="299"/>
        </w:trPr>
        <w:tc>
          <w:tcPr>
            <w:tcW w:w="2663" w:type="dxa"/>
            <w:tcBorders>
              <w:top w:val="single" w:sz="4" w:space="0" w:color="000000"/>
              <w:left w:val="nil"/>
              <w:bottom w:val="single" w:sz="4" w:space="0" w:color="000000"/>
              <w:right w:val="nil"/>
            </w:tcBorders>
            <w:shd w:val="clear" w:color="auto" w:fill="auto"/>
            <w:noWrap/>
            <w:vAlign w:val="bottom"/>
            <w:hideMark/>
          </w:tcPr>
          <w:p w:rsidR="0041147E" w:rsidRPr="00E819F8" w:rsidRDefault="0041147E" w:rsidP="008F4251">
            <w:pPr>
              <w:jc w:val="left"/>
              <w:rPr>
                <w:rFonts w:eastAsia="Times New Roman" w:cs="Arial"/>
                <w:b/>
                <w:bCs/>
                <w:color w:val="FFFFFF"/>
                <w:szCs w:val="20"/>
                <w:lang w:eastAsia="pt-BR"/>
              </w:rPr>
            </w:pPr>
            <w:r w:rsidRPr="00E819F8">
              <w:rPr>
                <w:rFonts w:eastAsia="Times New Roman" w:cs="Arial"/>
                <w:b/>
                <w:bCs/>
                <w:color w:val="FFFFFF"/>
                <w:szCs w:val="20"/>
                <w:lang w:eastAsia="pt-BR"/>
              </w:rPr>
              <w:t>Colunas1</w:t>
            </w:r>
          </w:p>
        </w:tc>
        <w:tc>
          <w:tcPr>
            <w:tcW w:w="2584" w:type="dxa"/>
            <w:tcBorders>
              <w:top w:val="single" w:sz="4" w:space="0" w:color="000000"/>
              <w:left w:val="nil"/>
              <w:bottom w:val="single" w:sz="4" w:space="0" w:color="000000"/>
              <w:right w:val="nil"/>
            </w:tcBorders>
            <w:shd w:val="clear" w:color="auto" w:fill="auto"/>
            <w:noWrap/>
            <w:vAlign w:val="bottom"/>
            <w:hideMark/>
          </w:tcPr>
          <w:p w:rsidR="0041147E" w:rsidRPr="00E819F8" w:rsidRDefault="0041147E" w:rsidP="008F4251">
            <w:pPr>
              <w:jc w:val="right"/>
              <w:rPr>
                <w:rFonts w:eastAsia="Times New Roman" w:cs="Arial"/>
                <w:b/>
                <w:bCs/>
                <w:color w:val="000000"/>
                <w:szCs w:val="20"/>
                <w:lang w:eastAsia="pt-BR"/>
              </w:rPr>
            </w:pPr>
            <w:r w:rsidRPr="00E819F8">
              <w:rPr>
                <w:rFonts w:eastAsia="Times New Roman" w:cs="Arial"/>
                <w:b/>
                <w:bCs/>
                <w:color w:val="000000"/>
                <w:szCs w:val="20"/>
                <w:lang w:eastAsia="pt-BR"/>
              </w:rPr>
              <w:t>3</w:t>
            </w:r>
            <w:r>
              <w:rPr>
                <w:rFonts w:eastAsia="Times New Roman" w:cs="Arial"/>
                <w:b/>
                <w:bCs/>
                <w:color w:val="000000"/>
                <w:szCs w:val="20"/>
                <w:lang w:eastAsia="pt-BR"/>
              </w:rPr>
              <w:t>1</w:t>
            </w:r>
            <w:r w:rsidRPr="00E819F8">
              <w:rPr>
                <w:rFonts w:eastAsia="Times New Roman" w:cs="Arial"/>
                <w:b/>
                <w:bCs/>
                <w:color w:val="000000"/>
                <w:szCs w:val="20"/>
                <w:lang w:eastAsia="pt-BR"/>
              </w:rPr>
              <w:t>/</w:t>
            </w:r>
            <w:r>
              <w:rPr>
                <w:rFonts w:eastAsia="Times New Roman" w:cs="Arial"/>
                <w:b/>
                <w:bCs/>
                <w:color w:val="000000"/>
                <w:szCs w:val="20"/>
                <w:lang w:eastAsia="pt-BR"/>
              </w:rPr>
              <w:t>12</w:t>
            </w:r>
            <w:r w:rsidRPr="00E819F8">
              <w:rPr>
                <w:rFonts w:eastAsia="Times New Roman" w:cs="Arial"/>
                <w:b/>
                <w:bCs/>
                <w:color w:val="000000"/>
                <w:szCs w:val="20"/>
                <w:lang w:eastAsia="pt-BR"/>
              </w:rPr>
              <w:t>/201</w:t>
            </w:r>
            <w:r>
              <w:rPr>
                <w:rFonts w:eastAsia="Times New Roman" w:cs="Arial"/>
                <w:b/>
                <w:bCs/>
                <w:color w:val="000000"/>
                <w:szCs w:val="20"/>
                <w:lang w:eastAsia="pt-BR"/>
              </w:rPr>
              <w:t>9</w:t>
            </w:r>
          </w:p>
        </w:tc>
        <w:tc>
          <w:tcPr>
            <w:tcW w:w="2584" w:type="dxa"/>
            <w:tcBorders>
              <w:top w:val="single" w:sz="4" w:space="0" w:color="000000"/>
              <w:left w:val="nil"/>
              <w:bottom w:val="single" w:sz="4" w:space="0" w:color="000000"/>
              <w:right w:val="nil"/>
            </w:tcBorders>
            <w:shd w:val="clear" w:color="auto" w:fill="auto"/>
            <w:noWrap/>
            <w:vAlign w:val="bottom"/>
            <w:hideMark/>
          </w:tcPr>
          <w:p w:rsidR="0041147E" w:rsidRPr="00E819F8" w:rsidRDefault="0041147E" w:rsidP="008F4251">
            <w:pPr>
              <w:jc w:val="right"/>
              <w:rPr>
                <w:rFonts w:eastAsia="Times New Roman" w:cs="Arial"/>
                <w:b/>
                <w:bCs/>
                <w:color w:val="000000"/>
                <w:szCs w:val="20"/>
                <w:lang w:eastAsia="pt-BR"/>
              </w:rPr>
            </w:pPr>
            <w:r w:rsidRPr="00E819F8">
              <w:rPr>
                <w:rFonts w:eastAsia="Times New Roman" w:cs="Arial"/>
                <w:b/>
                <w:bCs/>
                <w:color w:val="000000"/>
                <w:szCs w:val="20"/>
                <w:lang w:eastAsia="pt-BR"/>
              </w:rPr>
              <w:t>3</w:t>
            </w:r>
            <w:r>
              <w:rPr>
                <w:rFonts w:eastAsia="Times New Roman" w:cs="Arial"/>
                <w:b/>
                <w:bCs/>
                <w:color w:val="000000"/>
                <w:szCs w:val="20"/>
                <w:lang w:eastAsia="pt-BR"/>
              </w:rPr>
              <w:t>1</w:t>
            </w:r>
            <w:r w:rsidRPr="00E819F8">
              <w:rPr>
                <w:rFonts w:eastAsia="Times New Roman" w:cs="Arial"/>
                <w:b/>
                <w:bCs/>
                <w:color w:val="000000"/>
                <w:szCs w:val="20"/>
                <w:lang w:eastAsia="pt-BR"/>
              </w:rPr>
              <w:t>/</w:t>
            </w:r>
            <w:r>
              <w:rPr>
                <w:rFonts w:eastAsia="Times New Roman" w:cs="Arial"/>
                <w:b/>
                <w:bCs/>
                <w:color w:val="000000"/>
                <w:szCs w:val="20"/>
                <w:lang w:eastAsia="pt-BR"/>
              </w:rPr>
              <w:t>12</w:t>
            </w:r>
            <w:r w:rsidRPr="00E819F8">
              <w:rPr>
                <w:rFonts w:eastAsia="Times New Roman" w:cs="Arial"/>
                <w:b/>
                <w:bCs/>
                <w:color w:val="000000"/>
                <w:szCs w:val="20"/>
                <w:lang w:eastAsia="pt-BR"/>
              </w:rPr>
              <w:t>/201</w:t>
            </w:r>
            <w:r>
              <w:rPr>
                <w:rFonts w:eastAsia="Times New Roman" w:cs="Arial"/>
                <w:b/>
                <w:bCs/>
                <w:color w:val="000000"/>
                <w:szCs w:val="20"/>
                <w:lang w:eastAsia="pt-BR"/>
              </w:rPr>
              <w:t>8</w:t>
            </w:r>
          </w:p>
        </w:tc>
        <w:tc>
          <w:tcPr>
            <w:tcW w:w="1265" w:type="dxa"/>
            <w:tcBorders>
              <w:top w:val="single" w:sz="4" w:space="0" w:color="000000"/>
              <w:left w:val="nil"/>
              <w:bottom w:val="single" w:sz="4" w:space="0" w:color="000000"/>
              <w:right w:val="nil"/>
            </w:tcBorders>
            <w:shd w:val="clear" w:color="auto" w:fill="auto"/>
            <w:noWrap/>
            <w:vAlign w:val="bottom"/>
            <w:hideMark/>
          </w:tcPr>
          <w:p w:rsidR="0041147E" w:rsidRPr="00E819F8" w:rsidRDefault="0041147E" w:rsidP="008F4251">
            <w:pPr>
              <w:jc w:val="right"/>
              <w:rPr>
                <w:rFonts w:eastAsia="Times New Roman" w:cs="Arial"/>
                <w:b/>
                <w:bCs/>
                <w:color w:val="000000"/>
                <w:szCs w:val="20"/>
                <w:lang w:eastAsia="pt-BR"/>
              </w:rPr>
            </w:pPr>
            <w:r w:rsidRPr="00E819F8">
              <w:rPr>
                <w:rFonts w:eastAsia="Times New Roman" w:cs="Arial"/>
                <w:b/>
                <w:bCs/>
                <w:color w:val="000000"/>
                <w:szCs w:val="20"/>
                <w:lang w:eastAsia="pt-BR"/>
              </w:rPr>
              <w:t>AH (%)</w:t>
            </w:r>
          </w:p>
        </w:tc>
      </w:tr>
      <w:tr w:rsidR="0041147E" w:rsidRPr="00E819F8" w:rsidTr="008F4251">
        <w:trPr>
          <w:trHeight w:val="299"/>
        </w:trPr>
        <w:tc>
          <w:tcPr>
            <w:tcW w:w="2663" w:type="dxa"/>
            <w:tcBorders>
              <w:top w:val="nil"/>
              <w:left w:val="nil"/>
              <w:bottom w:val="nil"/>
              <w:right w:val="nil"/>
            </w:tcBorders>
            <w:shd w:val="clear" w:color="D9D9D9" w:fill="D9D9D9"/>
            <w:noWrap/>
            <w:vAlign w:val="bottom"/>
            <w:hideMark/>
          </w:tcPr>
          <w:p w:rsidR="0041147E" w:rsidRPr="00E819F8" w:rsidRDefault="0041147E" w:rsidP="008F4251">
            <w:pPr>
              <w:jc w:val="left"/>
              <w:rPr>
                <w:rFonts w:eastAsia="Times New Roman" w:cs="Arial"/>
                <w:color w:val="000000"/>
                <w:szCs w:val="20"/>
                <w:lang w:eastAsia="pt-BR"/>
              </w:rPr>
            </w:pPr>
            <w:r w:rsidRPr="00E819F8">
              <w:rPr>
                <w:rFonts w:eastAsia="Times New Roman" w:cs="Arial"/>
                <w:color w:val="000000"/>
                <w:szCs w:val="20"/>
                <w:lang w:eastAsia="pt-BR"/>
              </w:rPr>
              <w:t>Despesas Correntes</w:t>
            </w:r>
          </w:p>
        </w:tc>
        <w:tc>
          <w:tcPr>
            <w:tcW w:w="2584" w:type="dxa"/>
            <w:tcBorders>
              <w:top w:val="nil"/>
              <w:left w:val="nil"/>
              <w:bottom w:val="nil"/>
              <w:right w:val="nil"/>
            </w:tcBorders>
            <w:shd w:val="clear" w:color="D9D9D9" w:fill="D9D9D9"/>
            <w:noWrap/>
            <w:vAlign w:val="bottom"/>
            <w:hideMark/>
          </w:tcPr>
          <w:p w:rsidR="0041147E" w:rsidRPr="00E819F8" w:rsidRDefault="0041147E" w:rsidP="008F4251">
            <w:pPr>
              <w:jc w:val="right"/>
              <w:rPr>
                <w:rFonts w:eastAsia="Times New Roman" w:cs="Arial"/>
                <w:color w:val="000000"/>
                <w:szCs w:val="20"/>
                <w:lang w:eastAsia="pt-BR"/>
              </w:rPr>
            </w:pPr>
            <w:r w:rsidRPr="00777C28">
              <w:rPr>
                <w:rFonts w:eastAsia="Times New Roman" w:cs="Arial"/>
                <w:color w:val="000000"/>
                <w:szCs w:val="20"/>
                <w:lang w:eastAsia="pt-BR"/>
              </w:rPr>
              <w:t>21</w:t>
            </w:r>
            <w:r>
              <w:rPr>
                <w:rFonts w:eastAsia="Times New Roman" w:cs="Arial"/>
                <w:color w:val="000000"/>
                <w:szCs w:val="20"/>
                <w:lang w:eastAsia="pt-BR"/>
              </w:rPr>
              <w:t>.</w:t>
            </w:r>
            <w:r w:rsidRPr="00777C28">
              <w:rPr>
                <w:rFonts w:eastAsia="Times New Roman" w:cs="Arial"/>
                <w:color w:val="000000"/>
                <w:szCs w:val="20"/>
                <w:lang w:eastAsia="pt-BR"/>
              </w:rPr>
              <w:t>432</w:t>
            </w:r>
            <w:r>
              <w:rPr>
                <w:rFonts w:eastAsia="Times New Roman" w:cs="Arial"/>
                <w:color w:val="000000"/>
                <w:szCs w:val="20"/>
                <w:lang w:eastAsia="pt-BR"/>
              </w:rPr>
              <w:t>.</w:t>
            </w:r>
            <w:r w:rsidRPr="00777C28">
              <w:rPr>
                <w:rFonts w:eastAsia="Times New Roman" w:cs="Arial"/>
                <w:color w:val="000000"/>
                <w:szCs w:val="20"/>
                <w:lang w:eastAsia="pt-BR"/>
              </w:rPr>
              <w:t>324</w:t>
            </w:r>
            <w:r>
              <w:rPr>
                <w:rFonts w:eastAsia="Times New Roman" w:cs="Arial"/>
                <w:color w:val="000000"/>
                <w:szCs w:val="20"/>
                <w:lang w:eastAsia="pt-BR"/>
              </w:rPr>
              <w:t>.</w:t>
            </w:r>
            <w:r w:rsidRPr="00777C28">
              <w:rPr>
                <w:rFonts w:eastAsia="Times New Roman" w:cs="Arial"/>
                <w:color w:val="000000"/>
                <w:szCs w:val="20"/>
                <w:lang w:eastAsia="pt-BR"/>
              </w:rPr>
              <w:t>902,61</w:t>
            </w:r>
          </w:p>
        </w:tc>
        <w:tc>
          <w:tcPr>
            <w:tcW w:w="2584" w:type="dxa"/>
            <w:tcBorders>
              <w:top w:val="nil"/>
              <w:left w:val="nil"/>
              <w:bottom w:val="nil"/>
              <w:right w:val="nil"/>
            </w:tcBorders>
            <w:shd w:val="clear" w:color="D9D9D9" w:fill="D9D9D9"/>
            <w:noWrap/>
            <w:vAlign w:val="bottom"/>
            <w:hideMark/>
          </w:tcPr>
          <w:p w:rsidR="0041147E" w:rsidRPr="00E819F8" w:rsidRDefault="0041147E" w:rsidP="008F4251">
            <w:pPr>
              <w:jc w:val="right"/>
              <w:rPr>
                <w:rFonts w:eastAsia="Times New Roman" w:cs="Arial"/>
                <w:color w:val="000000"/>
                <w:szCs w:val="20"/>
                <w:lang w:eastAsia="pt-BR"/>
              </w:rPr>
            </w:pPr>
            <w:r w:rsidRPr="002E62AA">
              <w:rPr>
                <w:rFonts w:eastAsia="Times New Roman" w:cs="Arial"/>
                <w:color w:val="000000"/>
                <w:szCs w:val="20"/>
                <w:lang w:eastAsia="pt-BR"/>
              </w:rPr>
              <w:t>9</w:t>
            </w:r>
            <w:r>
              <w:rPr>
                <w:rFonts w:eastAsia="Times New Roman" w:cs="Arial"/>
                <w:color w:val="000000"/>
                <w:szCs w:val="20"/>
                <w:lang w:eastAsia="pt-BR"/>
              </w:rPr>
              <w:t>.</w:t>
            </w:r>
            <w:r w:rsidRPr="002E62AA">
              <w:rPr>
                <w:rFonts w:eastAsia="Times New Roman" w:cs="Arial"/>
                <w:color w:val="000000"/>
                <w:szCs w:val="20"/>
                <w:lang w:eastAsia="pt-BR"/>
              </w:rPr>
              <w:t>898</w:t>
            </w:r>
            <w:r>
              <w:rPr>
                <w:rFonts w:eastAsia="Times New Roman" w:cs="Arial"/>
                <w:color w:val="000000"/>
                <w:szCs w:val="20"/>
                <w:lang w:eastAsia="pt-BR"/>
              </w:rPr>
              <w:t>.</w:t>
            </w:r>
            <w:r w:rsidRPr="002E62AA">
              <w:rPr>
                <w:rFonts w:eastAsia="Times New Roman" w:cs="Arial"/>
                <w:color w:val="000000"/>
                <w:szCs w:val="20"/>
                <w:lang w:eastAsia="pt-BR"/>
              </w:rPr>
              <w:t>551</w:t>
            </w:r>
            <w:r>
              <w:rPr>
                <w:rFonts w:eastAsia="Times New Roman" w:cs="Arial"/>
                <w:color w:val="000000"/>
                <w:szCs w:val="20"/>
                <w:lang w:eastAsia="pt-BR"/>
              </w:rPr>
              <w:t>.</w:t>
            </w:r>
            <w:r w:rsidRPr="002E62AA">
              <w:rPr>
                <w:rFonts w:eastAsia="Times New Roman" w:cs="Arial"/>
                <w:color w:val="000000"/>
                <w:szCs w:val="20"/>
                <w:lang w:eastAsia="pt-BR"/>
              </w:rPr>
              <w:t>565,11</w:t>
            </w:r>
          </w:p>
        </w:tc>
        <w:tc>
          <w:tcPr>
            <w:tcW w:w="1265" w:type="dxa"/>
            <w:tcBorders>
              <w:top w:val="nil"/>
              <w:left w:val="nil"/>
              <w:bottom w:val="nil"/>
              <w:right w:val="nil"/>
            </w:tcBorders>
            <w:shd w:val="clear" w:color="D9D9D9" w:fill="D9D9D9"/>
            <w:noWrap/>
            <w:vAlign w:val="bottom"/>
            <w:hideMark/>
          </w:tcPr>
          <w:p w:rsidR="0041147E" w:rsidRPr="00E819F8" w:rsidRDefault="0041147E" w:rsidP="008F4251">
            <w:pPr>
              <w:jc w:val="right"/>
              <w:rPr>
                <w:rFonts w:eastAsia="Times New Roman" w:cs="Arial"/>
                <w:color w:val="000000"/>
                <w:szCs w:val="20"/>
                <w:lang w:eastAsia="pt-BR"/>
              </w:rPr>
            </w:pPr>
            <w:r>
              <w:rPr>
                <w:rFonts w:eastAsia="Times New Roman" w:cs="Arial"/>
                <w:color w:val="000000"/>
                <w:szCs w:val="20"/>
                <w:lang w:eastAsia="pt-BR"/>
              </w:rPr>
              <w:t>116</w:t>
            </w:r>
            <w:r w:rsidRPr="00E819F8">
              <w:rPr>
                <w:rFonts w:eastAsia="Times New Roman" w:cs="Arial"/>
                <w:color w:val="000000"/>
                <w:szCs w:val="20"/>
                <w:lang w:eastAsia="pt-BR"/>
              </w:rPr>
              <w:t>,</w:t>
            </w:r>
            <w:r>
              <w:rPr>
                <w:rFonts w:eastAsia="Times New Roman" w:cs="Arial"/>
                <w:color w:val="000000"/>
                <w:szCs w:val="20"/>
                <w:lang w:eastAsia="pt-BR"/>
              </w:rPr>
              <w:t>52</w:t>
            </w:r>
          </w:p>
        </w:tc>
      </w:tr>
      <w:tr w:rsidR="0041147E" w:rsidRPr="00E819F8" w:rsidTr="008F4251">
        <w:trPr>
          <w:trHeight w:val="299"/>
        </w:trPr>
        <w:tc>
          <w:tcPr>
            <w:tcW w:w="2663" w:type="dxa"/>
            <w:tcBorders>
              <w:top w:val="nil"/>
              <w:left w:val="nil"/>
              <w:bottom w:val="nil"/>
              <w:right w:val="nil"/>
            </w:tcBorders>
            <w:shd w:val="clear" w:color="auto" w:fill="auto"/>
            <w:noWrap/>
            <w:vAlign w:val="bottom"/>
            <w:hideMark/>
          </w:tcPr>
          <w:p w:rsidR="0041147E" w:rsidRPr="00E819F8" w:rsidRDefault="0041147E" w:rsidP="008F4251">
            <w:pPr>
              <w:jc w:val="left"/>
              <w:rPr>
                <w:rFonts w:eastAsia="Times New Roman" w:cs="Arial"/>
                <w:color w:val="000000"/>
                <w:szCs w:val="20"/>
                <w:lang w:eastAsia="pt-BR"/>
              </w:rPr>
            </w:pPr>
            <w:r w:rsidRPr="00E819F8">
              <w:rPr>
                <w:rFonts w:eastAsia="Times New Roman" w:cs="Arial"/>
                <w:color w:val="000000"/>
                <w:szCs w:val="20"/>
                <w:lang w:eastAsia="pt-BR"/>
              </w:rPr>
              <w:t>Despesas de Capital</w:t>
            </w:r>
          </w:p>
        </w:tc>
        <w:tc>
          <w:tcPr>
            <w:tcW w:w="2584" w:type="dxa"/>
            <w:tcBorders>
              <w:top w:val="nil"/>
              <w:left w:val="nil"/>
              <w:bottom w:val="nil"/>
              <w:right w:val="nil"/>
            </w:tcBorders>
            <w:shd w:val="clear" w:color="auto" w:fill="auto"/>
            <w:noWrap/>
            <w:vAlign w:val="bottom"/>
            <w:hideMark/>
          </w:tcPr>
          <w:p w:rsidR="0041147E" w:rsidRPr="00E819F8" w:rsidRDefault="0041147E" w:rsidP="008F4251">
            <w:pPr>
              <w:jc w:val="right"/>
              <w:rPr>
                <w:rFonts w:eastAsia="Times New Roman" w:cs="Arial"/>
                <w:color w:val="000000"/>
                <w:szCs w:val="20"/>
                <w:lang w:eastAsia="pt-BR"/>
              </w:rPr>
            </w:pPr>
            <w:r w:rsidRPr="00777C28">
              <w:rPr>
                <w:rFonts w:eastAsia="Times New Roman" w:cs="Arial"/>
                <w:color w:val="000000"/>
                <w:szCs w:val="20"/>
                <w:lang w:eastAsia="pt-BR"/>
              </w:rPr>
              <w:t>21</w:t>
            </w:r>
            <w:r>
              <w:rPr>
                <w:rFonts w:eastAsia="Times New Roman" w:cs="Arial"/>
                <w:color w:val="000000"/>
                <w:szCs w:val="20"/>
                <w:lang w:eastAsia="pt-BR"/>
              </w:rPr>
              <w:t>.</w:t>
            </w:r>
            <w:r w:rsidRPr="00777C28">
              <w:rPr>
                <w:rFonts w:eastAsia="Times New Roman" w:cs="Arial"/>
                <w:color w:val="000000"/>
                <w:szCs w:val="20"/>
                <w:lang w:eastAsia="pt-BR"/>
              </w:rPr>
              <w:t>523</w:t>
            </w:r>
            <w:r>
              <w:rPr>
                <w:rFonts w:eastAsia="Times New Roman" w:cs="Arial"/>
                <w:color w:val="000000"/>
                <w:szCs w:val="20"/>
                <w:lang w:eastAsia="pt-BR"/>
              </w:rPr>
              <w:t>.</w:t>
            </w:r>
            <w:r w:rsidRPr="00777C28">
              <w:rPr>
                <w:rFonts w:eastAsia="Times New Roman" w:cs="Arial"/>
                <w:color w:val="000000"/>
                <w:szCs w:val="20"/>
                <w:lang w:eastAsia="pt-BR"/>
              </w:rPr>
              <w:t>941,31</w:t>
            </w:r>
          </w:p>
        </w:tc>
        <w:tc>
          <w:tcPr>
            <w:tcW w:w="2584" w:type="dxa"/>
            <w:tcBorders>
              <w:top w:val="nil"/>
              <w:left w:val="nil"/>
              <w:bottom w:val="nil"/>
              <w:right w:val="nil"/>
            </w:tcBorders>
            <w:shd w:val="clear" w:color="auto" w:fill="auto"/>
            <w:noWrap/>
            <w:vAlign w:val="bottom"/>
            <w:hideMark/>
          </w:tcPr>
          <w:p w:rsidR="0041147E" w:rsidRPr="00E819F8" w:rsidRDefault="0041147E" w:rsidP="008F4251">
            <w:pPr>
              <w:jc w:val="right"/>
              <w:rPr>
                <w:rFonts w:eastAsia="Times New Roman" w:cs="Arial"/>
                <w:color w:val="000000"/>
                <w:szCs w:val="20"/>
                <w:lang w:eastAsia="pt-BR"/>
              </w:rPr>
            </w:pPr>
            <w:r w:rsidRPr="002E62AA">
              <w:rPr>
                <w:rFonts w:eastAsia="Times New Roman" w:cs="Arial"/>
                <w:color w:val="000000"/>
                <w:szCs w:val="20"/>
                <w:lang w:eastAsia="pt-BR"/>
              </w:rPr>
              <w:t>13</w:t>
            </w:r>
            <w:r>
              <w:rPr>
                <w:rFonts w:eastAsia="Times New Roman" w:cs="Arial"/>
                <w:color w:val="000000"/>
                <w:szCs w:val="20"/>
                <w:lang w:eastAsia="pt-BR"/>
              </w:rPr>
              <w:t>.</w:t>
            </w:r>
            <w:r w:rsidRPr="002E62AA">
              <w:rPr>
                <w:rFonts w:eastAsia="Times New Roman" w:cs="Arial"/>
                <w:color w:val="000000"/>
                <w:szCs w:val="20"/>
                <w:lang w:eastAsia="pt-BR"/>
              </w:rPr>
              <w:t>916</w:t>
            </w:r>
            <w:r>
              <w:rPr>
                <w:rFonts w:eastAsia="Times New Roman" w:cs="Arial"/>
                <w:color w:val="000000"/>
                <w:szCs w:val="20"/>
                <w:lang w:eastAsia="pt-BR"/>
              </w:rPr>
              <w:t>.</w:t>
            </w:r>
            <w:r w:rsidRPr="002E62AA">
              <w:rPr>
                <w:rFonts w:eastAsia="Times New Roman" w:cs="Arial"/>
                <w:color w:val="000000"/>
                <w:szCs w:val="20"/>
                <w:lang w:eastAsia="pt-BR"/>
              </w:rPr>
              <w:t>084,14</w:t>
            </w:r>
          </w:p>
        </w:tc>
        <w:tc>
          <w:tcPr>
            <w:tcW w:w="1265" w:type="dxa"/>
            <w:tcBorders>
              <w:top w:val="nil"/>
              <w:left w:val="nil"/>
              <w:bottom w:val="nil"/>
              <w:right w:val="nil"/>
            </w:tcBorders>
            <w:shd w:val="clear" w:color="auto" w:fill="auto"/>
            <w:noWrap/>
            <w:vAlign w:val="bottom"/>
            <w:hideMark/>
          </w:tcPr>
          <w:p w:rsidR="0041147E" w:rsidRPr="00E819F8" w:rsidRDefault="0041147E" w:rsidP="008F4251">
            <w:pPr>
              <w:jc w:val="right"/>
              <w:rPr>
                <w:rFonts w:eastAsia="Times New Roman" w:cs="Arial"/>
                <w:color w:val="000000"/>
                <w:szCs w:val="20"/>
                <w:lang w:eastAsia="pt-BR"/>
              </w:rPr>
            </w:pPr>
            <w:r>
              <w:rPr>
                <w:rFonts w:eastAsia="Times New Roman" w:cs="Arial"/>
                <w:color w:val="000000"/>
                <w:szCs w:val="20"/>
                <w:lang w:eastAsia="pt-BR"/>
              </w:rPr>
              <w:t>54</w:t>
            </w:r>
            <w:r w:rsidRPr="00E819F8">
              <w:rPr>
                <w:rFonts w:eastAsia="Times New Roman" w:cs="Arial"/>
                <w:color w:val="000000"/>
                <w:szCs w:val="20"/>
                <w:lang w:eastAsia="pt-BR"/>
              </w:rPr>
              <w:t>,</w:t>
            </w:r>
            <w:r>
              <w:rPr>
                <w:rFonts w:eastAsia="Times New Roman" w:cs="Arial"/>
                <w:color w:val="000000"/>
                <w:szCs w:val="20"/>
                <w:lang w:eastAsia="pt-BR"/>
              </w:rPr>
              <w:t>67</w:t>
            </w:r>
          </w:p>
        </w:tc>
      </w:tr>
      <w:tr w:rsidR="0041147E" w:rsidRPr="00E819F8" w:rsidTr="008F4251">
        <w:trPr>
          <w:trHeight w:val="299"/>
        </w:trPr>
        <w:tc>
          <w:tcPr>
            <w:tcW w:w="2663" w:type="dxa"/>
            <w:tcBorders>
              <w:top w:val="nil"/>
              <w:left w:val="nil"/>
              <w:bottom w:val="single" w:sz="4" w:space="0" w:color="000000"/>
              <w:right w:val="nil"/>
            </w:tcBorders>
            <w:shd w:val="clear" w:color="D9D9D9" w:fill="D9D9D9"/>
            <w:noWrap/>
            <w:vAlign w:val="bottom"/>
            <w:hideMark/>
          </w:tcPr>
          <w:p w:rsidR="0041147E" w:rsidRPr="00E819F8" w:rsidRDefault="0041147E" w:rsidP="008F4251">
            <w:pPr>
              <w:jc w:val="left"/>
              <w:rPr>
                <w:rFonts w:eastAsia="Times New Roman" w:cs="Arial"/>
                <w:b/>
                <w:bCs/>
                <w:color w:val="000000"/>
                <w:szCs w:val="20"/>
                <w:lang w:eastAsia="pt-BR"/>
              </w:rPr>
            </w:pPr>
            <w:r w:rsidRPr="00E819F8">
              <w:rPr>
                <w:rFonts w:eastAsia="Times New Roman" w:cs="Arial"/>
                <w:b/>
                <w:bCs/>
                <w:color w:val="000000"/>
                <w:szCs w:val="20"/>
                <w:lang w:eastAsia="pt-BR"/>
              </w:rPr>
              <w:t>Total</w:t>
            </w:r>
          </w:p>
        </w:tc>
        <w:tc>
          <w:tcPr>
            <w:tcW w:w="2584" w:type="dxa"/>
            <w:tcBorders>
              <w:top w:val="nil"/>
              <w:left w:val="nil"/>
              <w:bottom w:val="single" w:sz="4" w:space="0" w:color="000000"/>
              <w:right w:val="nil"/>
            </w:tcBorders>
            <w:shd w:val="clear" w:color="D9D9D9" w:fill="D9D9D9"/>
            <w:noWrap/>
            <w:vAlign w:val="bottom"/>
            <w:hideMark/>
          </w:tcPr>
          <w:p w:rsidR="0041147E" w:rsidRPr="00E819F8" w:rsidRDefault="0041147E" w:rsidP="008F4251">
            <w:pPr>
              <w:jc w:val="right"/>
              <w:rPr>
                <w:rFonts w:eastAsia="Times New Roman" w:cs="Arial"/>
                <w:b/>
                <w:bCs/>
                <w:color w:val="000000"/>
                <w:szCs w:val="20"/>
                <w:lang w:eastAsia="pt-BR"/>
              </w:rPr>
            </w:pPr>
            <w:r w:rsidRPr="00777C28">
              <w:rPr>
                <w:rFonts w:eastAsia="Times New Roman" w:cs="Arial"/>
                <w:b/>
                <w:bCs/>
                <w:color w:val="000000"/>
                <w:szCs w:val="20"/>
                <w:lang w:eastAsia="pt-BR"/>
              </w:rPr>
              <w:t>21</w:t>
            </w:r>
            <w:r>
              <w:rPr>
                <w:rFonts w:eastAsia="Times New Roman" w:cs="Arial"/>
                <w:b/>
                <w:bCs/>
                <w:color w:val="000000"/>
                <w:szCs w:val="20"/>
                <w:lang w:eastAsia="pt-BR"/>
              </w:rPr>
              <w:t>.</w:t>
            </w:r>
            <w:r w:rsidRPr="00777C28">
              <w:rPr>
                <w:rFonts w:eastAsia="Times New Roman" w:cs="Arial"/>
                <w:b/>
                <w:bCs/>
                <w:color w:val="000000"/>
                <w:szCs w:val="20"/>
                <w:lang w:eastAsia="pt-BR"/>
              </w:rPr>
              <w:t>453</w:t>
            </w:r>
            <w:r>
              <w:rPr>
                <w:rFonts w:eastAsia="Times New Roman" w:cs="Arial"/>
                <w:b/>
                <w:bCs/>
                <w:color w:val="000000"/>
                <w:szCs w:val="20"/>
                <w:lang w:eastAsia="pt-BR"/>
              </w:rPr>
              <w:t>.</w:t>
            </w:r>
            <w:r w:rsidRPr="00777C28">
              <w:rPr>
                <w:rFonts w:eastAsia="Times New Roman" w:cs="Arial"/>
                <w:b/>
                <w:bCs/>
                <w:color w:val="000000"/>
                <w:szCs w:val="20"/>
                <w:lang w:eastAsia="pt-BR"/>
              </w:rPr>
              <w:t>848</w:t>
            </w:r>
            <w:r>
              <w:rPr>
                <w:rFonts w:eastAsia="Times New Roman" w:cs="Arial"/>
                <w:b/>
                <w:bCs/>
                <w:color w:val="000000"/>
                <w:szCs w:val="20"/>
                <w:lang w:eastAsia="pt-BR"/>
              </w:rPr>
              <w:t>.</w:t>
            </w:r>
            <w:r w:rsidRPr="00777C28">
              <w:rPr>
                <w:rFonts w:eastAsia="Times New Roman" w:cs="Arial"/>
                <w:b/>
                <w:bCs/>
                <w:color w:val="000000"/>
                <w:szCs w:val="20"/>
                <w:lang w:eastAsia="pt-BR"/>
              </w:rPr>
              <w:t>843,92</w:t>
            </w:r>
          </w:p>
        </w:tc>
        <w:tc>
          <w:tcPr>
            <w:tcW w:w="2584" w:type="dxa"/>
            <w:tcBorders>
              <w:top w:val="nil"/>
              <w:left w:val="nil"/>
              <w:bottom w:val="single" w:sz="4" w:space="0" w:color="000000"/>
              <w:right w:val="nil"/>
            </w:tcBorders>
            <w:shd w:val="clear" w:color="D9D9D9" w:fill="D9D9D9"/>
            <w:noWrap/>
            <w:vAlign w:val="bottom"/>
            <w:hideMark/>
          </w:tcPr>
          <w:p w:rsidR="0041147E" w:rsidRPr="00E819F8" w:rsidRDefault="0041147E" w:rsidP="008F4251">
            <w:pPr>
              <w:jc w:val="right"/>
              <w:rPr>
                <w:rFonts w:eastAsia="Times New Roman" w:cs="Arial"/>
                <w:b/>
                <w:bCs/>
                <w:color w:val="000000"/>
                <w:szCs w:val="20"/>
                <w:lang w:eastAsia="pt-BR"/>
              </w:rPr>
            </w:pPr>
            <w:r w:rsidRPr="002E62AA">
              <w:rPr>
                <w:rFonts w:eastAsia="Times New Roman" w:cs="Arial"/>
                <w:b/>
                <w:bCs/>
                <w:color w:val="000000"/>
                <w:szCs w:val="20"/>
                <w:lang w:eastAsia="pt-BR"/>
              </w:rPr>
              <w:t>9</w:t>
            </w:r>
            <w:r>
              <w:rPr>
                <w:rFonts w:eastAsia="Times New Roman" w:cs="Arial"/>
                <w:b/>
                <w:bCs/>
                <w:color w:val="000000"/>
                <w:szCs w:val="20"/>
                <w:lang w:eastAsia="pt-BR"/>
              </w:rPr>
              <w:t>.</w:t>
            </w:r>
            <w:r w:rsidRPr="002E62AA">
              <w:rPr>
                <w:rFonts w:eastAsia="Times New Roman" w:cs="Arial"/>
                <w:b/>
                <w:bCs/>
                <w:color w:val="000000"/>
                <w:szCs w:val="20"/>
                <w:lang w:eastAsia="pt-BR"/>
              </w:rPr>
              <w:t>912</w:t>
            </w:r>
            <w:r>
              <w:rPr>
                <w:rFonts w:eastAsia="Times New Roman" w:cs="Arial"/>
                <w:b/>
                <w:bCs/>
                <w:color w:val="000000"/>
                <w:szCs w:val="20"/>
                <w:lang w:eastAsia="pt-BR"/>
              </w:rPr>
              <w:t>.</w:t>
            </w:r>
            <w:r w:rsidRPr="002E62AA">
              <w:rPr>
                <w:rFonts w:eastAsia="Times New Roman" w:cs="Arial"/>
                <w:b/>
                <w:bCs/>
                <w:color w:val="000000"/>
                <w:szCs w:val="20"/>
                <w:lang w:eastAsia="pt-BR"/>
              </w:rPr>
              <w:t>467</w:t>
            </w:r>
            <w:r>
              <w:rPr>
                <w:rFonts w:eastAsia="Times New Roman" w:cs="Arial"/>
                <w:b/>
                <w:bCs/>
                <w:color w:val="000000"/>
                <w:szCs w:val="20"/>
                <w:lang w:eastAsia="pt-BR"/>
              </w:rPr>
              <w:t>.</w:t>
            </w:r>
            <w:r w:rsidRPr="002E62AA">
              <w:rPr>
                <w:rFonts w:eastAsia="Times New Roman" w:cs="Arial"/>
                <w:b/>
                <w:bCs/>
                <w:color w:val="000000"/>
                <w:szCs w:val="20"/>
                <w:lang w:eastAsia="pt-BR"/>
              </w:rPr>
              <w:t>649,25</w:t>
            </w:r>
          </w:p>
        </w:tc>
        <w:tc>
          <w:tcPr>
            <w:tcW w:w="1265" w:type="dxa"/>
            <w:tcBorders>
              <w:top w:val="nil"/>
              <w:left w:val="nil"/>
              <w:bottom w:val="single" w:sz="4" w:space="0" w:color="000000"/>
              <w:right w:val="nil"/>
            </w:tcBorders>
            <w:shd w:val="clear" w:color="D9D9D9" w:fill="D9D9D9"/>
            <w:noWrap/>
            <w:vAlign w:val="bottom"/>
            <w:hideMark/>
          </w:tcPr>
          <w:p w:rsidR="0041147E" w:rsidRPr="00E819F8" w:rsidRDefault="0041147E" w:rsidP="008F4251">
            <w:pPr>
              <w:jc w:val="right"/>
              <w:rPr>
                <w:rFonts w:eastAsia="Times New Roman" w:cs="Arial"/>
                <w:b/>
                <w:bCs/>
                <w:color w:val="000000"/>
                <w:szCs w:val="20"/>
                <w:lang w:eastAsia="pt-BR"/>
              </w:rPr>
            </w:pPr>
            <w:r>
              <w:rPr>
                <w:rFonts w:eastAsia="Times New Roman" w:cs="Arial"/>
                <w:b/>
                <w:bCs/>
                <w:color w:val="000000"/>
                <w:szCs w:val="20"/>
                <w:lang w:eastAsia="pt-BR"/>
              </w:rPr>
              <w:t>116</w:t>
            </w:r>
            <w:r w:rsidRPr="00E819F8">
              <w:rPr>
                <w:rFonts w:eastAsia="Times New Roman" w:cs="Arial"/>
                <w:b/>
                <w:bCs/>
                <w:color w:val="000000"/>
                <w:szCs w:val="20"/>
                <w:lang w:eastAsia="pt-BR"/>
              </w:rPr>
              <w:t>,</w:t>
            </w:r>
            <w:r>
              <w:rPr>
                <w:rFonts w:eastAsia="Times New Roman" w:cs="Arial"/>
                <w:b/>
                <w:bCs/>
                <w:color w:val="000000"/>
                <w:szCs w:val="20"/>
                <w:lang w:eastAsia="pt-BR"/>
              </w:rPr>
              <w:t>43</w:t>
            </w:r>
          </w:p>
        </w:tc>
      </w:tr>
    </w:tbl>
    <w:p w:rsidR="0041147E" w:rsidRPr="00351BB7" w:rsidRDefault="0041147E" w:rsidP="0041147E">
      <w:pPr>
        <w:rPr>
          <w:rFonts w:cs="Arial"/>
          <w:i/>
          <w:szCs w:val="20"/>
        </w:rPr>
      </w:pPr>
      <w:r w:rsidRPr="00351BB7">
        <w:rPr>
          <w:rFonts w:cs="Arial"/>
          <w:i/>
          <w:szCs w:val="20"/>
        </w:rPr>
        <w:t>Fonte: SIAFI, 201</w:t>
      </w:r>
      <w:r>
        <w:rPr>
          <w:rFonts w:cs="Arial"/>
          <w:i/>
          <w:szCs w:val="20"/>
        </w:rPr>
        <w:t>9</w:t>
      </w:r>
      <w:r w:rsidRPr="00351BB7">
        <w:rPr>
          <w:rFonts w:cs="Arial"/>
          <w:i/>
          <w:szCs w:val="20"/>
        </w:rPr>
        <w:t xml:space="preserve"> e 201</w:t>
      </w:r>
      <w:r>
        <w:rPr>
          <w:rFonts w:cs="Arial"/>
          <w:i/>
          <w:szCs w:val="20"/>
        </w:rPr>
        <w:t>8</w:t>
      </w:r>
      <w:r w:rsidRPr="00351BB7">
        <w:rPr>
          <w:rFonts w:cs="Arial"/>
          <w:i/>
          <w:szCs w:val="20"/>
        </w:rPr>
        <w:t>.</w:t>
      </w:r>
    </w:p>
    <w:p w:rsidR="0041147E" w:rsidRPr="00351BB7" w:rsidRDefault="0041147E" w:rsidP="0041147E">
      <w:pPr>
        <w:rPr>
          <w:rFonts w:cs="Arial"/>
          <w:sz w:val="22"/>
        </w:rPr>
      </w:pPr>
    </w:p>
    <w:p w:rsidR="0041147E" w:rsidRPr="00E3075B" w:rsidRDefault="0041147E" w:rsidP="0041147E">
      <w:pPr>
        <w:rPr>
          <w:rFonts w:cs="Arial"/>
          <w:bCs/>
          <w:sz w:val="22"/>
        </w:rPr>
      </w:pPr>
      <w:r w:rsidRPr="00E3075B">
        <w:rPr>
          <w:rFonts w:cs="Arial"/>
          <w:sz w:val="22"/>
        </w:rPr>
        <w:t xml:space="preserve">Os valores empenhados são significativamente maiores </w:t>
      </w:r>
      <w:r w:rsidR="0010541C">
        <w:rPr>
          <w:rFonts w:cs="Arial"/>
          <w:sz w:val="22"/>
        </w:rPr>
        <w:t>tendo em vista</w:t>
      </w:r>
      <w:r w:rsidR="008F4251">
        <w:rPr>
          <w:rFonts w:cs="Arial"/>
          <w:sz w:val="22"/>
        </w:rPr>
        <w:t xml:space="preserve"> a</w:t>
      </w:r>
      <w:r w:rsidRPr="00E3075B">
        <w:rPr>
          <w:rFonts w:cs="Arial"/>
          <w:bCs/>
          <w:sz w:val="22"/>
        </w:rPr>
        <w:t xml:space="preserve"> assunção</w:t>
      </w:r>
      <w:r w:rsidR="008F4251">
        <w:rPr>
          <w:rFonts w:cs="Arial"/>
          <w:bCs/>
          <w:sz w:val="22"/>
        </w:rPr>
        <w:t>, pela ANP,</w:t>
      </w:r>
      <w:r w:rsidRPr="00E3075B">
        <w:rPr>
          <w:rFonts w:cs="Arial"/>
          <w:bCs/>
          <w:sz w:val="22"/>
        </w:rPr>
        <w:t xml:space="preserve"> da responsabilidade pela </w:t>
      </w:r>
      <w:r w:rsidRPr="00E3075B">
        <w:rPr>
          <w:rFonts w:cs="Arial"/>
          <w:color w:val="000000"/>
          <w:sz w:val="22"/>
        </w:rPr>
        <w:t>transferência das participações pela produção de petróleo e gás natural aos Estados e aos Municípios</w:t>
      </w:r>
      <w:r w:rsidRPr="00E3075B">
        <w:rPr>
          <w:rFonts w:cs="Arial"/>
          <w:sz w:val="22"/>
        </w:rPr>
        <w:t>, de acordo com o decreto 10.078 de 21/10/2019.</w:t>
      </w:r>
    </w:p>
    <w:p w:rsidR="0041147E" w:rsidRDefault="0041147E" w:rsidP="0041147E">
      <w:pPr>
        <w:rPr>
          <w:rFonts w:cs="Arial"/>
          <w:sz w:val="22"/>
        </w:rPr>
      </w:pPr>
      <w:r>
        <w:rPr>
          <w:rFonts w:cs="Arial"/>
          <w:sz w:val="22"/>
        </w:rPr>
        <w:t xml:space="preserve">  </w:t>
      </w:r>
    </w:p>
    <w:p w:rsidR="0041147E" w:rsidRPr="00240608" w:rsidRDefault="0041147E" w:rsidP="0041147E">
      <w:pPr>
        <w:rPr>
          <w:rFonts w:cs="Arial"/>
          <w:sz w:val="22"/>
        </w:rPr>
      </w:pPr>
      <w:r w:rsidRPr="00240608">
        <w:rPr>
          <w:rFonts w:cs="Arial"/>
          <w:sz w:val="22"/>
        </w:rPr>
        <w:lastRenderedPageBreak/>
        <w:t>Do total empenhado, demonstramos os valores liquidados, cujo detalhamento é apresentado na tabela a seguir:</w:t>
      </w:r>
    </w:p>
    <w:p w:rsidR="0041147E" w:rsidRPr="00240608" w:rsidRDefault="0041147E" w:rsidP="0041147E">
      <w:pPr>
        <w:rPr>
          <w:rFonts w:cs="Arial"/>
          <w:sz w:val="22"/>
        </w:rPr>
      </w:pPr>
    </w:p>
    <w:p w:rsidR="0041147E" w:rsidRPr="00EA242B" w:rsidRDefault="0041147E" w:rsidP="0041147E">
      <w:pPr>
        <w:rPr>
          <w:rFonts w:cs="Arial"/>
          <w:sz w:val="22"/>
        </w:rPr>
      </w:pPr>
      <w:r w:rsidRPr="00240608">
        <w:rPr>
          <w:rFonts w:cs="Arial"/>
          <w:b/>
          <w:sz w:val="22"/>
        </w:rPr>
        <w:t xml:space="preserve">Tabela 7 – Execução das Despesas Correntes – </w:t>
      </w:r>
      <w:r>
        <w:rPr>
          <w:rFonts w:cs="Arial"/>
          <w:b/>
          <w:sz w:val="22"/>
        </w:rPr>
        <w:t xml:space="preserve">Principais </w:t>
      </w:r>
      <w:r w:rsidRPr="00240608">
        <w:rPr>
          <w:rFonts w:cs="Arial"/>
          <w:b/>
          <w:sz w:val="22"/>
        </w:rPr>
        <w:t>Itens Liquidados.</w:t>
      </w:r>
    </w:p>
    <w:p w:rsidR="0041147E" w:rsidRDefault="0041147E" w:rsidP="0041147E">
      <w:pPr>
        <w:rPr>
          <w:rFonts w:cs="Arial"/>
          <w:sz w:val="22"/>
        </w:rPr>
      </w:pPr>
      <w:r>
        <w:rPr>
          <w:rFonts w:cs="Arial"/>
          <w:sz w:val="22"/>
        </w:rPr>
        <w:t xml:space="preserve">                                                                                                                                               </w:t>
      </w:r>
    </w:p>
    <w:tbl>
      <w:tblPr>
        <w:tblW w:w="7567" w:type="dxa"/>
        <w:tblCellMar>
          <w:left w:w="70" w:type="dxa"/>
          <w:right w:w="70" w:type="dxa"/>
        </w:tblCellMar>
        <w:tblLook w:val="04A0" w:firstRow="1" w:lastRow="0" w:firstColumn="1" w:lastColumn="0" w:noHBand="0" w:noVBand="1"/>
      </w:tblPr>
      <w:tblGrid>
        <w:gridCol w:w="5342"/>
        <w:gridCol w:w="2225"/>
      </w:tblGrid>
      <w:tr w:rsidR="0041147E" w:rsidRPr="00C92B00" w:rsidTr="008F4251">
        <w:trPr>
          <w:trHeight w:val="257"/>
        </w:trPr>
        <w:tc>
          <w:tcPr>
            <w:tcW w:w="5342" w:type="dxa"/>
            <w:tcBorders>
              <w:top w:val="single" w:sz="4" w:space="0" w:color="000000"/>
              <w:left w:val="nil"/>
              <w:bottom w:val="single" w:sz="4" w:space="0" w:color="000000"/>
              <w:right w:val="nil"/>
            </w:tcBorders>
            <w:shd w:val="clear" w:color="000000" w:fill="FFFFFF"/>
            <w:noWrap/>
            <w:vAlign w:val="bottom"/>
            <w:hideMark/>
          </w:tcPr>
          <w:p w:rsidR="0041147E" w:rsidRPr="00C92B00" w:rsidRDefault="0041147E" w:rsidP="008F4251">
            <w:pPr>
              <w:jc w:val="left"/>
              <w:rPr>
                <w:rFonts w:eastAsia="Times New Roman" w:cs="Arial"/>
                <w:b/>
                <w:bCs/>
                <w:color w:val="FFFFFF"/>
                <w:szCs w:val="20"/>
                <w:lang w:eastAsia="pt-BR"/>
              </w:rPr>
            </w:pPr>
            <w:r w:rsidRPr="00C92B00">
              <w:rPr>
                <w:rFonts w:eastAsia="Times New Roman" w:cs="Arial"/>
                <w:b/>
                <w:bCs/>
                <w:color w:val="FFFFFF"/>
                <w:szCs w:val="20"/>
                <w:lang w:eastAsia="pt-BR"/>
              </w:rPr>
              <w:t>Colunas1</w:t>
            </w:r>
          </w:p>
        </w:tc>
        <w:tc>
          <w:tcPr>
            <w:tcW w:w="2225" w:type="dxa"/>
            <w:tcBorders>
              <w:top w:val="single" w:sz="4" w:space="0" w:color="000000"/>
              <w:left w:val="nil"/>
              <w:bottom w:val="single" w:sz="4" w:space="0" w:color="000000"/>
              <w:right w:val="nil"/>
            </w:tcBorders>
            <w:shd w:val="clear" w:color="auto" w:fill="auto"/>
            <w:noWrap/>
            <w:vAlign w:val="bottom"/>
            <w:hideMark/>
          </w:tcPr>
          <w:p w:rsidR="0041147E" w:rsidRPr="00C92B00" w:rsidRDefault="0041147E" w:rsidP="008F4251">
            <w:pPr>
              <w:jc w:val="right"/>
              <w:rPr>
                <w:rFonts w:eastAsia="Times New Roman" w:cs="Arial"/>
                <w:b/>
                <w:bCs/>
                <w:color w:val="000000"/>
                <w:szCs w:val="20"/>
                <w:lang w:eastAsia="pt-BR"/>
              </w:rPr>
            </w:pPr>
            <w:r w:rsidRPr="00C92B00">
              <w:rPr>
                <w:rFonts w:eastAsia="Times New Roman" w:cs="Arial"/>
                <w:b/>
                <w:bCs/>
                <w:color w:val="000000"/>
                <w:szCs w:val="20"/>
                <w:lang w:eastAsia="pt-BR"/>
              </w:rPr>
              <w:t>3</w:t>
            </w:r>
            <w:r>
              <w:rPr>
                <w:rFonts w:eastAsia="Times New Roman" w:cs="Arial"/>
                <w:b/>
                <w:bCs/>
                <w:color w:val="000000"/>
                <w:szCs w:val="20"/>
                <w:lang w:eastAsia="pt-BR"/>
              </w:rPr>
              <w:t>1</w:t>
            </w:r>
            <w:r w:rsidRPr="00C92B00">
              <w:rPr>
                <w:rFonts w:eastAsia="Times New Roman" w:cs="Arial"/>
                <w:b/>
                <w:bCs/>
                <w:color w:val="000000"/>
                <w:szCs w:val="20"/>
                <w:lang w:eastAsia="pt-BR"/>
              </w:rPr>
              <w:t>/</w:t>
            </w:r>
            <w:r>
              <w:rPr>
                <w:rFonts w:eastAsia="Times New Roman" w:cs="Arial"/>
                <w:b/>
                <w:bCs/>
                <w:color w:val="000000"/>
                <w:szCs w:val="20"/>
                <w:lang w:eastAsia="pt-BR"/>
              </w:rPr>
              <w:t>12</w:t>
            </w:r>
            <w:r w:rsidRPr="00C92B00">
              <w:rPr>
                <w:rFonts w:eastAsia="Times New Roman" w:cs="Arial"/>
                <w:b/>
                <w:bCs/>
                <w:color w:val="000000"/>
                <w:szCs w:val="20"/>
                <w:lang w:eastAsia="pt-BR"/>
              </w:rPr>
              <w:t>/201</w:t>
            </w:r>
            <w:r>
              <w:rPr>
                <w:rFonts w:eastAsia="Times New Roman" w:cs="Arial"/>
                <w:b/>
                <w:bCs/>
                <w:color w:val="000000"/>
                <w:szCs w:val="20"/>
                <w:lang w:eastAsia="pt-BR"/>
              </w:rPr>
              <w:t>9</w:t>
            </w:r>
          </w:p>
        </w:tc>
      </w:tr>
      <w:tr w:rsidR="0041147E" w:rsidRPr="00C92B00" w:rsidTr="008F4251">
        <w:trPr>
          <w:trHeight w:val="257"/>
        </w:trPr>
        <w:tc>
          <w:tcPr>
            <w:tcW w:w="5342" w:type="dxa"/>
            <w:tcBorders>
              <w:top w:val="nil"/>
              <w:left w:val="nil"/>
              <w:bottom w:val="nil"/>
              <w:right w:val="nil"/>
            </w:tcBorders>
            <w:shd w:val="clear" w:color="D9D9D9" w:fill="D9D9D9"/>
            <w:noWrap/>
            <w:vAlign w:val="bottom"/>
            <w:hideMark/>
          </w:tcPr>
          <w:p w:rsidR="0041147E" w:rsidRPr="00C92B00" w:rsidRDefault="0041147E" w:rsidP="008F4251">
            <w:pPr>
              <w:jc w:val="left"/>
              <w:rPr>
                <w:rFonts w:eastAsia="Times New Roman" w:cs="Arial"/>
                <w:color w:val="000000"/>
                <w:szCs w:val="20"/>
                <w:lang w:eastAsia="pt-BR"/>
              </w:rPr>
            </w:pPr>
            <w:r>
              <w:rPr>
                <w:rFonts w:eastAsia="Times New Roman" w:cs="Arial"/>
                <w:color w:val="000000"/>
                <w:szCs w:val="20"/>
                <w:lang w:eastAsia="pt-BR"/>
              </w:rPr>
              <w:t>Pessoal e Encargos Sociais (31)</w:t>
            </w:r>
          </w:p>
        </w:tc>
        <w:tc>
          <w:tcPr>
            <w:tcW w:w="2225" w:type="dxa"/>
            <w:tcBorders>
              <w:top w:val="nil"/>
              <w:left w:val="nil"/>
              <w:bottom w:val="nil"/>
              <w:right w:val="nil"/>
            </w:tcBorders>
            <w:shd w:val="clear" w:color="D9D9D9" w:fill="D9D9D9"/>
            <w:noWrap/>
            <w:vAlign w:val="bottom"/>
            <w:hideMark/>
          </w:tcPr>
          <w:p w:rsidR="0041147E" w:rsidRPr="00E819F8" w:rsidRDefault="0041147E" w:rsidP="008F4251">
            <w:pPr>
              <w:jc w:val="right"/>
              <w:rPr>
                <w:rFonts w:eastAsia="Times New Roman" w:cs="Arial"/>
                <w:color w:val="000000"/>
                <w:szCs w:val="20"/>
                <w:lang w:eastAsia="pt-BR"/>
              </w:rPr>
            </w:pPr>
            <w:r w:rsidRPr="0091083D">
              <w:rPr>
                <w:rFonts w:eastAsia="Times New Roman" w:cs="Arial"/>
                <w:color w:val="000000"/>
                <w:szCs w:val="20"/>
                <w:lang w:eastAsia="pt-BR"/>
              </w:rPr>
              <w:t>22</w:t>
            </w:r>
            <w:r>
              <w:rPr>
                <w:rFonts w:eastAsia="Times New Roman" w:cs="Arial"/>
                <w:color w:val="000000"/>
                <w:szCs w:val="20"/>
                <w:lang w:eastAsia="pt-BR"/>
              </w:rPr>
              <w:t>9.994.131</w:t>
            </w:r>
            <w:r w:rsidRPr="0091083D">
              <w:rPr>
                <w:rFonts w:eastAsia="Times New Roman" w:cs="Arial"/>
                <w:color w:val="000000"/>
                <w:szCs w:val="20"/>
                <w:lang w:eastAsia="pt-BR"/>
              </w:rPr>
              <w:t>,</w:t>
            </w:r>
            <w:r>
              <w:rPr>
                <w:rFonts w:eastAsia="Times New Roman" w:cs="Arial"/>
                <w:color w:val="000000"/>
                <w:szCs w:val="20"/>
                <w:lang w:eastAsia="pt-BR"/>
              </w:rPr>
              <w:t>92</w:t>
            </w:r>
          </w:p>
        </w:tc>
      </w:tr>
      <w:tr w:rsidR="0041147E" w:rsidRPr="00C53851" w:rsidTr="008F4251">
        <w:trPr>
          <w:trHeight w:val="257"/>
        </w:trPr>
        <w:tc>
          <w:tcPr>
            <w:tcW w:w="5342" w:type="dxa"/>
            <w:tcBorders>
              <w:top w:val="nil"/>
              <w:left w:val="nil"/>
              <w:bottom w:val="nil"/>
              <w:right w:val="nil"/>
            </w:tcBorders>
            <w:shd w:val="clear" w:color="auto" w:fill="auto"/>
            <w:noWrap/>
            <w:vAlign w:val="bottom"/>
            <w:hideMark/>
          </w:tcPr>
          <w:p w:rsidR="0041147E" w:rsidRPr="00C53851" w:rsidRDefault="0041147E" w:rsidP="008F4251">
            <w:pPr>
              <w:jc w:val="left"/>
              <w:rPr>
                <w:rFonts w:eastAsia="Times New Roman" w:cs="Arial"/>
                <w:color w:val="000000"/>
                <w:szCs w:val="20"/>
                <w:lang w:eastAsia="pt-BR"/>
              </w:rPr>
            </w:pPr>
            <w:r>
              <w:rPr>
                <w:rFonts w:eastAsia="Times New Roman" w:cs="Arial"/>
                <w:color w:val="000000"/>
                <w:szCs w:val="20"/>
                <w:lang w:eastAsia="pt-BR"/>
              </w:rPr>
              <w:t>Outras Despesas Correntes (33)</w:t>
            </w:r>
          </w:p>
        </w:tc>
        <w:tc>
          <w:tcPr>
            <w:tcW w:w="2225" w:type="dxa"/>
            <w:tcBorders>
              <w:top w:val="nil"/>
              <w:left w:val="nil"/>
              <w:bottom w:val="nil"/>
              <w:right w:val="nil"/>
            </w:tcBorders>
            <w:shd w:val="clear" w:color="auto" w:fill="auto"/>
            <w:noWrap/>
            <w:vAlign w:val="bottom"/>
            <w:hideMark/>
          </w:tcPr>
          <w:p w:rsidR="0041147E" w:rsidRPr="00C53851" w:rsidRDefault="0041147E" w:rsidP="008F4251">
            <w:pPr>
              <w:jc w:val="right"/>
              <w:rPr>
                <w:rFonts w:eastAsia="Times New Roman" w:cs="Arial"/>
                <w:bCs/>
                <w:color w:val="000000"/>
                <w:szCs w:val="20"/>
                <w:lang w:eastAsia="pt-BR"/>
              </w:rPr>
            </w:pPr>
            <w:r>
              <w:rPr>
                <w:rFonts w:eastAsia="Times New Roman" w:cs="Arial"/>
                <w:bCs/>
                <w:color w:val="000000"/>
                <w:szCs w:val="20"/>
                <w:lang w:eastAsia="pt-BR"/>
              </w:rPr>
              <w:t>139.</w:t>
            </w:r>
            <w:r w:rsidRPr="00C53851">
              <w:rPr>
                <w:rFonts w:eastAsia="Times New Roman" w:cs="Arial"/>
                <w:bCs/>
                <w:color w:val="000000"/>
                <w:szCs w:val="20"/>
                <w:lang w:eastAsia="pt-BR"/>
              </w:rPr>
              <w:t>7</w:t>
            </w:r>
            <w:r>
              <w:rPr>
                <w:rFonts w:eastAsia="Times New Roman" w:cs="Arial"/>
                <w:bCs/>
                <w:color w:val="000000"/>
                <w:szCs w:val="20"/>
                <w:lang w:eastAsia="pt-BR"/>
              </w:rPr>
              <w:t>00.620</w:t>
            </w:r>
            <w:r w:rsidRPr="00C53851">
              <w:rPr>
                <w:rFonts w:eastAsia="Times New Roman" w:cs="Arial"/>
                <w:bCs/>
                <w:color w:val="000000"/>
                <w:szCs w:val="20"/>
                <w:lang w:eastAsia="pt-BR"/>
              </w:rPr>
              <w:t>,</w:t>
            </w:r>
            <w:r>
              <w:rPr>
                <w:rFonts w:eastAsia="Times New Roman" w:cs="Arial"/>
                <w:bCs/>
                <w:color w:val="000000"/>
                <w:szCs w:val="20"/>
                <w:lang w:eastAsia="pt-BR"/>
              </w:rPr>
              <w:t>2</w:t>
            </w:r>
            <w:r w:rsidRPr="00C53851">
              <w:rPr>
                <w:rFonts w:eastAsia="Times New Roman" w:cs="Arial"/>
                <w:bCs/>
                <w:color w:val="000000"/>
                <w:szCs w:val="20"/>
                <w:lang w:eastAsia="pt-BR"/>
              </w:rPr>
              <w:t>7</w:t>
            </w:r>
          </w:p>
        </w:tc>
      </w:tr>
      <w:tr w:rsidR="0041147E" w:rsidRPr="00C92B00" w:rsidTr="008F4251">
        <w:trPr>
          <w:trHeight w:val="257"/>
        </w:trPr>
        <w:tc>
          <w:tcPr>
            <w:tcW w:w="5342" w:type="dxa"/>
            <w:tcBorders>
              <w:top w:val="nil"/>
              <w:left w:val="nil"/>
              <w:bottom w:val="single" w:sz="4" w:space="0" w:color="000000"/>
              <w:right w:val="nil"/>
            </w:tcBorders>
            <w:shd w:val="clear" w:color="auto" w:fill="D9D9D9" w:themeFill="background1" w:themeFillShade="D9"/>
            <w:noWrap/>
            <w:vAlign w:val="bottom"/>
            <w:hideMark/>
          </w:tcPr>
          <w:p w:rsidR="0041147E" w:rsidRPr="00C92B00" w:rsidRDefault="0041147E" w:rsidP="008F4251">
            <w:pPr>
              <w:jc w:val="left"/>
              <w:rPr>
                <w:rFonts w:eastAsia="Times New Roman" w:cs="Arial"/>
                <w:b/>
                <w:bCs/>
                <w:color w:val="000000"/>
                <w:szCs w:val="20"/>
                <w:lang w:eastAsia="pt-BR"/>
              </w:rPr>
            </w:pPr>
            <w:r w:rsidRPr="00C92B00">
              <w:rPr>
                <w:rFonts w:eastAsia="Times New Roman" w:cs="Arial"/>
                <w:b/>
                <w:bCs/>
                <w:color w:val="000000"/>
                <w:szCs w:val="20"/>
                <w:lang w:eastAsia="pt-BR"/>
              </w:rPr>
              <w:t>Total</w:t>
            </w:r>
          </w:p>
        </w:tc>
        <w:tc>
          <w:tcPr>
            <w:tcW w:w="2225" w:type="dxa"/>
            <w:tcBorders>
              <w:top w:val="nil"/>
              <w:left w:val="nil"/>
              <w:bottom w:val="single" w:sz="4" w:space="0" w:color="000000"/>
              <w:right w:val="nil"/>
            </w:tcBorders>
            <w:shd w:val="clear" w:color="auto" w:fill="D9D9D9" w:themeFill="background1" w:themeFillShade="D9"/>
            <w:noWrap/>
            <w:vAlign w:val="bottom"/>
            <w:hideMark/>
          </w:tcPr>
          <w:p w:rsidR="0041147E" w:rsidRPr="00C92B00" w:rsidRDefault="0041147E" w:rsidP="008F4251">
            <w:pPr>
              <w:jc w:val="right"/>
              <w:rPr>
                <w:rFonts w:eastAsia="Times New Roman" w:cs="Arial"/>
                <w:b/>
                <w:bCs/>
                <w:color w:val="000000"/>
                <w:szCs w:val="20"/>
                <w:lang w:eastAsia="pt-BR"/>
              </w:rPr>
            </w:pPr>
            <w:r w:rsidRPr="00C92B00">
              <w:rPr>
                <w:rFonts w:eastAsia="Times New Roman" w:cs="Arial"/>
                <w:b/>
                <w:bCs/>
                <w:color w:val="000000"/>
                <w:szCs w:val="20"/>
                <w:lang w:eastAsia="pt-BR"/>
              </w:rPr>
              <w:t xml:space="preserve">     </w:t>
            </w:r>
            <w:r>
              <w:rPr>
                <w:rFonts w:eastAsia="Times New Roman" w:cs="Arial"/>
                <w:b/>
                <w:bCs/>
                <w:color w:val="000000"/>
                <w:szCs w:val="20"/>
                <w:lang w:eastAsia="pt-BR"/>
              </w:rPr>
              <w:t>369</w:t>
            </w:r>
            <w:r w:rsidRPr="00C92B00">
              <w:rPr>
                <w:rFonts w:eastAsia="Times New Roman" w:cs="Arial"/>
                <w:b/>
                <w:bCs/>
                <w:color w:val="000000"/>
                <w:szCs w:val="20"/>
                <w:lang w:eastAsia="pt-BR"/>
              </w:rPr>
              <w:t>.</w:t>
            </w:r>
            <w:r>
              <w:rPr>
                <w:rFonts w:eastAsia="Times New Roman" w:cs="Arial"/>
                <w:b/>
                <w:bCs/>
                <w:color w:val="000000"/>
                <w:szCs w:val="20"/>
                <w:lang w:eastAsia="pt-BR"/>
              </w:rPr>
              <w:t>694</w:t>
            </w:r>
            <w:r w:rsidRPr="00C92B00">
              <w:rPr>
                <w:rFonts w:eastAsia="Times New Roman" w:cs="Arial"/>
                <w:b/>
                <w:bCs/>
                <w:color w:val="000000"/>
                <w:szCs w:val="20"/>
                <w:lang w:eastAsia="pt-BR"/>
              </w:rPr>
              <w:t>.7</w:t>
            </w:r>
            <w:r>
              <w:rPr>
                <w:rFonts w:eastAsia="Times New Roman" w:cs="Arial"/>
                <w:b/>
                <w:bCs/>
                <w:color w:val="000000"/>
                <w:szCs w:val="20"/>
                <w:lang w:eastAsia="pt-BR"/>
              </w:rPr>
              <w:t>52</w:t>
            </w:r>
            <w:r w:rsidRPr="00C92B00">
              <w:rPr>
                <w:rFonts w:eastAsia="Times New Roman" w:cs="Arial"/>
                <w:b/>
                <w:bCs/>
                <w:color w:val="000000"/>
                <w:szCs w:val="20"/>
                <w:lang w:eastAsia="pt-BR"/>
              </w:rPr>
              <w:t>,1</w:t>
            </w:r>
            <w:r>
              <w:rPr>
                <w:rFonts w:eastAsia="Times New Roman" w:cs="Arial"/>
                <w:b/>
                <w:bCs/>
                <w:color w:val="000000"/>
                <w:szCs w:val="20"/>
                <w:lang w:eastAsia="pt-BR"/>
              </w:rPr>
              <w:t>9</w:t>
            </w:r>
            <w:r w:rsidRPr="00C92B00">
              <w:rPr>
                <w:rFonts w:eastAsia="Times New Roman" w:cs="Arial"/>
                <w:b/>
                <w:bCs/>
                <w:color w:val="000000"/>
                <w:szCs w:val="20"/>
                <w:lang w:eastAsia="pt-BR"/>
              </w:rPr>
              <w:t xml:space="preserve"> </w:t>
            </w:r>
          </w:p>
        </w:tc>
      </w:tr>
    </w:tbl>
    <w:p w:rsidR="0041147E" w:rsidRPr="005857A3" w:rsidRDefault="0041147E" w:rsidP="0041147E">
      <w:pPr>
        <w:rPr>
          <w:rFonts w:cs="Arial"/>
          <w:i/>
          <w:szCs w:val="20"/>
        </w:rPr>
      </w:pPr>
      <w:r w:rsidRPr="005857A3">
        <w:rPr>
          <w:rFonts w:cs="Arial"/>
          <w:i/>
          <w:szCs w:val="20"/>
        </w:rPr>
        <w:t xml:space="preserve">Fonte: </w:t>
      </w:r>
      <w:r>
        <w:rPr>
          <w:rFonts w:cs="Arial"/>
          <w:i/>
          <w:szCs w:val="20"/>
        </w:rPr>
        <w:t>Tesouro Gerencial</w:t>
      </w:r>
      <w:r w:rsidRPr="005857A3">
        <w:rPr>
          <w:rFonts w:cs="Arial"/>
          <w:i/>
          <w:szCs w:val="20"/>
        </w:rPr>
        <w:t>, 201</w:t>
      </w:r>
      <w:r>
        <w:rPr>
          <w:rFonts w:cs="Arial"/>
          <w:i/>
          <w:szCs w:val="20"/>
        </w:rPr>
        <w:t>9</w:t>
      </w:r>
      <w:r w:rsidRPr="005857A3">
        <w:rPr>
          <w:rFonts w:cs="Arial"/>
          <w:i/>
          <w:szCs w:val="20"/>
        </w:rPr>
        <w:t>.</w:t>
      </w:r>
    </w:p>
    <w:p w:rsidR="0041147E" w:rsidRPr="00177927" w:rsidRDefault="0041147E" w:rsidP="0041147E">
      <w:pPr>
        <w:rPr>
          <w:rFonts w:cs="Arial"/>
          <w:b/>
          <w:sz w:val="22"/>
        </w:rPr>
      </w:pPr>
    </w:p>
    <w:p w:rsidR="0041147E" w:rsidRDefault="0041147E" w:rsidP="0041147E">
      <w:pPr>
        <w:rPr>
          <w:rFonts w:cs="Arial"/>
          <w:sz w:val="22"/>
        </w:rPr>
      </w:pPr>
      <w:r>
        <w:rPr>
          <w:rFonts w:cs="Arial"/>
          <w:sz w:val="22"/>
        </w:rPr>
        <w:t>Os gastos com locação de mão-de-obra contemplam, sobretudo, as despesas liquidadas com apoio administrativo (secretárias, recepcionistas, mensageiros, vigilância e limpeza entre outros). Já passagens e locomoção englobam passagens aéreas e/ou rodoviárias e contratos de locação de veículos com motorista para locomoção dos servidores em missão, conforme apresentado na tabela a seguir:</w:t>
      </w:r>
    </w:p>
    <w:p w:rsidR="0041147E" w:rsidRDefault="0041147E" w:rsidP="0041147E">
      <w:pPr>
        <w:rPr>
          <w:rFonts w:cs="Arial"/>
          <w:sz w:val="22"/>
        </w:rPr>
      </w:pPr>
    </w:p>
    <w:p w:rsidR="0041147E" w:rsidRDefault="0041147E" w:rsidP="0041147E">
      <w:pPr>
        <w:rPr>
          <w:rFonts w:cs="Arial"/>
          <w:b/>
          <w:sz w:val="22"/>
        </w:rPr>
      </w:pPr>
      <w:r>
        <w:rPr>
          <w:rFonts w:cs="Arial"/>
          <w:sz w:val="22"/>
        </w:rPr>
        <w:t xml:space="preserve"> </w:t>
      </w:r>
      <w:r w:rsidRPr="00DC18C5">
        <w:rPr>
          <w:rFonts w:cs="Arial"/>
          <w:b/>
          <w:sz w:val="22"/>
        </w:rPr>
        <w:t>Tabela 8 – Execução – Outras Despesas Correntes –</w:t>
      </w:r>
      <w:r>
        <w:rPr>
          <w:rFonts w:cs="Arial"/>
          <w:b/>
          <w:sz w:val="22"/>
        </w:rPr>
        <w:t xml:space="preserve"> </w:t>
      </w:r>
      <w:r w:rsidRPr="00DC18C5">
        <w:rPr>
          <w:rFonts w:cs="Arial"/>
          <w:b/>
          <w:sz w:val="22"/>
        </w:rPr>
        <w:t>Principais</w:t>
      </w:r>
      <w:r>
        <w:rPr>
          <w:rFonts w:cs="Arial"/>
          <w:b/>
          <w:sz w:val="22"/>
        </w:rPr>
        <w:t xml:space="preserve"> Itens</w:t>
      </w:r>
      <w:r w:rsidRPr="00DC18C5">
        <w:rPr>
          <w:rFonts w:cs="Arial"/>
          <w:b/>
          <w:sz w:val="22"/>
        </w:rPr>
        <w:t xml:space="preserve"> Liquidados.</w:t>
      </w:r>
    </w:p>
    <w:p w:rsidR="0041147E" w:rsidRDefault="0041147E" w:rsidP="0041147E">
      <w:pPr>
        <w:rPr>
          <w:rFonts w:cs="Arial"/>
          <w:sz w:val="22"/>
        </w:rPr>
      </w:pPr>
      <w:r>
        <w:rPr>
          <w:rFonts w:cs="Arial"/>
          <w:sz w:val="22"/>
        </w:rPr>
        <w:t xml:space="preserve">                                                                                                                          R$ </w:t>
      </w:r>
    </w:p>
    <w:tbl>
      <w:tblPr>
        <w:tblW w:w="6859" w:type="dxa"/>
        <w:jc w:val="center"/>
        <w:tblCellMar>
          <w:left w:w="70" w:type="dxa"/>
          <w:right w:w="70" w:type="dxa"/>
        </w:tblCellMar>
        <w:tblLook w:val="04A0" w:firstRow="1" w:lastRow="0" w:firstColumn="1" w:lastColumn="0" w:noHBand="0" w:noVBand="1"/>
      </w:tblPr>
      <w:tblGrid>
        <w:gridCol w:w="4673"/>
        <w:gridCol w:w="2186"/>
      </w:tblGrid>
      <w:tr w:rsidR="0041147E" w:rsidRPr="00EF49C5" w:rsidTr="008F4251">
        <w:trPr>
          <w:trHeight w:val="267"/>
          <w:jc w:val="center"/>
        </w:trPr>
        <w:tc>
          <w:tcPr>
            <w:tcW w:w="4673" w:type="dxa"/>
            <w:tcBorders>
              <w:top w:val="single" w:sz="4" w:space="0" w:color="000000"/>
              <w:left w:val="nil"/>
              <w:bottom w:val="single" w:sz="4" w:space="0" w:color="000000"/>
              <w:right w:val="nil"/>
            </w:tcBorders>
            <w:shd w:val="clear" w:color="auto" w:fill="auto"/>
            <w:noWrap/>
            <w:vAlign w:val="bottom"/>
            <w:hideMark/>
          </w:tcPr>
          <w:p w:rsidR="0041147E" w:rsidRPr="00EF49C5" w:rsidRDefault="0041147E" w:rsidP="008F4251">
            <w:pPr>
              <w:jc w:val="left"/>
              <w:rPr>
                <w:rFonts w:eastAsia="Times New Roman" w:cs="Arial"/>
                <w:b/>
                <w:bCs/>
                <w:color w:val="FFFFFF"/>
                <w:szCs w:val="20"/>
                <w:lang w:eastAsia="pt-BR"/>
              </w:rPr>
            </w:pPr>
            <w:r w:rsidRPr="00EF49C5">
              <w:rPr>
                <w:rFonts w:eastAsia="Times New Roman" w:cs="Arial"/>
                <w:b/>
                <w:bCs/>
                <w:color w:val="FFFFFF"/>
                <w:szCs w:val="20"/>
                <w:lang w:eastAsia="pt-BR"/>
              </w:rPr>
              <w:t>Colunas1</w:t>
            </w:r>
          </w:p>
        </w:tc>
        <w:tc>
          <w:tcPr>
            <w:tcW w:w="2186" w:type="dxa"/>
            <w:tcBorders>
              <w:top w:val="single" w:sz="4" w:space="0" w:color="000000"/>
              <w:left w:val="nil"/>
              <w:bottom w:val="single" w:sz="4" w:space="0" w:color="000000"/>
              <w:right w:val="nil"/>
            </w:tcBorders>
            <w:shd w:val="clear" w:color="auto" w:fill="auto"/>
            <w:noWrap/>
            <w:vAlign w:val="bottom"/>
            <w:hideMark/>
          </w:tcPr>
          <w:p w:rsidR="0041147E" w:rsidRPr="00EF49C5" w:rsidRDefault="0041147E" w:rsidP="008F4251">
            <w:pPr>
              <w:jc w:val="right"/>
              <w:rPr>
                <w:rFonts w:eastAsia="Times New Roman" w:cs="Arial"/>
                <w:b/>
                <w:bCs/>
                <w:color w:val="000000"/>
                <w:szCs w:val="20"/>
                <w:lang w:eastAsia="pt-BR"/>
              </w:rPr>
            </w:pPr>
            <w:r w:rsidRPr="00EF49C5">
              <w:rPr>
                <w:rFonts w:eastAsia="Times New Roman" w:cs="Arial"/>
                <w:b/>
                <w:bCs/>
                <w:color w:val="000000"/>
                <w:szCs w:val="20"/>
                <w:lang w:eastAsia="pt-BR"/>
              </w:rPr>
              <w:t>3</w:t>
            </w:r>
            <w:r>
              <w:rPr>
                <w:rFonts w:eastAsia="Times New Roman" w:cs="Arial"/>
                <w:b/>
                <w:bCs/>
                <w:color w:val="000000"/>
                <w:szCs w:val="20"/>
                <w:lang w:eastAsia="pt-BR"/>
              </w:rPr>
              <w:t>1</w:t>
            </w:r>
            <w:r w:rsidRPr="00EF49C5">
              <w:rPr>
                <w:rFonts w:eastAsia="Times New Roman" w:cs="Arial"/>
                <w:b/>
                <w:bCs/>
                <w:color w:val="000000"/>
                <w:szCs w:val="20"/>
                <w:lang w:eastAsia="pt-BR"/>
              </w:rPr>
              <w:t>/</w:t>
            </w:r>
            <w:r>
              <w:rPr>
                <w:rFonts w:eastAsia="Times New Roman" w:cs="Arial"/>
                <w:b/>
                <w:bCs/>
                <w:color w:val="000000"/>
                <w:szCs w:val="20"/>
                <w:lang w:eastAsia="pt-BR"/>
              </w:rPr>
              <w:t>12</w:t>
            </w:r>
            <w:r w:rsidRPr="00EF49C5">
              <w:rPr>
                <w:rFonts w:eastAsia="Times New Roman" w:cs="Arial"/>
                <w:b/>
                <w:bCs/>
                <w:color w:val="000000"/>
                <w:szCs w:val="20"/>
                <w:lang w:eastAsia="pt-BR"/>
              </w:rPr>
              <w:t>/201</w:t>
            </w:r>
            <w:r>
              <w:rPr>
                <w:rFonts w:eastAsia="Times New Roman" w:cs="Arial"/>
                <w:b/>
                <w:bCs/>
                <w:color w:val="000000"/>
                <w:szCs w:val="20"/>
                <w:lang w:eastAsia="pt-BR"/>
              </w:rPr>
              <w:t>9</w:t>
            </w:r>
          </w:p>
        </w:tc>
      </w:tr>
      <w:tr w:rsidR="0041147E" w:rsidRPr="00EF49C5" w:rsidTr="008F4251">
        <w:trPr>
          <w:trHeight w:val="267"/>
          <w:jc w:val="center"/>
        </w:trPr>
        <w:tc>
          <w:tcPr>
            <w:tcW w:w="4673" w:type="dxa"/>
            <w:tcBorders>
              <w:top w:val="nil"/>
              <w:left w:val="nil"/>
              <w:bottom w:val="nil"/>
              <w:right w:val="nil"/>
            </w:tcBorders>
            <w:shd w:val="clear" w:color="auto" w:fill="D9D9D9" w:themeFill="background1" w:themeFillShade="D9"/>
            <w:noWrap/>
            <w:vAlign w:val="center"/>
            <w:hideMark/>
          </w:tcPr>
          <w:p w:rsidR="0041147E" w:rsidRPr="00B1666A" w:rsidRDefault="0041147E" w:rsidP="008F4251">
            <w:pPr>
              <w:jc w:val="left"/>
              <w:rPr>
                <w:rFonts w:eastAsia="Times New Roman" w:cs="Arial"/>
                <w:color w:val="000000"/>
                <w:szCs w:val="20"/>
                <w:highlight w:val="lightGray"/>
                <w:lang w:eastAsia="pt-BR"/>
              </w:rPr>
            </w:pPr>
            <w:r>
              <w:rPr>
                <w:rFonts w:eastAsia="Times New Roman" w:cs="Arial"/>
                <w:color w:val="000000"/>
                <w:szCs w:val="20"/>
                <w:lang w:eastAsia="pt-BR"/>
              </w:rPr>
              <w:t>Locação de mão-de-obra (37)</w:t>
            </w:r>
          </w:p>
        </w:tc>
        <w:tc>
          <w:tcPr>
            <w:tcW w:w="2186" w:type="dxa"/>
            <w:tcBorders>
              <w:top w:val="nil"/>
              <w:left w:val="nil"/>
              <w:bottom w:val="nil"/>
              <w:right w:val="nil"/>
            </w:tcBorders>
            <w:shd w:val="clear" w:color="auto" w:fill="D9D9D9" w:themeFill="background1" w:themeFillShade="D9"/>
            <w:noWrap/>
            <w:vAlign w:val="bottom"/>
            <w:hideMark/>
          </w:tcPr>
          <w:p w:rsidR="0041147E" w:rsidRPr="00E61140" w:rsidRDefault="0041147E" w:rsidP="008F4251">
            <w:pPr>
              <w:jc w:val="right"/>
              <w:rPr>
                <w:rFonts w:eastAsia="Times New Roman" w:cs="Arial"/>
                <w:color w:val="000000"/>
                <w:szCs w:val="20"/>
                <w:lang w:eastAsia="pt-BR"/>
              </w:rPr>
            </w:pPr>
            <w:r w:rsidRPr="00E61140">
              <w:rPr>
                <w:rFonts w:eastAsia="Times New Roman" w:cs="Arial"/>
                <w:color w:val="000000"/>
                <w:szCs w:val="20"/>
                <w:lang w:eastAsia="pt-BR"/>
              </w:rPr>
              <w:t>19.382.939,53</w:t>
            </w:r>
          </w:p>
        </w:tc>
      </w:tr>
      <w:tr w:rsidR="0041147E" w:rsidRPr="00EF49C5" w:rsidTr="008F4251">
        <w:trPr>
          <w:trHeight w:val="267"/>
          <w:jc w:val="center"/>
        </w:trPr>
        <w:tc>
          <w:tcPr>
            <w:tcW w:w="4673" w:type="dxa"/>
            <w:tcBorders>
              <w:top w:val="nil"/>
              <w:left w:val="nil"/>
              <w:bottom w:val="nil"/>
              <w:right w:val="nil"/>
            </w:tcBorders>
            <w:shd w:val="clear" w:color="auto" w:fill="auto"/>
            <w:noWrap/>
            <w:vAlign w:val="center"/>
            <w:hideMark/>
          </w:tcPr>
          <w:p w:rsidR="0041147E" w:rsidRPr="00B1666A" w:rsidRDefault="0041147E" w:rsidP="008F4251">
            <w:pPr>
              <w:jc w:val="left"/>
              <w:rPr>
                <w:rFonts w:eastAsia="Times New Roman" w:cs="Arial"/>
                <w:color w:val="000000"/>
                <w:szCs w:val="20"/>
                <w:highlight w:val="lightGray"/>
                <w:lang w:eastAsia="pt-BR"/>
              </w:rPr>
            </w:pPr>
            <w:r w:rsidRPr="00E61140">
              <w:rPr>
                <w:rFonts w:eastAsia="Times New Roman" w:cs="Arial"/>
                <w:color w:val="000000"/>
                <w:szCs w:val="20"/>
                <w:lang w:eastAsia="pt-BR"/>
              </w:rPr>
              <w:t>Passagens e Locomoção (33)</w:t>
            </w:r>
          </w:p>
        </w:tc>
        <w:tc>
          <w:tcPr>
            <w:tcW w:w="2186" w:type="dxa"/>
            <w:tcBorders>
              <w:top w:val="nil"/>
              <w:left w:val="nil"/>
              <w:bottom w:val="nil"/>
              <w:right w:val="nil"/>
            </w:tcBorders>
            <w:shd w:val="clear" w:color="auto" w:fill="auto"/>
            <w:noWrap/>
            <w:vAlign w:val="bottom"/>
            <w:hideMark/>
          </w:tcPr>
          <w:p w:rsidR="0041147E" w:rsidRPr="00E61140" w:rsidRDefault="0041147E" w:rsidP="008F4251">
            <w:pPr>
              <w:jc w:val="right"/>
              <w:rPr>
                <w:rFonts w:eastAsia="Times New Roman" w:cs="Arial"/>
                <w:color w:val="000000"/>
                <w:szCs w:val="20"/>
                <w:lang w:eastAsia="pt-BR"/>
              </w:rPr>
            </w:pPr>
            <w:r w:rsidRPr="00E61140">
              <w:rPr>
                <w:rFonts w:eastAsia="Times New Roman" w:cs="Arial"/>
                <w:color w:val="000000"/>
                <w:szCs w:val="20"/>
                <w:lang w:eastAsia="pt-BR"/>
              </w:rPr>
              <w:t>10.285.162,97</w:t>
            </w:r>
          </w:p>
        </w:tc>
      </w:tr>
      <w:tr w:rsidR="0041147E" w:rsidRPr="00EF49C5" w:rsidTr="008F4251">
        <w:trPr>
          <w:trHeight w:val="267"/>
          <w:jc w:val="center"/>
        </w:trPr>
        <w:tc>
          <w:tcPr>
            <w:tcW w:w="4673" w:type="dxa"/>
            <w:tcBorders>
              <w:top w:val="nil"/>
              <w:left w:val="nil"/>
              <w:bottom w:val="nil"/>
              <w:right w:val="nil"/>
            </w:tcBorders>
            <w:shd w:val="clear" w:color="auto" w:fill="D9D9D9" w:themeFill="background1" w:themeFillShade="D9"/>
            <w:noWrap/>
            <w:vAlign w:val="center"/>
          </w:tcPr>
          <w:p w:rsidR="0041147E" w:rsidRPr="00E61140" w:rsidRDefault="0041147E" w:rsidP="008F4251">
            <w:pPr>
              <w:jc w:val="left"/>
              <w:rPr>
                <w:rFonts w:eastAsia="Times New Roman" w:cs="Arial"/>
                <w:color w:val="000000"/>
                <w:szCs w:val="20"/>
                <w:lang w:eastAsia="pt-BR"/>
              </w:rPr>
            </w:pPr>
            <w:r>
              <w:rPr>
                <w:rFonts w:eastAsia="Times New Roman" w:cs="Arial"/>
                <w:color w:val="000000"/>
                <w:szCs w:val="20"/>
                <w:lang w:eastAsia="pt-BR"/>
              </w:rPr>
              <w:t>Outros Serviços PJ (39)</w:t>
            </w:r>
          </w:p>
        </w:tc>
        <w:tc>
          <w:tcPr>
            <w:tcW w:w="2186" w:type="dxa"/>
            <w:tcBorders>
              <w:top w:val="nil"/>
              <w:left w:val="nil"/>
              <w:bottom w:val="nil"/>
              <w:right w:val="nil"/>
            </w:tcBorders>
            <w:shd w:val="clear" w:color="auto" w:fill="D9D9D9" w:themeFill="background1" w:themeFillShade="D9"/>
            <w:noWrap/>
            <w:vAlign w:val="bottom"/>
          </w:tcPr>
          <w:p w:rsidR="0041147E" w:rsidRPr="00E61140" w:rsidRDefault="0041147E" w:rsidP="008F4251">
            <w:pPr>
              <w:jc w:val="right"/>
              <w:rPr>
                <w:rFonts w:eastAsia="Times New Roman" w:cs="Arial"/>
                <w:color w:val="000000"/>
                <w:szCs w:val="20"/>
                <w:lang w:eastAsia="pt-BR"/>
              </w:rPr>
            </w:pPr>
            <w:r>
              <w:rPr>
                <w:rFonts w:eastAsia="Times New Roman" w:cs="Arial"/>
                <w:color w:val="000000"/>
                <w:szCs w:val="20"/>
                <w:lang w:eastAsia="pt-BR"/>
              </w:rPr>
              <w:t>61.861.530,46</w:t>
            </w:r>
          </w:p>
        </w:tc>
      </w:tr>
      <w:tr w:rsidR="0041147E" w:rsidRPr="00E61140" w:rsidTr="008F4251">
        <w:trPr>
          <w:trHeight w:val="267"/>
          <w:jc w:val="center"/>
        </w:trPr>
        <w:tc>
          <w:tcPr>
            <w:tcW w:w="4673" w:type="dxa"/>
            <w:tcBorders>
              <w:top w:val="nil"/>
              <w:left w:val="nil"/>
              <w:bottom w:val="single" w:sz="4" w:space="0" w:color="000000"/>
              <w:right w:val="nil"/>
            </w:tcBorders>
            <w:shd w:val="clear" w:color="auto" w:fill="auto"/>
            <w:noWrap/>
            <w:vAlign w:val="bottom"/>
          </w:tcPr>
          <w:p w:rsidR="0041147E" w:rsidRPr="00E61140" w:rsidRDefault="0041147E" w:rsidP="008F4251">
            <w:pPr>
              <w:jc w:val="left"/>
              <w:rPr>
                <w:rFonts w:eastAsia="Times New Roman" w:cs="Arial"/>
                <w:bCs/>
                <w:color w:val="000000"/>
                <w:szCs w:val="20"/>
                <w:lang w:eastAsia="pt-BR"/>
              </w:rPr>
            </w:pPr>
            <w:r w:rsidRPr="00E61140">
              <w:rPr>
                <w:rFonts w:eastAsia="Times New Roman" w:cs="Arial"/>
                <w:bCs/>
                <w:color w:val="000000"/>
                <w:szCs w:val="20"/>
                <w:lang w:eastAsia="pt-BR"/>
              </w:rPr>
              <w:t>Serviços de TI e Comunicação (40)</w:t>
            </w:r>
          </w:p>
        </w:tc>
        <w:tc>
          <w:tcPr>
            <w:tcW w:w="2186" w:type="dxa"/>
            <w:tcBorders>
              <w:top w:val="nil"/>
              <w:left w:val="nil"/>
              <w:bottom w:val="single" w:sz="4" w:space="0" w:color="000000"/>
              <w:right w:val="nil"/>
            </w:tcBorders>
            <w:shd w:val="clear" w:color="auto" w:fill="auto"/>
            <w:noWrap/>
            <w:vAlign w:val="bottom"/>
          </w:tcPr>
          <w:p w:rsidR="0041147E" w:rsidRPr="00E61140" w:rsidRDefault="0041147E" w:rsidP="008F4251">
            <w:pPr>
              <w:jc w:val="right"/>
              <w:rPr>
                <w:rFonts w:eastAsia="Times New Roman" w:cs="Arial"/>
                <w:bCs/>
                <w:color w:val="000000"/>
                <w:szCs w:val="20"/>
                <w:lang w:eastAsia="pt-BR"/>
              </w:rPr>
            </w:pPr>
            <w:r w:rsidRPr="00E61140">
              <w:rPr>
                <w:rFonts w:eastAsia="Times New Roman" w:cs="Arial"/>
                <w:bCs/>
                <w:color w:val="000000"/>
                <w:szCs w:val="20"/>
                <w:lang w:eastAsia="pt-BR"/>
              </w:rPr>
              <w:t>33.315.152,52</w:t>
            </w:r>
          </w:p>
        </w:tc>
      </w:tr>
      <w:tr w:rsidR="0041147E" w:rsidRPr="00EF49C5" w:rsidTr="008F4251">
        <w:trPr>
          <w:trHeight w:val="267"/>
          <w:jc w:val="center"/>
        </w:trPr>
        <w:tc>
          <w:tcPr>
            <w:tcW w:w="4673" w:type="dxa"/>
            <w:tcBorders>
              <w:top w:val="nil"/>
              <w:left w:val="nil"/>
              <w:bottom w:val="single" w:sz="4" w:space="0" w:color="000000"/>
              <w:right w:val="nil"/>
            </w:tcBorders>
            <w:shd w:val="clear" w:color="D9D9D9" w:fill="D9D9D9"/>
            <w:noWrap/>
            <w:vAlign w:val="bottom"/>
            <w:hideMark/>
          </w:tcPr>
          <w:p w:rsidR="0041147E" w:rsidRPr="00EF49C5" w:rsidRDefault="0041147E" w:rsidP="008F4251">
            <w:pPr>
              <w:jc w:val="left"/>
              <w:rPr>
                <w:rFonts w:eastAsia="Times New Roman" w:cs="Arial"/>
                <w:b/>
                <w:bCs/>
                <w:color w:val="000000"/>
                <w:szCs w:val="20"/>
                <w:lang w:eastAsia="pt-BR"/>
              </w:rPr>
            </w:pPr>
            <w:r w:rsidRPr="00EF49C5">
              <w:rPr>
                <w:rFonts w:eastAsia="Times New Roman" w:cs="Arial"/>
                <w:b/>
                <w:bCs/>
                <w:color w:val="000000"/>
                <w:szCs w:val="20"/>
                <w:lang w:eastAsia="pt-BR"/>
              </w:rPr>
              <w:t>Total</w:t>
            </w:r>
          </w:p>
        </w:tc>
        <w:tc>
          <w:tcPr>
            <w:tcW w:w="2186" w:type="dxa"/>
            <w:tcBorders>
              <w:top w:val="nil"/>
              <w:left w:val="nil"/>
              <w:bottom w:val="single" w:sz="4" w:space="0" w:color="000000"/>
              <w:right w:val="nil"/>
            </w:tcBorders>
            <w:shd w:val="clear" w:color="D9D9D9" w:fill="D9D9D9"/>
            <w:noWrap/>
            <w:vAlign w:val="bottom"/>
            <w:hideMark/>
          </w:tcPr>
          <w:p w:rsidR="0041147E" w:rsidRPr="00EF49C5" w:rsidRDefault="0041147E" w:rsidP="008F4251">
            <w:pPr>
              <w:jc w:val="right"/>
              <w:rPr>
                <w:rFonts w:eastAsia="Times New Roman" w:cs="Arial"/>
                <w:b/>
                <w:bCs/>
                <w:color w:val="000000"/>
                <w:szCs w:val="20"/>
                <w:lang w:eastAsia="pt-BR"/>
              </w:rPr>
            </w:pPr>
            <w:r>
              <w:rPr>
                <w:rFonts w:eastAsia="Times New Roman" w:cs="Arial"/>
                <w:b/>
                <w:bCs/>
                <w:color w:val="000000"/>
                <w:szCs w:val="20"/>
                <w:lang w:eastAsia="pt-BR"/>
              </w:rPr>
              <w:t>124</w:t>
            </w:r>
            <w:r w:rsidRPr="00EF49C5">
              <w:rPr>
                <w:rFonts w:eastAsia="Times New Roman" w:cs="Arial"/>
                <w:b/>
                <w:bCs/>
                <w:color w:val="000000"/>
                <w:szCs w:val="20"/>
                <w:lang w:eastAsia="pt-BR"/>
              </w:rPr>
              <w:t>.</w:t>
            </w:r>
            <w:r>
              <w:rPr>
                <w:rFonts w:eastAsia="Times New Roman" w:cs="Arial"/>
                <w:b/>
                <w:bCs/>
                <w:color w:val="000000"/>
                <w:szCs w:val="20"/>
                <w:lang w:eastAsia="pt-BR"/>
              </w:rPr>
              <w:t>844</w:t>
            </w:r>
            <w:r w:rsidRPr="00EF49C5">
              <w:rPr>
                <w:rFonts w:eastAsia="Times New Roman" w:cs="Arial"/>
                <w:b/>
                <w:bCs/>
                <w:color w:val="000000"/>
                <w:szCs w:val="20"/>
                <w:lang w:eastAsia="pt-BR"/>
              </w:rPr>
              <w:t>.</w:t>
            </w:r>
            <w:r>
              <w:rPr>
                <w:rFonts w:eastAsia="Times New Roman" w:cs="Arial"/>
                <w:b/>
                <w:bCs/>
                <w:color w:val="000000"/>
                <w:szCs w:val="20"/>
                <w:lang w:eastAsia="pt-BR"/>
              </w:rPr>
              <w:t>785</w:t>
            </w:r>
            <w:r w:rsidRPr="00EF49C5">
              <w:rPr>
                <w:rFonts w:eastAsia="Times New Roman" w:cs="Arial"/>
                <w:b/>
                <w:bCs/>
                <w:color w:val="000000"/>
                <w:szCs w:val="20"/>
                <w:lang w:eastAsia="pt-BR"/>
              </w:rPr>
              <w:t>,</w:t>
            </w:r>
            <w:r>
              <w:rPr>
                <w:rFonts w:eastAsia="Times New Roman" w:cs="Arial"/>
                <w:b/>
                <w:bCs/>
                <w:color w:val="000000"/>
                <w:szCs w:val="20"/>
                <w:lang w:eastAsia="pt-BR"/>
              </w:rPr>
              <w:t>4</w:t>
            </w:r>
            <w:r w:rsidRPr="00EF49C5">
              <w:rPr>
                <w:rFonts w:eastAsia="Times New Roman" w:cs="Arial"/>
                <w:b/>
                <w:bCs/>
                <w:color w:val="000000"/>
                <w:szCs w:val="20"/>
                <w:lang w:eastAsia="pt-BR"/>
              </w:rPr>
              <w:t>8</w:t>
            </w:r>
          </w:p>
        </w:tc>
      </w:tr>
    </w:tbl>
    <w:p w:rsidR="0041147E" w:rsidRPr="005857A3" w:rsidRDefault="0041147E" w:rsidP="0041147E">
      <w:pPr>
        <w:rPr>
          <w:rFonts w:cs="Arial"/>
          <w:i/>
          <w:szCs w:val="20"/>
        </w:rPr>
      </w:pPr>
      <w:r>
        <w:rPr>
          <w:rFonts w:cs="Arial"/>
          <w:i/>
          <w:szCs w:val="20"/>
        </w:rPr>
        <w:t xml:space="preserve">                    </w:t>
      </w:r>
      <w:r w:rsidRPr="005857A3">
        <w:rPr>
          <w:rFonts w:cs="Arial"/>
          <w:i/>
          <w:szCs w:val="20"/>
        </w:rPr>
        <w:t xml:space="preserve">Fonte: </w:t>
      </w:r>
      <w:r>
        <w:rPr>
          <w:rFonts w:cs="Arial"/>
          <w:i/>
          <w:szCs w:val="20"/>
        </w:rPr>
        <w:t>Tesouro Gerencial</w:t>
      </w:r>
      <w:r w:rsidRPr="005857A3">
        <w:rPr>
          <w:rFonts w:cs="Arial"/>
          <w:i/>
          <w:szCs w:val="20"/>
        </w:rPr>
        <w:t>, 201</w:t>
      </w:r>
      <w:r>
        <w:rPr>
          <w:rFonts w:cs="Arial"/>
          <w:i/>
          <w:szCs w:val="20"/>
        </w:rPr>
        <w:t>9</w:t>
      </w:r>
      <w:r w:rsidRPr="005857A3">
        <w:rPr>
          <w:rFonts w:cs="Arial"/>
          <w:i/>
          <w:szCs w:val="20"/>
        </w:rPr>
        <w:t>.</w:t>
      </w:r>
    </w:p>
    <w:p w:rsidR="0041147E" w:rsidRDefault="0041147E" w:rsidP="0041147E">
      <w:pPr>
        <w:rPr>
          <w:rFonts w:cs="Arial"/>
          <w:sz w:val="22"/>
        </w:rPr>
      </w:pPr>
    </w:p>
    <w:p w:rsidR="0041147E" w:rsidRDefault="0041147E" w:rsidP="0041147E">
      <w:pPr>
        <w:rPr>
          <w:rFonts w:cs="Arial"/>
          <w:sz w:val="22"/>
        </w:rPr>
      </w:pPr>
      <w:r>
        <w:rPr>
          <w:rFonts w:cs="Arial"/>
          <w:sz w:val="22"/>
        </w:rPr>
        <w:t>Os gastos com despesas de capital estão detalhados na tabela a seguir:</w:t>
      </w:r>
    </w:p>
    <w:p w:rsidR="0041147E" w:rsidRDefault="0041147E" w:rsidP="0041147E">
      <w:pPr>
        <w:rPr>
          <w:rFonts w:cs="Arial"/>
          <w:sz w:val="22"/>
        </w:rPr>
      </w:pPr>
    </w:p>
    <w:p w:rsidR="0041147E" w:rsidRPr="00EA242B" w:rsidRDefault="0041147E" w:rsidP="0041147E">
      <w:pPr>
        <w:rPr>
          <w:rFonts w:cs="Arial"/>
          <w:sz w:val="22"/>
        </w:rPr>
      </w:pPr>
      <w:r w:rsidRPr="00DC18C5">
        <w:rPr>
          <w:rFonts w:cs="Arial"/>
          <w:b/>
          <w:sz w:val="22"/>
        </w:rPr>
        <w:t>Tabela 9 – Execução – Despesas de Capital – Itens Liquidados.</w:t>
      </w:r>
    </w:p>
    <w:p w:rsidR="0041147E" w:rsidRDefault="0041147E" w:rsidP="0041147E">
      <w:pPr>
        <w:rPr>
          <w:rFonts w:cs="Arial"/>
          <w:sz w:val="22"/>
        </w:rPr>
      </w:pPr>
      <w:r>
        <w:rPr>
          <w:rFonts w:cs="Arial"/>
          <w:sz w:val="22"/>
        </w:rPr>
        <w:t xml:space="preserve">                                                                                                                                              </w:t>
      </w:r>
      <w:r w:rsidRPr="00414329">
        <w:rPr>
          <w:rFonts w:cs="Arial"/>
          <w:sz w:val="22"/>
        </w:rPr>
        <w:t>R$</w:t>
      </w:r>
    </w:p>
    <w:tbl>
      <w:tblPr>
        <w:tblW w:w="8985" w:type="dxa"/>
        <w:tblCellMar>
          <w:left w:w="70" w:type="dxa"/>
          <w:right w:w="70" w:type="dxa"/>
        </w:tblCellMar>
        <w:tblLook w:val="04A0" w:firstRow="1" w:lastRow="0" w:firstColumn="1" w:lastColumn="0" w:noHBand="0" w:noVBand="1"/>
      </w:tblPr>
      <w:tblGrid>
        <w:gridCol w:w="5624"/>
        <w:gridCol w:w="2090"/>
        <w:gridCol w:w="1271"/>
      </w:tblGrid>
      <w:tr w:rsidR="0041147E" w:rsidRPr="0042767B" w:rsidTr="008F4251">
        <w:trPr>
          <w:trHeight w:val="255"/>
        </w:trPr>
        <w:tc>
          <w:tcPr>
            <w:tcW w:w="5624" w:type="dxa"/>
            <w:tcBorders>
              <w:top w:val="single" w:sz="4" w:space="0" w:color="000000"/>
              <w:left w:val="nil"/>
              <w:bottom w:val="single" w:sz="4" w:space="0" w:color="000000"/>
              <w:right w:val="nil"/>
            </w:tcBorders>
            <w:shd w:val="clear" w:color="000000" w:fill="FFFFFF"/>
            <w:noWrap/>
            <w:vAlign w:val="bottom"/>
            <w:hideMark/>
          </w:tcPr>
          <w:p w:rsidR="0041147E" w:rsidRPr="0042767B" w:rsidRDefault="0041147E" w:rsidP="008F4251">
            <w:pPr>
              <w:jc w:val="left"/>
              <w:rPr>
                <w:rFonts w:eastAsia="Times New Roman" w:cs="Arial"/>
                <w:b/>
                <w:bCs/>
                <w:color w:val="FFFFFF"/>
                <w:szCs w:val="20"/>
                <w:lang w:eastAsia="pt-BR"/>
              </w:rPr>
            </w:pPr>
            <w:r w:rsidRPr="0042767B">
              <w:rPr>
                <w:rFonts w:eastAsia="Times New Roman" w:cs="Arial"/>
                <w:b/>
                <w:bCs/>
                <w:color w:val="FFFFFF"/>
                <w:szCs w:val="20"/>
                <w:lang w:eastAsia="pt-BR"/>
              </w:rPr>
              <w:t>Colunas1</w:t>
            </w:r>
          </w:p>
        </w:tc>
        <w:tc>
          <w:tcPr>
            <w:tcW w:w="2090" w:type="dxa"/>
            <w:tcBorders>
              <w:top w:val="single" w:sz="4" w:space="0" w:color="000000"/>
              <w:left w:val="nil"/>
              <w:bottom w:val="single" w:sz="4" w:space="0" w:color="000000"/>
              <w:right w:val="nil"/>
            </w:tcBorders>
            <w:shd w:val="clear" w:color="auto" w:fill="auto"/>
            <w:noWrap/>
            <w:vAlign w:val="bottom"/>
            <w:hideMark/>
          </w:tcPr>
          <w:p w:rsidR="0041147E" w:rsidRPr="0042767B" w:rsidRDefault="0041147E" w:rsidP="008F4251">
            <w:pPr>
              <w:jc w:val="right"/>
              <w:rPr>
                <w:rFonts w:eastAsia="Times New Roman" w:cs="Arial"/>
                <w:b/>
                <w:bCs/>
                <w:color w:val="000000"/>
                <w:szCs w:val="20"/>
                <w:lang w:eastAsia="pt-BR"/>
              </w:rPr>
            </w:pPr>
            <w:r w:rsidRPr="0042767B">
              <w:rPr>
                <w:rFonts w:eastAsia="Times New Roman" w:cs="Arial"/>
                <w:b/>
                <w:bCs/>
                <w:color w:val="000000"/>
                <w:szCs w:val="20"/>
                <w:lang w:eastAsia="pt-BR"/>
              </w:rPr>
              <w:t>3</w:t>
            </w:r>
            <w:r>
              <w:rPr>
                <w:rFonts w:eastAsia="Times New Roman" w:cs="Arial"/>
                <w:b/>
                <w:bCs/>
                <w:color w:val="000000"/>
                <w:szCs w:val="20"/>
                <w:lang w:eastAsia="pt-BR"/>
              </w:rPr>
              <w:t>1</w:t>
            </w:r>
            <w:r w:rsidRPr="0042767B">
              <w:rPr>
                <w:rFonts w:eastAsia="Times New Roman" w:cs="Arial"/>
                <w:b/>
                <w:bCs/>
                <w:color w:val="000000"/>
                <w:szCs w:val="20"/>
                <w:lang w:eastAsia="pt-BR"/>
              </w:rPr>
              <w:t>/</w:t>
            </w:r>
            <w:r>
              <w:rPr>
                <w:rFonts w:eastAsia="Times New Roman" w:cs="Arial"/>
                <w:b/>
                <w:bCs/>
                <w:color w:val="000000"/>
                <w:szCs w:val="20"/>
                <w:lang w:eastAsia="pt-BR"/>
              </w:rPr>
              <w:t>12</w:t>
            </w:r>
            <w:r w:rsidRPr="0042767B">
              <w:rPr>
                <w:rFonts w:eastAsia="Times New Roman" w:cs="Arial"/>
                <w:b/>
                <w:bCs/>
                <w:color w:val="000000"/>
                <w:szCs w:val="20"/>
                <w:lang w:eastAsia="pt-BR"/>
              </w:rPr>
              <w:t>/201</w:t>
            </w:r>
            <w:r>
              <w:rPr>
                <w:rFonts w:eastAsia="Times New Roman" w:cs="Arial"/>
                <w:b/>
                <w:bCs/>
                <w:color w:val="000000"/>
                <w:szCs w:val="20"/>
                <w:lang w:eastAsia="pt-BR"/>
              </w:rPr>
              <w:t>9</w:t>
            </w:r>
          </w:p>
        </w:tc>
        <w:tc>
          <w:tcPr>
            <w:tcW w:w="1271" w:type="dxa"/>
            <w:tcBorders>
              <w:top w:val="single" w:sz="4" w:space="0" w:color="000000"/>
              <w:left w:val="nil"/>
              <w:bottom w:val="single" w:sz="4" w:space="0" w:color="000000"/>
              <w:right w:val="nil"/>
            </w:tcBorders>
            <w:shd w:val="clear" w:color="auto" w:fill="auto"/>
            <w:noWrap/>
            <w:vAlign w:val="bottom"/>
            <w:hideMark/>
          </w:tcPr>
          <w:p w:rsidR="0041147E" w:rsidRPr="0042767B" w:rsidRDefault="0041147E" w:rsidP="008F4251">
            <w:pPr>
              <w:jc w:val="right"/>
              <w:rPr>
                <w:rFonts w:eastAsia="Times New Roman" w:cs="Arial"/>
                <w:b/>
                <w:bCs/>
                <w:color w:val="000000"/>
                <w:szCs w:val="20"/>
                <w:lang w:eastAsia="pt-BR"/>
              </w:rPr>
            </w:pPr>
            <w:r w:rsidRPr="0042767B">
              <w:rPr>
                <w:rFonts w:eastAsia="Times New Roman" w:cs="Arial"/>
                <w:b/>
                <w:bCs/>
                <w:color w:val="000000"/>
                <w:szCs w:val="20"/>
                <w:lang w:eastAsia="pt-BR"/>
              </w:rPr>
              <w:t>AV (%)</w:t>
            </w:r>
          </w:p>
        </w:tc>
      </w:tr>
      <w:tr w:rsidR="0041147E" w:rsidRPr="0042767B" w:rsidTr="008F4251">
        <w:trPr>
          <w:trHeight w:val="255"/>
        </w:trPr>
        <w:tc>
          <w:tcPr>
            <w:tcW w:w="5624" w:type="dxa"/>
            <w:tcBorders>
              <w:top w:val="nil"/>
              <w:left w:val="nil"/>
              <w:bottom w:val="nil"/>
              <w:right w:val="nil"/>
            </w:tcBorders>
            <w:shd w:val="clear" w:color="auto" w:fill="FFFFFF" w:themeFill="background1"/>
            <w:noWrap/>
            <w:vAlign w:val="center"/>
            <w:hideMark/>
          </w:tcPr>
          <w:p w:rsidR="0041147E" w:rsidRPr="0042767B" w:rsidRDefault="0041147E" w:rsidP="008F4251">
            <w:pPr>
              <w:jc w:val="left"/>
              <w:rPr>
                <w:rFonts w:eastAsia="Times New Roman" w:cs="Arial"/>
                <w:color w:val="000000"/>
                <w:szCs w:val="20"/>
                <w:lang w:eastAsia="pt-BR"/>
              </w:rPr>
            </w:pPr>
            <w:r>
              <w:rPr>
                <w:rFonts w:cs="Arial"/>
                <w:color w:val="000000"/>
                <w:szCs w:val="20"/>
              </w:rPr>
              <w:t>Serviços de TI (40)</w:t>
            </w:r>
          </w:p>
        </w:tc>
        <w:tc>
          <w:tcPr>
            <w:tcW w:w="2090" w:type="dxa"/>
            <w:tcBorders>
              <w:top w:val="nil"/>
              <w:left w:val="nil"/>
              <w:bottom w:val="nil"/>
              <w:right w:val="nil"/>
            </w:tcBorders>
            <w:shd w:val="clear" w:color="auto" w:fill="FFFFFF" w:themeFill="background1"/>
            <w:noWrap/>
            <w:vAlign w:val="bottom"/>
            <w:hideMark/>
          </w:tcPr>
          <w:p w:rsidR="0041147E" w:rsidRPr="0042767B" w:rsidRDefault="0041147E" w:rsidP="008F4251">
            <w:pPr>
              <w:jc w:val="right"/>
              <w:rPr>
                <w:rFonts w:eastAsia="Times New Roman" w:cs="Arial"/>
                <w:color w:val="000000"/>
                <w:szCs w:val="20"/>
                <w:lang w:eastAsia="pt-BR"/>
              </w:rPr>
            </w:pPr>
            <w:r>
              <w:rPr>
                <w:rFonts w:eastAsia="Times New Roman" w:cs="Arial"/>
                <w:color w:val="000000"/>
                <w:szCs w:val="20"/>
                <w:lang w:eastAsia="pt-BR"/>
              </w:rPr>
              <w:t>480.221,69</w:t>
            </w:r>
          </w:p>
        </w:tc>
        <w:tc>
          <w:tcPr>
            <w:tcW w:w="1271" w:type="dxa"/>
            <w:tcBorders>
              <w:top w:val="nil"/>
              <w:left w:val="nil"/>
              <w:bottom w:val="nil"/>
              <w:right w:val="nil"/>
            </w:tcBorders>
            <w:shd w:val="clear" w:color="auto" w:fill="FFFFFF" w:themeFill="background1"/>
            <w:noWrap/>
            <w:vAlign w:val="center"/>
            <w:hideMark/>
          </w:tcPr>
          <w:p w:rsidR="0041147E" w:rsidRPr="0042767B" w:rsidRDefault="0041147E" w:rsidP="008F4251">
            <w:pPr>
              <w:jc w:val="right"/>
              <w:rPr>
                <w:rFonts w:eastAsia="Times New Roman" w:cs="Arial"/>
                <w:color w:val="000000"/>
                <w:szCs w:val="20"/>
                <w:lang w:eastAsia="pt-BR"/>
              </w:rPr>
            </w:pPr>
            <w:r>
              <w:rPr>
                <w:rFonts w:eastAsia="Times New Roman" w:cs="Arial"/>
                <w:color w:val="000000"/>
                <w:szCs w:val="20"/>
                <w:lang w:eastAsia="pt-BR"/>
              </w:rPr>
              <w:t>14</w:t>
            </w:r>
            <w:r w:rsidRPr="0042767B">
              <w:rPr>
                <w:rFonts w:eastAsia="Times New Roman" w:cs="Arial"/>
                <w:color w:val="000000"/>
                <w:szCs w:val="20"/>
                <w:lang w:eastAsia="pt-BR"/>
              </w:rPr>
              <w:t>,</w:t>
            </w:r>
            <w:r>
              <w:rPr>
                <w:rFonts w:eastAsia="Times New Roman" w:cs="Arial"/>
                <w:color w:val="000000"/>
                <w:szCs w:val="20"/>
                <w:lang w:eastAsia="pt-BR"/>
              </w:rPr>
              <w:t>25</w:t>
            </w:r>
          </w:p>
        </w:tc>
      </w:tr>
      <w:tr w:rsidR="0041147E" w:rsidRPr="0042767B" w:rsidTr="008F4251">
        <w:trPr>
          <w:trHeight w:val="255"/>
        </w:trPr>
        <w:tc>
          <w:tcPr>
            <w:tcW w:w="5624" w:type="dxa"/>
            <w:tcBorders>
              <w:top w:val="nil"/>
              <w:left w:val="nil"/>
              <w:bottom w:val="nil"/>
              <w:right w:val="nil"/>
            </w:tcBorders>
            <w:shd w:val="clear" w:color="auto" w:fill="D9D9D9" w:themeFill="background1" w:themeFillShade="D9"/>
            <w:noWrap/>
            <w:vAlign w:val="bottom"/>
            <w:hideMark/>
          </w:tcPr>
          <w:p w:rsidR="0041147E" w:rsidRPr="0042767B" w:rsidRDefault="0041147E" w:rsidP="008F4251">
            <w:pPr>
              <w:jc w:val="left"/>
              <w:rPr>
                <w:rFonts w:eastAsia="Times New Roman" w:cs="Arial"/>
                <w:color w:val="000000"/>
                <w:szCs w:val="20"/>
                <w:lang w:eastAsia="pt-BR"/>
              </w:rPr>
            </w:pPr>
            <w:r>
              <w:rPr>
                <w:rFonts w:eastAsia="Times New Roman" w:cs="Arial"/>
                <w:color w:val="000000"/>
                <w:szCs w:val="20"/>
                <w:lang w:eastAsia="pt-BR"/>
              </w:rPr>
              <w:t>Equipamentos e Material Permanente (52)</w:t>
            </w:r>
          </w:p>
        </w:tc>
        <w:tc>
          <w:tcPr>
            <w:tcW w:w="2090" w:type="dxa"/>
            <w:tcBorders>
              <w:top w:val="nil"/>
              <w:left w:val="nil"/>
              <w:bottom w:val="nil"/>
              <w:right w:val="nil"/>
            </w:tcBorders>
            <w:shd w:val="clear" w:color="auto" w:fill="D9D9D9" w:themeFill="background1" w:themeFillShade="D9"/>
            <w:noWrap/>
            <w:vAlign w:val="bottom"/>
            <w:hideMark/>
          </w:tcPr>
          <w:p w:rsidR="0041147E" w:rsidRPr="0042767B" w:rsidRDefault="0041147E" w:rsidP="008F4251">
            <w:pPr>
              <w:jc w:val="right"/>
              <w:rPr>
                <w:rFonts w:eastAsia="Times New Roman" w:cs="Arial"/>
                <w:color w:val="000000"/>
                <w:szCs w:val="20"/>
                <w:lang w:eastAsia="pt-BR"/>
              </w:rPr>
            </w:pPr>
            <w:r>
              <w:rPr>
                <w:rFonts w:eastAsia="Times New Roman" w:cs="Arial"/>
                <w:color w:val="000000"/>
                <w:szCs w:val="20"/>
                <w:lang w:eastAsia="pt-BR"/>
              </w:rPr>
              <w:t>2.865.521,97</w:t>
            </w:r>
          </w:p>
        </w:tc>
        <w:tc>
          <w:tcPr>
            <w:tcW w:w="1271" w:type="dxa"/>
            <w:tcBorders>
              <w:top w:val="nil"/>
              <w:left w:val="nil"/>
              <w:bottom w:val="nil"/>
              <w:right w:val="nil"/>
            </w:tcBorders>
            <w:shd w:val="clear" w:color="auto" w:fill="D9D9D9" w:themeFill="background1" w:themeFillShade="D9"/>
            <w:noWrap/>
            <w:vAlign w:val="bottom"/>
            <w:hideMark/>
          </w:tcPr>
          <w:p w:rsidR="0041147E" w:rsidRPr="0042767B" w:rsidRDefault="0041147E" w:rsidP="008F4251">
            <w:pPr>
              <w:jc w:val="right"/>
              <w:rPr>
                <w:rFonts w:eastAsia="Times New Roman" w:cs="Arial"/>
                <w:color w:val="000000"/>
                <w:szCs w:val="20"/>
                <w:lang w:eastAsia="pt-BR"/>
              </w:rPr>
            </w:pPr>
            <w:r>
              <w:rPr>
                <w:rFonts w:eastAsia="Times New Roman" w:cs="Arial"/>
                <w:color w:val="000000"/>
                <w:szCs w:val="20"/>
                <w:lang w:eastAsia="pt-BR"/>
              </w:rPr>
              <w:t>85</w:t>
            </w:r>
            <w:r w:rsidRPr="0042767B">
              <w:rPr>
                <w:rFonts w:eastAsia="Times New Roman" w:cs="Arial"/>
                <w:color w:val="000000"/>
                <w:szCs w:val="20"/>
                <w:lang w:eastAsia="pt-BR"/>
              </w:rPr>
              <w:t>,</w:t>
            </w:r>
            <w:r>
              <w:rPr>
                <w:rFonts w:eastAsia="Times New Roman" w:cs="Arial"/>
                <w:color w:val="000000"/>
                <w:szCs w:val="20"/>
                <w:lang w:eastAsia="pt-BR"/>
              </w:rPr>
              <w:t>04</w:t>
            </w:r>
          </w:p>
        </w:tc>
      </w:tr>
      <w:tr w:rsidR="0041147E" w:rsidRPr="0042767B" w:rsidTr="008F4251">
        <w:trPr>
          <w:trHeight w:val="255"/>
        </w:trPr>
        <w:tc>
          <w:tcPr>
            <w:tcW w:w="5624" w:type="dxa"/>
            <w:tcBorders>
              <w:top w:val="nil"/>
              <w:left w:val="nil"/>
              <w:bottom w:val="nil"/>
              <w:right w:val="nil"/>
            </w:tcBorders>
            <w:shd w:val="clear" w:color="auto" w:fill="FFFFFF" w:themeFill="background1"/>
            <w:noWrap/>
            <w:vAlign w:val="bottom"/>
          </w:tcPr>
          <w:p w:rsidR="0041147E" w:rsidRDefault="0041147E" w:rsidP="008F4251">
            <w:pPr>
              <w:jc w:val="left"/>
              <w:rPr>
                <w:rFonts w:eastAsia="Times New Roman" w:cs="Arial"/>
                <w:color w:val="000000"/>
                <w:szCs w:val="20"/>
                <w:lang w:eastAsia="pt-BR"/>
              </w:rPr>
            </w:pPr>
            <w:r>
              <w:rPr>
                <w:rFonts w:eastAsia="Times New Roman" w:cs="Arial"/>
                <w:color w:val="000000"/>
                <w:szCs w:val="20"/>
                <w:lang w:eastAsia="pt-BR"/>
              </w:rPr>
              <w:t>Obras e Instalações (51)</w:t>
            </w:r>
          </w:p>
        </w:tc>
        <w:tc>
          <w:tcPr>
            <w:tcW w:w="2090" w:type="dxa"/>
            <w:tcBorders>
              <w:top w:val="nil"/>
              <w:left w:val="nil"/>
              <w:bottom w:val="nil"/>
              <w:right w:val="nil"/>
            </w:tcBorders>
            <w:shd w:val="clear" w:color="auto" w:fill="FFFFFF" w:themeFill="background1"/>
            <w:noWrap/>
            <w:vAlign w:val="bottom"/>
          </w:tcPr>
          <w:p w:rsidR="0041147E" w:rsidRDefault="0041147E" w:rsidP="008F4251">
            <w:pPr>
              <w:jc w:val="right"/>
              <w:rPr>
                <w:rFonts w:eastAsia="Times New Roman" w:cs="Arial"/>
                <w:color w:val="000000"/>
                <w:szCs w:val="20"/>
                <w:lang w:eastAsia="pt-BR"/>
              </w:rPr>
            </w:pPr>
            <w:r>
              <w:rPr>
                <w:rFonts w:eastAsia="Times New Roman" w:cs="Arial"/>
                <w:color w:val="000000"/>
                <w:szCs w:val="20"/>
                <w:lang w:eastAsia="pt-BR"/>
              </w:rPr>
              <w:t>24.000,00</w:t>
            </w:r>
          </w:p>
        </w:tc>
        <w:tc>
          <w:tcPr>
            <w:tcW w:w="1271" w:type="dxa"/>
            <w:tcBorders>
              <w:top w:val="nil"/>
              <w:left w:val="nil"/>
              <w:bottom w:val="nil"/>
              <w:right w:val="nil"/>
            </w:tcBorders>
            <w:shd w:val="clear" w:color="auto" w:fill="FFFFFF" w:themeFill="background1"/>
            <w:noWrap/>
            <w:vAlign w:val="bottom"/>
          </w:tcPr>
          <w:p w:rsidR="0041147E" w:rsidRPr="0042767B" w:rsidRDefault="0041147E" w:rsidP="008F4251">
            <w:pPr>
              <w:jc w:val="right"/>
              <w:rPr>
                <w:rFonts w:eastAsia="Times New Roman" w:cs="Arial"/>
                <w:color w:val="000000"/>
                <w:szCs w:val="20"/>
                <w:lang w:eastAsia="pt-BR"/>
              </w:rPr>
            </w:pPr>
            <w:r>
              <w:rPr>
                <w:rFonts w:eastAsia="Times New Roman" w:cs="Arial"/>
                <w:color w:val="000000"/>
                <w:szCs w:val="20"/>
                <w:lang w:eastAsia="pt-BR"/>
              </w:rPr>
              <w:t>0,71</w:t>
            </w:r>
          </w:p>
        </w:tc>
      </w:tr>
      <w:tr w:rsidR="0041147E" w:rsidRPr="0042767B" w:rsidTr="008F4251">
        <w:trPr>
          <w:trHeight w:val="255"/>
        </w:trPr>
        <w:tc>
          <w:tcPr>
            <w:tcW w:w="5624" w:type="dxa"/>
            <w:tcBorders>
              <w:top w:val="nil"/>
              <w:left w:val="nil"/>
              <w:bottom w:val="single" w:sz="4" w:space="0" w:color="000000"/>
              <w:right w:val="nil"/>
            </w:tcBorders>
            <w:shd w:val="clear" w:color="D9D9D9" w:fill="D9D9D9"/>
            <w:noWrap/>
            <w:vAlign w:val="bottom"/>
            <w:hideMark/>
          </w:tcPr>
          <w:p w:rsidR="0041147E" w:rsidRPr="0042767B" w:rsidRDefault="0041147E" w:rsidP="008F4251">
            <w:pPr>
              <w:jc w:val="left"/>
              <w:rPr>
                <w:rFonts w:eastAsia="Times New Roman" w:cs="Arial"/>
                <w:b/>
                <w:bCs/>
                <w:color w:val="000000"/>
                <w:szCs w:val="20"/>
                <w:lang w:eastAsia="pt-BR"/>
              </w:rPr>
            </w:pPr>
            <w:r w:rsidRPr="0042767B">
              <w:rPr>
                <w:rFonts w:eastAsia="Times New Roman" w:cs="Arial"/>
                <w:b/>
                <w:bCs/>
                <w:color w:val="000000"/>
                <w:szCs w:val="20"/>
                <w:lang w:eastAsia="pt-BR"/>
              </w:rPr>
              <w:t>Total</w:t>
            </w:r>
          </w:p>
        </w:tc>
        <w:tc>
          <w:tcPr>
            <w:tcW w:w="2090" w:type="dxa"/>
            <w:tcBorders>
              <w:top w:val="nil"/>
              <w:left w:val="nil"/>
              <w:bottom w:val="single" w:sz="4" w:space="0" w:color="000000"/>
              <w:right w:val="nil"/>
            </w:tcBorders>
            <w:shd w:val="clear" w:color="D9D9D9" w:fill="D9D9D9"/>
            <w:noWrap/>
            <w:vAlign w:val="bottom"/>
            <w:hideMark/>
          </w:tcPr>
          <w:p w:rsidR="0041147E" w:rsidRPr="0042767B" w:rsidRDefault="0041147E" w:rsidP="008F4251">
            <w:pPr>
              <w:jc w:val="right"/>
              <w:rPr>
                <w:rFonts w:eastAsia="Times New Roman" w:cs="Arial"/>
                <w:b/>
                <w:bCs/>
                <w:color w:val="000000"/>
                <w:szCs w:val="20"/>
                <w:lang w:eastAsia="pt-BR"/>
              </w:rPr>
            </w:pPr>
            <w:r w:rsidRPr="0042767B">
              <w:rPr>
                <w:rFonts w:eastAsia="Times New Roman" w:cs="Arial"/>
                <w:b/>
                <w:bCs/>
                <w:color w:val="000000"/>
                <w:szCs w:val="20"/>
                <w:lang w:eastAsia="pt-BR"/>
              </w:rPr>
              <w:t>3.</w:t>
            </w:r>
            <w:r>
              <w:rPr>
                <w:rFonts w:eastAsia="Times New Roman" w:cs="Arial"/>
                <w:b/>
                <w:bCs/>
                <w:color w:val="000000"/>
                <w:szCs w:val="20"/>
                <w:lang w:eastAsia="pt-BR"/>
              </w:rPr>
              <w:t>369</w:t>
            </w:r>
            <w:r w:rsidRPr="0042767B">
              <w:rPr>
                <w:rFonts w:eastAsia="Times New Roman" w:cs="Arial"/>
                <w:b/>
                <w:bCs/>
                <w:color w:val="000000"/>
                <w:szCs w:val="20"/>
                <w:lang w:eastAsia="pt-BR"/>
              </w:rPr>
              <w:t>.</w:t>
            </w:r>
            <w:r>
              <w:rPr>
                <w:rFonts w:eastAsia="Times New Roman" w:cs="Arial"/>
                <w:b/>
                <w:bCs/>
                <w:color w:val="000000"/>
                <w:szCs w:val="20"/>
                <w:lang w:eastAsia="pt-BR"/>
              </w:rPr>
              <w:t>743</w:t>
            </w:r>
            <w:r w:rsidRPr="0042767B">
              <w:rPr>
                <w:rFonts w:eastAsia="Times New Roman" w:cs="Arial"/>
                <w:b/>
                <w:bCs/>
                <w:color w:val="000000"/>
                <w:szCs w:val="20"/>
                <w:lang w:eastAsia="pt-BR"/>
              </w:rPr>
              <w:t>,</w:t>
            </w:r>
            <w:r>
              <w:rPr>
                <w:rFonts w:eastAsia="Times New Roman" w:cs="Arial"/>
                <w:b/>
                <w:bCs/>
                <w:color w:val="000000"/>
                <w:szCs w:val="20"/>
                <w:lang w:eastAsia="pt-BR"/>
              </w:rPr>
              <w:t>66</w:t>
            </w:r>
          </w:p>
        </w:tc>
        <w:tc>
          <w:tcPr>
            <w:tcW w:w="1271" w:type="dxa"/>
            <w:tcBorders>
              <w:top w:val="nil"/>
              <w:left w:val="nil"/>
              <w:bottom w:val="single" w:sz="4" w:space="0" w:color="000000"/>
              <w:right w:val="nil"/>
            </w:tcBorders>
            <w:shd w:val="clear" w:color="D9D9D9" w:fill="D9D9D9"/>
            <w:noWrap/>
            <w:vAlign w:val="bottom"/>
            <w:hideMark/>
          </w:tcPr>
          <w:p w:rsidR="0041147E" w:rsidRPr="0042767B" w:rsidRDefault="0041147E" w:rsidP="008F4251">
            <w:pPr>
              <w:jc w:val="right"/>
              <w:rPr>
                <w:rFonts w:eastAsia="Times New Roman" w:cs="Arial"/>
                <w:b/>
                <w:bCs/>
                <w:color w:val="000000"/>
                <w:szCs w:val="20"/>
                <w:lang w:eastAsia="pt-BR"/>
              </w:rPr>
            </w:pPr>
            <w:r w:rsidRPr="0042767B">
              <w:rPr>
                <w:rFonts w:eastAsia="Times New Roman" w:cs="Arial"/>
                <w:b/>
                <w:bCs/>
                <w:color w:val="000000"/>
                <w:szCs w:val="20"/>
                <w:lang w:eastAsia="pt-BR"/>
              </w:rPr>
              <w:t>100,00</w:t>
            </w:r>
          </w:p>
        </w:tc>
      </w:tr>
    </w:tbl>
    <w:p w:rsidR="0041147E" w:rsidRDefault="0041147E" w:rsidP="0041147E">
      <w:pPr>
        <w:rPr>
          <w:rFonts w:cs="Arial"/>
          <w:i/>
          <w:szCs w:val="20"/>
        </w:rPr>
      </w:pPr>
      <w:r w:rsidRPr="005857A3">
        <w:rPr>
          <w:rFonts w:cs="Arial"/>
          <w:i/>
          <w:szCs w:val="20"/>
        </w:rPr>
        <w:t xml:space="preserve">Fonte: </w:t>
      </w:r>
      <w:r>
        <w:rPr>
          <w:rFonts w:cs="Arial"/>
          <w:i/>
          <w:szCs w:val="20"/>
        </w:rPr>
        <w:t>Tesouro Gerencial</w:t>
      </w:r>
      <w:r w:rsidRPr="005857A3">
        <w:rPr>
          <w:rFonts w:cs="Arial"/>
          <w:i/>
          <w:szCs w:val="20"/>
        </w:rPr>
        <w:t>, 201</w:t>
      </w:r>
      <w:r>
        <w:rPr>
          <w:rFonts w:cs="Arial"/>
          <w:i/>
          <w:szCs w:val="20"/>
        </w:rPr>
        <w:t>9</w:t>
      </w:r>
      <w:r w:rsidRPr="005857A3">
        <w:rPr>
          <w:rFonts w:cs="Arial"/>
          <w:i/>
          <w:szCs w:val="20"/>
        </w:rPr>
        <w:t>.</w:t>
      </w:r>
    </w:p>
    <w:p w:rsidR="0041147E" w:rsidRDefault="0041147E">
      <w:pPr>
        <w:spacing w:after="160" w:line="259" w:lineRule="auto"/>
        <w:jc w:val="left"/>
        <w:rPr>
          <w:rFonts w:cs="Arial"/>
          <w:b/>
          <w:sz w:val="22"/>
        </w:rPr>
      </w:pPr>
      <w:r>
        <w:rPr>
          <w:rFonts w:cs="Arial"/>
          <w:b/>
          <w:sz w:val="22"/>
        </w:rPr>
        <w:br w:type="page"/>
      </w:r>
    </w:p>
    <w:p w:rsidR="0041147E" w:rsidRDefault="0041147E" w:rsidP="0041147E">
      <w:pPr>
        <w:rPr>
          <w:rFonts w:cs="Arial"/>
          <w:b/>
          <w:sz w:val="22"/>
        </w:rPr>
      </w:pPr>
    </w:p>
    <w:p w:rsidR="0041147E" w:rsidRPr="00C0371B" w:rsidRDefault="0041147E" w:rsidP="0041147E">
      <w:pPr>
        <w:rPr>
          <w:rFonts w:cs="Arial"/>
          <w:b/>
          <w:sz w:val="22"/>
        </w:rPr>
      </w:pPr>
      <w:r w:rsidRPr="00C0371B">
        <w:rPr>
          <w:rFonts w:cs="Arial"/>
          <w:b/>
          <w:sz w:val="22"/>
        </w:rPr>
        <w:t>Nota 0</w:t>
      </w:r>
      <w:r>
        <w:rPr>
          <w:rFonts w:cs="Arial"/>
          <w:b/>
          <w:sz w:val="22"/>
        </w:rPr>
        <w:t>0</w:t>
      </w:r>
      <w:r w:rsidRPr="00C0371B">
        <w:rPr>
          <w:rFonts w:cs="Arial"/>
          <w:b/>
          <w:sz w:val="22"/>
        </w:rPr>
        <w:t xml:space="preserve"> – </w:t>
      </w:r>
      <w:r>
        <w:rPr>
          <w:rFonts w:cs="Arial"/>
          <w:b/>
          <w:sz w:val="22"/>
        </w:rPr>
        <w:t>Resultado Patrimonial</w:t>
      </w:r>
    </w:p>
    <w:p w:rsidR="0041147E" w:rsidRPr="00C0371B" w:rsidRDefault="0041147E" w:rsidP="0041147E">
      <w:pPr>
        <w:rPr>
          <w:rFonts w:cs="Arial"/>
          <w:sz w:val="22"/>
        </w:rPr>
      </w:pPr>
    </w:p>
    <w:p w:rsidR="0041147E" w:rsidRDefault="0041147E" w:rsidP="0041147E">
      <w:pPr>
        <w:rPr>
          <w:rFonts w:cs="Arial"/>
          <w:sz w:val="22"/>
        </w:rPr>
      </w:pPr>
      <w:r>
        <w:rPr>
          <w:rFonts w:cs="Arial"/>
          <w:sz w:val="22"/>
        </w:rPr>
        <w:t>A apuração do resultado patrimonial implica na confrontação das variações patrimoniais aumentativas (VPA) e das variações patrimoniais diminutivas (VPD) e se dá pelo encerramento das contas de VPA e VPD, em contrapartida a uma conta de apuração. Após a apuração, o resultado é transferido para conta de Superávit/Déficit do Exercício. O detalhamento do confronto entre VPA e VPD é apresentado na Demonstração das Variações Patrimoniais (DVP).</w:t>
      </w:r>
    </w:p>
    <w:p w:rsidR="0041147E" w:rsidRDefault="0041147E" w:rsidP="0041147E">
      <w:pPr>
        <w:rPr>
          <w:rFonts w:cs="Arial"/>
          <w:sz w:val="22"/>
        </w:rPr>
      </w:pPr>
    </w:p>
    <w:p w:rsidR="0041147E" w:rsidRDefault="0041147E" w:rsidP="0041147E">
      <w:pPr>
        <w:rPr>
          <w:rFonts w:cs="Arial"/>
          <w:sz w:val="22"/>
        </w:rPr>
      </w:pPr>
      <w:r>
        <w:rPr>
          <w:rFonts w:cs="Arial"/>
          <w:sz w:val="22"/>
        </w:rPr>
        <w:t>O Resultado Patrimonial apurado em 2019 foi superavitário em R$ 190 milhões e está demonstrado na tabela abaixo:</w:t>
      </w:r>
    </w:p>
    <w:p w:rsidR="0041147E" w:rsidRDefault="0041147E" w:rsidP="0041147E">
      <w:pPr>
        <w:rPr>
          <w:rFonts w:cs="Arial"/>
          <w:sz w:val="22"/>
        </w:rPr>
      </w:pPr>
    </w:p>
    <w:p w:rsidR="0041147E" w:rsidRDefault="0041147E" w:rsidP="0041147E">
      <w:pPr>
        <w:rPr>
          <w:rFonts w:cs="Arial"/>
          <w:b/>
          <w:sz w:val="22"/>
        </w:rPr>
      </w:pPr>
      <w:r w:rsidRPr="00C0371B">
        <w:rPr>
          <w:rFonts w:cs="Arial"/>
          <w:b/>
          <w:sz w:val="22"/>
        </w:rPr>
        <w:t xml:space="preserve">Tabela – </w:t>
      </w:r>
      <w:r>
        <w:rPr>
          <w:rFonts w:cs="Arial"/>
          <w:b/>
          <w:sz w:val="22"/>
        </w:rPr>
        <w:t>Variações Patrimoniais Aumentativas x Variações Patrimoniais Diminutivas.</w:t>
      </w:r>
    </w:p>
    <w:p w:rsidR="0041147E" w:rsidRPr="006A1E1A" w:rsidRDefault="0041147E" w:rsidP="0041147E">
      <w:pPr>
        <w:ind w:left="7788" w:firstLine="708"/>
        <w:jc w:val="center"/>
        <w:rPr>
          <w:rFonts w:cs="Arial"/>
          <w:sz w:val="22"/>
        </w:rPr>
      </w:pPr>
      <w:r>
        <w:rPr>
          <w:rFonts w:cs="Arial"/>
          <w:sz w:val="22"/>
        </w:rPr>
        <w:t xml:space="preserve">  </w:t>
      </w:r>
      <w:r w:rsidRPr="006A1E1A">
        <w:rPr>
          <w:rFonts w:cs="Arial"/>
          <w:sz w:val="22"/>
        </w:rPr>
        <w:t>R$</w:t>
      </w:r>
    </w:p>
    <w:tbl>
      <w:tblPr>
        <w:tblW w:w="9095" w:type="dxa"/>
        <w:tblCellMar>
          <w:left w:w="70" w:type="dxa"/>
          <w:right w:w="70" w:type="dxa"/>
        </w:tblCellMar>
        <w:tblLook w:val="04A0" w:firstRow="1" w:lastRow="0" w:firstColumn="1" w:lastColumn="0" w:noHBand="0" w:noVBand="1"/>
      </w:tblPr>
      <w:tblGrid>
        <w:gridCol w:w="1166"/>
        <w:gridCol w:w="2662"/>
        <w:gridCol w:w="1920"/>
        <w:gridCol w:w="2079"/>
        <w:gridCol w:w="1379"/>
      </w:tblGrid>
      <w:tr w:rsidR="0041147E" w:rsidRPr="003F63FC" w:rsidTr="008F4251">
        <w:trPr>
          <w:trHeight w:val="302"/>
        </w:trPr>
        <w:tc>
          <w:tcPr>
            <w:tcW w:w="1166" w:type="dxa"/>
            <w:tcBorders>
              <w:top w:val="single" w:sz="8" w:space="0" w:color="000000"/>
              <w:left w:val="nil"/>
              <w:bottom w:val="single" w:sz="8" w:space="0" w:color="000000"/>
              <w:right w:val="nil"/>
            </w:tcBorders>
            <w:shd w:val="clear" w:color="auto" w:fill="auto"/>
            <w:vAlign w:val="center"/>
            <w:hideMark/>
          </w:tcPr>
          <w:p w:rsidR="0041147E" w:rsidRPr="003F63FC" w:rsidRDefault="0041147E" w:rsidP="008F4251">
            <w:pPr>
              <w:jc w:val="center"/>
              <w:rPr>
                <w:rFonts w:eastAsia="Times New Roman" w:cs="Arial"/>
                <w:b/>
                <w:bCs/>
                <w:color w:val="FFFFFF"/>
                <w:szCs w:val="20"/>
                <w:lang w:eastAsia="pt-BR"/>
              </w:rPr>
            </w:pPr>
            <w:r w:rsidRPr="003F63FC">
              <w:rPr>
                <w:rFonts w:eastAsia="Times New Roman" w:cs="Arial"/>
                <w:b/>
                <w:bCs/>
                <w:color w:val="FFFFFF"/>
                <w:szCs w:val="20"/>
                <w:lang w:eastAsia="pt-BR"/>
              </w:rPr>
              <w:t>Colunas1</w:t>
            </w:r>
          </w:p>
        </w:tc>
        <w:tc>
          <w:tcPr>
            <w:tcW w:w="2662" w:type="dxa"/>
            <w:tcBorders>
              <w:top w:val="single" w:sz="8" w:space="0" w:color="000000"/>
              <w:left w:val="nil"/>
              <w:bottom w:val="single" w:sz="8" w:space="0" w:color="000000"/>
              <w:right w:val="nil"/>
            </w:tcBorders>
            <w:shd w:val="clear" w:color="auto" w:fill="auto"/>
            <w:vAlign w:val="center"/>
            <w:hideMark/>
          </w:tcPr>
          <w:p w:rsidR="0041147E" w:rsidRPr="003F63FC" w:rsidRDefault="0041147E" w:rsidP="008F4251">
            <w:pPr>
              <w:jc w:val="center"/>
              <w:rPr>
                <w:rFonts w:eastAsia="Times New Roman" w:cs="Arial"/>
                <w:b/>
                <w:bCs/>
                <w:color w:val="FFFFFF"/>
                <w:szCs w:val="20"/>
                <w:lang w:eastAsia="pt-BR"/>
              </w:rPr>
            </w:pPr>
            <w:r w:rsidRPr="003F63FC">
              <w:rPr>
                <w:rFonts w:eastAsia="Times New Roman" w:cs="Arial"/>
                <w:b/>
                <w:bCs/>
                <w:color w:val="FFFFFF"/>
                <w:szCs w:val="20"/>
                <w:lang w:eastAsia="pt-BR"/>
              </w:rPr>
              <w:t>Colunas2</w:t>
            </w:r>
          </w:p>
        </w:tc>
        <w:tc>
          <w:tcPr>
            <w:tcW w:w="1809" w:type="dxa"/>
            <w:tcBorders>
              <w:top w:val="single" w:sz="8" w:space="0" w:color="000000"/>
              <w:left w:val="nil"/>
              <w:bottom w:val="single" w:sz="8" w:space="0" w:color="000000"/>
              <w:right w:val="nil"/>
            </w:tcBorders>
            <w:shd w:val="clear" w:color="auto" w:fill="auto"/>
            <w:vAlign w:val="center"/>
            <w:hideMark/>
          </w:tcPr>
          <w:p w:rsidR="0041147E" w:rsidRPr="003F63FC" w:rsidRDefault="0041147E" w:rsidP="008F4251">
            <w:pPr>
              <w:jc w:val="right"/>
              <w:rPr>
                <w:rFonts w:eastAsia="Times New Roman" w:cs="Arial"/>
                <w:b/>
                <w:bCs/>
                <w:color w:val="000000"/>
                <w:szCs w:val="20"/>
                <w:lang w:eastAsia="pt-BR"/>
              </w:rPr>
            </w:pPr>
            <w:r w:rsidRPr="003F63FC">
              <w:rPr>
                <w:rFonts w:eastAsia="Times New Roman" w:cs="Arial"/>
                <w:b/>
                <w:bCs/>
                <w:color w:val="000000"/>
                <w:szCs w:val="20"/>
                <w:lang w:eastAsia="pt-BR"/>
              </w:rPr>
              <w:t>3</w:t>
            </w:r>
            <w:r>
              <w:rPr>
                <w:rFonts w:eastAsia="Times New Roman" w:cs="Arial"/>
                <w:b/>
                <w:bCs/>
                <w:color w:val="000000"/>
                <w:szCs w:val="20"/>
                <w:lang w:eastAsia="pt-BR"/>
              </w:rPr>
              <w:t>1</w:t>
            </w:r>
            <w:r w:rsidRPr="003F63FC">
              <w:rPr>
                <w:rFonts w:eastAsia="Times New Roman" w:cs="Arial"/>
                <w:b/>
                <w:bCs/>
                <w:color w:val="000000"/>
                <w:szCs w:val="20"/>
                <w:lang w:eastAsia="pt-BR"/>
              </w:rPr>
              <w:t>/</w:t>
            </w:r>
            <w:r>
              <w:rPr>
                <w:rFonts w:eastAsia="Times New Roman" w:cs="Arial"/>
                <w:b/>
                <w:bCs/>
                <w:color w:val="000000"/>
                <w:szCs w:val="20"/>
                <w:lang w:eastAsia="pt-BR"/>
              </w:rPr>
              <w:t>12</w:t>
            </w:r>
            <w:r w:rsidRPr="003F63FC">
              <w:rPr>
                <w:rFonts w:eastAsia="Times New Roman" w:cs="Arial"/>
                <w:b/>
                <w:bCs/>
                <w:color w:val="000000"/>
                <w:szCs w:val="20"/>
                <w:lang w:eastAsia="pt-BR"/>
              </w:rPr>
              <w:t>/201</w:t>
            </w:r>
            <w:r>
              <w:rPr>
                <w:rFonts w:eastAsia="Times New Roman" w:cs="Arial"/>
                <w:b/>
                <w:bCs/>
                <w:color w:val="000000"/>
                <w:szCs w:val="20"/>
                <w:lang w:eastAsia="pt-BR"/>
              </w:rPr>
              <w:t>9</w:t>
            </w:r>
          </w:p>
        </w:tc>
        <w:tc>
          <w:tcPr>
            <w:tcW w:w="2079" w:type="dxa"/>
            <w:tcBorders>
              <w:top w:val="single" w:sz="8" w:space="0" w:color="000000"/>
              <w:left w:val="nil"/>
              <w:bottom w:val="single" w:sz="8" w:space="0" w:color="000000"/>
              <w:right w:val="nil"/>
            </w:tcBorders>
            <w:shd w:val="clear" w:color="auto" w:fill="auto"/>
            <w:vAlign w:val="center"/>
            <w:hideMark/>
          </w:tcPr>
          <w:p w:rsidR="0041147E" w:rsidRPr="003F63FC" w:rsidRDefault="0041147E" w:rsidP="008F4251">
            <w:pPr>
              <w:jc w:val="right"/>
              <w:rPr>
                <w:rFonts w:eastAsia="Times New Roman" w:cs="Arial"/>
                <w:b/>
                <w:bCs/>
                <w:color w:val="000000"/>
                <w:szCs w:val="20"/>
                <w:lang w:eastAsia="pt-BR"/>
              </w:rPr>
            </w:pPr>
            <w:r w:rsidRPr="003F63FC">
              <w:rPr>
                <w:rFonts w:eastAsia="Times New Roman" w:cs="Arial"/>
                <w:b/>
                <w:bCs/>
                <w:color w:val="000000"/>
                <w:szCs w:val="20"/>
                <w:lang w:eastAsia="pt-BR"/>
              </w:rPr>
              <w:t>3</w:t>
            </w:r>
            <w:r>
              <w:rPr>
                <w:rFonts w:eastAsia="Times New Roman" w:cs="Arial"/>
                <w:b/>
                <w:bCs/>
                <w:color w:val="000000"/>
                <w:szCs w:val="20"/>
                <w:lang w:eastAsia="pt-BR"/>
              </w:rPr>
              <w:t>1</w:t>
            </w:r>
            <w:r w:rsidRPr="003F63FC">
              <w:rPr>
                <w:rFonts w:eastAsia="Times New Roman" w:cs="Arial"/>
                <w:b/>
                <w:bCs/>
                <w:color w:val="000000"/>
                <w:szCs w:val="20"/>
                <w:lang w:eastAsia="pt-BR"/>
              </w:rPr>
              <w:t>/</w:t>
            </w:r>
            <w:r>
              <w:rPr>
                <w:rFonts w:eastAsia="Times New Roman" w:cs="Arial"/>
                <w:b/>
                <w:bCs/>
                <w:color w:val="000000"/>
                <w:szCs w:val="20"/>
                <w:lang w:eastAsia="pt-BR"/>
              </w:rPr>
              <w:t>12</w:t>
            </w:r>
            <w:r w:rsidRPr="003F63FC">
              <w:rPr>
                <w:rFonts w:eastAsia="Times New Roman" w:cs="Arial"/>
                <w:b/>
                <w:bCs/>
                <w:color w:val="000000"/>
                <w:szCs w:val="20"/>
                <w:lang w:eastAsia="pt-BR"/>
              </w:rPr>
              <w:t>/201</w:t>
            </w:r>
            <w:r>
              <w:rPr>
                <w:rFonts w:eastAsia="Times New Roman" w:cs="Arial"/>
                <w:b/>
                <w:bCs/>
                <w:color w:val="000000"/>
                <w:szCs w:val="20"/>
                <w:lang w:eastAsia="pt-BR"/>
              </w:rPr>
              <w:t>8</w:t>
            </w:r>
          </w:p>
        </w:tc>
        <w:tc>
          <w:tcPr>
            <w:tcW w:w="1379" w:type="dxa"/>
            <w:tcBorders>
              <w:top w:val="single" w:sz="8" w:space="0" w:color="000000"/>
              <w:left w:val="nil"/>
              <w:bottom w:val="single" w:sz="8" w:space="0" w:color="000000"/>
              <w:right w:val="nil"/>
            </w:tcBorders>
            <w:shd w:val="clear" w:color="auto" w:fill="auto"/>
            <w:vAlign w:val="center"/>
            <w:hideMark/>
          </w:tcPr>
          <w:p w:rsidR="0041147E" w:rsidRPr="003F63FC" w:rsidRDefault="0041147E" w:rsidP="008F4251">
            <w:pPr>
              <w:jc w:val="right"/>
              <w:rPr>
                <w:rFonts w:eastAsia="Times New Roman" w:cs="Arial"/>
                <w:b/>
                <w:bCs/>
                <w:color w:val="000000"/>
                <w:szCs w:val="20"/>
                <w:lang w:eastAsia="pt-BR"/>
              </w:rPr>
            </w:pPr>
            <w:r w:rsidRPr="003F63FC">
              <w:rPr>
                <w:rFonts w:eastAsia="Times New Roman" w:cs="Arial"/>
                <w:b/>
                <w:bCs/>
                <w:color w:val="000000"/>
                <w:szCs w:val="20"/>
                <w:lang w:eastAsia="pt-BR"/>
              </w:rPr>
              <w:t>AH (%)</w:t>
            </w:r>
          </w:p>
        </w:tc>
      </w:tr>
      <w:tr w:rsidR="0041147E" w:rsidRPr="003F63FC" w:rsidTr="008F4251">
        <w:trPr>
          <w:trHeight w:val="285"/>
        </w:trPr>
        <w:tc>
          <w:tcPr>
            <w:tcW w:w="3828" w:type="dxa"/>
            <w:gridSpan w:val="2"/>
            <w:tcBorders>
              <w:top w:val="single" w:sz="8" w:space="0" w:color="000000"/>
              <w:left w:val="nil"/>
              <w:bottom w:val="nil"/>
              <w:right w:val="nil"/>
            </w:tcBorders>
            <w:shd w:val="clear" w:color="000000" w:fill="D9D9D9"/>
            <w:noWrap/>
            <w:vAlign w:val="center"/>
            <w:hideMark/>
          </w:tcPr>
          <w:p w:rsidR="0041147E" w:rsidRPr="003F63FC" w:rsidRDefault="0041147E" w:rsidP="008F4251">
            <w:pPr>
              <w:jc w:val="left"/>
              <w:rPr>
                <w:rFonts w:eastAsia="Times New Roman" w:cs="Arial"/>
                <w:color w:val="000000"/>
                <w:szCs w:val="20"/>
                <w:lang w:eastAsia="pt-BR"/>
              </w:rPr>
            </w:pPr>
            <w:r w:rsidRPr="003F63FC">
              <w:rPr>
                <w:rFonts w:eastAsia="Times New Roman" w:cs="Arial"/>
                <w:color w:val="000000"/>
                <w:szCs w:val="20"/>
                <w:lang w:eastAsia="pt-BR"/>
              </w:rPr>
              <w:t>Variações Patrimoniais Aumentativas (I)</w:t>
            </w:r>
          </w:p>
        </w:tc>
        <w:tc>
          <w:tcPr>
            <w:tcW w:w="1809" w:type="dxa"/>
            <w:tcBorders>
              <w:top w:val="single" w:sz="8" w:space="0" w:color="000000"/>
              <w:left w:val="single" w:sz="4" w:space="0" w:color="C0C0C0"/>
              <w:bottom w:val="nil"/>
              <w:right w:val="nil"/>
            </w:tcBorders>
            <w:shd w:val="clear" w:color="D9D9D9" w:fill="D9D9D9"/>
            <w:noWrap/>
            <w:vAlign w:val="center"/>
            <w:hideMark/>
          </w:tcPr>
          <w:p w:rsidR="0041147E" w:rsidRPr="003F63FC" w:rsidRDefault="0041147E" w:rsidP="008F4251">
            <w:pPr>
              <w:jc w:val="right"/>
              <w:rPr>
                <w:rFonts w:eastAsia="Times New Roman" w:cs="Arial"/>
                <w:color w:val="000000"/>
                <w:szCs w:val="20"/>
                <w:lang w:eastAsia="pt-BR"/>
              </w:rPr>
            </w:pPr>
            <w:r w:rsidRPr="0023254D">
              <w:rPr>
                <w:rFonts w:eastAsia="Times New Roman" w:cs="Arial"/>
                <w:color w:val="000000"/>
                <w:szCs w:val="20"/>
                <w:lang w:eastAsia="pt-BR"/>
              </w:rPr>
              <w:t>125</w:t>
            </w:r>
            <w:r>
              <w:rPr>
                <w:rFonts w:eastAsia="Times New Roman" w:cs="Arial"/>
                <w:color w:val="000000"/>
                <w:szCs w:val="20"/>
                <w:lang w:eastAsia="pt-BR"/>
              </w:rPr>
              <w:t>.</w:t>
            </w:r>
            <w:r w:rsidRPr="0023254D">
              <w:rPr>
                <w:rFonts w:eastAsia="Times New Roman" w:cs="Arial"/>
                <w:color w:val="000000"/>
                <w:szCs w:val="20"/>
                <w:lang w:eastAsia="pt-BR"/>
              </w:rPr>
              <w:t>953</w:t>
            </w:r>
            <w:r>
              <w:rPr>
                <w:rFonts w:eastAsia="Times New Roman" w:cs="Arial"/>
                <w:color w:val="000000"/>
                <w:szCs w:val="20"/>
                <w:lang w:eastAsia="pt-BR"/>
              </w:rPr>
              <w:t>.</w:t>
            </w:r>
            <w:r w:rsidRPr="0023254D">
              <w:rPr>
                <w:rFonts w:eastAsia="Times New Roman" w:cs="Arial"/>
                <w:color w:val="000000"/>
                <w:szCs w:val="20"/>
                <w:lang w:eastAsia="pt-BR"/>
              </w:rPr>
              <w:t>115</w:t>
            </w:r>
            <w:r>
              <w:rPr>
                <w:rFonts w:eastAsia="Times New Roman" w:cs="Arial"/>
                <w:color w:val="000000"/>
                <w:szCs w:val="20"/>
                <w:lang w:eastAsia="pt-BR"/>
              </w:rPr>
              <w:t>.</w:t>
            </w:r>
            <w:r w:rsidRPr="0023254D">
              <w:rPr>
                <w:rFonts w:eastAsia="Times New Roman" w:cs="Arial"/>
                <w:color w:val="000000"/>
                <w:szCs w:val="20"/>
                <w:lang w:eastAsia="pt-BR"/>
              </w:rPr>
              <w:t>925,96</w:t>
            </w:r>
          </w:p>
        </w:tc>
        <w:tc>
          <w:tcPr>
            <w:tcW w:w="2079" w:type="dxa"/>
            <w:tcBorders>
              <w:top w:val="single" w:sz="8" w:space="0" w:color="000000"/>
              <w:left w:val="nil"/>
              <w:bottom w:val="nil"/>
              <w:right w:val="nil"/>
            </w:tcBorders>
            <w:shd w:val="clear" w:color="D9D9D9" w:fill="D9D9D9"/>
            <w:noWrap/>
            <w:vAlign w:val="center"/>
            <w:hideMark/>
          </w:tcPr>
          <w:p w:rsidR="0041147E" w:rsidRPr="003F63FC" w:rsidRDefault="0041147E" w:rsidP="008F4251">
            <w:pPr>
              <w:jc w:val="right"/>
              <w:rPr>
                <w:rFonts w:eastAsia="Times New Roman" w:cs="Arial"/>
                <w:color w:val="000000"/>
                <w:szCs w:val="20"/>
                <w:lang w:eastAsia="pt-BR"/>
              </w:rPr>
            </w:pPr>
            <w:r w:rsidRPr="00600F49">
              <w:rPr>
                <w:rFonts w:eastAsia="Times New Roman" w:cs="Arial"/>
                <w:color w:val="000000"/>
                <w:szCs w:val="20"/>
                <w:lang w:eastAsia="pt-BR"/>
              </w:rPr>
              <w:t>28</w:t>
            </w:r>
            <w:r>
              <w:rPr>
                <w:rFonts w:eastAsia="Times New Roman" w:cs="Arial"/>
                <w:color w:val="000000"/>
                <w:szCs w:val="20"/>
                <w:lang w:eastAsia="pt-BR"/>
              </w:rPr>
              <w:t>.</w:t>
            </w:r>
            <w:r w:rsidRPr="00600F49">
              <w:rPr>
                <w:rFonts w:eastAsia="Times New Roman" w:cs="Arial"/>
                <w:color w:val="000000"/>
                <w:szCs w:val="20"/>
                <w:lang w:eastAsia="pt-BR"/>
              </w:rPr>
              <w:t>892</w:t>
            </w:r>
            <w:r>
              <w:rPr>
                <w:rFonts w:eastAsia="Times New Roman" w:cs="Arial"/>
                <w:color w:val="000000"/>
                <w:szCs w:val="20"/>
                <w:lang w:eastAsia="pt-BR"/>
              </w:rPr>
              <w:t>.</w:t>
            </w:r>
            <w:r w:rsidRPr="00600F49">
              <w:rPr>
                <w:rFonts w:eastAsia="Times New Roman" w:cs="Arial"/>
                <w:color w:val="000000"/>
                <w:szCs w:val="20"/>
                <w:lang w:eastAsia="pt-BR"/>
              </w:rPr>
              <w:t>255</w:t>
            </w:r>
            <w:r>
              <w:rPr>
                <w:rFonts w:eastAsia="Times New Roman" w:cs="Arial"/>
                <w:color w:val="000000"/>
                <w:szCs w:val="20"/>
                <w:lang w:eastAsia="pt-BR"/>
              </w:rPr>
              <w:t>.</w:t>
            </w:r>
            <w:r w:rsidRPr="00600F49">
              <w:rPr>
                <w:rFonts w:eastAsia="Times New Roman" w:cs="Arial"/>
                <w:color w:val="000000"/>
                <w:szCs w:val="20"/>
                <w:lang w:eastAsia="pt-BR"/>
              </w:rPr>
              <w:t>261,48</w:t>
            </w:r>
          </w:p>
        </w:tc>
        <w:tc>
          <w:tcPr>
            <w:tcW w:w="1379" w:type="dxa"/>
            <w:tcBorders>
              <w:top w:val="nil"/>
              <w:left w:val="nil"/>
              <w:bottom w:val="nil"/>
              <w:right w:val="nil"/>
            </w:tcBorders>
            <w:shd w:val="clear" w:color="000000" w:fill="D9D9D9"/>
            <w:noWrap/>
            <w:vAlign w:val="center"/>
            <w:hideMark/>
          </w:tcPr>
          <w:p w:rsidR="0041147E" w:rsidRPr="003F63FC" w:rsidRDefault="0041147E" w:rsidP="008F4251">
            <w:pPr>
              <w:jc w:val="right"/>
              <w:rPr>
                <w:rFonts w:eastAsia="Times New Roman" w:cs="Arial"/>
                <w:color w:val="000000"/>
                <w:szCs w:val="20"/>
                <w:lang w:eastAsia="pt-BR"/>
              </w:rPr>
            </w:pPr>
            <w:r>
              <w:rPr>
                <w:rFonts w:eastAsia="Times New Roman" w:cs="Arial"/>
                <w:color w:val="000000"/>
                <w:szCs w:val="20"/>
                <w:lang w:eastAsia="pt-BR"/>
              </w:rPr>
              <w:t>335,94</w:t>
            </w:r>
          </w:p>
        </w:tc>
      </w:tr>
      <w:tr w:rsidR="0041147E" w:rsidRPr="003F63FC" w:rsidTr="008F4251">
        <w:trPr>
          <w:trHeight w:val="285"/>
        </w:trPr>
        <w:tc>
          <w:tcPr>
            <w:tcW w:w="3828" w:type="dxa"/>
            <w:gridSpan w:val="2"/>
            <w:tcBorders>
              <w:top w:val="nil"/>
              <w:left w:val="nil"/>
              <w:bottom w:val="nil"/>
              <w:right w:val="nil"/>
            </w:tcBorders>
            <w:shd w:val="clear" w:color="auto" w:fill="auto"/>
            <w:noWrap/>
            <w:vAlign w:val="center"/>
            <w:hideMark/>
          </w:tcPr>
          <w:p w:rsidR="0041147E" w:rsidRPr="003F63FC" w:rsidRDefault="0041147E" w:rsidP="008F4251">
            <w:pPr>
              <w:jc w:val="left"/>
              <w:rPr>
                <w:rFonts w:eastAsia="Times New Roman" w:cs="Arial"/>
                <w:color w:val="000000"/>
                <w:szCs w:val="20"/>
                <w:lang w:eastAsia="pt-BR"/>
              </w:rPr>
            </w:pPr>
            <w:r w:rsidRPr="003F63FC">
              <w:rPr>
                <w:rFonts w:eastAsia="Times New Roman" w:cs="Arial"/>
                <w:color w:val="000000"/>
                <w:szCs w:val="20"/>
                <w:lang w:eastAsia="pt-BR"/>
              </w:rPr>
              <w:t>Variações Patrimoniais Diminutivas (II)</w:t>
            </w:r>
          </w:p>
        </w:tc>
        <w:tc>
          <w:tcPr>
            <w:tcW w:w="1809" w:type="dxa"/>
            <w:tcBorders>
              <w:top w:val="nil"/>
              <w:left w:val="nil"/>
              <w:bottom w:val="nil"/>
              <w:right w:val="nil"/>
            </w:tcBorders>
            <w:shd w:val="clear" w:color="auto" w:fill="auto"/>
            <w:noWrap/>
            <w:vAlign w:val="center"/>
            <w:hideMark/>
          </w:tcPr>
          <w:p w:rsidR="0041147E" w:rsidRPr="003F63FC" w:rsidRDefault="0041147E" w:rsidP="008F4251">
            <w:pPr>
              <w:jc w:val="right"/>
              <w:rPr>
                <w:rFonts w:eastAsia="Times New Roman" w:cs="Arial"/>
                <w:color w:val="000000"/>
                <w:szCs w:val="20"/>
                <w:lang w:eastAsia="pt-BR"/>
              </w:rPr>
            </w:pPr>
            <w:r w:rsidRPr="0023254D">
              <w:rPr>
                <w:rFonts w:eastAsia="Times New Roman" w:cs="Arial"/>
                <w:color w:val="000000"/>
                <w:szCs w:val="20"/>
                <w:lang w:eastAsia="pt-BR"/>
              </w:rPr>
              <w:t>125</w:t>
            </w:r>
            <w:r>
              <w:rPr>
                <w:rFonts w:eastAsia="Times New Roman" w:cs="Arial"/>
                <w:color w:val="000000"/>
                <w:szCs w:val="20"/>
                <w:lang w:eastAsia="pt-BR"/>
              </w:rPr>
              <w:t>.</w:t>
            </w:r>
            <w:r w:rsidRPr="0023254D">
              <w:rPr>
                <w:rFonts w:eastAsia="Times New Roman" w:cs="Arial"/>
                <w:color w:val="000000"/>
                <w:szCs w:val="20"/>
                <w:lang w:eastAsia="pt-BR"/>
              </w:rPr>
              <w:t>762</w:t>
            </w:r>
            <w:r>
              <w:rPr>
                <w:rFonts w:eastAsia="Times New Roman" w:cs="Arial"/>
                <w:color w:val="000000"/>
                <w:szCs w:val="20"/>
                <w:lang w:eastAsia="pt-BR"/>
              </w:rPr>
              <w:t>.</w:t>
            </w:r>
            <w:r w:rsidRPr="0023254D">
              <w:rPr>
                <w:rFonts w:eastAsia="Times New Roman" w:cs="Arial"/>
                <w:color w:val="000000"/>
                <w:szCs w:val="20"/>
                <w:lang w:eastAsia="pt-BR"/>
              </w:rPr>
              <w:t>377</w:t>
            </w:r>
            <w:r>
              <w:rPr>
                <w:rFonts w:eastAsia="Times New Roman" w:cs="Arial"/>
                <w:color w:val="000000"/>
                <w:szCs w:val="20"/>
                <w:lang w:eastAsia="pt-BR"/>
              </w:rPr>
              <w:t>.</w:t>
            </w:r>
            <w:r w:rsidRPr="0023254D">
              <w:rPr>
                <w:rFonts w:eastAsia="Times New Roman" w:cs="Arial"/>
                <w:color w:val="000000"/>
                <w:szCs w:val="20"/>
                <w:lang w:eastAsia="pt-BR"/>
              </w:rPr>
              <w:t>796,27</w:t>
            </w:r>
          </w:p>
        </w:tc>
        <w:tc>
          <w:tcPr>
            <w:tcW w:w="2079" w:type="dxa"/>
            <w:tcBorders>
              <w:top w:val="nil"/>
              <w:left w:val="nil"/>
              <w:bottom w:val="nil"/>
              <w:right w:val="nil"/>
            </w:tcBorders>
            <w:shd w:val="clear" w:color="auto" w:fill="auto"/>
            <w:noWrap/>
            <w:vAlign w:val="center"/>
            <w:hideMark/>
          </w:tcPr>
          <w:p w:rsidR="0041147E" w:rsidRPr="003F63FC" w:rsidRDefault="0041147E" w:rsidP="008F4251">
            <w:pPr>
              <w:jc w:val="right"/>
              <w:rPr>
                <w:rFonts w:eastAsia="Times New Roman" w:cs="Arial"/>
                <w:color w:val="000000"/>
                <w:szCs w:val="20"/>
                <w:lang w:eastAsia="pt-BR"/>
              </w:rPr>
            </w:pPr>
            <w:r w:rsidRPr="00600F49">
              <w:rPr>
                <w:rFonts w:eastAsia="Times New Roman" w:cs="Arial"/>
                <w:color w:val="000000"/>
                <w:szCs w:val="20"/>
                <w:lang w:eastAsia="pt-BR"/>
              </w:rPr>
              <w:t>28</w:t>
            </w:r>
            <w:r>
              <w:rPr>
                <w:rFonts w:eastAsia="Times New Roman" w:cs="Arial"/>
                <w:color w:val="000000"/>
                <w:szCs w:val="20"/>
                <w:lang w:eastAsia="pt-BR"/>
              </w:rPr>
              <w:t>.</w:t>
            </w:r>
            <w:r w:rsidRPr="00600F49">
              <w:rPr>
                <w:rFonts w:eastAsia="Times New Roman" w:cs="Arial"/>
                <w:color w:val="000000"/>
                <w:szCs w:val="20"/>
                <w:lang w:eastAsia="pt-BR"/>
              </w:rPr>
              <w:t>727</w:t>
            </w:r>
            <w:r>
              <w:rPr>
                <w:rFonts w:eastAsia="Times New Roman" w:cs="Arial"/>
                <w:color w:val="000000"/>
                <w:szCs w:val="20"/>
                <w:lang w:eastAsia="pt-BR"/>
              </w:rPr>
              <w:t>.</w:t>
            </w:r>
            <w:r w:rsidRPr="00600F49">
              <w:rPr>
                <w:rFonts w:eastAsia="Times New Roman" w:cs="Arial"/>
                <w:color w:val="000000"/>
                <w:szCs w:val="20"/>
                <w:lang w:eastAsia="pt-BR"/>
              </w:rPr>
              <w:t>083</w:t>
            </w:r>
            <w:r>
              <w:rPr>
                <w:rFonts w:eastAsia="Times New Roman" w:cs="Arial"/>
                <w:color w:val="000000"/>
                <w:szCs w:val="20"/>
                <w:lang w:eastAsia="pt-BR"/>
              </w:rPr>
              <w:t>.</w:t>
            </w:r>
            <w:r w:rsidRPr="00600F49">
              <w:rPr>
                <w:rFonts w:eastAsia="Times New Roman" w:cs="Arial"/>
                <w:color w:val="000000"/>
                <w:szCs w:val="20"/>
                <w:lang w:eastAsia="pt-BR"/>
              </w:rPr>
              <w:t>910,22</w:t>
            </w:r>
          </w:p>
        </w:tc>
        <w:tc>
          <w:tcPr>
            <w:tcW w:w="1379" w:type="dxa"/>
            <w:tcBorders>
              <w:top w:val="nil"/>
              <w:left w:val="nil"/>
              <w:bottom w:val="nil"/>
              <w:right w:val="nil"/>
            </w:tcBorders>
            <w:shd w:val="clear" w:color="auto" w:fill="auto"/>
            <w:noWrap/>
            <w:vAlign w:val="center"/>
            <w:hideMark/>
          </w:tcPr>
          <w:p w:rsidR="0041147E" w:rsidRPr="003F63FC" w:rsidRDefault="0041147E" w:rsidP="008F4251">
            <w:pPr>
              <w:jc w:val="right"/>
              <w:rPr>
                <w:rFonts w:eastAsia="Times New Roman" w:cs="Arial"/>
                <w:color w:val="000000"/>
                <w:szCs w:val="20"/>
                <w:lang w:eastAsia="pt-BR"/>
              </w:rPr>
            </w:pPr>
            <w:r>
              <w:rPr>
                <w:rFonts w:eastAsia="Times New Roman" w:cs="Arial"/>
                <w:color w:val="000000"/>
                <w:szCs w:val="20"/>
                <w:lang w:eastAsia="pt-BR"/>
              </w:rPr>
              <w:t>337,78</w:t>
            </w:r>
          </w:p>
        </w:tc>
      </w:tr>
      <w:tr w:rsidR="0041147E" w:rsidRPr="003F63FC" w:rsidTr="008F4251">
        <w:trPr>
          <w:trHeight w:val="285"/>
        </w:trPr>
        <w:tc>
          <w:tcPr>
            <w:tcW w:w="3828" w:type="dxa"/>
            <w:gridSpan w:val="2"/>
            <w:tcBorders>
              <w:top w:val="nil"/>
              <w:left w:val="nil"/>
              <w:bottom w:val="single" w:sz="8" w:space="0" w:color="000000"/>
              <w:right w:val="nil"/>
            </w:tcBorders>
            <w:shd w:val="clear" w:color="000000" w:fill="D9D9D9"/>
            <w:noWrap/>
            <w:vAlign w:val="center"/>
            <w:hideMark/>
          </w:tcPr>
          <w:p w:rsidR="0041147E" w:rsidRPr="003F63FC" w:rsidRDefault="0041147E" w:rsidP="008F4251">
            <w:pPr>
              <w:jc w:val="left"/>
              <w:rPr>
                <w:rFonts w:eastAsia="Times New Roman" w:cs="Arial"/>
                <w:b/>
                <w:bCs/>
                <w:color w:val="000000"/>
                <w:szCs w:val="20"/>
                <w:lang w:eastAsia="pt-BR"/>
              </w:rPr>
            </w:pPr>
            <w:r w:rsidRPr="003F63FC">
              <w:rPr>
                <w:rFonts w:eastAsia="Times New Roman" w:cs="Arial"/>
                <w:b/>
                <w:bCs/>
                <w:color w:val="000000"/>
                <w:szCs w:val="20"/>
                <w:lang w:eastAsia="pt-BR"/>
              </w:rPr>
              <w:t>Resultado Patrimonial</w:t>
            </w:r>
          </w:p>
        </w:tc>
        <w:tc>
          <w:tcPr>
            <w:tcW w:w="1809" w:type="dxa"/>
            <w:tcBorders>
              <w:top w:val="nil"/>
              <w:left w:val="nil"/>
              <w:bottom w:val="single" w:sz="8" w:space="0" w:color="000000"/>
              <w:right w:val="nil"/>
            </w:tcBorders>
            <w:shd w:val="clear" w:color="000000" w:fill="D9D9D9"/>
            <w:noWrap/>
            <w:vAlign w:val="center"/>
            <w:hideMark/>
          </w:tcPr>
          <w:p w:rsidR="0041147E" w:rsidRPr="003F63FC" w:rsidRDefault="0041147E" w:rsidP="008F4251">
            <w:pPr>
              <w:jc w:val="right"/>
              <w:rPr>
                <w:rFonts w:eastAsia="Times New Roman" w:cs="Arial"/>
                <w:b/>
                <w:bCs/>
                <w:color w:val="000000"/>
                <w:szCs w:val="20"/>
                <w:lang w:eastAsia="pt-BR"/>
              </w:rPr>
            </w:pPr>
            <w:r w:rsidRPr="0023254D">
              <w:rPr>
                <w:rFonts w:eastAsia="Times New Roman" w:cs="Arial"/>
                <w:b/>
                <w:bCs/>
                <w:color w:val="000000"/>
                <w:szCs w:val="20"/>
                <w:lang w:eastAsia="pt-BR"/>
              </w:rPr>
              <w:t>190</w:t>
            </w:r>
            <w:r>
              <w:rPr>
                <w:rFonts w:eastAsia="Times New Roman" w:cs="Arial"/>
                <w:b/>
                <w:bCs/>
                <w:color w:val="000000"/>
                <w:szCs w:val="20"/>
                <w:lang w:eastAsia="pt-BR"/>
              </w:rPr>
              <w:t>.</w:t>
            </w:r>
            <w:r w:rsidRPr="0023254D">
              <w:rPr>
                <w:rFonts w:eastAsia="Times New Roman" w:cs="Arial"/>
                <w:b/>
                <w:bCs/>
                <w:color w:val="000000"/>
                <w:szCs w:val="20"/>
                <w:lang w:eastAsia="pt-BR"/>
              </w:rPr>
              <w:t>738</w:t>
            </w:r>
            <w:r>
              <w:rPr>
                <w:rFonts w:eastAsia="Times New Roman" w:cs="Arial"/>
                <w:b/>
                <w:bCs/>
                <w:color w:val="000000"/>
                <w:szCs w:val="20"/>
                <w:lang w:eastAsia="pt-BR"/>
              </w:rPr>
              <w:t>.</w:t>
            </w:r>
            <w:r w:rsidRPr="0023254D">
              <w:rPr>
                <w:rFonts w:eastAsia="Times New Roman" w:cs="Arial"/>
                <w:b/>
                <w:bCs/>
                <w:color w:val="000000"/>
                <w:szCs w:val="20"/>
                <w:lang w:eastAsia="pt-BR"/>
              </w:rPr>
              <w:t>129,69</w:t>
            </w:r>
          </w:p>
        </w:tc>
        <w:tc>
          <w:tcPr>
            <w:tcW w:w="2079" w:type="dxa"/>
            <w:tcBorders>
              <w:top w:val="nil"/>
              <w:left w:val="nil"/>
              <w:bottom w:val="single" w:sz="8" w:space="0" w:color="000000"/>
              <w:right w:val="nil"/>
            </w:tcBorders>
            <w:shd w:val="clear" w:color="000000" w:fill="D9D9D9"/>
            <w:noWrap/>
            <w:vAlign w:val="center"/>
            <w:hideMark/>
          </w:tcPr>
          <w:p w:rsidR="0041147E" w:rsidRPr="003F63FC" w:rsidRDefault="0041147E" w:rsidP="008F4251">
            <w:pPr>
              <w:jc w:val="right"/>
              <w:rPr>
                <w:rFonts w:eastAsia="Times New Roman" w:cs="Arial"/>
                <w:b/>
                <w:bCs/>
                <w:color w:val="000000"/>
                <w:szCs w:val="20"/>
                <w:lang w:eastAsia="pt-BR"/>
              </w:rPr>
            </w:pPr>
            <w:r w:rsidRPr="00600F49">
              <w:rPr>
                <w:rFonts w:eastAsia="Times New Roman" w:cs="Arial"/>
                <w:b/>
                <w:bCs/>
                <w:color w:val="000000"/>
                <w:szCs w:val="20"/>
                <w:lang w:eastAsia="pt-BR"/>
              </w:rPr>
              <w:t>165</w:t>
            </w:r>
            <w:r>
              <w:rPr>
                <w:rFonts w:eastAsia="Times New Roman" w:cs="Arial"/>
                <w:b/>
                <w:bCs/>
                <w:color w:val="000000"/>
                <w:szCs w:val="20"/>
                <w:lang w:eastAsia="pt-BR"/>
              </w:rPr>
              <w:t>.</w:t>
            </w:r>
            <w:r w:rsidRPr="00600F49">
              <w:rPr>
                <w:rFonts w:eastAsia="Times New Roman" w:cs="Arial"/>
                <w:b/>
                <w:bCs/>
                <w:color w:val="000000"/>
                <w:szCs w:val="20"/>
                <w:lang w:eastAsia="pt-BR"/>
              </w:rPr>
              <w:t>171</w:t>
            </w:r>
            <w:r>
              <w:rPr>
                <w:rFonts w:eastAsia="Times New Roman" w:cs="Arial"/>
                <w:b/>
                <w:bCs/>
                <w:color w:val="000000"/>
                <w:szCs w:val="20"/>
                <w:lang w:eastAsia="pt-BR"/>
              </w:rPr>
              <w:t>.</w:t>
            </w:r>
            <w:r w:rsidRPr="00600F49">
              <w:rPr>
                <w:rFonts w:eastAsia="Times New Roman" w:cs="Arial"/>
                <w:b/>
                <w:bCs/>
                <w:color w:val="000000"/>
                <w:szCs w:val="20"/>
                <w:lang w:eastAsia="pt-BR"/>
              </w:rPr>
              <w:t>351,26</w:t>
            </w:r>
          </w:p>
        </w:tc>
        <w:tc>
          <w:tcPr>
            <w:tcW w:w="1379" w:type="dxa"/>
            <w:tcBorders>
              <w:top w:val="nil"/>
              <w:left w:val="nil"/>
              <w:bottom w:val="single" w:sz="8" w:space="0" w:color="000000"/>
              <w:right w:val="nil"/>
            </w:tcBorders>
            <w:shd w:val="clear" w:color="000000" w:fill="D9D9D9"/>
            <w:noWrap/>
            <w:vAlign w:val="center"/>
            <w:hideMark/>
          </w:tcPr>
          <w:p w:rsidR="0041147E" w:rsidRPr="003F63FC" w:rsidRDefault="0041147E" w:rsidP="008F4251">
            <w:pPr>
              <w:jc w:val="right"/>
              <w:rPr>
                <w:rFonts w:eastAsia="Times New Roman" w:cs="Arial"/>
                <w:b/>
                <w:bCs/>
                <w:color w:val="000000"/>
                <w:szCs w:val="20"/>
                <w:lang w:eastAsia="pt-BR"/>
              </w:rPr>
            </w:pPr>
            <w:r>
              <w:rPr>
                <w:rFonts w:eastAsia="Times New Roman" w:cs="Arial"/>
                <w:b/>
                <w:bCs/>
                <w:color w:val="000000"/>
                <w:szCs w:val="20"/>
                <w:lang w:eastAsia="pt-BR"/>
              </w:rPr>
              <w:t>15,48%</w:t>
            </w:r>
          </w:p>
        </w:tc>
      </w:tr>
    </w:tbl>
    <w:p w:rsidR="0041147E" w:rsidRPr="004C42D3" w:rsidRDefault="0041147E" w:rsidP="0041147E">
      <w:pPr>
        <w:rPr>
          <w:rFonts w:cs="Arial"/>
          <w:i/>
          <w:szCs w:val="20"/>
        </w:rPr>
      </w:pPr>
      <w:r w:rsidRPr="004C42D3">
        <w:rPr>
          <w:rFonts w:cs="Arial"/>
          <w:i/>
          <w:szCs w:val="20"/>
        </w:rPr>
        <w:t>Fonte: SIAFI, 201</w:t>
      </w:r>
      <w:r>
        <w:rPr>
          <w:rFonts w:cs="Arial"/>
          <w:i/>
          <w:szCs w:val="20"/>
        </w:rPr>
        <w:t>9</w:t>
      </w:r>
      <w:r w:rsidRPr="004C42D3">
        <w:rPr>
          <w:rFonts w:cs="Arial"/>
          <w:i/>
          <w:szCs w:val="20"/>
        </w:rPr>
        <w:t xml:space="preserve"> e 201</w:t>
      </w:r>
      <w:r>
        <w:rPr>
          <w:rFonts w:cs="Arial"/>
          <w:i/>
          <w:szCs w:val="20"/>
        </w:rPr>
        <w:t>8</w:t>
      </w:r>
      <w:r w:rsidRPr="004C42D3">
        <w:rPr>
          <w:rFonts w:cs="Arial"/>
          <w:i/>
          <w:szCs w:val="20"/>
        </w:rPr>
        <w:t>.</w:t>
      </w:r>
    </w:p>
    <w:p w:rsidR="0041147E" w:rsidRPr="00C0371B" w:rsidRDefault="0041147E" w:rsidP="0041147E">
      <w:pPr>
        <w:rPr>
          <w:rFonts w:cs="Arial"/>
          <w:sz w:val="22"/>
        </w:rPr>
      </w:pPr>
    </w:p>
    <w:p w:rsidR="0041147E" w:rsidRPr="00E3075B" w:rsidRDefault="0041147E" w:rsidP="0041147E">
      <w:pPr>
        <w:rPr>
          <w:rFonts w:cs="Arial"/>
          <w:bCs/>
          <w:sz w:val="22"/>
        </w:rPr>
      </w:pPr>
      <w:r w:rsidRPr="0035559B">
        <w:rPr>
          <w:rFonts w:cs="Arial"/>
          <w:sz w:val="22"/>
        </w:rPr>
        <w:t xml:space="preserve">A latente discrepância nas </w:t>
      </w:r>
      <w:r>
        <w:rPr>
          <w:rFonts w:cs="Arial"/>
          <w:sz w:val="22"/>
        </w:rPr>
        <w:t>VPA/VPD</w:t>
      </w:r>
      <w:r w:rsidRPr="0035559B">
        <w:rPr>
          <w:rFonts w:cs="Arial"/>
          <w:sz w:val="22"/>
        </w:rPr>
        <w:t xml:space="preserve"> de 201</w:t>
      </w:r>
      <w:r>
        <w:rPr>
          <w:rFonts w:cs="Arial"/>
          <w:sz w:val="22"/>
        </w:rPr>
        <w:t>9</w:t>
      </w:r>
      <w:r w:rsidRPr="0035559B">
        <w:rPr>
          <w:rFonts w:cs="Arial"/>
          <w:sz w:val="22"/>
        </w:rPr>
        <w:t xml:space="preserve"> com relação a 201</w:t>
      </w:r>
      <w:r>
        <w:rPr>
          <w:rFonts w:cs="Arial"/>
          <w:sz w:val="22"/>
        </w:rPr>
        <w:t>8</w:t>
      </w:r>
      <w:r w:rsidRPr="0035559B">
        <w:rPr>
          <w:rFonts w:cs="Arial"/>
          <w:sz w:val="22"/>
        </w:rPr>
        <w:t xml:space="preserve"> </w:t>
      </w:r>
      <w:r w:rsidRPr="009839C8">
        <w:rPr>
          <w:rFonts w:cs="Arial"/>
          <w:sz w:val="22"/>
        </w:rPr>
        <w:t xml:space="preserve">foi determinada </w:t>
      </w:r>
      <w:r w:rsidRPr="002351CC">
        <w:rPr>
          <w:rFonts w:cs="Arial"/>
          <w:sz w:val="22"/>
        </w:rPr>
        <w:t xml:space="preserve">em decorrência das rodadas de licitação </w:t>
      </w:r>
      <w:r>
        <w:rPr>
          <w:rFonts w:cs="Arial"/>
          <w:sz w:val="22"/>
        </w:rPr>
        <w:t xml:space="preserve">de áreas de petróleo, </w:t>
      </w:r>
      <w:r w:rsidRPr="002351CC">
        <w:rPr>
          <w:rFonts w:cs="Arial"/>
          <w:sz w:val="22"/>
        </w:rPr>
        <w:t>realizadas no último quadrimestre de 2019</w:t>
      </w:r>
      <w:r>
        <w:rPr>
          <w:rFonts w:cs="Arial"/>
          <w:sz w:val="22"/>
        </w:rPr>
        <w:t xml:space="preserve">, assim como pela </w:t>
      </w:r>
      <w:r w:rsidRPr="00E3075B">
        <w:rPr>
          <w:rFonts w:cs="Arial"/>
          <w:bCs/>
          <w:sz w:val="22"/>
        </w:rPr>
        <w:t>assunção da responsabilidade</w:t>
      </w:r>
      <w:r>
        <w:rPr>
          <w:rFonts w:cs="Arial"/>
          <w:bCs/>
          <w:sz w:val="22"/>
        </w:rPr>
        <w:t xml:space="preserve">, </w:t>
      </w:r>
      <w:r>
        <w:rPr>
          <w:rFonts w:cs="Arial"/>
          <w:sz w:val="22"/>
        </w:rPr>
        <w:t xml:space="preserve">que antes era do Ministério de Minas e Energia, </w:t>
      </w:r>
      <w:r w:rsidRPr="00E3075B">
        <w:rPr>
          <w:rFonts w:cs="Arial"/>
          <w:bCs/>
          <w:sz w:val="22"/>
        </w:rPr>
        <w:t>pel</w:t>
      </w:r>
      <w:r>
        <w:rPr>
          <w:rFonts w:cs="Arial"/>
          <w:bCs/>
          <w:sz w:val="22"/>
        </w:rPr>
        <w:t xml:space="preserve">o recebimento e </w:t>
      </w:r>
      <w:r w:rsidRPr="00E3075B">
        <w:rPr>
          <w:rFonts w:cs="Arial"/>
          <w:color w:val="000000"/>
          <w:sz w:val="22"/>
        </w:rPr>
        <w:t>transferência das participações pela produção de petróleo e gás natural aos Estados e aos Municípios</w:t>
      </w:r>
      <w:r w:rsidRPr="00E3075B">
        <w:rPr>
          <w:rFonts w:cs="Arial"/>
          <w:sz w:val="22"/>
        </w:rPr>
        <w:t>, de acordo com o decreto 10.078 de 21/10/2019.</w:t>
      </w:r>
    </w:p>
    <w:p w:rsidR="0041147E" w:rsidRDefault="0041147E" w:rsidP="0041147E">
      <w:pPr>
        <w:rPr>
          <w:rFonts w:cs="Arial"/>
          <w:sz w:val="22"/>
        </w:rPr>
      </w:pPr>
    </w:p>
    <w:p w:rsidR="0041147E" w:rsidRDefault="0041147E" w:rsidP="0041147E">
      <w:pPr>
        <w:rPr>
          <w:rFonts w:cs="Arial"/>
          <w:sz w:val="22"/>
        </w:rPr>
      </w:pPr>
    </w:p>
    <w:p w:rsidR="0041147E" w:rsidRPr="0035559B" w:rsidRDefault="0041147E" w:rsidP="0041147E">
      <w:pPr>
        <w:rPr>
          <w:rFonts w:cs="Arial"/>
          <w:sz w:val="22"/>
        </w:rPr>
      </w:pPr>
    </w:p>
    <w:p w:rsidR="0041147E" w:rsidRDefault="0041147E" w:rsidP="0041147E">
      <w:pPr>
        <w:rPr>
          <w:rFonts w:cs="Arial"/>
          <w:sz w:val="22"/>
        </w:rPr>
      </w:pPr>
    </w:p>
    <w:p w:rsidR="0041147E" w:rsidRDefault="0041147E" w:rsidP="0041147E">
      <w:pPr>
        <w:rPr>
          <w:rFonts w:cs="Arial"/>
          <w:sz w:val="22"/>
        </w:rPr>
      </w:pPr>
    </w:p>
    <w:p w:rsidR="0041147E" w:rsidRDefault="0041147E" w:rsidP="0041147E">
      <w:pPr>
        <w:rPr>
          <w:rFonts w:cs="Arial"/>
          <w:sz w:val="22"/>
        </w:rPr>
      </w:pPr>
    </w:p>
    <w:p w:rsidR="0041147E" w:rsidRDefault="0041147E" w:rsidP="0041147E">
      <w:pPr>
        <w:rPr>
          <w:rFonts w:cs="Arial"/>
          <w:sz w:val="22"/>
        </w:rPr>
      </w:pPr>
    </w:p>
    <w:p w:rsidR="0041147E" w:rsidRDefault="0041147E" w:rsidP="0041147E">
      <w:pPr>
        <w:rPr>
          <w:rFonts w:eastAsia="Times New Roman" w:cs="Arial"/>
          <w:sz w:val="22"/>
        </w:rPr>
      </w:pPr>
    </w:p>
    <w:p w:rsidR="0041147E" w:rsidRDefault="0041147E" w:rsidP="0041147E">
      <w:pPr>
        <w:rPr>
          <w:rFonts w:eastAsia="Times New Roman" w:cs="Arial"/>
          <w:sz w:val="22"/>
        </w:rPr>
      </w:pPr>
    </w:p>
    <w:p w:rsidR="0041147E" w:rsidRPr="00270E09" w:rsidRDefault="0041147E" w:rsidP="0041147E">
      <w:pPr>
        <w:rPr>
          <w:rFonts w:ascii="Times New Roman" w:eastAsia="Times New Roman" w:hAnsi="Times New Roman" w:cs="Times New Roman"/>
          <w:sz w:val="24"/>
          <w:szCs w:val="24"/>
          <w:lang w:eastAsia="pt-BR"/>
        </w:rPr>
      </w:pPr>
    </w:p>
    <w:p w:rsidR="0041147E" w:rsidRPr="00051094" w:rsidRDefault="0041147E" w:rsidP="0041147E">
      <w:pPr>
        <w:rPr>
          <w:rFonts w:cs="Arial"/>
          <w:sz w:val="22"/>
        </w:rPr>
      </w:pPr>
    </w:p>
    <w:p w:rsidR="0041147E" w:rsidRDefault="0041147E">
      <w:pPr>
        <w:spacing w:after="160" w:line="259" w:lineRule="auto"/>
        <w:jc w:val="left"/>
        <w:rPr>
          <w:rFonts w:cs="Arial"/>
          <w:b/>
          <w:sz w:val="22"/>
        </w:rPr>
      </w:pPr>
      <w:r>
        <w:rPr>
          <w:rFonts w:cs="Arial"/>
          <w:b/>
          <w:sz w:val="22"/>
        </w:rPr>
        <w:br w:type="page"/>
      </w:r>
    </w:p>
    <w:p w:rsidR="0041147E" w:rsidRDefault="0041147E" w:rsidP="0041147E">
      <w:pPr>
        <w:rPr>
          <w:rFonts w:cs="Arial"/>
          <w:b/>
          <w:sz w:val="22"/>
        </w:rPr>
      </w:pPr>
    </w:p>
    <w:p w:rsidR="0041147E" w:rsidRPr="00177927" w:rsidRDefault="0041147E" w:rsidP="0041147E">
      <w:pPr>
        <w:rPr>
          <w:rFonts w:cs="Arial"/>
          <w:b/>
          <w:sz w:val="22"/>
        </w:rPr>
      </w:pPr>
      <w:r w:rsidRPr="00177927">
        <w:rPr>
          <w:rFonts w:cs="Arial"/>
          <w:b/>
          <w:sz w:val="22"/>
        </w:rPr>
        <w:t>Nota 0</w:t>
      </w:r>
      <w:r>
        <w:rPr>
          <w:rFonts w:cs="Arial"/>
          <w:b/>
          <w:sz w:val="22"/>
        </w:rPr>
        <w:t>0</w:t>
      </w:r>
      <w:r w:rsidRPr="00177927">
        <w:rPr>
          <w:rFonts w:cs="Arial"/>
          <w:b/>
          <w:sz w:val="22"/>
        </w:rPr>
        <w:t xml:space="preserve"> </w:t>
      </w:r>
      <w:r>
        <w:rPr>
          <w:rFonts w:cs="Arial"/>
          <w:b/>
          <w:sz w:val="22"/>
        </w:rPr>
        <w:t>– Resultado Financeiro</w:t>
      </w:r>
    </w:p>
    <w:p w:rsidR="0041147E" w:rsidRPr="00177927" w:rsidRDefault="0041147E" w:rsidP="0041147E">
      <w:pPr>
        <w:rPr>
          <w:rFonts w:cs="Arial"/>
          <w:b/>
          <w:sz w:val="22"/>
        </w:rPr>
      </w:pPr>
    </w:p>
    <w:p w:rsidR="0041147E" w:rsidRDefault="0041147E" w:rsidP="0041147E">
      <w:pPr>
        <w:rPr>
          <w:rFonts w:cs="Arial"/>
          <w:sz w:val="22"/>
        </w:rPr>
      </w:pPr>
      <w:r w:rsidRPr="00DF0C08">
        <w:rPr>
          <w:rFonts w:cs="Arial"/>
          <w:sz w:val="22"/>
        </w:rPr>
        <w:t>O resultado financeiro do exercício de 201</w:t>
      </w:r>
      <w:r>
        <w:rPr>
          <w:rFonts w:cs="Arial"/>
          <w:sz w:val="22"/>
        </w:rPr>
        <w:t>9</w:t>
      </w:r>
      <w:r w:rsidRPr="00DF0C08">
        <w:rPr>
          <w:rFonts w:cs="Arial"/>
          <w:sz w:val="22"/>
        </w:rPr>
        <w:t xml:space="preserve"> importou no </w:t>
      </w:r>
      <w:r>
        <w:rPr>
          <w:rFonts w:cs="Arial"/>
          <w:sz w:val="22"/>
        </w:rPr>
        <w:t>a</w:t>
      </w:r>
      <w:r w:rsidRPr="00DF0C08">
        <w:rPr>
          <w:rFonts w:cs="Arial"/>
          <w:sz w:val="22"/>
        </w:rPr>
        <w:t xml:space="preserve">créscimo superior a R$ </w:t>
      </w:r>
      <w:r>
        <w:rPr>
          <w:rFonts w:cs="Arial"/>
          <w:sz w:val="22"/>
        </w:rPr>
        <w:t>23</w:t>
      </w:r>
      <w:r w:rsidRPr="00DF0C08">
        <w:rPr>
          <w:rFonts w:cs="Arial"/>
          <w:sz w:val="22"/>
        </w:rPr>
        <w:t xml:space="preserve"> milhões e sua formação é detalhada na tabela a seguir:</w:t>
      </w:r>
    </w:p>
    <w:p w:rsidR="0041147E" w:rsidRDefault="0041147E" w:rsidP="0041147E">
      <w:pPr>
        <w:rPr>
          <w:rFonts w:cs="Arial"/>
          <w:sz w:val="22"/>
        </w:rPr>
      </w:pPr>
    </w:p>
    <w:p w:rsidR="0041147E" w:rsidRDefault="0041147E" w:rsidP="0041147E">
      <w:pPr>
        <w:rPr>
          <w:rFonts w:cs="Arial"/>
          <w:sz w:val="22"/>
        </w:rPr>
      </w:pPr>
      <w:r w:rsidRPr="00177927">
        <w:rPr>
          <w:rFonts w:cs="Arial"/>
          <w:b/>
          <w:sz w:val="22"/>
        </w:rPr>
        <w:t xml:space="preserve">Tabela 1 – </w:t>
      </w:r>
      <w:r>
        <w:rPr>
          <w:rFonts w:cs="Arial"/>
          <w:b/>
          <w:sz w:val="22"/>
        </w:rPr>
        <w:t>Resultado Financeiro – Composição</w:t>
      </w:r>
      <w:r w:rsidRPr="00177927">
        <w:rPr>
          <w:rFonts w:cs="Arial"/>
          <w:b/>
          <w:sz w:val="22"/>
        </w:rPr>
        <w:t>.</w:t>
      </w:r>
      <w:r w:rsidRPr="00177927">
        <w:rPr>
          <w:rFonts w:cs="Arial"/>
          <w:sz w:val="22"/>
        </w:rPr>
        <w:t xml:space="preserve"> </w:t>
      </w:r>
    </w:p>
    <w:p w:rsidR="0041147E" w:rsidRDefault="0041147E" w:rsidP="0041147E">
      <w:pPr>
        <w:rPr>
          <w:rFonts w:cs="Arial"/>
          <w:sz w:val="22"/>
        </w:rPr>
      </w:pPr>
      <w:r>
        <w:rPr>
          <w:rFonts w:cs="Arial"/>
          <w:sz w:val="22"/>
        </w:rPr>
        <w:t xml:space="preserve">                                                                                                                                            R$</w:t>
      </w:r>
    </w:p>
    <w:tbl>
      <w:tblPr>
        <w:tblW w:w="9850" w:type="dxa"/>
        <w:tblCellMar>
          <w:left w:w="70" w:type="dxa"/>
          <w:right w:w="70" w:type="dxa"/>
        </w:tblCellMar>
        <w:tblLook w:val="04A0" w:firstRow="1" w:lastRow="0" w:firstColumn="1" w:lastColumn="0" w:noHBand="0" w:noVBand="1"/>
      </w:tblPr>
      <w:tblGrid>
        <w:gridCol w:w="3720"/>
        <w:gridCol w:w="2036"/>
        <w:gridCol w:w="2252"/>
        <w:gridCol w:w="1842"/>
      </w:tblGrid>
      <w:tr w:rsidR="0041147E" w:rsidRPr="00E42115" w:rsidTr="008F4251">
        <w:trPr>
          <w:trHeight w:val="306"/>
        </w:trPr>
        <w:tc>
          <w:tcPr>
            <w:tcW w:w="3720" w:type="dxa"/>
            <w:tcBorders>
              <w:top w:val="single" w:sz="4" w:space="0" w:color="000000"/>
              <w:left w:val="nil"/>
              <w:bottom w:val="single" w:sz="4" w:space="0" w:color="000000"/>
              <w:right w:val="nil"/>
            </w:tcBorders>
            <w:shd w:val="clear" w:color="000000" w:fill="FFFFFF"/>
            <w:noWrap/>
            <w:vAlign w:val="bottom"/>
            <w:hideMark/>
          </w:tcPr>
          <w:p w:rsidR="0041147E" w:rsidRPr="00E42115" w:rsidRDefault="0041147E" w:rsidP="008F4251">
            <w:pPr>
              <w:jc w:val="left"/>
              <w:rPr>
                <w:rFonts w:ascii="Calibri" w:eastAsia="Times New Roman" w:hAnsi="Calibri" w:cs="Calibri"/>
                <w:b/>
                <w:bCs/>
                <w:color w:val="FFFFFF"/>
                <w:sz w:val="22"/>
                <w:lang w:eastAsia="pt-BR"/>
              </w:rPr>
            </w:pPr>
            <w:r w:rsidRPr="00E42115">
              <w:rPr>
                <w:rFonts w:ascii="Calibri" w:eastAsia="Times New Roman" w:hAnsi="Calibri" w:cs="Calibri"/>
                <w:b/>
                <w:bCs/>
                <w:color w:val="FFFFFF"/>
                <w:sz w:val="22"/>
                <w:lang w:eastAsia="pt-BR"/>
              </w:rPr>
              <w:t>Colunas1</w:t>
            </w:r>
          </w:p>
        </w:tc>
        <w:tc>
          <w:tcPr>
            <w:tcW w:w="2036" w:type="dxa"/>
            <w:tcBorders>
              <w:top w:val="single" w:sz="4" w:space="0" w:color="000000"/>
              <w:left w:val="nil"/>
              <w:bottom w:val="single" w:sz="4" w:space="0" w:color="000000"/>
              <w:right w:val="nil"/>
            </w:tcBorders>
            <w:shd w:val="clear" w:color="000000" w:fill="FFFFFF"/>
            <w:noWrap/>
            <w:vAlign w:val="bottom"/>
            <w:hideMark/>
          </w:tcPr>
          <w:p w:rsidR="0041147E" w:rsidRPr="00E42115" w:rsidRDefault="0041147E" w:rsidP="008F4251">
            <w:pPr>
              <w:jc w:val="right"/>
              <w:rPr>
                <w:rFonts w:ascii="Calibri" w:eastAsia="Times New Roman" w:hAnsi="Calibri" w:cs="Calibri"/>
                <w:b/>
                <w:bCs/>
                <w:sz w:val="22"/>
                <w:lang w:eastAsia="pt-BR"/>
              </w:rPr>
            </w:pPr>
            <w:r w:rsidRPr="00E42115">
              <w:rPr>
                <w:rFonts w:ascii="Calibri" w:eastAsia="Times New Roman" w:hAnsi="Calibri" w:cs="Calibri"/>
                <w:b/>
                <w:bCs/>
                <w:sz w:val="22"/>
                <w:lang w:eastAsia="pt-BR"/>
              </w:rPr>
              <w:t>3</w:t>
            </w:r>
            <w:r>
              <w:rPr>
                <w:rFonts w:ascii="Calibri" w:eastAsia="Times New Roman" w:hAnsi="Calibri" w:cs="Calibri"/>
                <w:b/>
                <w:bCs/>
                <w:sz w:val="22"/>
                <w:lang w:eastAsia="pt-BR"/>
              </w:rPr>
              <w:t>1</w:t>
            </w:r>
            <w:r w:rsidRPr="00E42115">
              <w:rPr>
                <w:rFonts w:ascii="Calibri" w:eastAsia="Times New Roman" w:hAnsi="Calibri" w:cs="Calibri"/>
                <w:b/>
                <w:bCs/>
                <w:sz w:val="22"/>
                <w:lang w:eastAsia="pt-BR"/>
              </w:rPr>
              <w:t>/</w:t>
            </w:r>
            <w:r>
              <w:rPr>
                <w:rFonts w:ascii="Calibri" w:eastAsia="Times New Roman" w:hAnsi="Calibri" w:cs="Calibri"/>
                <w:b/>
                <w:bCs/>
                <w:sz w:val="22"/>
                <w:lang w:eastAsia="pt-BR"/>
              </w:rPr>
              <w:t>12</w:t>
            </w:r>
            <w:r w:rsidRPr="00E42115">
              <w:rPr>
                <w:rFonts w:ascii="Calibri" w:eastAsia="Times New Roman" w:hAnsi="Calibri" w:cs="Calibri"/>
                <w:b/>
                <w:bCs/>
                <w:sz w:val="22"/>
                <w:lang w:eastAsia="pt-BR"/>
              </w:rPr>
              <w:t>/201</w:t>
            </w:r>
            <w:r>
              <w:rPr>
                <w:rFonts w:ascii="Calibri" w:eastAsia="Times New Roman" w:hAnsi="Calibri" w:cs="Calibri"/>
                <w:b/>
                <w:bCs/>
                <w:sz w:val="22"/>
                <w:lang w:eastAsia="pt-BR"/>
              </w:rPr>
              <w:t>9</w:t>
            </w:r>
          </w:p>
        </w:tc>
        <w:tc>
          <w:tcPr>
            <w:tcW w:w="2252" w:type="dxa"/>
            <w:tcBorders>
              <w:top w:val="single" w:sz="4" w:space="0" w:color="000000"/>
              <w:left w:val="nil"/>
              <w:bottom w:val="single" w:sz="4" w:space="0" w:color="000000"/>
              <w:right w:val="nil"/>
            </w:tcBorders>
            <w:shd w:val="clear" w:color="auto" w:fill="auto"/>
            <w:noWrap/>
            <w:vAlign w:val="bottom"/>
            <w:hideMark/>
          </w:tcPr>
          <w:p w:rsidR="0041147E" w:rsidRPr="00E42115" w:rsidRDefault="0041147E" w:rsidP="008F4251">
            <w:pPr>
              <w:jc w:val="right"/>
              <w:rPr>
                <w:rFonts w:ascii="Calibri" w:eastAsia="Times New Roman" w:hAnsi="Calibri" w:cs="Calibri"/>
                <w:b/>
                <w:bCs/>
                <w:color w:val="000000"/>
                <w:sz w:val="22"/>
                <w:lang w:eastAsia="pt-BR"/>
              </w:rPr>
            </w:pPr>
            <w:r>
              <w:rPr>
                <w:rFonts w:ascii="Calibri" w:eastAsia="Times New Roman" w:hAnsi="Calibri" w:cs="Calibri"/>
                <w:b/>
                <w:bCs/>
                <w:color w:val="000000"/>
                <w:sz w:val="22"/>
                <w:lang w:eastAsia="pt-BR"/>
              </w:rPr>
              <w:t>31</w:t>
            </w:r>
            <w:r w:rsidRPr="00E42115">
              <w:rPr>
                <w:rFonts w:ascii="Calibri" w:eastAsia="Times New Roman" w:hAnsi="Calibri" w:cs="Calibri"/>
                <w:b/>
                <w:bCs/>
                <w:color w:val="000000"/>
                <w:sz w:val="22"/>
                <w:lang w:eastAsia="pt-BR"/>
              </w:rPr>
              <w:t>/</w:t>
            </w:r>
            <w:r>
              <w:rPr>
                <w:rFonts w:ascii="Calibri" w:eastAsia="Times New Roman" w:hAnsi="Calibri" w:cs="Calibri"/>
                <w:b/>
                <w:bCs/>
                <w:color w:val="000000"/>
                <w:sz w:val="22"/>
                <w:lang w:eastAsia="pt-BR"/>
              </w:rPr>
              <w:t>12</w:t>
            </w:r>
            <w:r w:rsidRPr="00E42115">
              <w:rPr>
                <w:rFonts w:ascii="Calibri" w:eastAsia="Times New Roman" w:hAnsi="Calibri" w:cs="Calibri"/>
                <w:b/>
                <w:bCs/>
                <w:color w:val="000000"/>
                <w:sz w:val="22"/>
                <w:lang w:eastAsia="pt-BR"/>
              </w:rPr>
              <w:t>/201</w:t>
            </w:r>
            <w:r>
              <w:rPr>
                <w:rFonts w:ascii="Calibri" w:eastAsia="Times New Roman" w:hAnsi="Calibri" w:cs="Calibri"/>
                <w:b/>
                <w:bCs/>
                <w:color w:val="000000"/>
                <w:sz w:val="22"/>
                <w:lang w:eastAsia="pt-BR"/>
              </w:rPr>
              <w:t>8</w:t>
            </w:r>
          </w:p>
        </w:tc>
        <w:tc>
          <w:tcPr>
            <w:tcW w:w="1842" w:type="dxa"/>
            <w:tcBorders>
              <w:top w:val="single" w:sz="4" w:space="0" w:color="000000"/>
              <w:left w:val="nil"/>
              <w:bottom w:val="single" w:sz="4" w:space="0" w:color="000000"/>
              <w:right w:val="nil"/>
            </w:tcBorders>
            <w:shd w:val="clear" w:color="auto" w:fill="auto"/>
            <w:noWrap/>
            <w:vAlign w:val="bottom"/>
            <w:hideMark/>
          </w:tcPr>
          <w:p w:rsidR="0041147E" w:rsidRPr="00E42115" w:rsidRDefault="0041147E" w:rsidP="008F4251">
            <w:pPr>
              <w:jc w:val="right"/>
              <w:rPr>
                <w:rFonts w:ascii="Calibri" w:eastAsia="Times New Roman" w:hAnsi="Calibri" w:cs="Calibri"/>
                <w:b/>
                <w:bCs/>
                <w:color w:val="000000"/>
                <w:sz w:val="22"/>
                <w:lang w:eastAsia="pt-BR"/>
              </w:rPr>
            </w:pPr>
            <w:r w:rsidRPr="00E42115">
              <w:rPr>
                <w:rFonts w:ascii="Calibri" w:eastAsia="Times New Roman" w:hAnsi="Calibri" w:cs="Calibri"/>
                <w:b/>
                <w:bCs/>
                <w:color w:val="000000"/>
                <w:sz w:val="22"/>
                <w:lang w:eastAsia="pt-BR"/>
              </w:rPr>
              <w:t>AH (%)</w:t>
            </w:r>
          </w:p>
        </w:tc>
      </w:tr>
      <w:tr w:rsidR="0041147E" w:rsidRPr="00E42115" w:rsidTr="008F4251">
        <w:trPr>
          <w:trHeight w:val="306"/>
        </w:trPr>
        <w:tc>
          <w:tcPr>
            <w:tcW w:w="3720" w:type="dxa"/>
            <w:tcBorders>
              <w:top w:val="nil"/>
              <w:left w:val="nil"/>
              <w:bottom w:val="nil"/>
              <w:right w:val="nil"/>
            </w:tcBorders>
            <w:shd w:val="clear" w:color="D9D9D9" w:fill="D9D9D9"/>
            <w:noWrap/>
            <w:vAlign w:val="bottom"/>
            <w:hideMark/>
          </w:tcPr>
          <w:p w:rsidR="0041147E" w:rsidRPr="00E42115" w:rsidRDefault="0041147E" w:rsidP="008F4251">
            <w:pPr>
              <w:jc w:val="left"/>
              <w:rPr>
                <w:rFonts w:ascii="Calibri" w:eastAsia="Times New Roman" w:hAnsi="Calibri" w:cs="Calibri"/>
                <w:color w:val="000000"/>
                <w:sz w:val="22"/>
                <w:lang w:eastAsia="pt-BR"/>
              </w:rPr>
            </w:pPr>
            <w:r w:rsidRPr="00E42115">
              <w:rPr>
                <w:rFonts w:ascii="Calibri" w:eastAsia="Times New Roman" w:hAnsi="Calibri" w:cs="Calibri"/>
                <w:color w:val="000000"/>
                <w:sz w:val="22"/>
                <w:lang w:eastAsia="pt-BR"/>
              </w:rPr>
              <w:t>Receita Orçamentária</w:t>
            </w:r>
          </w:p>
        </w:tc>
        <w:tc>
          <w:tcPr>
            <w:tcW w:w="2036" w:type="dxa"/>
            <w:tcBorders>
              <w:top w:val="nil"/>
              <w:left w:val="nil"/>
              <w:bottom w:val="nil"/>
              <w:right w:val="nil"/>
            </w:tcBorders>
            <w:shd w:val="clear" w:color="D9D9D9" w:fill="D9D9D9"/>
            <w:noWrap/>
            <w:vAlign w:val="bottom"/>
            <w:hideMark/>
          </w:tcPr>
          <w:p w:rsidR="0041147E" w:rsidRPr="00E42115" w:rsidRDefault="0041147E" w:rsidP="008F4251">
            <w:pPr>
              <w:jc w:val="right"/>
              <w:rPr>
                <w:rFonts w:ascii="Calibri" w:eastAsia="Times New Roman" w:hAnsi="Calibri" w:cs="Calibri"/>
                <w:color w:val="000000"/>
                <w:sz w:val="22"/>
                <w:lang w:eastAsia="pt-BR"/>
              </w:rPr>
            </w:pPr>
            <w:r w:rsidRPr="00956B4B">
              <w:rPr>
                <w:rFonts w:ascii="Calibri" w:eastAsia="Times New Roman" w:hAnsi="Calibri" w:cs="Calibri"/>
                <w:color w:val="000000"/>
                <w:sz w:val="22"/>
                <w:lang w:eastAsia="pt-BR"/>
              </w:rPr>
              <w:t>84</w:t>
            </w:r>
            <w:r>
              <w:rPr>
                <w:rFonts w:ascii="Calibri" w:eastAsia="Times New Roman" w:hAnsi="Calibri" w:cs="Calibri"/>
                <w:color w:val="000000"/>
                <w:sz w:val="22"/>
                <w:lang w:eastAsia="pt-BR"/>
              </w:rPr>
              <w:t>.</w:t>
            </w:r>
            <w:r w:rsidRPr="00956B4B">
              <w:rPr>
                <w:rFonts w:ascii="Calibri" w:eastAsia="Times New Roman" w:hAnsi="Calibri" w:cs="Calibri"/>
                <w:color w:val="000000"/>
                <w:sz w:val="22"/>
                <w:lang w:eastAsia="pt-BR"/>
              </w:rPr>
              <w:t>582</w:t>
            </w:r>
            <w:r>
              <w:rPr>
                <w:rFonts w:ascii="Calibri" w:eastAsia="Times New Roman" w:hAnsi="Calibri" w:cs="Calibri"/>
                <w:color w:val="000000"/>
                <w:sz w:val="22"/>
                <w:lang w:eastAsia="pt-BR"/>
              </w:rPr>
              <w:t>.</w:t>
            </w:r>
            <w:r w:rsidRPr="00956B4B">
              <w:rPr>
                <w:rFonts w:ascii="Calibri" w:eastAsia="Times New Roman" w:hAnsi="Calibri" w:cs="Calibri"/>
                <w:color w:val="000000"/>
                <w:sz w:val="22"/>
                <w:lang w:eastAsia="pt-BR"/>
              </w:rPr>
              <w:t>952</w:t>
            </w:r>
            <w:r>
              <w:rPr>
                <w:rFonts w:ascii="Calibri" w:eastAsia="Times New Roman" w:hAnsi="Calibri" w:cs="Calibri"/>
                <w:color w:val="000000"/>
                <w:sz w:val="22"/>
                <w:lang w:eastAsia="pt-BR"/>
              </w:rPr>
              <w:t>.</w:t>
            </w:r>
            <w:r w:rsidRPr="00956B4B">
              <w:rPr>
                <w:rFonts w:ascii="Calibri" w:eastAsia="Times New Roman" w:hAnsi="Calibri" w:cs="Calibri"/>
                <w:color w:val="000000"/>
                <w:sz w:val="22"/>
                <w:lang w:eastAsia="pt-BR"/>
              </w:rPr>
              <w:t>010,27</w:t>
            </w:r>
          </w:p>
        </w:tc>
        <w:tc>
          <w:tcPr>
            <w:tcW w:w="2252" w:type="dxa"/>
            <w:tcBorders>
              <w:top w:val="nil"/>
              <w:left w:val="nil"/>
              <w:bottom w:val="nil"/>
              <w:right w:val="nil"/>
            </w:tcBorders>
            <w:shd w:val="clear" w:color="D9D9D9" w:fill="D9D9D9"/>
            <w:noWrap/>
            <w:vAlign w:val="bottom"/>
            <w:hideMark/>
          </w:tcPr>
          <w:p w:rsidR="0041147E" w:rsidRPr="00E42115" w:rsidRDefault="0041147E" w:rsidP="008F4251">
            <w:pPr>
              <w:jc w:val="right"/>
              <w:rPr>
                <w:rFonts w:ascii="Calibri" w:eastAsia="Times New Roman" w:hAnsi="Calibri" w:cs="Calibri"/>
                <w:color w:val="000000"/>
                <w:sz w:val="22"/>
                <w:lang w:eastAsia="pt-BR"/>
              </w:rPr>
            </w:pPr>
            <w:r w:rsidRPr="00F2269C">
              <w:rPr>
                <w:rFonts w:ascii="Calibri" w:eastAsia="Times New Roman" w:hAnsi="Calibri" w:cs="Calibri"/>
                <w:color w:val="000000"/>
                <w:sz w:val="22"/>
                <w:lang w:eastAsia="pt-BR"/>
              </w:rPr>
              <w:t>737</w:t>
            </w:r>
            <w:r>
              <w:rPr>
                <w:rFonts w:ascii="Calibri" w:eastAsia="Times New Roman" w:hAnsi="Calibri" w:cs="Calibri"/>
                <w:color w:val="000000"/>
                <w:sz w:val="22"/>
                <w:lang w:eastAsia="pt-BR"/>
              </w:rPr>
              <w:t>.</w:t>
            </w:r>
            <w:r w:rsidRPr="00F2269C">
              <w:rPr>
                <w:rFonts w:ascii="Calibri" w:eastAsia="Times New Roman" w:hAnsi="Calibri" w:cs="Calibri"/>
                <w:color w:val="000000"/>
                <w:sz w:val="22"/>
                <w:lang w:eastAsia="pt-BR"/>
              </w:rPr>
              <w:t>548</w:t>
            </w:r>
            <w:r>
              <w:rPr>
                <w:rFonts w:ascii="Calibri" w:eastAsia="Times New Roman" w:hAnsi="Calibri" w:cs="Calibri"/>
                <w:color w:val="000000"/>
                <w:sz w:val="22"/>
                <w:lang w:eastAsia="pt-BR"/>
              </w:rPr>
              <w:t>.</w:t>
            </w:r>
            <w:r w:rsidRPr="00F2269C">
              <w:rPr>
                <w:rFonts w:ascii="Calibri" w:eastAsia="Times New Roman" w:hAnsi="Calibri" w:cs="Calibri"/>
                <w:color w:val="000000"/>
                <w:sz w:val="22"/>
                <w:lang w:eastAsia="pt-BR"/>
              </w:rPr>
              <w:t>903,67</w:t>
            </w:r>
          </w:p>
        </w:tc>
        <w:tc>
          <w:tcPr>
            <w:tcW w:w="1842" w:type="dxa"/>
            <w:tcBorders>
              <w:top w:val="nil"/>
              <w:left w:val="nil"/>
              <w:bottom w:val="nil"/>
              <w:right w:val="nil"/>
            </w:tcBorders>
            <w:shd w:val="clear" w:color="D9D9D9" w:fill="D9D9D9"/>
            <w:noWrap/>
            <w:vAlign w:val="bottom"/>
            <w:hideMark/>
          </w:tcPr>
          <w:p w:rsidR="0041147E" w:rsidRPr="00E42115" w:rsidRDefault="0041147E" w:rsidP="008F4251">
            <w:pPr>
              <w:jc w:val="right"/>
              <w:rPr>
                <w:rFonts w:ascii="Calibri" w:eastAsia="Times New Roman" w:hAnsi="Calibri" w:cs="Calibri"/>
                <w:color w:val="000000"/>
                <w:sz w:val="22"/>
                <w:lang w:eastAsia="pt-BR"/>
              </w:rPr>
            </w:pPr>
            <w:r>
              <w:rPr>
                <w:rFonts w:ascii="Calibri" w:eastAsia="Times New Roman" w:hAnsi="Calibri" w:cs="Calibri"/>
                <w:color w:val="000000"/>
                <w:sz w:val="22"/>
                <w:lang w:eastAsia="pt-BR"/>
              </w:rPr>
              <w:t>11.368,11</w:t>
            </w:r>
          </w:p>
        </w:tc>
      </w:tr>
      <w:tr w:rsidR="0041147E" w:rsidRPr="00E42115" w:rsidTr="008F4251">
        <w:trPr>
          <w:trHeight w:val="306"/>
        </w:trPr>
        <w:tc>
          <w:tcPr>
            <w:tcW w:w="3720" w:type="dxa"/>
            <w:tcBorders>
              <w:top w:val="nil"/>
              <w:left w:val="nil"/>
              <w:bottom w:val="nil"/>
              <w:right w:val="nil"/>
            </w:tcBorders>
            <w:shd w:val="clear" w:color="auto" w:fill="auto"/>
            <w:noWrap/>
            <w:vAlign w:val="bottom"/>
            <w:hideMark/>
          </w:tcPr>
          <w:p w:rsidR="0041147E" w:rsidRPr="00E42115" w:rsidRDefault="0041147E" w:rsidP="008F4251">
            <w:pPr>
              <w:jc w:val="left"/>
              <w:rPr>
                <w:rFonts w:ascii="Calibri" w:eastAsia="Times New Roman" w:hAnsi="Calibri" w:cs="Calibri"/>
                <w:color w:val="000000"/>
                <w:sz w:val="22"/>
                <w:lang w:eastAsia="pt-BR"/>
              </w:rPr>
            </w:pPr>
            <w:r w:rsidRPr="00E42115">
              <w:rPr>
                <w:rFonts w:ascii="Calibri" w:eastAsia="Times New Roman" w:hAnsi="Calibri" w:cs="Calibri"/>
                <w:color w:val="000000"/>
                <w:sz w:val="22"/>
                <w:lang w:eastAsia="pt-BR"/>
              </w:rPr>
              <w:t>Despesa Orçamentária</w:t>
            </w:r>
          </w:p>
        </w:tc>
        <w:tc>
          <w:tcPr>
            <w:tcW w:w="2036" w:type="dxa"/>
            <w:tcBorders>
              <w:top w:val="nil"/>
              <w:left w:val="nil"/>
              <w:bottom w:val="nil"/>
              <w:right w:val="nil"/>
            </w:tcBorders>
            <w:shd w:val="clear" w:color="auto" w:fill="auto"/>
            <w:noWrap/>
            <w:vAlign w:val="bottom"/>
            <w:hideMark/>
          </w:tcPr>
          <w:p w:rsidR="0041147E" w:rsidRPr="00E42115" w:rsidRDefault="0041147E" w:rsidP="008F4251">
            <w:pPr>
              <w:jc w:val="right"/>
              <w:rPr>
                <w:rFonts w:ascii="Calibri" w:eastAsia="Times New Roman" w:hAnsi="Calibri" w:cs="Calibri"/>
                <w:color w:val="000000"/>
                <w:sz w:val="22"/>
                <w:u w:val="single"/>
                <w:lang w:eastAsia="pt-BR"/>
              </w:rPr>
            </w:pPr>
            <w:r>
              <w:rPr>
                <w:rFonts w:ascii="Calibri" w:eastAsia="Times New Roman" w:hAnsi="Calibri" w:cs="Calibri"/>
                <w:color w:val="FF0000"/>
                <w:sz w:val="22"/>
                <w:u w:val="single"/>
                <w:lang w:eastAsia="pt-BR"/>
              </w:rPr>
              <w:t>-</w:t>
            </w:r>
            <w:r w:rsidRPr="00956B4B">
              <w:rPr>
                <w:rFonts w:ascii="Calibri" w:eastAsia="Times New Roman" w:hAnsi="Calibri" w:cs="Calibri"/>
                <w:color w:val="FF0000"/>
                <w:sz w:val="22"/>
                <w:u w:val="single"/>
                <w:lang w:eastAsia="pt-BR"/>
              </w:rPr>
              <w:t>21</w:t>
            </w:r>
            <w:r>
              <w:rPr>
                <w:rFonts w:ascii="Calibri" w:eastAsia="Times New Roman" w:hAnsi="Calibri" w:cs="Calibri"/>
                <w:color w:val="FF0000"/>
                <w:sz w:val="22"/>
                <w:u w:val="single"/>
                <w:lang w:eastAsia="pt-BR"/>
              </w:rPr>
              <w:t>.</w:t>
            </w:r>
            <w:r w:rsidRPr="00956B4B">
              <w:rPr>
                <w:rFonts w:ascii="Calibri" w:eastAsia="Times New Roman" w:hAnsi="Calibri" w:cs="Calibri"/>
                <w:color w:val="FF0000"/>
                <w:sz w:val="22"/>
                <w:u w:val="single"/>
                <w:lang w:eastAsia="pt-BR"/>
              </w:rPr>
              <w:t>453</w:t>
            </w:r>
            <w:r>
              <w:rPr>
                <w:rFonts w:ascii="Calibri" w:eastAsia="Times New Roman" w:hAnsi="Calibri" w:cs="Calibri"/>
                <w:color w:val="FF0000"/>
                <w:sz w:val="22"/>
                <w:u w:val="single"/>
                <w:lang w:eastAsia="pt-BR"/>
              </w:rPr>
              <w:t>.</w:t>
            </w:r>
            <w:r w:rsidRPr="00956B4B">
              <w:rPr>
                <w:rFonts w:ascii="Calibri" w:eastAsia="Times New Roman" w:hAnsi="Calibri" w:cs="Calibri"/>
                <w:color w:val="FF0000"/>
                <w:sz w:val="22"/>
                <w:u w:val="single"/>
                <w:lang w:eastAsia="pt-BR"/>
              </w:rPr>
              <w:t>848</w:t>
            </w:r>
            <w:r>
              <w:rPr>
                <w:rFonts w:ascii="Calibri" w:eastAsia="Times New Roman" w:hAnsi="Calibri" w:cs="Calibri"/>
                <w:color w:val="FF0000"/>
                <w:sz w:val="22"/>
                <w:u w:val="single"/>
                <w:lang w:eastAsia="pt-BR"/>
              </w:rPr>
              <w:t>.</w:t>
            </w:r>
            <w:r w:rsidRPr="00956B4B">
              <w:rPr>
                <w:rFonts w:ascii="Calibri" w:eastAsia="Times New Roman" w:hAnsi="Calibri" w:cs="Calibri"/>
                <w:color w:val="FF0000"/>
                <w:sz w:val="22"/>
                <w:u w:val="single"/>
                <w:lang w:eastAsia="pt-BR"/>
              </w:rPr>
              <w:t>843,92</w:t>
            </w:r>
          </w:p>
        </w:tc>
        <w:tc>
          <w:tcPr>
            <w:tcW w:w="2252" w:type="dxa"/>
            <w:tcBorders>
              <w:top w:val="nil"/>
              <w:left w:val="nil"/>
              <w:bottom w:val="nil"/>
              <w:right w:val="nil"/>
            </w:tcBorders>
            <w:shd w:val="clear" w:color="auto" w:fill="auto"/>
            <w:noWrap/>
            <w:vAlign w:val="bottom"/>
            <w:hideMark/>
          </w:tcPr>
          <w:p w:rsidR="0041147E" w:rsidRPr="00E42115" w:rsidRDefault="0041147E" w:rsidP="008F4251">
            <w:pPr>
              <w:jc w:val="right"/>
              <w:rPr>
                <w:rFonts w:ascii="Calibri" w:eastAsia="Times New Roman" w:hAnsi="Calibri" w:cs="Calibri"/>
                <w:color w:val="000000"/>
                <w:sz w:val="22"/>
                <w:u w:val="single"/>
                <w:lang w:eastAsia="pt-BR"/>
              </w:rPr>
            </w:pPr>
            <w:r w:rsidRPr="00E42115">
              <w:rPr>
                <w:rFonts w:ascii="Calibri" w:eastAsia="Times New Roman" w:hAnsi="Calibri" w:cs="Calibri"/>
                <w:color w:val="FF0000"/>
                <w:sz w:val="22"/>
                <w:u w:val="single"/>
                <w:lang w:eastAsia="pt-BR"/>
              </w:rPr>
              <w:t>-</w:t>
            </w:r>
            <w:r w:rsidRPr="00F2269C">
              <w:rPr>
                <w:rFonts w:ascii="Calibri" w:eastAsia="Times New Roman" w:hAnsi="Calibri" w:cs="Calibri"/>
                <w:color w:val="FF0000"/>
                <w:sz w:val="22"/>
                <w:u w:val="single"/>
                <w:lang w:eastAsia="pt-BR"/>
              </w:rPr>
              <w:t>9</w:t>
            </w:r>
            <w:r>
              <w:rPr>
                <w:rFonts w:ascii="Calibri" w:eastAsia="Times New Roman" w:hAnsi="Calibri" w:cs="Calibri"/>
                <w:color w:val="FF0000"/>
                <w:sz w:val="22"/>
                <w:u w:val="single"/>
                <w:lang w:eastAsia="pt-BR"/>
              </w:rPr>
              <w:t>.</w:t>
            </w:r>
            <w:r w:rsidRPr="00F2269C">
              <w:rPr>
                <w:rFonts w:ascii="Calibri" w:eastAsia="Times New Roman" w:hAnsi="Calibri" w:cs="Calibri"/>
                <w:color w:val="FF0000"/>
                <w:sz w:val="22"/>
                <w:u w:val="single"/>
                <w:lang w:eastAsia="pt-BR"/>
              </w:rPr>
              <w:t>912</w:t>
            </w:r>
            <w:r>
              <w:rPr>
                <w:rFonts w:ascii="Calibri" w:eastAsia="Times New Roman" w:hAnsi="Calibri" w:cs="Calibri"/>
                <w:color w:val="FF0000"/>
                <w:sz w:val="22"/>
                <w:u w:val="single"/>
                <w:lang w:eastAsia="pt-BR"/>
              </w:rPr>
              <w:t>.</w:t>
            </w:r>
            <w:r w:rsidRPr="00F2269C">
              <w:rPr>
                <w:rFonts w:ascii="Calibri" w:eastAsia="Times New Roman" w:hAnsi="Calibri" w:cs="Calibri"/>
                <w:color w:val="FF0000"/>
                <w:sz w:val="22"/>
                <w:u w:val="single"/>
                <w:lang w:eastAsia="pt-BR"/>
              </w:rPr>
              <w:t>467</w:t>
            </w:r>
            <w:r>
              <w:rPr>
                <w:rFonts w:ascii="Calibri" w:eastAsia="Times New Roman" w:hAnsi="Calibri" w:cs="Calibri"/>
                <w:color w:val="FF0000"/>
                <w:sz w:val="22"/>
                <w:u w:val="single"/>
                <w:lang w:eastAsia="pt-BR"/>
              </w:rPr>
              <w:t>.</w:t>
            </w:r>
            <w:r w:rsidRPr="00F2269C">
              <w:rPr>
                <w:rFonts w:ascii="Calibri" w:eastAsia="Times New Roman" w:hAnsi="Calibri" w:cs="Calibri"/>
                <w:color w:val="FF0000"/>
                <w:sz w:val="22"/>
                <w:u w:val="single"/>
                <w:lang w:eastAsia="pt-BR"/>
              </w:rPr>
              <w:t>649,25</w:t>
            </w:r>
          </w:p>
        </w:tc>
        <w:tc>
          <w:tcPr>
            <w:tcW w:w="1842" w:type="dxa"/>
            <w:tcBorders>
              <w:top w:val="nil"/>
              <w:left w:val="nil"/>
              <w:bottom w:val="nil"/>
              <w:right w:val="nil"/>
            </w:tcBorders>
            <w:shd w:val="clear" w:color="auto" w:fill="auto"/>
            <w:noWrap/>
            <w:vAlign w:val="bottom"/>
            <w:hideMark/>
          </w:tcPr>
          <w:p w:rsidR="0041147E" w:rsidRPr="00E42115" w:rsidRDefault="0041147E" w:rsidP="008F4251">
            <w:pPr>
              <w:jc w:val="right"/>
              <w:rPr>
                <w:rFonts w:ascii="Calibri" w:eastAsia="Times New Roman" w:hAnsi="Calibri" w:cs="Calibri"/>
                <w:color w:val="000000"/>
                <w:sz w:val="22"/>
                <w:lang w:eastAsia="pt-BR"/>
              </w:rPr>
            </w:pPr>
            <w:r>
              <w:rPr>
                <w:rFonts w:ascii="Calibri" w:eastAsia="Times New Roman" w:hAnsi="Calibri" w:cs="Calibri"/>
                <w:color w:val="000000"/>
                <w:sz w:val="22"/>
                <w:lang w:eastAsia="pt-BR"/>
              </w:rPr>
              <w:t>116,43</w:t>
            </w:r>
          </w:p>
        </w:tc>
      </w:tr>
      <w:tr w:rsidR="0041147E" w:rsidRPr="00E42115" w:rsidTr="008F4251">
        <w:trPr>
          <w:trHeight w:val="306"/>
        </w:trPr>
        <w:tc>
          <w:tcPr>
            <w:tcW w:w="3720" w:type="dxa"/>
            <w:tcBorders>
              <w:top w:val="nil"/>
              <w:left w:val="nil"/>
              <w:bottom w:val="nil"/>
              <w:right w:val="nil"/>
            </w:tcBorders>
            <w:shd w:val="clear" w:color="D9D9D9" w:fill="D9D9D9"/>
            <w:noWrap/>
            <w:vAlign w:val="bottom"/>
            <w:hideMark/>
          </w:tcPr>
          <w:p w:rsidR="0041147E" w:rsidRPr="00E42115" w:rsidRDefault="0041147E" w:rsidP="008F4251">
            <w:pPr>
              <w:jc w:val="right"/>
              <w:rPr>
                <w:rFonts w:ascii="Calibri" w:eastAsia="Times New Roman" w:hAnsi="Calibri" w:cs="Calibri"/>
                <w:color w:val="000000"/>
                <w:sz w:val="22"/>
                <w:lang w:eastAsia="pt-BR"/>
              </w:rPr>
            </w:pPr>
          </w:p>
        </w:tc>
        <w:tc>
          <w:tcPr>
            <w:tcW w:w="2036" w:type="dxa"/>
            <w:tcBorders>
              <w:top w:val="nil"/>
              <w:left w:val="nil"/>
              <w:bottom w:val="nil"/>
              <w:right w:val="nil"/>
            </w:tcBorders>
            <w:shd w:val="clear" w:color="D9D9D9" w:fill="D9D9D9"/>
            <w:noWrap/>
            <w:vAlign w:val="bottom"/>
            <w:hideMark/>
          </w:tcPr>
          <w:p w:rsidR="0041147E" w:rsidRPr="00585B4F" w:rsidRDefault="0041147E" w:rsidP="008F4251">
            <w:pPr>
              <w:jc w:val="right"/>
              <w:rPr>
                <w:rFonts w:ascii="Calibri" w:eastAsia="Times New Roman" w:hAnsi="Calibri" w:cs="Calibri"/>
                <w:b/>
                <w:bCs/>
                <w:color w:val="000000"/>
                <w:sz w:val="22"/>
                <w:lang w:eastAsia="pt-BR"/>
              </w:rPr>
            </w:pPr>
            <w:r w:rsidRPr="00585B4F">
              <w:rPr>
                <w:rFonts w:cs="Arial"/>
                <w:b/>
                <w:szCs w:val="20"/>
              </w:rPr>
              <w:t>63.129.103.166,35</w:t>
            </w:r>
          </w:p>
        </w:tc>
        <w:tc>
          <w:tcPr>
            <w:tcW w:w="2252" w:type="dxa"/>
            <w:tcBorders>
              <w:top w:val="nil"/>
              <w:left w:val="nil"/>
              <w:bottom w:val="nil"/>
              <w:right w:val="nil"/>
            </w:tcBorders>
            <w:shd w:val="clear" w:color="D9D9D9" w:fill="D9D9D9"/>
            <w:noWrap/>
            <w:vAlign w:val="bottom"/>
            <w:hideMark/>
          </w:tcPr>
          <w:p w:rsidR="0041147E" w:rsidRPr="00E42115" w:rsidRDefault="0041147E" w:rsidP="008F4251">
            <w:pPr>
              <w:jc w:val="right"/>
              <w:rPr>
                <w:rFonts w:ascii="Calibri" w:eastAsia="Times New Roman" w:hAnsi="Calibri" w:cs="Calibri"/>
                <w:b/>
                <w:bCs/>
                <w:color w:val="000000"/>
                <w:sz w:val="22"/>
                <w:lang w:eastAsia="pt-BR"/>
              </w:rPr>
            </w:pPr>
            <w:r>
              <w:rPr>
                <w:rFonts w:ascii="Calibri" w:eastAsia="Times New Roman" w:hAnsi="Calibri" w:cs="Calibri"/>
                <w:b/>
                <w:bCs/>
                <w:color w:val="FF0000"/>
                <w:sz w:val="22"/>
                <w:lang w:eastAsia="pt-BR"/>
              </w:rPr>
              <w:t>-</w:t>
            </w:r>
            <w:r>
              <w:rPr>
                <w:rFonts w:ascii="Calibri" w:hAnsi="Calibri" w:cs="Calibri"/>
                <w:b/>
                <w:bCs/>
                <w:color w:val="FF0000"/>
                <w:sz w:val="22"/>
              </w:rPr>
              <w:t>9.174.918.745,58</w:t>
            </w:r>
          </w:p>
        </w:tc>
        <w:tc>
          <w:tcPr>
            <w:tcW w:w="1842" w:type="dxa"/>
            <w:tcBorders>
              <w:top w:val="nil"/>
              <w:left w:val="nil"/>
              <w:bottom w:val="nil"/>
              <w:right w:val="nil"/>
            </w:tcBorders>
            <w:shd w:val="clear" w:color="D9D9D9" w:fill="D9D9D9"/>
            <w:noWrap/>
            <w:vAlign w:val="bottom"/>
            <w:hideMark/>
          </w:tcPr>
          <w:p w:rsidR="0041147E" w:rsidRPr="00E42115" w:rsidRDefault="0041147E" w:rsidP="008F4251">
            <w:pPr>
              <w:jc w:val="right"/>
              <w:rPr>
                <w:rFonts w:ascii="Calibri" w:eastAsia="Times New Roman" w:hAnsi="Calibri" w:cs="Calibri"/>
                <w:b/>
                <w:bCs/>
                <w:color w:val="000000"/>
                <w:sz w:val="22"/>
                <w:lang w:eastAsia="pt-BR"/>
              </w:rPr>
            </w:pPr>
            <w:r>
              <w:rPr>
                <w:rFonts w:ascii="Calibri" w:eastAsia="Times New Roman" w:hAnsi="Calibri" w:cs="Calibri"/>
                <w:b/>
                <w:bCs/>
                <w:color w:val="000000"/>
                <w:sz w:val="22"/>
                <w:lang w:eastAsia="pt-BR"/>
              </w:rPr>
              <w:t>-788,06</w:t>
            </w:r>
          </w:p>
        </w:tc>
      </w:tr>
      <w:tr w:rsidR="0041147E" w:rsidRPr="00E42115" w:rsidTr="008F4251">
        <w:trPr>
          <w:trHeight w:val="306"/>
        </w:trPr>
        <w:tc>
          <w:tcPr>
            <w:tcW w:w="3720" w:type="dxa"/>
            <w:tcBorders>
              <w:top w:val="nil"/>
              <w:left w:val="nil"/>
              <w:bottom w:val="nil"/>
              <w:right w:val="nil"/>
            </w:tcBorders>
            <w:shd w:val="clear" w:color="auto" w:fill="auto"/>
            <w:noWrap/>
            <w:vAlign w:val="bottom"/>
            <w:hideMark/>
          </w:tcPr>
          <w:p w:rsidR="0041147E" w:rsidRPr="00E42115" w:rsidRDefault="0041147E" w:rsidP="008F4251">
            <w:pPr>
              <w:jc w:val="right"/>
              <w:rPr>
                <w:rFonts w:ascii="Calibri" w:eastAsia="Times New Roman" w:hAnsi="Calibri" w:cs="Calibri"/>
                <w:b/>
                <w:bCs/>
                <w:color w:val="000000"/>
                <w:sz w:val="22"/>
                <w:lang w:eastAsia="pt-BR"/>
              </w:rPr>
            </w:pPr>
          </w:p>
        </w:tc>
        <w:tc>
          <w:tcPr>
            <w:tcW w:w="2036" w:type="dxa"/>
            <w:tcBorders>
              <w:top w:val="nil"/>
              <w:left w:val="nil"/>
              <w:bottom w:val="nil"/>
              <w:right w:val="nil"/>
            </w:tcBorders>
            <w:shd w:val="clear" w:color="auto" w:fill="auto"/>
            <w:noWrap/>
            <w:vAlign w:val="bottom"/>
            <w:hideMark/>
          </w:tcPr>
          <w:p w:rsidR="0041147E" w:rsidRPr="00E42115" w:rsidRDefault="0041147E" w:rsidP="008F4251">
            <w:pPr>
              <w:jc w:val="left"/>
              <w:rPr>
                <w:rFonts w:ascii="Times New Roman" w:eastAsia="Times New Roman" w:hAnsi="Times New Roman" w:cs="Times New Roman"/>
                <w:szCs w:val="20"/>
                <w:lang w:eastAsia="pt-BR"/>
              </w:rPr>
            </w:pPr>
          </w:p>
        </w:tc>
        <w:tc>
          <w:tcPr>
            <w:tcW w:w="2252" w:type="dxa"/>
            <w:tcBorders>
              <w:top w:val="nil"/>
              <w:left w:val="nil"/>
              <w:bottom w:val="nil"/>
              <w:right w:val="nil"/>
            </w:tcBorders>
            <w:shd w:val="clear" w:color="auto" w:fill="auto"/>
            <w:noWrap/>
            <w:vAlign w:val="bottom"/>
            <w:hideMark/>
          </w:tcPr>
          <w:p w:rsidR="0041147E" w:rsidRPr="00E42115" w:rsidRDefault="0041147E" w:rsidP="008F4251">
            <w:pPr>
              <w:jc w:val="left"/>
              <w:rPr>
                <w:rFonts w:ascii="Times New Roman" w:eastAsia="Times New Roman" w:hAnsi="Times New Roman" w:cs="Times New Roman"/>
                <w:szCs w:val="20"/>
                <w:lang w:eastAsia="pt-BR"/>
              </w:rPr>
            </w:pPr>
          </w:p>
        </w:tc>
        <w:tc>
          <w:tcPr>
            <w:tcW w:w="1842" w:type="dxa"/>
            <w:tcBorders>
              <w:top w:val="nil"/>
              <w:left w:val="nil"/>
              <w:bottom w:val="nil"/>
              <w:right w:val="nil"/>
            </w:tcBorders>
            <w:shd w:val="clear" w:color="auto" w:fill="auto"/>
            <w:noWrap/>
            <w:vAlign w:val="bottom"/>
            <w:hideMark/>
          </w:tcPr>
          <w:p w:rsidR="0041147E" w:rsidRPr="00E42115" w:rsidRDefault="0041147E" w:rsidP="008F4251">
            <w:pPr>
              <w:jc w:val="left"/>
              <w:rPr>
                <w:rFonts w:ascii="Times New Roman" w:eastAsia="Times New Roman" w:hAnsi="Times New Roman" w:cs="Times New Roman"/>
                <w:szCs w:val="20"/>
                <w:lang w:eastAsia="pt-BR"/>
              </w:rPr>
            </w:pPr>
          </w:p>
        </w:tc>
      </w:tr>
      <w:tr w:rsidR="0041147E" w:rsidRPr="00E42115" w:rsidTr="008F4251">
        <w:trPr>
          <w:trHeight w:val="306"/>
        </w:trPr>
        <w:tc>
          <w:tcPr>
            <w:tcW w:w="3720" w:type="dxa"/>
            <w:tcBorders>
              <w:top w:val="nil"/>
              <w:left w:val="nil"/>
              <w:bottom w:val="nil"/>
              <w:right w:val="nil"/>
            </w:tcBorders>
            <w:shd w:val="clear" w:color="D9D9D9" w:fill="D9D9D9"/>
            <w:noWrap/>
            <w:vAlign w:val="bottom"/>
            <w:hideMark/>
          </w:tcPr>
          <w:p w:rsidR="0041147E" w:rsidRPr="00E42115" w:rsidRDefault="0041147E" w:rsidP="008F4251">
            <w:pPr>
              <w:jc w:val="left"/>
              <w:rPr>
                <w:rFonts w:ascii="Calibri" w:eastAsia="Times New Roman" w:hAnsi="Calibri" w:cs="Calibri"/>
                <w:color w:val="000000"/>
                <w:sz w:val="22"/>
                <w:lang w:eastAsia="pt-BR"/>
              </w:rPr>
            </w:pPr>
            <w:r w:rsidRPr="00E42115">
              <w:rPr>
                <w:rFonts w:ascii="Calibri" w:eastAsia="Times New Roman" w:hAnsi="Calibri" w:cs="Calibri"/>
                <w:color w:val="000000"/>
                <w:sz w:val="22"/>
                <w:lang w:eastAsia="pt-BR"/>
              </w:rPr>
              <w:t>Transferências Financeiras Recebidas</w:t>
            </w:r>
          </w:p>
        </w:tc>
        <w:tc>
          <w:tcPr>
            <w:tcW w:w="2036" w:type="dxa"/>
            <w:tcBorders>
              <w:top w:val="nil"/>
              <w:left w:val="nil"/>
              <w:bottom w:val="nil"/>
              <w:right w:val="nil"/>
            </w:tcBorders>
            <w:shd w:val="clear" w:color="D9D9D9" w:fill="D9D9D9"/>
            <w:noWrap/>
            <w:vAlign w:val="bottom"/>
            <w:hideMark/>
          </w:tcPr>
          <w:p w:rsidR="0041147E" w:rsidRPr="00E42115" w:rsidRDefault="0041147E" w:rsidP="008F4251">
            <w:pPr>
              <w:jc w:val="right"/>
              <w:rPr>
                <w:rFonts w:ascii="Calibri" w:eastAsia="Times New Roman" w:hAnsi="Calibri" w:cs="Calibri"/>
                <w:color w:val="000000"/>
                <w:sz w:val="22"/>
                <w:lang w:eastAsia="pt-BR"/>
              </w:rPr>
            </w:pPr>
            <w:r w:rsidRPr="00585B4F">
              <w:rPr>
                <w:rFonts w:ascii="Calibri" w:eastAsia="Times New Roman" w:hAnsi="Calibri" w:cs="Calibri"/>
                <w:color w:val="000000"/>
                <w:sz w:val="22"/>
                <w:lang w:eastAsia="pt-BR"/>
              </w:rPr>
              <w:t>41</w:t>
            </w:r>
            <w:r>
              <w:rPr>
                <w:rFonts w:ascii="Calibri" w:eastAsia="Times New Roman" w:hAnsi="Calibri" w:cs="Calibri"/>
                <w:color w:val="000000"/>
                <w:sz w:val="22"/>
                <w:lang w:eastAsia="pt-BR"/>
              </w:rPr>
              <w:t>.</w:t>
            </w:r>
            <w:r w:rsidRPr="00585B4F">
              <w:rPr>
                <w:rFonts w:ascii="Calibri" w:eastAsia="Times New Roman" w:hAnsi="Calibri" w:cs="Calibri"/>
                <w:color w:val="000000"/>
                <w:sz w:val="22"/>
                <w:lang w:eastAsia="pt-BR"/>
              </w:rPr>
              <w:t>099</w:t>
            </w:r>
            <w:r>
              <w:rPr>
                <w:rFonts w:ascii="Calibri" w:eastAsia="Times New Roman" w:hAnsi="Calibri" w:cs="Calibri"/>
                <w:color w:val="000000"/>
                <w:sz w:val="22"/>
                <w:lang w:eastAsia="pt-BR"/>
              </w:rPr>
              <w:t>.</w:t>
            </w:r>
            <w:r w:rsidRPr="00585B4F">
              <w:rPr>
                <w:rFonts w:ascii="Calibri" w:eastAsia="Times New Roman" w:hAnsi="Calibri" w:cs="Calibri"/>
                <w:color w:val="000000"/>
                <w:sz w:val="22"/>
                <w:lang w:eastAsia="pt-BR"/>
              </w:rPr>
              <w:t>491</w:t>
            </w:r>
            <w:r>
              <w:rPr>
                <w:rFonts w:ascii="Calibri" w:eastAsia="Times New Roman" w:hAnsi="Calibri" w:cs="Calibri"/>
                <w:color w:val="000000"/>
                <w:sz w:val="22"/>
                <w:lang w:eastAsia="pt-BR"/>
              </w:rPr>
              <w:t>.</w:t>
            </w:r>
            <w:r w:rsidRPr="00585B4F">
              <w:rPr>
                <w:rFonts w:ascii="Calibri" w:eastAsia="Times New Roman" w:hAnsi="Calibri" w:cs="Calibri"/>
                <w:color w:val="000000"/>
                <w:sz w:val="22"/>
                <w:lang w:eastAsia="pt-BR"/>
              </w:rPr>
              <w:t>834,07</w:t>
            </w:r>
          </w:p>
        </w:tc>
        <w:tc>
          <w:tcPr>
            <w:tcW w:w="2252" w:type="dxa"/>
            <w:tcBorders>
              <w:top w:val="nil"/>
              <w:left w:val="nil"/>
              <w:bottom w:val="nil"/>
              <w:right w:val="nil"/>
            </w:tcBorders>
            <w:shd w:val="clear" w:color="D9D9D9" w:fill="D9D9D9"/>
            <w:noWrap/>
            <w:vAlign w:val="bottom"/>
            <w:hideMark/>
          </w:tcPr>
          <w:p w:rsidR="0041147E" w:rsidRPr="00E42115" w:rsidRDefault="0041147E" w:rsidP="008F4251">
            <w:pPr>
              <w:jc w:val="right"/>
              <w:rPr>
                <w:rFonts w:ascii="Calibri" w:eastAsia="Times New Roman" w:hAnsi="Calibri" w:cs="Calibri"/>
                <w:color w:val="000000"/>
                <w:sz w:val="22"/>
                <w:lang w:eastAsia="pt-BR"/>
              </w:rPr>
            </w:pPr>
            <w:r w:rsidRPr="00F2269C">
              <w:rPr>
                <w:rFonts w:ascii="Calibri" w:eastAsia="Times New Roman" w:hAnsi="Calibri" w:cs="Calibri"/>
                <w:color w:val="000000"/>
                <w:sz w:val="22"/>
                <w:lang w:eastAsia="pt-BR"/>
              </w:rPr>
              <w:t>9</w:t>
            </w:r>
            <w:r>
              <w:rPr>
                <w:rFonts w:ascii="Calibri" w:eastAsia="Times New Roman" w:hAnsi="Calibri" w:cs="Calibri"/>
                <w:color w:val="000000"/>
                <w:sz w:val="22"/>
                <w:lang w:eastAsia="pt-BR"/>
              </w:rPr>
              <w:t>.</w:t>
            </w:r>
            <w:r w:rsidRPr="00F2269C">
              <w:rPr>
                <w:rFonts w:ascii="Calibri" w:eastAsia="Times New Roman" w:hAnsi="Calibri" w:cs="Calibri"/>
                <w:color w:val="000000"/>
                <w:sz w:val="22"/>
                <w:lang w:eastAsia="pt-BR"/>
              </w:rPr>
              <w:t>806</w:t>
            </w:r>
            <w:r>
              <w:rPr>
                <w:rFonts w:ascii="Calibri" w:eastAsia="Times New Roman" w:hAnsi="Calibri" w:cs="Calibri"/>
                <w:color w:val="000000"/>
                <w:sz w:val="22"/>
                <w:lang w:eastAsia="pt-BR"/>
              </w:rPr>
              <w:t>.</w:t>
            </w:r>
            <w:r w:rsidRPr="00F2269C">
              <w:rPr>
                <w:rFonts w:ascii="Calibri" w:eastAsia="Times New Roman" w:hAnsi="Calibri" w:cs="Calibri"/>
                <w:color w:val="000000"/>
                <w:sz w:val="22"/>
                <w:lang w:eastAsia="pt-BR"/>
              </w:rPr>
              <w:t>539</w:t>
            </w:r>
            <w:r>
              <w:rPr>
                <w:rFonts w:ascii="Calibri" w:eastAsia="Times New Roman" w:hAnsi="Calibri" w:cs="Calibri"/>
                <w:color w:val="000000"/>
                <w:sz w:val="22"/>
                <w:lang w:eastAsia="pt-BR"/>
              </w:rPr>
              <w:t>.</w:t>
            </w:r>
            <w:r w:rsidRPr="00F2269C">
              <w:rPr>
                <w:rFonts w:ascii="Calibri" w:eastAsia="Times New Roman" w:hAnsi="Calibri" w:cs="Calibri"/>
                <w:color w:val="000000"/>
                <w:sz w:val="22"/>
                <w:lang w:eastAsia="pt-BR"/>
              </w:rPr>
              <w:t>658,11</w:t>
            </w:r>
          </w:p>
        </w:tc>
        <w:tc>
          <w:tcPr>
            <w:tcW w:w="1842" w:type="dxa"/>
            <w:tcBorders>
              <w:top w:val="nil"/>
              <w:left w:val="nil"/>
              <w:bottom w:val="nil"/>
              <w:right w:val="nil"/>
            </w:tcBorders>
            <w:shd w:val="clear" w:color="D9D9D9" w:fill="D9D9D9"/>
            <w:noWrap/>
            <w:vAlign w:val="bottom"/>
            <w:hideMark/>
          </w:tcPr>
          <w:p w:rsidR="0041147E" w:rsidRPr="00E42115" w:rsidRDefault="0041147E" w:rsidP="008F4251">
            <w:pPr>
              <w:jc w:val="right"/>
              <w:rPr>
                <w:rFonts w:ascii="Calibri" w:eastAsia="Times New Roman" w:hAnsi="Calibri" w:cs="Calibri"/>
                <w:color w:val="000000"/>
                <w:sz w:val="22"/>
                <w:lang w:eastAsia="pt-BR"/>
              </w:rPr>
            </w:pPr>
            <w:r>
              <w:rPr>
                <w:rFonts w:ascii="Calibri" w:eastAsia="Times New Roman" w:hAnsi="Calibri" w:cs="Calibri"/>
                <w:color w:val="000000"/>
                <w:sz w:val="22"/>
                <w:lang w:eastAsia="pt-BR"/>
              </w:rPr>
              <w:t>319,10</w:t>
            </w:r>
          </w:p>
        </w:tc>
      </w:tr>
      <w:tr w:rsidR="0041147E" w:rsidRPr="00E42115" w:rsidTr="008F4251">
        <w:trPr>
          <w:trHeight w:val="306"/>
        </w:trPr>
        <w:tc>
          <w:tcPr>
            <w:tcW w:w="3720" w:type="dxa"/>
            <w:tcBorders>
              <w:top w:val="nil"/>
              <w:left w:val="nil"/>
              <w:bottom w:val="nil"/>
              <w:right w:val="nil"/>
            </w:tcBorders>
            <w:shd w:val="clear" w:color="auto" w:fill="auto"/>
            <w:noWrap/>
            <w:vAlign w:val="bottom"/>
            <w:hideMark/>
          </w:tcPr>
          <w:p w:rsidR="0041147E" w:rsidRPr="00E42115" w:rsidRDefault="0041147E" w:rsidP="008F4251">
            <w:pPr>
              <w:jc w:val="left"/>
              <w:rPr>
                <w:rFonts w:ascii="Calibri" w:eastAsia="Times New Roman" w:hAnsi="Calibri" w:cs="Calibri"/>
                <w:color w:val="000000"/>
                <w:sz w:val="22"/>
                <w:lang w:eastAsia="pt-BR"/>
              </w:rPr>
            </w:pPr>
            <w:r w:rsidRPr="00E42115">
              <w:rPr>
                <w:rFonts w:ascii="Calibri" w:eastAsia="Times New Roman" w:hAnsi="Calibri" w:cs="Calibri"/>
                <w:color w:val="000000"/>
                <w:sz w:val="22"/>
                <w:lang w:eastAsia="pt-BR"/>
              </w:rPr>
              <w:t>Transferências Financeiras Concedidas</w:t>
            </w:r>
          </w:p>
        </w:tc>
        <w:tc>
          <w:tcPr>
            <w:tcW w:w="2036" w:type="dxa"/>
            <w:tcBorders>
              <w:top w:val="nil"/>
              <w:left w:val="nil"/>
              <w:bottom w:val="nil"/>
              <w:right w:val="nil"/>
            </w:tcBorders>
            <w:shd w:val="clear" w:color="auto" w:fill="auto"/>
            <w:noWrap/>
            <w:vAlign w:val="bottom"/>
            <w:hideMark/>
          </w:tcPr>
          <w:p w:rsidR="0041147E" w:rsidRPr="00E42115" w:rsidRDefault="0041147E" w:rsidP="008F4251">
            <w:pPr>
              <w:jc w:val="right"/>
              <w:rPr>
                <w:rFonts w:ascii="Calibri" w:eastAsia="Times New Roman" w:hAnsi="Calibri" w:cs="Calibri"/>
                <w:color w:val="000000"/>
                <w:sz w:val="22"/>
                <w:u w:val="single"/>
                <w:lang w:eastAsia="pt-BR"/>
              </w:rPr>
            </w:pPr>
            <w:r>
              <w:rPr>
                <w:rFonts w:ascii="Calibri" w:eastAsia="Times New Roman" w:hAnsi="Calibri" w:cs="Calibri"/>
                <w:color w:val="FF0000"/>
                <w:sz w:val="22"/>
                <w:u w:val="single"/>
                <w:lang w:eastAsia="pt-BR"/>
              </w:rPr>
              <w:t>-</w:t>
            </w:r>
            <w:r w:rsidRPr="00585B4F">
              <w:rPr>
                <w:rFonts w:ascii="Calibri" w:eastAsia="Times New Roman" w:hAnsi="Calibri" w:cs="Calibri"/>
                <w:color w:val="FF0000"/>
                <w:sz w:val="22"/>
                <w:u w:val="single"/>
                <w:lang w:eastAsia="pt-BR"/>
              </w:rPr>
              <w:t>104</w:t>
            </w:r>
            <w:r>
              <w:rPr>
                <w:rFonts w:ascii="Calibri" w:eastAsia="Times New Roman" w:hAnsi="Calibri" w:cs="Calibri"/>
                <w:color w:val="FF0000"/>
                <w:sz w:val="22"/>
                <w:u w:val="single"/>
                <w:lang w:eastAsia="pt-BR"/>
              </w:rPr>
              <w:t>.</w:t>
            </w:r>
            <w:r w:rsidRPr="00585B4F">
              <w:rPr>
                <w:rFonts w:ascii="Calibri" w:eastAsia="Times New Roman" w:hAnsi="Calibri" w:cs="Calibri"/>
                <w:color w:val="FF0000"/>
                <w:sz w:val="22"/>
                <w:u w:val="single"/>
                <w:lang w:eastAsia="pt-BR"/>
              </w:rPr>
              <w:t>986</w:t>
            </w:r>
            <w:r>
              <w:rPr>
                <w:rFonts w:ascii="Calibri" w:eastAsia="Times New Roman" w:hAnsi="Calibri" w:cs="Calibri"/>
                <w:color w:val="FF0000"/>
                <w:sz w:val="22"/>
                <w:u w:val="single"/>
                <w:lang w:eastAsia="pt-BR"/>
              </w:rPr>
              <w:t>.</w:t>
            </w:r>
            <w:r w:rsidRPr="00585B4F">
              <w:rPr>
                <w:rFonts w:ascii="Calibri" w:eastAsia="Times New Roman" w:hAnsi="Calibri" w:cs="Calibri"/>
                <w:color w:val="FF0000"/>
                <w:sz w:val="22"/>
                <w:u w:val="single"/>
                <w:lang w:eastAsia="pt-BR"/>
              </w:rPr>
              <w:t>410</w:t>
            </w:r>
            <w:r>
              <w:rPr>
                <w:rFonts w:ascii="Calibri" w:eastAsia="Times New Roman" w:hAnsi="Calibri" w:cs="Calibri"/>
                <w:color w:val="FF0000"/>
                <w:sz w:val="22"/>
                <w:u w:val="single"/>
                <w:lang w:eastAsia="pt-BR"/>
              </w:rPr>
              <w:t>.</w:t>
            </w:r>
            <w:r w:rsidRPr="00585B4F">
              <w:rPr>
                <w:rFonts w:ascii="Calibri" w:eastAsia="Times New Roman" w:hAnsi="Calibri" w:cs="Calibri"/>
                <w:color w:val="FF0000"/>
                <w:sz w:val="22"/>
                <w:u w:val="single"/>
                <w:lang w:eastAsia="pt-BR"/>
              </w:rPr>
              <w:t>068,86</w:t>
            </w:r>
          </w:p>
        </w:tc>
        <w:tc>
          <w:tcPr>
            <w:tcW w:w="2252" w:type="dxa"/>
            <w:tcBorders>
              <w:top w:val="nil"/>
              <w:left w:val="nil"/>
              <w:bottom w:val="nil"/>
              <w:right w:val="nil"/>
            </w:tcBorders>
            <w:shd w:val="clear" w:color="auto" w:fill="auto"/>
            <w:noWrap/>
            <w:vAlign w:val="bottom"/>
            <w:hideMark/>
          </w:tcPr>
          <w:p w:rsidR="0041147E" w:rsidRPr="00E42115" w:rsidRDefault="0041147E" w:rsidP="008F4251">
            <w:pPr>
              <w:jc w:val="right"/>
              <w:rPr>
                <w:rFonts w:ascii="Calibri" w:eastAsia="Times New Roman" w:hAnsi="Calibri" w:cs="Calibri"/>
                <w:color w:val="000000"/>
                <w:sz w:val="22"/>
                <w:u w:val="single"/>
                <w:lang w:eastAsia="pt-BR"/>
              </w:rPr>
            </w:pPr>
            <w:r>
              <w:rPr>
                <w:rFonts w:ascii="Calibri" w:eastAsia="Times New Roman" w:hAnsi="Calibri" w:cs="Calibri"/>
                <w:color w:val="FF0000"/>
                <w:sz w:val="22"/>
                <w:u w:val="single"/>
                <w:lang w:eastAsia="pt-BR"/>
              </w:rPr>
              <w:t>-</w:t>
            </w:r>
            <w:r w:rsidRPr="00F2269C">
              <w:rPr>
                <w:rFonts w:ascii="Calibri" w:eastAsia="Times New Roman" w:hAnsi="Calibri" w:cs="Calibri"/>
                <w:color w:val="FF0000"/>
                <w:sz w:val="22"/>
                <w:u w:val="single"/>
                <w:lang w:eastAsia="pt-BR"/>
              </w:rPr>
              <w:t>23</w:t>
            </w:r>
            <w:r>
              <w:rPr>
                <w:rFonts w:ascii="Calibri" w:eastAsia="Times New Roman" w:hAnsi="Calibri" w:cs="Calibri"/>
                <w:color w:val="FF0000"/>
                <w:sz w:val="22"/>
                <w:u w:val="single"/>
                <w:lang w:eastAsia="pt-BR"/>
              </w:rPr>
              <w:t>.</w:t>
            </w:r>
            <w:r w:rsidRPr="00F2269C">
              <w:rPr>
                <w:rFonts w:ascii="Calibri" w:eastAsia="Times New Roman" w:hAnsi="Calibri" w:cs="Calibri"/>
                <w:color w:val="FF0000"/>
                <w:sz w:val="22"/>
                <w:u w:val="single"/>
                <w:lang w:eastAsia="pt-BR"/>
              </w:rPr>
              <w:t>449</w:t>
            </w:r>
            <w:r>
              <w:rPr>
                <w:rFonts w:ascii="Calibri" w:eastAsia="Times New Roman" w:hAnsi="Calibri" w:cs="Calibri"/>
                <w:color w:val="FF0000"/>
                <w:sz w:val="22"/>
                <w:u w:val="single"/>
                <w:lang w:eastAsia="pt-BR"/>
              </w:rPr>
              <w:t>.</w:t>
            </w:r>
            <w:r w:rsidRPr="00F2269C">
              <w:rPr>
                <w:rFonts w:ascii="Calibri" w:eastAsia="Times New Roman" w:hAnsi="Calibri" w:cs="Calibri"/>
                <w:color w:val="FF0000"/>
                <w:sz w:val="22"/>
                <w:u w:val="single"/>
                <w:lang w:eastAsia="pt-BR"/>
              </w:rPr>
              <w:t>340</w:t>
            </w:r>
            <w:r>
              <w:rPr>
                <w:rFonts w:ascii="Calibri" w:eastAsia="Times New Roman" w:hAnsi="Calibri" w:cs="Calibri"/>
                <w:color w:val="FF0000"/>
                <w:sz w:val="22"/>
                <w:u w:val="single"/>
                <w:lang w:eastAsia="pt-BR"/>
              </w:rPr>
              <w:t>.</w:t>
            </w:r>
            <w:r w:rsidRPr="00F2269C">
              <w:rPr>
                <w:rFonts w:ascii="Calibri" w:eastAsia="Times New Roman" w:hAnsi="Calibri" w:cs="Calibri"/>
                <w:color w:val="FF0000"/>
                <w:sz w:val="22"/>
                <w:u w:val="single"/>
                <w:lang w:eastAsia="pt-BR"/>
              </w:rPr>
              <w:t>196,44</w:t>
            </w:r>
          </w:p>
        </w:tc>
        <w:tc>
          <w:tcPr>
            <w:tcW w:w="1842" w:type="dxa"/>
            <w:tcBorders>
              <w:top w:val="nil"/>
              <w:left w:val="nil"/>
              <w:bottom w:val="nil"/>
              <w:right w:val="nil"/>
            </w:tcBorders>
            <w:shd w:val="clear" w:color="auto" w:fill="auto"/>
            <w:noWrap/>
            <w:vAlign w:val="bottom"/>
            <w:hideMark/>
          </w:tcPr>
          <w:p w:rsidR="0041147E" w:rsidRPr="00E42115" w:rsidRDefault="0041147E" w:rsidP="008F4251">
            <w:pPr>
              <w:jc w:val="right"/>
              <w:rPr>
                <w:rFonts w:ascii="Calibri" w:eastAsia="Times New Roman" w:hAnsi="Calibri" w:cs="Calibri"/>
                <w:color w:val="000000"/>
                <w:sz w:val="22"/>
                <w:lang w:eastAsia="pt-BR"/>
              </w:rPr>
            </w:pPr>
            <w:r>
              <w:rPr>
                <w:rFonts w:ascii="Calibri" w:eastAsia="Times New Roman" w:hAnsi="Calibri" w:cs="Calibri"/>
                <w:color w:val="000000"/>
                <w:sz w:val="22"/>
                <w:lang w:eastAsia="pt-BR"/>
              </w:rPr>
              <w:t>347,72</w:t>
            </w:r>
          </w:p>
        </w:tc>
      </w:tr>
      <w:tr w:rsidR="0041147E" w:rsidRPr="00E42115" w:rsidTr="008F4251">
        <w:trPr>
          <w:trHeight w:val="306"/>
        </w:trPr>
        <w:tc>
          <w:tcPr>
            <w:tcW w:w="3720" w:type="dxa"/>
            <w:tcBorders>
              <w:top w:val="nil"/>
              <w:left w:val="nil"/>
              <w:bottom w:val="nil"/>
              <w:right w:val="nil"/>
            </w:tcBorders>
            <w:shd w:val="clear" w:color="D9D9D9" w:fill="D9D9D9"/>
            <w:noWrap/>
            <w:vAlign w:val="bottom"/>
            <w:hideMark/>
          </w:tcPr>
          <w:p w:rsidR="0041147E" w:rsidRPr="00E42115" w:rsidRDefault="0041147E" w:rsidP="008F4251">
            <w:pPr>
              <w:jc w:val="right"/>
              <w:rPr>
                <w:rFonts w:ascii="Calibri" w:eastAsia="Times New Roman" w:hAnsi="Calibri" w:cs="Calibri"/>
                <w:color w:val="000000"/>
                <w:sz w:val="22"/>
                <w:lang w:eastAsia="pt-BR"/>
              </w:rPr>
            </w:pPr>
          </w:p>
        </w:tc>
        <w:tc>
          <w:tcPr>
            <w:tcW w:w="2036" w:type="dxa"/>
            <w:tcBorders>
              <w:top w:val="nil"/>
              <w:left w:val="nil"/>
              <w:bottom w:val="nil"/>
              <w:right w:val="nil"/>
            </w:tcBorders>
            <w:shd w:val="clear" w:color="D9D9D9" w:fill="D9D9D9"/>
            <w:noWrap/>
            <w:vAlign w:val="bottom"/>
            <w:hideMark/>
          </w:tcPr>
          <w:p w:rsidR="0041147E" w:rsidRPr="00E42115" w:rsidRDefault="0041147E" w:rsidP="008F4251">
            <w:pPr>
              <w:jc w:val="right"/>
              <w:rPr>
                <w:rFonts w:ascii="Calibri" w:eastAsia="Times New Roman" w:hAnsi="Calibri" w:cs="Calibri"/>
                <w:b/>
                <w:bCs/>
                <w:color w:val="000000"/>
                <w:sz w:val="22"/>
                <w:lang w:eastAsia="pt-BR"/>
              </w:rPr>
            </w:pPr>
            <w:r w:rsidRPr="00F2269C">
              <w:rPr>
                <w:rFonts w:ascii="Calibri" w:eastAsia="Times New Roman" w:hAnsi="Calibri" w:cs="Calibri"/>
                <w:b/>
                <w:bCs/>
                <w:color w:val="FF0000"/>
                <w:sz w:val="22"/>
                <w:lang w:eastAsia="pt-BR"/>
              </w:rPr>
              <w:t>-</w:t>
            </w:r>
            <w:r>
              <w:rPr>
                <w:rFonts w:ascii="Calibri" w:eastAsia="Times New Roman" w:hAnsi="Calibri" w:cs="Calibri"/>
                <w:b/>
                <w:bCs/>
                <w:color w:val="FF0000"/>
                <w:sz w:val="22"/>
                <w:lang w:eastAsia="pt-BR"/>
              </w:rPr>
              <w:t>63</w:t>
            </w:r>
            <w:r w:rsidRPr="00F2269C">
              <w:rPr>
                <w:rFonts w:ascii="Calibri" w:eastAsia="Times New Roman" w:hAnsi="Calibri" w:cs="Calibri"/>
                <w:b/>
                <w:bCs/>
                <w:color w:val="FF0000"/>
                <w:sz w:val="22"/>
                <w:lang w:eastAsia="pt-BR"/>
              </w:rPr>
              <w:t>.</w:t>
            </w:r>
            <w:r>
              <w:rPr>
                <w:rFonts w:ascii="Calibri" w:eastAsia="Times New Roman" w:hAnsi="Calibri" w:cs="Calibri"/>
                <w:b/>
                <w:bCs/>
                <w:color w:val="FF0000"/>
                <w:sz w:val="22"/>
                <w:lang w:eastAsia="pt-BR"/>
              </w:rPr>
              <w:t>88</w:t>
            </w:r>
            <w:r w:rsidRPr="00F2269C">
              <w:rPr>
                <w:rFonts w:ascii="Calibri" w:eastAsia="Times New Roman" w:hAnsi="Calibri" w:cs="Calibri"/>
                <w:b/>
                <w:bCs/>
                <w:color w:val="FF0000"/>
                <w:sz w:val="22"/>
                <w:lang w:eastAsia="pt-BR"/>
              </w:rPr>
              <w:t>6.</w:t>
            </w:r>
            <w:r>
              <w:rPr>
                <w:rFonts w:ascii="Calibri" w:eastAsia="Times New Roman" w:hAnsi="Calibri" w:cs="Calibri"/>
                <w:b/>
                <w:bCs/>
                <w:color w:val="FF0000"/>
                <w:sz w:val="22"/>
                <w:lang w:eastAsia="pt-BR"/>
              </w:rPr>
              <w:t>918</w:t>
            </w:r>
            <w:r w:rsidRPr="00F2269C">
              <w:rPr>
                <w:rFonts w:ascii="Calibri" w:eastAsia="Times New Roman" w:hAnsi="Calibri" w:cs="Calibri"/>
                <w:b/>
                <w:bCs/>
                <w:color w:val="FF0000"/>
                <w:sz w:val="22"/>
                <w:lang w:eastAsia="pt-BR"/>
              </w:rPr>
              <w:t>.</w:t>
            </w:r>
            <w:r>
              <w:rPr>
                <w:rFonts w:ascii="Calibri" w:eastAsia="Times New Roman" w:hAnsi="Calibri" w:cs="Calibri"/>
                <w:b/>
                <w:bCs/>
                <w:color w:val="FF0000"/>
                <w:sz w:val="22"/>
                <w:lang w:eastAsia="pt-BR"/>
              </w:rPr>
              <w:t>234</w:t>
            </w:r>
            <w:r w:rsidRPr="00F2269C">
              <w:rPr>
                <w:rFonts w:ascii="Calibri" w:eastAsia="Times New Roman" w:hAnsi="Calibri" w:cs="Calibri"/>
                <w:b/>
                <w:bCs/>
                <w:color w:val="FF0000"/>
                <w:sz w:val="22"/>
                <w:lang w:eastAsia="pt-BR"/>
              </w:rPr>
              <w:t>,</w:t>
            </w:r>
            <w:r>
              <w:rPr>
                <w:rFonts w:ascii="Calibri" w:eastAsia="Times New Roman" w:hAnsi="Calibri" w:cs="Calibri"/>
                <w:b/>
                <w:bCs/>
                <w:color w:val="FF0000"/>
                <w:sz w:val="22"/>
                <w:lang w:eastAsia="pt-BR"/>
              </w:rPr>
              <w:t>79</w:t>
            </w:r>
          </w:p>
        </w:tc>
        <w:tc>
          <w:tcPr>
            <w:tcW w:w="2252" w:type="dxa"/>
            <w:tcBorders>
              <w:top w:val="nil"/>
              <w:left w:val="nil"/>
              <w:bottom w:val="nil"/>
              <w:right w:val="nil"/>
            </w:tcBorders>
            <w:shd w:val="clear" w:color="D9D9D9" w:fill="D9D9D9"/>
            <w:noWrap/>
            <w:vAlign w:val="bottom"/>
            <w:hideMark/>
          </w:tcPr>
          <w:p w:rsidR="0041147E" w:rsidRPr="00E42115" w:rsidRDefault="0041147E" w:rsidP="008F4251">
            <w:pPr>
              <w:jc w:val="right"/>
              <w:rPr>
                <w:rFonts w:ascii="Calibri" w:eastAsia="Times New Roman" w:hAnsi="Calibri" w:cs="Calibri"/>
                <w:b/>
                <w:bCs/>
                <w:color w:val="000000"/>
                <w:sz w:val="22"/>
                <w:lang w:eastAsia="pt-BR"/>
              </w:rPr>
            </w:pPr>
            <w:r w:rsidRPr="00F2269C">
              <w:rPr>
                <w:rFonts w:ascii="Calibri" w:eastAsia="Times New Roman" w:hAnsi="Calibri" w:cs="Calibri"/>
                <w:b/>
                <w:bCs/>
                <w:color w:val="FF0000"/>
                <w:sz w:val="22"/>
                <w:lang w:eastAsia="pt-BR"/>
              </w:rPr>
              <w:t>-13.642.800.538,33</w:t>
            </w:r>
          </w:p>
        </w:tc>
        <w:tc>
          <w:tcPr>
            <w:tcW w:w="1842" w:type="dxa"/>
            <w:tcBorders>
              <w:top w:val="nil"/>
              <w:left w:val="nil"/>
              <w:bottom w:val="nil"/>
              <w:right w:val="nil"/>
            </w:tcBorders>
            <w:shd w:val="clear" w:color="D9D9D9" w:fill="D9D9D9"/>
            <w:noWrap/>
            <w:vAlign w:val="bottom"/>
            <w:hideMark/>
          </w:tcPr>
          <w:p w:rsidR="0041147E" w:rsidRPr="00E42115" w:rsidRDefault="0041147E" w:rsidP="008F4251">
            <w:pPr>
              <w:jc w:val="right"/>
              <w:rPr>
                <w:rFonts w:ascii="Calibri" w:eastAsia="Times New Roman" w:hAnsi="Calibri" w:cs="Calibri"/>
                <w:b/>
                <w:bCs/>
                <w:color w:val="000000"/>
                <w:sz w:val="22"/>
                <w:lang w:eastAsia="pt-BR"/>
              </w:rPr>
            </w:pPr>
            <w:r>
              <w:rPr>
                <w:rFonts w:ascii="Calibri" w:eastAsia="Times New Roman" w:hAnsi="Calibri" w:cs="Calibri"/>
                <w:b/>
                <w:bCs/>
                <w:color w:val="000000"/>
                <w:sz w:val="22"/>
                <w:lang w:eastAsia="pt-BR"/>
              </w:rPr>
              <w:t>368,28</w:t>
            </w:r>
          </w:p>
        </w:tc>
      </w:tr>
      <w:tr w:rsidR="0041147E" w:rsidRPr="00E42115" w:rsidTr="008F4251">
        <w:trPr>
          <w:trHeight w:val="306"/>
        </w:trPr>
        <w:tc>
          <w:tcPr>
            <w:tcW w:w="3720" w:type="dxa"/>
            <w:tcBorders>
              <w:top w:val="nil"/>
              <w:left w:val="nil"/>
              <w:bottom w:val="nil"/>
              <w:right w:val="nil"/>
            </w:tcBorders>
            <w:shd w:val="clear" w:color="auto" w:fill="auto"/>
            <w:noWrap/>
            <w:vAlign w:val="bottom"/>
            <w:hideMark/>
          </w:tcPr>
          <w:p w:rsidR="0041147E" w:rsidRPr="00E42115" w:rsidRDefault="0041147E" w:rsidP="008F4251">
            <w:pPr>
              <w:jc w:val="right"/>
              <w:rPr>
                <w:rFonts w:ascii="Calibri" w:eastAsia="Times New Roman" w:hAnsi="Calibri" w:cs="Calibri"/>
                <w:b/>
                <w:bCs/>
                <w:color w:val="000000"/>
                <w:sz w:val="22"/>
                <w:lang w:eastAsia="pt-BR"/>
              </w:rPr>
            </w:pPr>
          </w:p>
        </w:tc>
        <w:tc>
          <w:tcPr>
            <w:tcW w:w="2036" w:type="dxa"/>
            <w:tcBorders>
              <w:top w:val="nil"/>
              <w:left w:val="nil"/>
              <w:bottom w:val="nil"/>
              <w:right w:val="nil"/>
            </w:tcBorders>
            <w:shd w:val="clear" w:color="auto" w:fill="auto"/>
            <w:noWrap/>
            <w:vAlign w:val="bottom"/>
            <w:hideMark/>
          </w:tcPr>
          <w:p w:rsidR="0041147E" w:rsidRPr="00E42115" w:rsidRDefault="0041147E" w:rsidP="008F4251">
            <w:pPr>
              <w:jc w:val="left"/>
              <w:rPr>
                <w:rFonts w:ascii="Times New Roman" w:eastAsia="Times New Roman" w:hAnsi="Times New Roman" w:cs="Times New Roman"/>
                <w:szCs w:val="20"/>
                <w:lang w:eastAsia="pt-BR"/>
              </w:rPr>
            </w:pPr>
          </w:p>
        </w:tc>
        <w:tc>
          <w:tcPr>
            <w:tcW w:w="2252" w:type="dxa"/>
            <w:tcBorders>
              <w:top w:val="nil"/>
              <w:left w:val="nil"/>
              <w:bottom w:val="nil"/>
              <w:right w:val="nil"/>
            </w:tcBorders>
            <w:shd w:val="clear" w:color="auto" w:fill="auto"/>
            <w:noWrap/>
            <w:vAlign w:val="bottom"/>
            <w:hideMark/>
          </w:tcPr>
          <w:p w:rsidR="0041147E" w:rsidRPr="00E42115" w:rsidRDefault="0041147E" w:rsidP="008F4251">
            <w:pPr>
              <w:jc w:val="left"/>
              <w:rPr>
                <w:rFonts w:ascii="Times New Roman" w:eastAsia="Times New Roman" w:hAnsi="Times New Roman" w:cs="Times New Roman"/>
                <w:szCs w:val="20"/>
                <w:lang w:eastAsia="pt-BR"/>
              </w:rPr>
            </w:pPr>
          </w:p>
        </w:tc>
        <w:tc>
          <w:tcPr>
            <w:tcW w:w="1842" w:type="dxa"/>
            <w:tcBorders>
              <w:top w:val="nil"/>
              <w:left w:val="nil"/>
              <w:bottom w:val="nil"/>
              <w:right w:val="nil"/>
            </w:tcBorders>
            <w:shd w:val="clear" w:color="auto" w:fill="auto"/>
            <w:noWrap/>
            <w:vAlign w:val="bottom"/>
            <w:hideMark/>
          </w:tcPr>
          <w:p w:rsidR="0041147E" w:rsidRPr="00E42115" w:rsidRDefault="0041147E" w:rsidP="008F4251">
            <w:pPr>
              <w:jc w:val="left"/>
              <w:rPr>
                <w:rFonts w:ascii="Times New Roman" w:eastAsia="Times New Roman" w:hAnsi="Times New Roman" w:cs="Times New Roman"/>
                <w:szCs w:val="20"/>
                <w:lang w:eastAsia="pt-BR"/>
              </w:rPr>
            </w:pPr>
          </w:p>
        </w:tc>
      </w:tr>
      <w:tr w:rsidR="0041147E" w:rsidRPr="00E42115" w:rsidTr="008F4251">
        <w:trPr>
          <w:trHeight w:val="306"/>
        </w:trPr>
        <w:tc>
          <w:tcPr>
            <w:tcW w:w="3720" w:type="dxa"/>
            <w:tcBorders>
              <w:top w:val="nil"/>
              <w:left w:val="nil"/>
              <w:bottom w:val="nil"/>
              <w:right w:val="nil"/>
            </w:tcBorders>
            <w:shd w:val="clear" w:color="D9D9D9" w:fill="D9D9D9"/>
            <w:noWrap/>
            <w:vAlign w:val="bottom"/>
            <w:hideMark/>
          </w:tcPr>
          <w:p w:rsidR="0041147E" w:rsidRPr="00E42115" w:rsidRDefault="0041147E" w:rsidP="008F4251">
            <w:pPr>
              <w:jc w:val="left"/>
              <w:rPr>
                <w:rFonts w:ascii="Calibri" w:eastAsia="Times New Roman" w:hAnsi="Calibri" w:cs="Calibri"/>
                <w:color w:val="000000"/>
                <w:sz w:val="22"/>
                <w:lang w:eastAsia="pt-BR"/>
              </w:rPr>
            </w:pPr>
            <w:r w:rsidRPr="00E42115">
              <w:rPr>
                <w:rFonts w:ascii="Calibri" w:eastAsia="Times New Roman" w:hAnsi="Calibri" w:cs="Calibri"/>
                <w:color w:val="000000"/>
                <w:sz w:val="22"/>
                <w:lang w:eastAsia="pt-BR"/>
              </w:rPr>
              <w:t xml:space="preserve">Recebimentos </w:t>
            </w:r>
            <w:proofErr w:type="spellStart"/>
            <w:r w:rsidRPr="00E42115">
              <w:rPr>
                <w:rFonts w:ascii="Calibri" w:eastAsia="Times New Roman" w:hAnsi="Calibri" w:cs="Calibri"/>
                <w:color w:val="000000"/>
                <w:sz w:val="22"/>
                <w:lang w:eastAsia="pt-BR"/>
              </w:rPr>
              <w:t>Extraorçamentários</w:t>
            </w:r>
            <w:proofErr w:type="spellEnd"/>
          </w:p>
        </w:tc>
        <w:tc>
          <w:tcPr>
            <w:tcW w:w="2036" w:type="dxa"/>
            <w:tcBorders>
              <w:top w:val="nil"/>
              <w:left w:val="nil"/>
              <w:bottom w:val="nil"/>
              <w:right w:val="nil"/>
            </w:tcBorders>
            <w:shd w:val="clear" w:color="D9D9D9" w:fill="D9D9D9"/>
            <w:noWrap/>
            <w:vAlign w:val="bottom"/>
            <w:hideMark/>
          </w:tcPr>
          <w:p w:rsidR="0041147E" w:rsidRPr="00E42115" w:rsidRDefault="0041147E" w:rsidP="008F4251">
            <w:pPr>
              <w:jc w:val="right"/>
              <w:rPr>
                <w:rFonts w:ascii="Calibri" w:eastAsia="Times New Roman" w:hAnsi="Calibri" w:cs="Calibri"/>
                <w:color w:val="000000"/>
                <w:sz w:val="22"/>
                <w:lang w:eastAsia="pt-BR"/>
              </w:rPr>
            </w:pPr>
            <w:r w:rsidRPr="00585B4F">
              <w:rPr>
                <w:rFonts w:ascii="Calibri" w:eastAsia="Times New Roman" w:hAnsi="Calibri" w:cs="Calibri"/>
                <w:color w:val="000000"/>
                <w:sz w:val="22"/>
                <w:lang w:eastAsia="pt-BR"/>
              </w:rPr>
              <w:t>2</w:t>
            </w:r>
            <w:r>
              <w:rPr>
                <w:rFonts w:ascii="Calibri" w:eastAsia="Times New Roman" w:hAnsi="Calibri" w:cs="Calibri"/>
                <w:color w:val="000000"/>
                <w:sz w:val="22"/>
                <w:lang w:eastAsia="pt-BR"/>
              </w:rPr>
              <w:t>.</w:t>
            </w:r>
            <w:r w:rsidRPr="00585B4F">
              <w:rPr>
                <w:rFonts w:ascii="Calibri" w:eastAsia="Times New Roman" w:hAnsi="Calibri" w:cs="Calibri"/>
                <w:color w:val="000000"/>
                <w:sz w:val="22"/>
                <w:lang w:eastAsia="pt-BR"/>
              </w:rPr>
              <w:t>808</w:t>
            </w:r>
            <w:r>
              <w:rPr>
                <w:rFonts w:ascii="Calibri" w:eastAsia="Times New Roman" w:hAnsi="Calibri" w:cs="Calibri"/>
                <w:color w:val="000000"/>
                <w:sz w:val="22"/>
                <w:lang w:eastAsia="pt-BR"/>
              </w:rPr>
              <w:t>.</w:t>
            </w:r>
            <w:r w:rsidRPr="00585B4F">
              <w:rPr>
                <w:rFonts w:ascii="Calibri" w:eastAsia="Times New Roman" w:hAnsi="Calibri" w:cs="Calibri"/>
                <w:color w:val="000000"/>
                <w:sz w:val="22"/>
                <w:lang w:eastAsia="pt-BR"/>
              </w:rPr>
              <w:t>390</w:t>
            </w:r>
            <w:r>
              <w:rPr>
                <w:rFonts w:ascii="Calibri" w:eastAsia="Times New Roman" w:hAnsi="Calibri" w:cs="Calibri"/>
                <w:color w:val="000000"/>
                <w:sz w:val="22"/>
                <w:lang w:eastAsia="pt-BR"/>
              </w:rPr>
              <w:t>.</w:t>
            </w:r>
            <w:r w:rsidRPr="00585B4F">
              <w:rPr>
                <w:rFonts w:ascii="Calibri" w:eastAsia="Times New Roman" w:hAnsi="Calibri" w:cs="Calibri"/>
                <w:color w:val="000000"/>
                <w:sz w:val="22"/>
                <w:lang w:eastAsia="pt-BR"/>
              </w:rPr>
              <w:t>970,72</w:t>
            </w:r>
          </w:p>
        </w:tc>
        <w:tc>
          <w:tcPr>
            <w:tcW w:w="2252" w:type="dxa"/>
            <w:tcBorders>
              <w:top w:val="nil"/>
              <w:left w:val="nil"/>
              <w:bottom w:val="nil"/>
              <w:right w:val="nil"/>
            </w:tcBorders>
            <w:shd w:val="clear" w:color="D9D9D9" w:fill="D9D9D9"/>
            <w:noWrap/>
            <w:vAlign w:val="bottom"/>
            <w:hideMark/>
          </w:tcPr>
          <w:p w:rsidR="0041147E" w:rsidRPr="00E42115" w:rsidRDefault="0041147E" w:rsidP="008F4251">
            <w:pPr>
              <w:jc w:val="right"/>
              <w:rPr>
                <w:rFonts w:ascii="Calibri" w:eastAsia="Times New Roman" w:hAnsi="Calibri" w:cs="Calibri"/>
                <w:color w:val="000000"/>
                <w:sz w:val="22"/>
                <w:lang w:eastAsia="pt-BR"/>
              </w:rPr>
            </w:pPr>
            <w:r w:rsidRPr="00F2269C">
              <w:rPr>
                <w:rFonts w:ascii="Calibri" w:eastAsia="Times New Roman" w:hAnsi="Calibri" w:cs="Calibri"/>
                <w:color w:val="000000"/>
                <w:sz w:val="22"/>
                <w:lang w:eastAsia="pt-BR"/>
              </w:rPr>
              <w:t>22</w:t>
            </w:r>
            <w:r>
              <w:rPr>
                <w:rFonts w:ascii="Calibri" w:eastAsia="Times New Roman" w:hAnsi="Calibri" w:cs="Calibri"/>
                <w:color w:val="000000"/>
                <w:sz w:val="22"/>
                <w:lang w:eastAsia="pt-BR"/>
              </w:rPr>
              <w:t>.</w:t>
            </w:r>
            <w:r w:rsidRPr="00F2269C">
              <w:rPr>
                <w:rFonts w:ascii="Calibri" w:eastAsia="Times New Roman" w:hAnsi="Calibri" w:cs="Calibri"/>
                <w:color w:val="000000"/>
                <w:sz w:val="22"/>
                <w:lang w:eastAsia="pt-BR"/>
              </w:rPr>
              <w:t>738</w:t>
            </w:r>
            <w:r>
              <w:rPr>
                <w:rFonts w:ascii="Calibri" w:eastAsia="Times New Roman" w:hAnsi="Calibri" w:cs="Calibri"/>
                <w:color w:val="000000"/>
                <w:sz w:val="22"/>
                <w:lang w:eastAsia="pt-BR"/>
              </w:rPr>
              <w:t>.</w:t>
            </w:r>
            <w:r w:rsidRPr="00F2269C">
              <w:rPr>
                <w:rFonts w:ascii="Calibri" w:eastAsia="Times New Roman" w:hAnsi="Calibri" w:cs="Calibri"/>
                <w:color w:val="000000"/>
                <w:sz w:val="22"/>
                <w:lang w:eastAsia="pt-BR"/>
              </w:rPr>
              <w:t>655</w:t>
            </w:r>
            <w:r>
              <w:rPr>
                <w:rFonts w:ascii="Calibri" w:eastAsia="Times New Roman" w:hAnsi="Calibri" w:cs="Calibri"/>
                <w:color w:val="000000"/>
                <w:sz w:val="22"/>
                <w:lang w:eastAsia="pt-BR"/>
              </w:rPr>
              <w:t>.</w:t>
            </w:r>
            <w:r w:rsidRPr="00F2269C">
              <w:rPr>
                <w:rFonts w:ascii="Calibri" w:eastAsia="Times New Roman" w:hAnsi="Calibri" w:cs="Calibri"/>
                <w:color w:val="000000"/>
                <w:sz w:val="22"/>
                <w:lang w:eastAsia="pt-BR"/>
              </w:rPr>
              <w:t>576,72</w:t>
            </w:r>
          </w:p>
        </w:tc>
        <w:tc>
          <w:tcPr>
            <w:tcW w:w="1842" w:type="dxa"/>
            <w:tcBorders>
              <w:top w:val="nil"/>
              <w:left w:val="nil"/>
              <w:bottom w:val="nil"/>
              <w:right w:val="nil"/>
            </w:tcBorders>
            <w:shd w:val="clear" w:color="D9D9D9" w:fill="D9D9D9"/>
            <w:noWrap/>
            <w:vAlign w:val="bottom"/>
            <w:hideMark/>
          </w:tcPr>
          <w:p w:rsidR="0041147E" w:rsidRPr="00E42115" w:rsidRDefault="0041147E" w:rsidP="008F4251">
            <w:pPr>
              <w:jc w:val="right"/>
              <w:rPr>
                <w:rFonts w:ascii="Calibri" w:eastAsia="Times New Roman" w:hAnsi="Calibri" w:cs="Calibri"/>
                <w:color w:val="000000"/>
                <w:sz w:val="22"/>
                <w:lang w:eastAsia="pt-BR"/>
              </w:rPr>
            </w:pPr>
            <w:r>
              <w:rPr>
                <w:rFonts w:ascii="Calibri" w:eastAsia="Times New Roman" w:hAnsi="Calibri" w:cs="Calibri"/>
                <w:color w:val="000000"/>
                <w:sz w:val="22"/>
                <w:lang w:eastAsia="pt-BR"/>
              </w:rPr>
              <w:t>-87,65</w:t>
            </w:r>
          </w:p>
        </w:tc>
      </w:tr>
      <w:tr w:rsidR="0041147E" w:rsidRPr="00E42115" w:rsidTr="008F4251">
        <w:trPr>
          <w:trHeight w:val="306"/>
        </w:trPr>
        <w:tc>
          <w:tcPr>
            <w:tcW w:w="3720" w:type="dxa"/>
            <w:tcBorders>
              <w:top w:val="nil"/>
              <w:left w:val="nil"/>
              <w:bottom w:val="nil"/>
              <w:right w:val="nil"/>
            </w:tcBorders>
            <w:shd w:val="clear" w:color="auto" w:fill="auto"/>
            <w:noWrap/>
            <w:vAlign w:val="bottom"/>
            <w:hideMark/>
          </w:tcPr>
          <w:p w:rsidR="0041147E" w:rsidRPr="00E42115" w:rsidRDefault="0041147E" w:rsidP="008F4251">
            <w:pPr>
              <w:jc w:val="left"/>
              <w:rPr>
                <w:rFonts w:ascii="Calibri" w:eastAsia="Times New Roman" w:hAnsi="Calibri" w:cs="Calibri"/>
                <w:color w:val="000000"/>
                <w:sz w:val="22"/>
                <w:lang w:eastAsia="pt-BR"/>
              </w:rPr>
            </w:pPr>
            <w:r w:rsidRPr="00E42115">
              <w:rPr>
                <w:rFonts w:ascii="Calibri" w:eastAsia="Times New Roman" w:hAnsi="Calibri" w:cs="Calibri"/>
                <w:color w:val="000000"/>
                <w:sz w:val="22"/>
                <w:lang w:eastAsia="pt-BR"/>
              </w:rPr>
              <w:t xml:space="preserve">Pagamentos </w:t>
            </w:r>
            <w:proofErr w:type="spellStart"/>
            <w:r w:rsidRPr="00E42115">
              <w:rPr>
                <w:rFonts w:ascii="Calibri" w:eastAsia="Times New Roman" w:hAnsi="Calibri" w:cs="Calibri"/>
                <w:color w:val="000000"/>
                <w:sz w:val="22"/>
                <w:lang w:eastAsia="pt-BR"/>
              </w:rPr>
              <w:t>Extraorçamentários</w:t>
            </w:r>
            <w:proofErr w:type="spellEnd"/>
          </w:p>
        </w:tc>
        <w:tc>
          <w:tcPr>
            <w:tcW w:w="2036" w:type="dxa"/>
            <w:tcBorders>
              <w:top w:val="nil"/>
              <w:left w:val="nil"/>
              <w:bottom w:val="nil"/>
              <w:right w:val="nil"/>
            </w:tcBorders>
            <w:shd w:val="clear" w:color="auto" w:fill="auto"/>
            <w:noWrap/>
            <w:vAlign w:val="bottom"/>
            <w:hideMark/>
          </w:tcPr>
          <w:p w:rsidR="0041147E" w:rsidRPr="00E42115" w:rsidRDefault="0041147E" w:rsidP="008F4251">
            <w:pPr>
              <w:jc w:val="right"/>
              <w:rPr>
                <w:rFonts w:ascii="Calibri" w:eastAsia="Times New Roman" w:hAnsi="Calibri" w:cs="Calibri"/>
                <w:color w:val="000000"/>
                <w:sz w:val="22"/>
                <w:u w:val="single"/>
                <w:lang w:eastAsia="pt-BR"/>
              </w:rPr>
            </w:pPr>
            <w:r>
              <w:rPr>
                <w:rFonts w:ascii="Calibri" w:eastAsia="Times New Roman" w:hAnsi="Calibri" w:cs="Calibri"/>
                <w:color w:val="FF0000"/>
                <w:sz w:val="22"/>
                <w:u w:val="single"/>
                <w:lang w:eastAsia="pt-BR"/>
              </w:rPr>
              <w:t>-</w:t>
            </w:r>
            <w:r w:rsidRPr="001D58DC">
              <w:rPr>
                <w:rFonts w:ascii="Calibri" w:eastAsia="Times New Roman" w:hAnsi="Calibri" w:cs="Calibri"/>
                <w:color w:val="FF0000"/>
                <w:sz w:val="22"/>
                <w:u w:val="single"/>
                <w:lang w:eastAsia="pt-BR"/>
              </w:rPr>
              <w:t>2</w:t>
            </w:r>
            <w:r>
              <w:rPr>
                <w:rFonts w:ascii="Calibri" w:eastAsia="Times New Roman" w:hAnsi="Calibri" w:cs="Calibri"/>
                <w:color w:val="FF0000"/>
                <w:sz w:val="22"/>
                <w:u w:val="single"/>
                <w:lang w:eastAsia="pt-BR"/>
              </w:rPr>
              <w:t>.</w:t>
            </w:r>
            <w:r w:rsidRPr="001D58DC">
              <w:rPr>
                <w:rFonts w:ascii="Calibri" w:eastAsia="Times New Roman" w:hAnsi="Calibri" w:cs="Calibri"/>
                <w:color w:val="FF0000"/>
                <w:sz w:val="22"/>
                <w:u w:val="single"/>
                <w:lang w:eastAsia="pt-BR"/>
              </w:rPr>
              <w:t>026</w:t>
            </w:r>
            <w:r>
              <w:rPr>
                <w:rFonts w:ascii="Calibri" w:eastAsia="Times New Roman" w:hAnsi="Calibri" w:cs="Calibri"/>
                <w:color w:val="FF0000"/>
                <w:sz w:val="22"/>
                <w:u w:val="single"/>
                <w:lang w:eastAsia="pt-BR"/>
              </w:rPr>
              <w:t>.</w:t>
            </w:r>
            <w:r w:rsidRPr="001D58DC">
              <w:rPr>
                <w:rFonts w:ascii="Calibri" w:eastAsia="Times New Roman" w:hAnsi="Calibri" w:cs="Calibri"/>
                <w:color w:val="FF0000"/>
                <w:sz w:val="22"/>
                <w:u w:val="single"/>
                <w:lang w:eastAsia="pt-BR"/>
              </w:rPr>
              <w:t>612</w:t>
            </w:r>
            <w:r>
              <w:rPr>
                <w:rFonts w:ascii="Calibri" w:eastAsia="Times New Roman" w:hAnsi="Calibri" w:cs="Calibri"/>
                <w:color w:val="FF0000"/>
                <w:sz w:val="22"/>
                <w:u w:val="single"/>
                <w:lang w:eastAsia="pt-BR"/>
              </w:rPr>
              <w:t>.</w:t>
            </w:r>
            <w:r w:rsidRPr="001D58DC">
              <w:rPr>
                <w:rFonts w:ascii="Calibri" w:eastAsia="Times New Roman" w:hAnsi="Calibri" w:cs="Calibri"/>
                <w:color w:val="FF0000"/>
                <w:sz w:val="22"/>
                <w:u w:val="single"/>
                <w:lang w:eastAsia="pt-BR"/>
              </w:rPr>
              <w:t>887,79</w:t>
            </w:r>
          </w:p>
        </w:tc>
        <w:tc>
          <w:tcPr>
            <w:tcW w:w="2252" w:type="dxa"/>
            <w:tcBorders>
              <w:top w:val="nil"/>
              <w:left w:val="nil"/>
              <w:bottom w:val="nil"/>
              <w:right w:val="nil"/>
            </w:tcBorders>
            <w:shd w:val="clear" w:color="auto" w:fill="auto"/>
            <w:noWrap/>
            <w:vAlign w:val="bottom"/>
            <w:hideMark/>
          </w:tcPr>
          <w:p w:rsidR="0041147E" w:rsidRPr="00E42115" w:rsidRDefault="0041147E" w:rsidP="008F4251">
            <w:pPr>
              <w:jc w:val="right"/>
              <w:rPr>
                <w:rFonts w:ascii="Calibri" w:eastAsia="Times New Roman" w:hAnsi="Calibri" w:cs="Calibri"/>
                <w:color w:val="000000"/>
                <w:sz w:val="22"/>
                <w:u w:val="single"/>
                <w:lang w:eastAsia="pt-BR"/>
              </w:rPr>
            </w:pPr>
            <w:r>
              <w:rPr>
                <w:rFonts w:ascii="Calibri" w:eastAsia="Times New Roman" w:hAnsi="Calibri" w:cs="Calibri"/>
                <w:color w:val="FF0000"/>
                <w:sz w:val="22"/>
                <w:u w:val="single"/>
                <w:lang w:eastAsia="pt-BR"/>
              </w:rPr>
              <w:t>-</w:t>
            </w:r>
            <w:r w:rsidRPr="00F2269C">
              <w:rPr>
                <w:rFonts w:ascii="Calibri" w:eastAsia="Times New Roman" w:hAnsi="Calibri" w:cs="Calibri"/>
                <w:color w:val="FF0000"/>
                <w:sz w:val="22"/>
                <w:u w:val="single"/>
                <w:lang w:eastAsia="pt-BR"/>
              </w:rPr>
              <w:t>51</w:t>
            </w:r>
            <w:r>
              <w:rPr>
                <w:rFonts w:ascii="Calibri" w:eastAsia="Times New Roman" w:hAnsi="Calibri" w:cs="Calibri"/>
                <w:color w:val="FF0000"/>
                <w:sz w:val="22"/>
                <w:u w:val="single"/>
                <w:lang w:eastAsia="pt-BR"/>
              </w:rPr>
              <w:t>.</w:t>
            </w:r>
            <w:r w:rsidRPr="00F2269C">
              <w:rPr>
                <w:rFonts w:ascii="Calibri" w:eastAsia="Times New Roman" w:hAnsi="Calibri" w:cs="Calibri"/>
                <w:color w:val="FF0000"/>
                <w:sz w:val="22"/>
                <w:u w:val="single"/>
                <w:lang w:eastAsia="pt-BR"/>
              </w:rPr>
              <w:t>873</w:t>
            </w:r>
            <w:r>
              <w:rPr>
                <w:rFonts w:ascii="Calibri" w:eastAsia="Times New Roman" w:hAnsi="Calibri" w:cs="Calibri"/>
                <w:color w:val="FF0000"/>
                <w:sz w:val="22"/>
                <w:u w:val="single"/>
                <w:lang w:eastAsia="pt-BR"/>
              </w:rPr>
              <w:t>.</w:t>
            </w:r>
            <w:r w:rsidRPr="00F2269C">
              <w:rPr>
                <w:rFonts w:ascii="Calibri" w:eastAsia="Times New Roman" w:hAnsi="Calibri" w:cs="Calibri"/>
                <w:color w:val="FF0000"/>
                <w:sz w:val="22"/>
                <w:u w:val="single"/>
                <w:lang w:eastAsia="pt-BR"/>
              </w:rPr>
              <w:t>135,31</w:t>
            </w:r>
          </w:p>
        </w:tc>
        <w:tc>
          <w:tcPr>
            <w:tcW w:w="1842" w:type="dxa"/>
            <w:tcBorders>
              <w:top w:val="nil"/>
              <w:left w:val="nil"/>
              <w:bottom w:val="nil"/>
              <w:right w:val="nil"/>
            </w:tcBorders>
            <w:shd w:val="clear" w:color="auto" w:fill="auto"/>
            <w:noWrap/>
            <w:vAlign w:val="bottom"/>
            <w:hideMark/>
          </w:tcPr>
          <w:p w:rsidR="0041147E" w:rsidRPr="00E42115" w:rsidRDefault="0041147E" w:rsidP="008F4251">
            <w:pPr>
              <w:jc w:val="right"/>
              <w:rPr>
                <w:rFonts w:ascii="Calibri" w:eastAsia="Times New Roman" w:hAnsi="Calibri" w:cs="Calibri"/>
                <w:color w:val="000000"/>
                <w:sz w:val="22"/>
                <w:lang w:eastAsia="pt-BR"/>
              </w:rPr>
            </w:pPr>
            <w:r>
              <w:rPr>
                <w:rFonts w:ascii="Calibri" w:eastAsia="Times New Roman" w:hAnsi="Calibri" w:cs="Calibri"/>
                <w:color w:val="000000"/>
                <w:sz w:val="22"/>
                <w:lang w:eastAsia="pt-BR"/>
              </w:rPr>
              <w:t>3806,86</w:t>
            </w:r>
          </w:p>
        </w:tc>
      </w:tr>
      <w:tr w:rsidR="0041147E" w:rsidRPr="00E42115" w:rsidTr="008F4251">
        <w:trPr>
          <w:trHeight w:val="306"/>
        </w:trPr>
        <w:tc>
          <w:tcPr>
            <w:tcW w:w="3720" w:type="dxa"/>
            <w:tcBorders>
              <w:top w:val="nil"/>
              <w:left w:val="nil"/>
              <w:bottom w:val="nil"/>
              <w:right w:val="nil"/>
            </w:tcBorders>
            <w:shd w:val="clear" w:color="D9D9D9" w:fill="D9D9D9"/>
            <w:noWrap/>
            <w:vAlign w:val="bottom"/>
            <w:hideMark/>
          </w:tcPr>
          <w:p w:rsidR="0041147E" w:rsidRPr="00E42115" w:rsidRDefault="0041147E" w:rsidP="008F4251">
            <w:pPr>
              <w:jc w:val="right"/>
              <w:rPr>
                <w:rFonts w:ascii="Calibri" w:eastAsia="Times New Roman" w:hAnsi="Calibri" w:cs="Calibri"/>
                <w:color w:val="000000"/>
                <w:sz w:val="22"/>
                <w:lang w:eastAsia="pt-BR"/>
              </w:rPr>
            </w:pPr>
          </w:p>
        </w:tc>
        <w:tc>
          <w:tcPr>
            <w:tcW w:w="2036" w:type="dxa"/>
            <w:tcBorders>
              <w:top w:val="nil"/>
              <w:left w:val="nil"/>
              <w:bottom w:val="nil"/>
              <w:right w:val="nil"/>
            </w:tcBorders>
            <w:shd w:val="clear" w:color="D9D9D9" w:fill="D9D9D9"/>
            <w:noWrap/>
            <w:vAlign w:val="bottom"/>
            <w:hideMark/>
          </w:tcPr>
          <w:p w:rsidR="0041147E" w:rsidRPr="001D58DC" w:rsidRDefault="0041147E" w:rsidP="008F4251">
            <w:pPr>
              <w:jc w:val="right"/>
              <w:rPr>
                <w:rFonts w:ascii="Calibri" w:eastAsia="Times New Roman" w:hAnsi="Calibri" w:cs="Calibri"/>
                <w:b/>
                <w:bCs/>
                <w:color w:val="000000"/>
                <w:sz w:val="22"/>
                <w:lang w:eastAsia="pt-BR"/>
              </w:rPr>
            </w:pPr>
            <w:r w:rsidRPr="001D58DC">
              <w:rPr>
                <w:rFonts w:cs="Arial"/>
                <w:b/>
                <w:szCs w:val="20"/>
              </w:rPr>
              <w:t>781.778.082,93</w:t>
            </w:r>
          </w:p>
        </w:tc>
        <w:tc>
          <w:tcPr>
            <w:tcW w:w="2252" w:type="dxa"/>
            <w:tcBorders>
              <w:top w:val="nil"/>
              <w:left w:val="nil"/>
              <w:bottom w:val="nil"/>
              <w:right w:val="nil"/>
            </w:tcBorders>
            <w:shd w:val="clear" w:color="D9D9D9" w:fill="D9D9D9"/>
            <w:noWrap/>
            <w:vAlign w:val="bottom"/>
            <w:hideMark/>
          </w:tcPr>
          <w:p w:rsidR="0041147E" w:rsidRPr="00E42115" w:rsidRDefault="0041147E" w:rsidP="008F4251">
            <w:pPr>
              <w:jc w:val="right"/>
              <w:rPr>
                <w:rFonts w:ascii="Calibri" w:eastAsia="Times New Roman" w:hAnsi="Calibri" w:cs="Calibri"/>
                <w:b/>
                <w:bCs/>
                <w:color w:val="000000"/>
                <w:sz w:val="22"/>
                <w:lang w:eastAsia="pt-BR"/>
              </w:rPr>
            </w:pPr>
            <w:r>
              <w:rPr>
                <w:rFonts w:ascii="Calibri" w:hAnsi="Calibri"/>
                <w:b/>
                <w:bCs/>
                <w:color w:val="000000"/>
                <w:sz w:val="22"/>
              </w:rPr>
              <w:t>22.686.782.441,41</w:t>
            </w:r>
          </w:p>
        </w:tc>
        <w:tc>
          <w:tcPr>
            <w:tcW w:w="1842" w:type="dxa"/>
            <w:tcBorders>
              <w:top w:val="nil"/>
              <w:left w:val="nil"/>
              <w:bottom w:val="nil"/>
              <w:right w:val="nil"/>
            </w:tcBorders>
            <w:shd w:val="clear" w:color="D9D9D9" w:fill="D9D9D9"/>
            <w:noWrap/>
            <w:vAlign w:val="bottom"/>
            <w:hideMark/>
          </w:tcPr>
          <w:p w:rsidR="0041147E" w:rsidRPr="00E42115" w:rsidRDefault="0041147E" w:rsidP="008F4251">
            <w:pPr>
              <w:jc w:val="right"/>
              <w:rPr>
                <w:rFonts w:ascii="Calibri" w:eastAsia="Times New Roman" w:hAnsi="Calibri" w:cs="Calibri"/>
                <w:b/>
                <w:bCs/>
                <w:color w:val="000000"/>
                <w:sz w:val="22"/>
                <w:lang w:eastAsia="pt-BR"/>
              </w:rPr>
            </w:pPr>
            <w:r>
              <w:rPr>
                <w:rFonts w:ascii="Calibri" w:eastAsia="Times New Roman" w:hAnsi="Calibri" w:cs="Calibri"/>
                <w:b/>
                <w:bCs/>
                <w:color w:val="000000"/>
                <w:sz w:val="22"/>
                <w:lang w:eastAsia="pt-BR"/>
              </w:rPr>
              <w:t>-96,55</w:t>
            </w:r>
          </w:p>
        </w:tc>
      </w:tr>
      <w:tr w:rsidR="0041147E" w:rsidRPr="00E42115" w:rsidTr="008F4251">
        <w:trPr>
          <w:trHeight w:val="306"/>
        </w:trPr>
        <w:tc>
          <w:tcPr>
            <w:tcW w:w="3720" w:type="dxa"/>
            <w:tcBorders>
              <w:top w:val="nil"/>
              <w:left w:val="nil"/>
              <w:bottom w:val="nil"/>
              <w:right w:val="nil"/>
            </w:tcBorders>
            <w:shd w:val="clear" w:color="auto" w:fill="auto"/>
            <w:noWrap/>
            <w:vAlign w:val="bottom"/>
            <w:hideMark/>
          </w:tcPr>
          <w:p w:rsidR="0041147E" w:rsidRPr="00E42115" w:rsidRDefault="0041147E" w:rsidP="008F4251">
            <w:pPr>
              <w:jc w:val="right"/>
              <w:rPr>
                <w:rFonts w:ascii="Calibri" w:eastAsia="Times New Roman" w:hAnsi="Calibri" w:cs="Calibri"/>
                <w:b/>
                <w:bCs/>
                <w:color w:val="000000"/>
                <w:sz w:val="22"/>
                <w:lang w:eastAsia="pt-BR"/>
              </w:rPr>
            </w:pPr>
          </w:p>
        </w:tc>
        <w:tc>
          <w:tcPr>
            <w:tcW w:w="2036" w:type="dxa"/>
            <w:tcBorders>
              <w:top w:val="nil"/>
              <w:left w:val="nil"/>
              <w:bottom w:val="nil"/>
              <w:right w:val="nil"/>
            </w:tcBorders>
            <w:shd w:val="clear" w:color="auto" w:fill="auto"/>
            <w:noWrap/>
            <w:vAlign w:val="bottom"/>
            <w:hideMark/>
          </w:tcPr>
          <w:p w:rsidR="0041147E" w:rsidRPr="00E42115" w:rsidRDefault="0041147E" w:rsidP="008F4251">
            <w:pPr>
              <w:jc w:val="left"/>
              <w:rPr>
                <w:rFonts w:ascii="Times New Roman" w:eastAsia="Times New Roman" w:hAnsi="Times New Roman" w:cs="Times New Roman"/>
                <w:szCs w:val="20"/>
                <w:lang w:eastAsia="pt-BR"/>
              </w:rPr>
            </w:pPr>
          </w:p>
        </w:tc>
        <w:tc>
          <w:tcPr>
            <w:tcW w:w="2252" w:type="dxa"/>
            <w:tcBorders>
              <w:top w:val="nil"/>
              <w:left w:val="nil"/>
              <w:bottom w:val="nil"/>
              <w:right w:val="nil"/>
            </w:tcBorders>
            <w:shd w:val="clear" w:color="auto" w:fill="auto"/>
            <w:noWrap/>
            <w:vAlign w:val="bottom"/>
            <w:hideMark/>
          </w:tcPr>
          <w:p w:rsidR="0041147E" w:rsidRPr="00E42115" w:rsidRDefault="0041147E" w:rsidP="008F4251">
            <w:pPr>
              <w:jc w:val="left"/>
              <w:rPr>
                <w:rFonts w:ascii="Times New Roman" w:eastAsia="Times New Roman" w:hAnsi="Times New Roman" w:cs="Times New Roman"/>
                <w:szCs w:val="20"/>
                <w:lang w:eastAsia="pt-BR"/>
              </w:rPr>
            </w:pPr>
          </w:p>
        </w:tc>
        <w:tc>
          <w:tcPr>
            <w:tcW w:w="1842" w:type="dxa"/>
            <w:tcBorders>
              <w:top w:val="nil"/>
              <w:left w:val="nil"/>
              <w:bottom w:val="nil"/>
              <w:right w:val="nil"/>
            </w:tcBorders>
            <w:shd w:val="clear" w:color="auto" w:fill="auto"/>
            <w:noWrap/>
            <w:vAlign w:val="bottom"/>
            <w:hideMark/>
          </w:tcPr>
          <w:p w:rsidR="0041147E" w:rsidRPr="00E42115" w:rsidRDefault="0041147E" w:rsidP="008F4251">
            <w:pPr>
              <w:jc w:val="left"/>
              <w:rPr>
                <w:rFonts w:ascii="Times New Roman" w:eastAsia="Times New Roman" w:hAnsi="Times New Roman" w:cs="Times New Roman"/>
                <w:szCs w:val="20"/>
                <w:lang w:eastAsia="pt-BR"/>
              </w:rPr>
            </w:pPr>
          </w:p>
        </w:tc>
      </w:tr>
      <w:tr w:rsidR="0041147E" w:rsidRPr="00E42115" w:rsidTr="008F4251">
        <w:trPr>
          <w:trHeight w:val="306"/>
        </w:trPr>
        <w:tc>
          <w:tcPr>
            <w:tcW w:w="3720" w:type="dxa"/>
            <w:tcBorders>
              <w:top w:val="nil"/>
              <w:left w:val="nil"/>
              <w:bottom w:val="single" w:sz="4" w:space="0" w:color="000000"/>
              <w:right w:val="nil"/>
            </w:tcBorders>
            <w:shd w:val="clear" w:color="D9D9D9" w:fill="D9D9D9"/>
            <w:noWrap/>
            <w:vAlign w:val="bottom"/>
            <w:hideMark/>
          </w:tcPr>
          <w:p w:rsidR="0041147E" w:rsidRPr="00E42115" w:rsidRDefault="0041147E" w:rsidP="008F4251">
            <w:pPr>
              <w:jc w:val="left"/>
              <w:rPr>
                <w:rFonts w:ascii="Calibri" w:eastAsia="Times New Roman" w:hAnsi="Calibri" w:cs="Calibri"/>
                <w:b/>
                <w:bCs/>
                <w:color w:val="000000"/>
                <w:sz w:val="22"/>
                <w:lang w:eastAsia="pt-BR"/>
              </w:rPr>
            </w:pPr>
            <w:r w:rsidRPr="00E42115">
              <w:rPr>
                <w:rFonts w:ascii="Calibri" w:eastAsia="Times New Roman" w:hAnsi="Calibri" w:cs="Calibri"/>
                <w:b/>
                <w:bCs/>
                <w:color w:val="000000"/>
                <w:sz w:val="22"/>
                <w:lang w:eastAsia="pt-BR"/>
              </w:rPr>
              <w:t>Resultado Financeiro do Exercício</w:t>
            </w:r>
          </w:p>
        </w:tc>
        <w:tc>
          <w:tcPr>
            <w:tcW w:w="2036" w:type="dxa"/>
            <w:tcBorders>
              <w:top w:val="nil"/>
              <w:left w:val="nil"/>
              <w:bottom w:val="single" w:sz="4" w:space="0" w:color="000000"/>
              <w:right w:val="nil"/>
            </w:tcBorders>
            <w:shd w:val="clear" w:color="D9D9D9" w:fill="D9D9D9"/>
            <w:noWrap/>
            <w:vAlign w:val="bottom"/>
            <w:hideMark/>
          </w:tcPr>
          <w:p w:rsidR="0041147E" w:rsidRPr="00E42115" w:rsidRDefault="0041147E" w:rsidP="008F4251">
            <w:pPr>
              <w:jc w:val="right"/>
              <w:rPr>
                <w:rFonts w:ascii="Calibri" w:eastAsia="Times New Roman" w:hAnsi="Calibri" w:cs="Calibri"/>
                <w:b/>
                <w:bCs/>
                <w:color w:val="000000"/>
                <w:sz w:val="22"/>
                <w:lang w:eastAsia="pt-BR"/>
              </w:rPr>
            </w:pPr>
            <w:r>
              <w:rPr>
                <w:rFonts w:cs="Arial"/>
                <w:szCs w:val="20"/>
              </w:rPr>
              <w:t>23.963.014,49</w:t>
            </w:r>
          </w:p>
        </w:tc>
        <w:tc>
          <w:tcPr>
            <w:tcW w:w="2252" w:type="dxa"/>
            <w:tcBorders>
              <w:top w:val="nil"/>
              <w:left w:val="nil"/>
              <w:bottom w:val="single" w:sz="4" w:space="0" w:color="000000"/>
              <w:right w:val="nil"/>
            </w:tcBorders>
            <w:shd w:val="clear" w:color="D9D9D9" w:fill="D9D9D9"/>
            <w:noWrap/>
            <w:vAlign w:val="bottom"/>
            <w:hideMark/>
          </w:tcPr>
          <w:p w:rsidR="0041147E" w:rsidRPr="00E42115" w:rsidRDefault="0041147E" w:rsidP="008F4251">
            <w:pPr>
              <w:jc w:val="right"/>
              <w:rPr>
                <w:rFonts w:ascii="Calibri" w:eastAsia="Times New Roman" w:hAnsi="Calibri" w:cs="Calibri"/>
                <w:b/>
                <w:bCs/>
                <w:color w:val="000000"/>
                <w:sz w:val="22"/>
                <w:lang w:eastAsia="pt-BR"/>
              </w:rPr>
            </w:pPr>
            <w:r w:rsidRPr="00F2269C">
              <w:rPr>
                <w:rFonts w:ascii="Calibri" w:eastAsia="Times New Roman" w:hAnsi="Calibri" w:cs="Calibri"/>
                <w:b/>
                <w:bCs/>
                <w:color w:val="FF0000"/>
                <w:sz w:val="22"/>
                <w:lang w:eastAsia="pt-BR"/>
              </w:rPr>
              <w:t>-130.936.842,50</w:t>
            </w:r>
          </w:p>
        </w:tc>
        <w:tc>
          <w:tcPr>
            <w:tcW w:w="1842" w:type="dxa"/>
            <w:tcBorders>
              <w:top w:val="nil"/>
              <w:left w:val="nil"/>
              <w:bottom w:val="single" w:sz="4" w:space="0" w:color="000000"/>
              <w:right w:val="nil"/>
            </w:tcBorders>
            <w:shd w:val="clear" w:color="D9D9D9" w:fill="D9D9D9"/>
            <w:noWrap/>
            <w:vAlign w:val="bottom"/>
            <w:hideMark/>
          </w:tcPr>
          <w:p w:rsidR="0041147E" w:rsidRPr="00E42115" w:rsidRDefault="0041147E" w:rsidP="008F4251">
            <w:pPr>
              <w:jc w:val="right"/>
              <w:rPr>
                <w:rFonts w:ascii="Calibri" w:eastAsia="Times New Roman" w:hAnsi="Calibri" w:cs="Calibri"/>
                <w:b/>
                <w:bCs/>
                <w:color w:val="000000"/>
                <w:sz w:val="22"/>
                <w:lang w:eastAsia="pt-BR"/>
              </w:rPr>
            </w:pPr>
            <w:r>
              <w:rPr>
                <w:rFonts w:ascii="Calibri" w:eastAsia="Times New Roman" w:hAnsi="Calibri" w:cs="Calibri"/>
                <w:b/>
                <w:bCs/>
                <w:color w:val="000000"/>
                <w:sz w:val="22"/>
                <w:lang w:eastAsia="pt-BR"/>
              </w:rPr>
              <w:t>-118,30</w:t>
            </w:r>
          </w:p>
        </w:tc>
      </w:tr>
    </w:tbl>
    <w:p w:rsidR="0041147E" w:rsidRPr="002C152D" w:rsidRDefault="0041147E" w:rsidP="0041147E">
      <w:pPr>
        <w:rPr>
          <w:rFonts w:cs="Arial"/>
          <w:i/>
          <w:szCs w:val="20"/>
        </w:rPr>
      </w:pPr>
      <w:r w:rsidRPr="002C152D">
        <w:rPr>
          <w:rFonts w:cs="Arial"/>
          <w:i/>
          <w:szCs w:val="20"/>
        </w:rPr>
        <w:t>Fonte: SIAFI, 201</w:t>
      </w:r>
      <w:r>
        <w:rPr>
          <w:rFonts w:cs="Arial"/>
          <w:i/>
          <w:szCs w:val="20"/>
        </w:rPr>
        <w:t>9</w:t>
      </w:r>
      <w:r w:rsidRPr="002C152D">
        <w:rPr>
          <w:rFonts w:cs="Arial"/>
          <w:i/>
          <w:szCs w:val="20"/>
        </w:rPr>
        <w:t xml:space="preserve"> e 201</w:t>
      </w:r>
      <w:r>
        <w:rPr>
          <w:rFonts w:cs="Arial"/>
          <w:i/>
          <w:szCs w:val="20"/>
        </w:rPr>
        <w:t>8</w:t>
      </w:r>
      <w:r w:rsidRPr="002C152D">
        <w:rPr>
          <w:rFonts w:cs="Arial"/>
          <w:i/>
          <w:szCs w:val="20"/>
        </w:rPr>
        <w:t>.</w:t>
      </w:r>
    </w:p>
    <w:p w:rsidR="0041147E" w:rsidRDefault="0041147E" w:rsidP="0041147E">
      <w:pPr>
        <w:rPr>
          <w:rFonts w:cs="Arial"/>
          <w:sz w:val="22"/>
        </w:rPr>
      </w:pPr>
    </w:p>
    <w:p w:rsidR="0041147E" w:rsidRDefault="0041147E" w:rsidP="0041147E">
      <w:pPr>
        <w:rPr>
          <w:rFonts w:cs="Arial"/>
          <w:sz w:val="22"/>
        </w:rPr>
      </w:pPr>
      <w:r>
        <w:rPr>
          <w:rFonts w:cs="Arial"/>
          <w:sz w:val="22"/>
        </w:rPr>
        <w:t>A redução do déficit em relação à 2018 foi de 118,30% e decorre especialmente do aumento das receitas orçamentárias e das transferências recebidas.</w:t>
      </w:r>
    </w:p>
    <w:p w:rsidR="0041147E" w:rsidRDefault="0041147E" w:rsidP="0041147E">
      <w:pPr>
        <w:rPr>
          <w:rFonts w:cs="Arial"/>
          <w:sz w:val="22"/>
        </w:rPr>
      </w:pPr>
    </w:p>
    <w:p w:rsidR="0041147E" w:rsidRDefault="0041147E" w:rsidP="0041147E">
      <w:pPr>
        <w:rPr>
          <w:rFonts w:cs="Arial"/>
          <w:sz w:val="22"/>
        </w:rPr>
      </w:pPr>
      <w:r w:rsidRPr="002351CC">
        <w:rPr>
          <w:rFonts w:cs="Arial"/>
          <w:sz w:val="22"/>
        </w:rPr>
        <w:t>As receitas orçamentárias ordinárias</w:t>
      </w:r>
      <w:r>
        <w:rPr>
          <w:rFonts w:cs="Arial"/>
          <w:sz w:val="22"/>
        </w:rPr>
        <w:t xml:space="preserve">, </w:t>
      </w:r>
      <w:r w:rsidRPr="002351CC">
        <w:rPr>
          <w:rFonts w:cs="Arial"/>
          <w:sz w:val="22"/>
        </w:rPr>
        <w:t xml:space="preserve">que não </w:t>
      </w:r>
      <w:r>
        <w:rPr>
          <w:rFonts w:cs="Arial"/>
          <w:sz w:val="22"/>
        </w:rPr>
        <w:t xml:space="preserve">ocorreram </w:t>
      </w:r>
      <w:r w:rsidRPr="002351CC">
        <w:rPr>
          <w:rFonts w:cs="Arial"/>
          <w:sz w:val="22"/>
        </w:rPr>
        <w:t>em 2018</w:t>
      </w:r>
      <w:r>
        <w:rPr>
          <w:rFonts w:cs="Arial"/>
          <w:sz w:val="22"/>
        </w:rPr>
        <w:t>, e vinculadas</w:t>
      </w:r>
      <w:r w:rsidRPr="002351CC">
        <w:rPr>
          <w:rFonts w:cs="Arial"/>
          <w:sz w:val="22"/>
        </w:rPr>
        <w:t xml:space="preserve">, referem-se ao grupo de Exploração de Recursos Naturais e foram superiores a </w:t>
      </w:r>
      <w:r>
        <w:rPr>
          <w:rFonts w:cs="Arial"/>
          <w:sz w:val="22"/>
        </w:rPr>
        <w:t>84,5</w:t>
      </w:r>
      <w:r w:rsidRPr="002351CC">
        <w:rPr>
          <w:rFonts w:cs="Arial"/>
          <w:sz w:val="22"/>
        </w:rPr>
        <w:t xml:space="preserve"> bilhões em 2019, </w:t>
      </w:r>
      <w:bookmarkStart w:id="0" w:name="_Hlk31220234"/>
      <w:r w:rsidRPr="002351CC">
        <w:rPr>
          <w:rFonts w:cs="Arial"/>
          <w:sz w:val="22"/>
        </w:rPr>
        <w:t>em decorrência das rodadas de licitação realizadas no último quadrimestre de 2019.</w:t>
      </w:r>
      <w:r>
        <w:rPr>
          <w:rFonts w:cs="Arial"/>
          <w:sz w:val="22"/>
        </w:rPr>
        <w:t xml:space="preserve"> </w:t>
      </w:r>
      <w:bookmarkEnd w:id="0"/>
    </w:p>
    <w:p w:rsidR="0041147E" w:rsidRDefault="0041147E" w:rsidP="0041147E">
      <w:pPr>
        <w:rPr>
          <w:rFonts w:cs="Arial"/>
          <w:sz w:val="22"/>
        </w:rPr>
      </w:pPr>
    </w:p>
    <w:p w:rsidR="0041147E" w:rsidRPr="00E3075B" w:rsidRDefault="0041147E" w:rsidP="0041147E">
      <w:pPr>
        <w:rPr>
          <w:rFonts w:cs="Arial"/>
          <w:bCs/>
          <w:sz w:val="22"/>
        </w:rPr>
      </w:pPr>
      <w:r>
        <w:rPr>
          <w:rFonts w:cs="Arial"/>
          <w:sz w:val="22"/>
        </w:rPr>
        <w:t xml:space="preserve">Já no âmbito das transferências constitucionais e legais, </w:t>
      </w:r>
      <w:r w:rsidRPr="009973CC">
        <w:rPr>
          <w:rFonts w:cs="Arial"/>
          <w:sz w:val="22"/>
        </w:rPr>
        <w:t>os fluxos orçamentário e financeiro aumentaram significativamente</w:t>
      </w:r>
      <w:r>
        <w:rPr>
          <w:rFonts w:cs="Arial"/>
          <w:sz w:val="22"/>
        </w:rPr>
        <w:t xml:space="preserve">, </w:t>
      </w:r>
      <w:r w:rsidRPr="00E3075B">
        <w:rPr>
          <w:rFonts w:cs="Arial"/>
          <w:bCs/>
          <w:sz w:val="22"/>
        </w:rPr>
        <w:t xml:space="preserve">principalmente </w:t>
      </w:r>
      <w:r w:rsidR="0010541C">
        <w:rPr>
          <w:rFonts w:cs="Arial"/>
          <w:bCs/>
          <w:sz w:val="22"/>
        </w:rPr>
        <w:t>em razão</w:t>
      </w:r>
      <w:bookmarkStart w:id="1" w:name="_GoBack"/>
      <w:bookmarkEnd w:id="1"/>
      <w:r w:rsidRPr="00E3075B">
        <w:rPr>
          <w:rFonts w:cs="Arial"/>
          <w:bCs/>
          <w:sz w:val="22"/>
        </w:rPr>
        <w:t xml:space="preserve"> da </w:t>
      </w:r>
      <w:bookmarkStart w:id="2" w:name="_Hlk31220390"/>
      <w:r w:rsidRPr="00E3075B">
        <w:rPr>
          <w:rFonts w:cs="Arial"/>
          <w:bCs/>
          <w:sz w:val="22"/>
        </w:rPr>
        <w:t>assunção da responsabilidade</w:t>
      </w:r>
      <w:r>
        <w:rPr>
          <w:rFonts w:cs="Arial"/>
          <w:bCs/>
          <w:sz w:val="22"/>
        </w:rPr>
        <w:t xml:space="preserve">, </w:t>
      </w:r>
      <w:r>
        <w:rPr>
          <w:rFonts w:cs="Arial"/>
          <w:sz w:val="22"/>
        </w:rPr>
        <w:t xml:space="preserve">que antes era do Ministério de Minas e Energia, </w:t>
      </w:r>
      <w:r w:rsidRPr="00E3075B">
        <w:rPr>
          <w:rFonts w:cs="Arial"/>
          <w:bCs/>
          <w:sz w:val="22"/>
        </w:rPr>
        <w:t>pel</w:t>
      </w:r>
      <w:r>
        <w:rPr>
          <w:rFonts w:cs="Arial"/>
          <w:bCs/>
          <w:sz w:val="22"/>
        </w:rPr>
        <w:t xml:space="preserve">o recebimento e </w:t>
      </w:r>
      <w:r w:rsidRPr="00E3075B">
        <w:rPr>
          <w:rFonts w:cs="Arial"/>
          <w:color w:val="000000"/>
          <w:sz w:val="22"/>
        </w:rPr>
        <w:t>transferência das participações pela produção de petróleo e gás natural aos Estados e aos Municípios</w:t>
      </w:r>
      <w:r w:rsidRPr="00E3075B">
        <w:rPr>
          <w:rFonts w:cs="Arial"/>
          <w:sz w:val="22"/>
        </w:rPr>
        <w:t>, de acordo com o decreto 10.078 de 21/10/2019.</w:t>
      </w:r>
    </w:p>
    <w:bookmarkEnd w:id="2"/>
    <w:p w:rsidR="0041147E" w:rsidRDefault="0041147E" w:rsidP="0041147E">
      <w:pPr>
        <w:rPr>
          <w:rFonts w:cs="Arial"/>
          <w:sz w:val="22"/>
        </w:rPr>
      </w:pPr>
    </w:p>
    <w:p w:rsidR="0041147E" w:rsidRDefault="0041147E" w:rsidP="0041147E">
      <w:pPr>
        <w:rPr>
          <w:rFonts w:cs="Arial"/>
          <w:sz w:val="22"/>
        </w:rPr>
      </w:pPr>
    </w:p>
    <w:p w:rsidR="0041147E" w:rsidRDefault="0041147E" w:rsidP="0041147E">
      <w:pPr>
        <w:rPr>
          <w:rFonts w:cs="Arial"/>
          <w:sz w:val="22"/>
        </w:rPr>
      </w:pPr>
    </w:p>
    <w:p w:rsidR="0041147E" w:rsidRDefault="0041147E">
      <w:pPr>
        <w:spacing w:after="160" w:line="259" w:lineRule="auto"/>
        <w:jc w:val="left"/>
      </w:pPr>
      <w:r>
        <w:br w:type="page"/>
      </w:r>
    </w:p>
    <w:p w:rsidR="0041147E" w:rsidRDefault="0041147E" w:rsidP="009311D1"/>
    <w:p w:rsidR="0041147E" w:rsidRPr="00C0371B" w:rsidRDefault="0041147E" w:rsidP="0041147E">
      <w:pPr>
        <w:rPr>
          <w:rFonts w:cs="Arial"/>
          <w:b/>
          <w:sz w:val="22"/>
        </w:rPr>
      </w:pPr>
      <w:r w:rsidRPr="00C0371B">
        <w:rPr>
          <w:rFonts w:cs="Arial"/>
          <w:b/>
          <w:sz w:val="22"/>
        </w:rPr>
        <w:t>Nota 0</w:t>
      </w:r>
      <w:r>
        <w:rPr>
          <w:rFonts w:cs="Arial"/>
          <w:b/>
          <w:sz w:val="22"/>
        </w:rPr>
        <w:t>1</w:t>
      </w:r>
      <w:r w:rsidRPr="00C0371B">
        <w:rPr>
          <w:rFonts w:cs="Arial"/>
          <w:b/>
          <w:sz w:val="22"/>
        </w:rPr>
        <w:t xml:space="preserve"> – Caixa e Equivalentes de Caixa</w:t>
      </w:r>
    </w:p>
    <w:p w:rsidR="0041147E" w:rsidRPr="00C0371B" w:rsidRDefault="0041147E" w:rsidP="0041147E">
      <w:pPr>
        <w:rPr>
          <w:rFonts w:cs="Arial"/>
          <w:sz w:val="22"/>
        </w:rPr>
      </w:pPr>
    </w:p>
    <w:p w:rsidR="0041147E" w:rsidRPr="00C0371B" w:rsidRDefault="0041147E" w:rsidP="0041147E">
      <w:pPr>
        <w:rPr>
          <w:rFonts w:cs="Arial"/>
          <w:sz w:val="22"/>
        </w:rPr>
      </w:pPr>
      <w:r w:rsidRPr="00C0371B">
        <w:rPr>
          <w:rFonts w:cs="Arial"/>
          <w:sz w:val="22"/>
        </w:rPr>
        <w:t xml:space="preserve">Este item contempla o numerário e outros bens e direitos conversíveis </w:t>
      </w:r>
      <w:r>
        <w:rPr>
          <w:rFonts w:cs="Arial"/>
          <w:sz w:val="22"/>
        </w:rPr>
        <w:t>e</w:t>
      </w:r>
      <w:r w:rsidRPr="00C0371B">
        <w:rPr>
          <w:rFonts w:cs="Arial"/>
          <w:sz w:val="22"/>
        </w:rPr>
        <w:t xml:space="preserve"> evidenciados em moeda nacional. Em 3</w:t>
      </w:r>
      <w:r>
        <w:rPr>
          <w:rFonts w:cs="Arial"/>
          <w:sz w:val="22"/>
        </w:rPr>
        <w:t>1</w:t>
      </w:r>
      <w:r w:rsidRPr="00C0371B">
        <w:rPr>
          <w:rFonts w:cs="Arial"/>
          <w:sz w:val="22"/>
        </w:rPr>
        <w:t>/</w:t>
      </w:r>
      <w:r>
        <w:rPr>
          <w:rFonts w:cs="Arial"/>
          <w:sz w:val="22"/>
        </w:rPr>
        <w:t>12</w:t>
      </w:r>
      <w:r w:rsidRPr="00C0371B">
        <w:rPr>
          <w:rFonts w:cs="Arial"/>
          <w:sz w:val="22"/>
        </w:rPr>
        <w:t>/201</w:t>
      </w:r>
      <w:r>
        <w:rPr>
          <w:rFonts w:cs="Arial"/>
          <w:sz w:val="22"/>
        </w:rPr>
        <w:t>9</w:t>
      </w:r>
      <w:r w:rsidRPr="00C0371B">
        <w:rPr>
          <w:rFonts w:cs="Arial"/>
          <w:sz w:val="22"/>
        </w:rPr>
        <w:t>, a A</w:t>
      </w:r>
      <w:r>
        <w:rPr>
          <w:rFonts w:cs="Arial"/>
          <w:sz w:val="22"/>
        </w:rPr>
        <w:t>NP</w:t>
      </w:r>
      <w:r w:rsidRPr="00C0371B">
        <w:rPr>
          <w:rFonts w:cs="Arial"/>
          <w:sz w:val="22"/>
        </w:rPr>
        <w:t xml:space="preserve"> possuía um saldo superior a R$ </w:t>
      </w:r>
      <w:r>
        <w:rPr>
          <w:rFonts w:cs="Arial"/>
          <w:sz w:val="22"/>
        </w:rPr>
        <w:t xml:space="preserve">939 milhões, </w:t>
      </w:r>
      <w:r w:rsidRPr="00C0371B">
        <w:rPr>
          <w:rFonts w:cs="Arial"/>
          <w:sz w:val="22"/>
        </w:rPr>
        <w:t>relacionado</w:t>
      </w:r>
      <w:r>
        <w:rPr>
          <w:rFonts w:cs="Arial"/>
          <w:sz w:val="22"/>
        </w:rPr>
        <w:t>s</w:t>
      </w:r>
      <w:r w:rsidRPr="00C0371B">
        <w:rPr>
          <w:rFonts w:cs="Arial"/>
          <w:sz w:val="22"/>
        </w:rPr>
        <w:t xml:space="preserve"> a Caixa e Equivalentes de Caixa. </w:t>
      </w:r>
      <w:r>
        <w:rPr>
          <w:rFonts w:cs="Arial"/>
          <w:sz w:val="22"/>
        </w:rPr>
        <w:t>O detalhamento destes saldos segue:</w:t>
      </w:r>
    </w:p>
    <w:p w:rsidR="0041147E" w:rsidRPr="00C0371B" w:rsidRDefault="0041147E" w:rsidP="0041147E">
      <w:pPr>
        <w:rPr>
          <w:rFonts w:cs="Arial"/>
          <w:sz w:val="22"/>
        </w:rPr>
      </w:pPr>
    </w:p>
    <w:p w:rsidR="0041147E" w:rsidRDefault="0041147E" w:rsidP="0041147E">
      <w:pPr>
        <w:rPr>
          <w:rFonts w:cs="Arial"/>
          <w:b/>
          <w:sz w:val="22"/>
        </w:rPr>
      </w:pPr>
      <w:r w:rsidRPr="00C0371B">
        <w:rPr>
          <w:rFonts w:cs="Arial"/>
          <w:b/>
          <w:sz w:val="22"/>
        </w:rPr>
        <w:t xml:space="preserve">Tabela 1 – </w:t>
      </w:r>
      <w:r>
        <w:rPr>
          <w:rFonts w:cs="Arial"/>
          <w:b/>
          <w:sz w:val="22"/>
        </w:rPr>
        <w:t>Recursos Disponíveis</w:t>
      </w:r>
      <w:r w:rsidRPr="00C0371B">
        <w:rPr>
          <w:rFonts w:cs="Arial"/>
          <w:b/>
          <w:sz w:val="22"/>
        </w:rPr>
        <w:t xml:space="preserve"> Conta Única – Variação</w:t>
      </w:r>
      <w:r>
        <w:rPr>
          <w:rFonts w:cs="Arial"/>
          <w:b/>
          <w:sz w:val="22"/>
        </w:rPr>
        <w:t>.</w:t>
      </w:r>
    </w:p>
    <w:p w:rsidR="0041147E" w:rsidRDefault="0041147E" w:rsidP="0041147E">
      <w:pPr>
        <w:jc w:val="right"/>
        <w:rPr>
          <w:rFonts w:cs="Arial"/>
          <w:sz w:val="22"/>
        </w:rPr>
      </w:pPr>
      <w:r>
        <w:rPr>
          <w:rFonts w:cs="Arial"/>
          <w:sz w:val="22"/>
        </w:rPr>
        <w:t xml:space="preserve">          </w:t>
      </w:r>
      <w:r w:rsidRPr="006A1E1A">
        <w:rPr>
          <w:rFonts w:cs="Arial"/>
          <w:sz w:val="22"/>
        </w:rPr>
        <w:t>R$</w:t>
      </w:r>
    </w:p>
    <w:tbl>
      <w:tblPr>
        <w:tblW w:w="9214" w:type="dxa"/>
        <w:tblCellMar>
          <w:left w:w="70" w:type="dxa"/>
          <w:right w:w="70" w:type="dxa"/>
        </w:tblCellMar>
        <w:tblLook w:val="04A0" w:firstRow="1" w:lastRow="0" w:firstColumn="1" w:lastColumn="0" w:noHBand="0" w:noVBand="1"/>
      </w:tblPr>
      <w:tblGrid>
        <w:gridCol w:w="1267"/>
        <w:gridCol w:w="2917"/>
        <w:gridCol w:w="1913"/>
        <w:gridCol w:w="1956"/>
        <w:gridCol w:w="1161"/>
      </w:tblGrid>
      <w:tr w:rsidR="0041147E" w:rsidRPr="00EC6F3A" w:rsidTr="008F4251">
        <w:trPr>
          <w:trHeight w:val="517"/>
        </w:trPr>
        <w:tc>
          <w:tcPr>
            <w:tcW w:w="1267" w:type="dxa"/>
            <w:tcBorders>
              <w:top w:val="single" w:sz="4" w:space="0" w:color="000000"/>
              <w:left w:val="nil"/>
              <w:bottom w:val="single" w:sz="4" w:space="0" w:color="000000"/>
              <w:right w:val="nil"/>
            </w:tcBorders>
            <w:shd w:val="clear" w:color="auto" w:fill="auto"/>
            <w:vAlign w:val="bottom"/>
            <w:hideMark/>
          </w:tcPr>
          <w:p w:rsidR="0041147E" w:rsidRPr="00EC6F3A" w:rsidRDefault="0041147E" w:rsidP="008F4251">
            <w:pPr>
              <w:jc w:val="center"/>
              <w:rPr>
                <w:rFonts w:eastAsia="Times New Roman" w:cs="Arial"/>
                <w:b/>
                <w:bCs/>
                <w:color w:val="000000"/>
                <w:szCs w:val="20"/>
                <w:lang w:eastAsia="pt-BR"/>
              </w:rPr>
            </w:pPr>
            <w:r w:rsidRPr="00EC6F3A">
              <w:rPr>
                <w:rFonts w:eastAsia="Times New Roman" w:cs="Arial"/>
                <w:b/>
                <w:bCs/>
                <w:color w:val="000000"/>
                <w:szCs w:val="20"/>
                <w:lang w:eastAsia="pt-BR"/>
              </w:rPr>
              <w:t xml:space="preserve">Fonte Recursos </w:t>
            </w:r>
          </w:p>
        </w:tc>
        <w:tc>
          <w:tcPr>
            <w:tcW w:w="2917" w:type="dxa"/>
            <w:tcBorders>
              <w:top w:val="single" w:sz="4" w:space="0" w:color="000000"/>
              <w:left w:val="nil"/>
              <w:bottom w:val="single" w:sz="4" w:space="0" w:color="000000"/>
              <w:right w:val="nil"/>
            </w:tcBorders>
            <w:shd w:val="clear" w:color="auto" w:fill="auto"/>
            <w:vAlign w:val="bottom"/>
            <w:hideMark/>
          </w:tcPr>
          <w:p w:rsidR="0041147E" w:rsidRPr="00EC6F3A" w:rsidRDefault="0041147E" w:rsidP="008F4251">
            <w:pPr>
              <w:jc w:val="center"/>
              <w:rPr>
                <w:rFonts w:eastAsia="Times New Roman" w:cs="Arial"/>
                <w:b/>
                <w:bCs/>
                <w:color w:val="000000"/>
                <w:szCs w:val="20"/>
                <w:lang w:eastAsia="pt-BR"/>
              </w:rPr>
            </w:pPr>
            <w:r w:rsidRPr="00EC6F3A">
              <w:rPr>
                <w:rFonts w:eastAsia="Times New Roman" w:cs="Arial"/>
                <w:b/>
                <w:bCs/>
                <w:color w:val="000000"/>
                <w:szCs w:val="20"/>
                <w:lang w:eastAsia="pt-BR"/>
              </w:rPr>
              <w:t>Descrição da Fonte</w:t>
            </w:r>
          </w:p>
        </w:tc>
        <w:tc>
          <w:tcPr>
            <w:tcW w:w="1913" w:type="dxa"/>
            <w:tcBorders>
              <w:top w:val="single" w:sz="4" w:space="0" w:color="000000"/>
              <w:left w:val="nil"/>
              <w:bottom w:val="single" w:sz="4" w:space="0" w:color="000000"/>
              <w:right w:val="nil"/>
            </w:tcBorders>
            <w:shd w:val="clear" w:color="auto" w:fill="auto"/>
            <w:vAlign w:val="bottom"/>
            <w:hideMark/>
          </w:tcPr>
          <w:p w:rsidR="0041147E" w:rsidRPr="00EC6F3A" w:rsidRDefault="0041147E" w:rsidP="008F4251">
            <w:pPr>
              <w:jc w:val="center"/>
              <w:rPr>
                <w:rFonts w:eastAsia="Times New Roman" w:cs="Arial"/>
                <w:b/>
                <w:bCs/>
                <w:color w:val="000000"/>
                <w:szCs w:val="20"/>
                <w:lang w:eastAsia="pt-BR"/>
              </w:rPr>
            </w:pPr>
            <w:r w:rsidRPr="00EC6F3A">
              <w:rPr>
                <w:rFonts w:eastAsia="Times New Roman" w:cs="Arial"/>
                <w:b/>
                <w:bCs/>
                <w:color w:val="000000"/>
                <w:szCs w:val="20"/>
                <w:lang w:eastAsia="pt-BR"/>
              </w:rPr>
              <w:t>3</w:t>
            </w:r>
            <w:r>
              <w:rPr>
                <w:rFonts w:eastAsia="Times New Roman" w:cs="Arial"/>
                <w:b/>
                <w:bCs/>
                <w:color w:val="000000"/>
                <w:szCs w:val="20"/>
                <w:lang w:eastAsia="pt-BR"/>
              </w:rPr>
              <w:t>1</w:t>
            </w:r>
            <w:r w:rsidRPr="00EC6F3A">
              <w:rPr>
                <w:rFonts w:eastAsia="Times New Roman" w:cs="Arial"/>
                <w:b/>
                <w:bCs/>
                <w:color w:val="000000"/>
                <w:szCs w:val="20"/>
                <w:lang w:eastAsia="pt-BR"/>
              </w:rPr>
              <w:t>/</w:t>
            </w:r>
            <w:r>
              <w:rPr>
                <w:rFonts w:eastAsia="Times New Roman" w:cs="Arial"/>
                <w:b/>
                <w:bCs/>
                <w:color w:val="000000"/>
                <w:szCs w:val="20"/>
                <w:lang w:eastAsia="pt-BR"/>
              </w:rPr>
              <w:t>12</w:t>
            </w:r>
            <w:r w:rsidRPr="00EC6F3A">
              <w:rPr>
                <w:rFonts w:eastAsia="Times New Roman" w:cs="Arial"/>
                <w:b/>
                <w:bCs/>
                <w:color w:val="000000"/>
                <w:szCs w:val="20"/>
                <w:lang w:eastAsia="pt-BR"/>
              </w:rPr>
              <w:t>/201</w:t>
            </w:r>
            <w:r>
              <w:rPr>
                <w:rFonts w:eastAsia="Times New Roman" w:cs="Arial"/>
                <w:b/>
                <w:bCs/>
                <w:color w:val="000000"/>
                <w:szCs w:val="20"/>
                <w:lang w:eastAsia="pt-BR"/>
              </w:rPr>
              <w:t>9</w:t>
            </w:r>
          </w:p>
        </w:tc>
        <w:tc>
          <w:tcPr>
            <w:tcW w:w="1956" w:type="dxa"/>
            <w:tcBorders>
              <w:top w:val="single" w:sz="4" w:space="0" w:color="000000"/>
              <w:left w:val="nil"/>
              <w:bottom w:val="single" w:sz="4" w:space="0" w:color="000000"/>
              <w:right w:val="nil"/>
            </w:tcBorders>
            <w:vAlign w:val="bottom"/>
          </w:tcPr>
          <w:p w:rsidR="0041147E" w:rsidRPr="00EC6F3A" w:rsidRDefault="0041147E" w:rsidP="008F4251">
            <w:pPr>
              <w:jc w:val="center"/>
              <w:rPr>
                <w:rFonts w:eastAsia="Times New Roman" w:cs="Arial"/>
                <w:b/>
                <w:bCs/>
                <w:color w:val="000000"/>
                <w:szCs w:val="20"/>
                <w:lang w:eastAsia="pt-BR"/>
              </w:rPr>
            </w:pPr>
            <w:r w:rsidRPr="00EC6F3A">
              <w:rPr>
                <w:rFonts w:eastAsia="Times New Roman" w:cs="Arial"/>
                <w:b/>
                <w:bCs/>
                <w:color w:val="000000"/>
                <w:szCs w:val="20"/>
                <w:lang w:eastAsia="pt-BR"/>
              </w:rPr>
              <w:t>3</w:t>
            </w:r>
            <w:r>
              <w:rPr>
                <w:rFonts w:eastAsia="Times New Roman" w:cs="Arial"/>
                <w:b/>
                <w:bCs/>
                <w:color w:val="000000"/>
                <w:szCs w:val="20"/>
                <w:lang w:eastAsia="pt-BR"/>
              </w:rPr>
              <w:t>1</w:t>
            </w:r>
            <w:r w:rsidRPr="00EC6F3A">
              <w:rPr>
                <w:rFonts w:eastAsia="Times New Roman" w:cs="Arial"/>
                <w:b/>
                <w:bCs/>
                <w:color w:val="000000"/>
                <w:szCs w:val="20"/>
                <w:lang w:eastAsia="pt-BR"/>
              </w:rPr>
              <w:t>/</w:t>
            </w:r>
            <w:r>
              <w:rPr>
                <w:rFonts w:eastAsia="Times New Roman" w:cs="Arial"/>
                <w:b/>
                <w:bCs/>
                <w:color w:val="000000"/>
                <w:szCs w:val="20"/>
                <w:lang w:eastAsia="pt-BR"/>
              </w:rPr>
              <w:t>12</w:t>
            </w:r>
            <w:r w:rsidRPr="00EC6F3A">
              <w:rPr>
                <w:rFonts w:eastAsia="Times New Roman" w:cs="Arial"/>
                <w:b/>
                <w:bCs/>
                <w:color w:val="000000"/>
                <w:szCs w:val="20"/>
                <w:lang w:eastAsia="pt-BR"/>
              </w:rPr>
              <w:t>/201</w:t>
            </w:r>
            <w:r>
              <w:rPr>
                <w:rFonts w:eastAsia="Times New Roman" w:cs="Arial"/>
                <w:b/>
                <w:bCs/>
                <w:color w:val="000000"/>
                <w:szCs w:val="20"/>
                <w:lang w:eastAsia="pt-BR"/>
              </w:rPr>
              <w:t>8</w:t>
            </w:r>
          </w:p>
        </w:tc>
        <w:tc>
          <w:tcPr>
            <w:tcW w:w="1161" w:type="dxa"/>
            <w:tcBorders>
              <w:top w:val="single" w:sz="4" w:space="0" w:color="000000"/>
              <w:left w:val="nil"/>
              <w:bottom w:val="single" w:sz="4" w:space="0" w:color="000000"/>
              <w:right w:val="nil"/>
            </w:tcBorders>
            <w:shd w:val="clear" w:color="auto" w:fill="auto"/>
            <w:vAlign w:val="bottom"/>
            <w:hideMark/>
          </w:tcPr>
          <w:p w:rsidR="0041147E" w:rsidRPr="00EC6F3A" w:rsidRDefault="0041147E" w:rsidP="008F4251">
            <w:pPr>
              <w:jc w:val="center"/>
              <w:rPr>
                <w:rFonts w:eastAsia="Times New Roman" w:cs="Arial"/>
                <w:b/>
                <w:bCs/>
                <w:color w:val="000000"/>
                <w:szCs w:val="20"/>
                <w:lang w:eastAsia="pt-BR"/>
              </w:rPr>
            </w:pPr>
            <w:r w:rsidRPr="00EC6F3A">
              <w:rPr>
                <w:rFonts w:eastAsia="Times New Roman" w:cs="Arial"/>
                <w:b/>
                <w:bCs/>
                <w:color w:val="000000"/>
                <w:szCs w:val="20"/>
                <w:lang w:eastAsia="pt-BR"/>
              </w:rPr>
              <w:t>AH (%)</w:t>
            </w:r>
          </w:p>
        </w:tc>
      </w:tr>
      <w:tr w:rsidR="0041147E" w:rsidRPr="00EC6F3A" w:rsidTr="008F4251">
        <w:trPr>
          <w:trHeight w:val="258"/>
        </w:trPr>
        <w:tc>
          <w:tcPr>
            <w:tcW w:w="1267" w:type="dxa"/>
            <w:tcBorders>
              <w:top w:val="nil"/>
              <w:left w:val="nil"/>
              <w:bottom w:val="nil"/>
              <w:right w:val="nil"/>
            </w:tcBorders>
            <w:shd w:val="clear" w:color="D9D9D9" w:fill="D9D9D9"/>
            <w:noWrap/>
            <w:vAlign w:val="bottom"/>
          </w:tcPr>
          <w:p w:rsidR="0041147E" w:rsidRPr="004520B0" w:rsidRDefault="0041147E" w:rsidP="008F4251">
            <w:pPr>
              <w:jc w:val="left"/>
              <w:rPr>
                <w:rFonts w:eastAsia="Times New Roman" w:cs="Arial"/>
                <w:color w:val="000000"/>
                <w:szCs w:val="20"/>
                <w:lang w:eastAsia="pt-BR"/>
              </w:rPr>
            </w:pPr>
            <w:r>
              <w:rPr>
                <w:rFonts w:eastAsia="Times New Roman" w:cs="Arial"/>
                <w:color w:val="000000"/>
                <w:szCs w:val="20"/>
                <w:lang w:eastAsia="pt-BR"/>
              </w:rPr>
              <w:t>0100000000</w:t>
            </w:r>
          </w:p>
        </w:tc>
        <w:tc>
          <w:tcPr>
            <w:tcW w:w="2917" w:type="dxa"/>
            <w:tcBorders>
              <w:top w:val="nil"/>
              <w:left w:val="nil"/>
              <w:bottom w:val="nil"/>
              <w:right w:val="nil"/>
            </w:tcBorders>
            <w:shd w:val="clear" w:color="000000" w:fill="D9D9D9"/>
            <w:vAlign w:val="center"/>
          </w:tcPr>
          <w:p w:rsidR="0041147E" w:rsidRPr="004520B0" w:rsidRDefault="0041147E" w:rsidP="008F4251">
            <w:pPr>
              <w:jc w:val="left"/>
              <w:rPr>
                <w:rFonts w:eastAsia="Times New Roman" w:cs="Arial"/>
                <w:color w:val="000000"/>
                <w:szCs w:val="20"/>
                <w:lang w:eastAsia="pt-BR"/>
              </w:rPr>
            </w:pPr>
            <w:r>
              <w:rPr>
                <w:rFonts w:eastAsia="Times New Roman" w:cs="Arial"/>
                <w:color w:val="000000"/>
                <w:szCs w:val="20"/>
                <w:lang w:eastAsia="pt-BR"/>
              </w:rPr>
              <w:t>Recursos Ordinários</w:t>
            </w:r>
          </w:p>
        </w:tc>
        <w:tc>
          <w:tcPr>
            <w:tcW w:w="1913" w:type="dxa"/>
            <w:tcBorders>
              <w:top w:val="nil"/>
              <w:left w:val="nil"/>
              <w:bottom w:val="nil"/>
              <w:right w:val="nil"/>
            </w:tcBorders>
            <w:shd w:val="clear" w:color="D9D9D9" w:fill="D9D9D9"/>
            <w:noWrap/>
            <w:vAlign w:val="bottom"/>
          </w:tcPr>
          <w:p w:rsidR="0041147E" w:rsidRPr="00914596" w:rsidRDefault="0041147E" w:rsidP="008F4251">
            <w:pPr>
              <w:rPr>
                <w:rFonts w:cs="Arial"/>
                <w:szCs w:val="20"/>
              </w:rPr>
            </w:pPr>
            <w:r>
              <w:rPr>
                <w:rFonts w:cs="Arial"/>
                <w:szCs w:val="20"/>
              </w:rPr>
              <w:t xml:space="preserve">        16.129.951,12</w:t>
            </w:r>
          </w:p>
        </w:tc>
        <w:tc>
          <w:tcPr>
            <w:tcW w:w="1956" w:type="dxa"/>
            <w:tcBorders>
              <w:top w:val="nil"/>
              <w:left w:val="nil"/>
              <w:bottom w:val="nil"/>
              <w:right w:val="nil"/>
            </w:tcBorders>
            <w:shd w:val="clear" w:color="D9D9D9" w:fill="D9D9D9"/>
            <w:vAlign w:val="bottom"/>
          </w:tcPr>
          <w:p w:rsidR="0041147E" w:rsidRPr="004520B0" w:rsidRDefault="0041147E" w:rsidP="008F4251">
            <w:pPr>
              <w:jc w:val="right"/>
              <w:rPr>
                <w:rFonts w:eastAsia="Times New Roman" w:cs="Arial"/>
                <w:color w:val="000000"/>
                <w:szCs w:val="20"/>
                <w:lang w:eastAsia="pt-BR"/>
              </w:rPr>
            </w:pPr>
            <w:r>
              <w:rPr>
                <w:rFonts w:eastAsia="Times New Roman" w:cs="Arial"/>
                <w:color w:val="000000"/>
                <w:szCs w:val="20"/>
                <w:lang w:eastAsia="pt-BR"/>
              </w:rPr>
              <w:t>1.116.428,51</w:t>
            </w:r>
          </w:p>
        </w:tc>
        <w:tc>
          <w:tcPr>
            <w:tcW w:w="1161" w:type="dxa"/>
            <w:tcBorders>
              <w:top w:val="nil"/>
              <w:left w:val="nil"/>
              <w:bottom w:val="nil"/>
              <w:right w:val="nil"/>
            </w:tcBorders>
            <w:shd w:val="clear" w:color="D9D9D9" w:fill="D9D9D9"/>
            <w:noWrap/>
            <w:vAlign w:val="bottom"/>
          </w:tcPr>
          <w:p w:rsidR="0041147E" w:rsidRPr="00EC6F3A" w:rsidRDefault="0041147E" w:rsidP="008F4251">
            <w:pPr>
              <w:jc w:val="right"/>
              <w:rPr>
                <w:rFonts w:eastAsia="Times New Roman" w:cs="Arial"/>
                <w:color w:val="000000"/>
                <w:szCs w:val="20"/>
                <w:lang w:eastAsia="pt-BR"/>
              </w:rPr>
            </w:pPr>
            <w:r>
              <w:rPr>
                <w:rFonts w:eastAsia="Times New Roman" w:cs="Arial"/>
                <w:color w:val="000000"/>
                <w:szCs w:val="20"/>
                <w:lang w:eastAsia="pt-BR"/>
              </w:rPr>
              <w:t>1344,78</w:t>
            </w:r>
          </w:p>
        </w:tc>
      </w:tr>
      <w:tr w:rsidR="0041147E" w:rsidRPr="00EC6F3A" w:rsidTr="008F4251">
        <w:trPr>
          <w:trHeight w:val="517"/>
        </w:trPr>
        <w:tc>
          <w:tcPr>
            <w:tcW w:w="1267" w:type="dxa"/>
            <w:tcBorders>
              <w:top w:val="nil"/>
              <w:left w:val="nil"/>
              <w:bottom w:val="nil"/>
              <w:right w:val="nil"/>
            </w:tcBorders>
            <w:shd w:val="clear" w:color="auto" w:fill="auto"/>
            <w:noWrap/>
            <w:vAlign w:val="bottom"/>
            <w:hideMark/>
          </w:tcPr>
          <w:p w:rsidR="0041147E" w:rsidRPr="00EC6F3A" w:rsidRDefault="0041147E" w:rsidP="008F4251">
            <w:pPr>
              <w:jc w:val="left"/>
              <w:rPr>
                <w:rFonts w:eastAsia="Times New Roman" w:cs="Arial"/>
                <w:color w:val="000000"/>
                <w:szCs w:val="20"/>
                <w:lang w:eastAsia="pt-BR"/>
              </w:rPr>
            </w:pPr>
            <w:r>
              <w:rPr>
                <w:rFonts w:eastAsia="Times New Roman" w:cs="Arial"/>
                <w:color w:val="000000"/>
                <w:szCs w:val="20"/>
                <w:lang w:eastAsia="pt-BR"/>
              </w:rPr>
              <w:t>0150022064</w:t>
            </w:r>
          </w:p>
        </w:tc>
        <w:tc>
          <w:tcPr>
            <w:tcW w:w="2917" w:type="dxa"/>
            <w:tcBorders>
              <w:top w:val="nil"/>
              <w:left w:val="nil"/>
              <w:bottom w:val="nil"/>
              <w:right w:val="nil"/>
            </w:tcBorders>
            <w:shd w:val="clear" w:color="auto" w:fill="auto"/>
            <w:vAlign w:val="center"/>
            <w:hideMark/>
          </w:tcPr>
          <w:p w:rsidR="0041147E" w:rsidRPr="00EC6F3A" w:rsidRDefault="0041147E" w:rsidP="008F4251">
            <w:pPr>
              <w:jc w:val="left"/>
              <w:rPr>
                <w:rFonts w:eastAsia="Times New Roman" w:cs="Arial"/>
                <w:color w:val="000000"/>
                <w:szCs w:val="20"/>
                <w:lang w:eastAsia="pt-BR"/>
              </w:rPr>
            </w:pPr>
            <w:r>
              <w:rPr>
                <w:rFonts w:eastAsia="Times New Roman" w:cs="Arial"/>
                <w:color w:val="000000"/>
                <w:szCs w:val="20"/>
                <w:lang w:eastAsia="pt-BR"/>
              </w:rPr>
              <w:t>Multas do CNP/ANP</w:t>
            </w:r>
          </w:p>
        </w:tc>
        <w:tc>
          <w:tcPr>
            <w:tcW w:w="1913" w:type="dxa"/>
            <w:tcBorders>
              <w:top w:val="nil"/>
              <w:left w:val="nil"/>
              <w:bottom w:val="nil"/>
              <w:right w:val="nil"/>
            </w:tcBorders>
            <w:shd w:val="clear" w:color="auto" w:fill="auto"/>
            <w:noWrap/>
            <w:vAlign w:val="bottom"/>
            <w:hideMark/>
          </w:tcPr>
          <w:p w:rsidR="0041147E" w:rsidRPr="00EC6F3A" w:rsidRDefault="0041147E" w:rsidP="008F4251">
            <w:pPr>
              <w:jc w:val="right"/>
              <w:rPr>
                <w:rFonts w:eastAsia="Times New Roman" w:cs="Arial"/>
                <w:color w:val="000000"/>
                <w:szCs w:val="20"/>
                <w:lang w:eastAsia="pt-BR"/>
              </w:rPr>
            </w:pPr>
            <w:r>
              <w:rPr>
                <w:rFonts w:eastAsia="Times New Roman" w:cs="Arial"/>
                <w:color w:val="000000"/>
                <w:szCs w:val="20"/>
                <w:lang w:eastAsia="pt-BR"/>
              </w:rPr>
              <w:t>11.843.157,97</w:t>
            </w:r>
          </w:p>
        </w:tc>
        <w:tc>
          <w:tcPr>
            <w:tcW w:w="1956" w:type="dxa"/>
            <w:tcBorders>
              <w:top w:val="nil"/>
              <w:left w:val="nil"/>
              <w:bottom w:val="nil"/>
              <w:right w:val="nil"/>
            </w:tcBorders>
            <w:vAlign w:val="bottom"/>
          </w:tcPr>
          <w:p w:rsidR="0041147E" w:rsidRPr="00EC6F3A" w:rsidRDefault="0041147E" w:rsidP="008F4251">
            <w:pPr>
              <w:jc w:val="right"/>
              <w:rPr>
                <w:rFonts w:eastAsia="Times New Roman" w:cs="Arial"/>
                <w:color w:val="000000"/>
                <w:szCs w:val="20"/>
                <w:lang w:eastAsia="pt-BR"/>
              </w:rPr>
            </w:pPr>
            <w:r>
              <w:rPr>
                <w:rFonts w:eastAsia="Times New Roman" w:cs="Arial"/>
                <w:color w:val="000000"/>
                <w:szCs w:val="20"/>
                <w:lang w:eastAsia="pt-BR"/>
              </w:rPr>
              <w:t>11.843.157,97</w:t>
            </w:r>
          </w:p>
        </w:tc>
        <w:tc>
          <w:tcPr>
            <w:tcW w:w="1161" w:type="dxa"/>
            <w:tcBorders>
              <w:top w:val="nil"/>
              <w:left w:val="nil"/>
              <w:bottom w:val="nil"/>
              <w:right w:val="nil"/>
            </w:tcBorders>
            <w:shd w:val="clear" w:color="auto" w:fill="auto"/>
            <w:noWrap/>
            <w:vAlign w:val="bottom"/>
            <w:hideMark/>
          </w:tcPr>
          <w:p w:rsidR="0041147E" w:rsidRPr="00EC6F3A" w:rsidRDefault="0041147E" w:rsidP="008F4251">
            <w:pPr>
              <w:jc w:val="right"/>
              <w:rPr>
                <w:rFonts w:eastAsia="Times New Roman" w:cs="Arial"/>
                <w:color w:val="000000"/>
                <w:szCs w:val="20"/>
                <w:lang w:eastAsia="pt-BR"/>
              </w:rPr>
            </w:pPr>
            <w:r>
              <w:rPr>
                <w:rFonts w:eastAsia="Times New Roman" w:cs="Arial"/>
                <w:color w:val="000000"/>
                <w:szCs w:val="20"/>
                <w:lang w:eastAsia="pt-BR"/>
              </w:rPr>
              <w:t>0</w:t>
            </w:r>
          </w:p>
        </w:tc>
      </w:tr>
      <w:tr w:rsidR="0041147E" w:rsidRPr="00EC6F3A" w:rsidTr="008F4251">
        <w:trPr>
          <w:trHeight w:val="258"/>
        </w:trPr>
        <w:tc>
          <w:tcPr>
            <w:tcW w:w="1267" w:type="dxa"/>
            <w:tcBorders>
              <w:top w:val="nil"/>
              <w:left w:val="nil"/>
              <w:bottom w:val="nil"/>
              <w:right w:val="nil"/>
            </w:tcBorders>
            <w:shd w:val="clear" w:color="D9D9D9" w:fill="D9D9D9"/>
            <w:noWrap/>
            <w:vAlign w:val="bottom"/>
          </w:tcPr>
          <w:p w:rsidR="0041147E" w:rsidRDefault="0041147E" w:rsidP="008F4251">
            <w:pPr>
              <w:jc w:val="left"/>
              <w:rPr>
                <w:rFonts w:eastAsia="Times New Roman" w:cs="Arial"/>
                <w:color w:val="000000"/>
                <w:szCs w:val="20"/>
                <w:lang w:eastAsia="pt-BR"/>
              </w:rPr>
            </w:pPr>
            <w:r>
              <w:rPr>
                <w:rFonts w:eastAsia="Times New Roman" w:cs="Arial"/>
                <w:color w:val="000000"/>
                <w:szCs w:val="20"/>
                <w:lang w:eastAsia="pt-BR"/>
              </w:rPr>
              <w:t>0156000000</w:t>
            </w:r>
          </w:p>
        </w:tc>
        <w:tc>
          <w:tcPr>
            <w:tcW w:w="2917" w:type="dxa"/>
            <w:tcBorders>
              <w:top w:val="nil"/>
              <w:left w:val="nil"/>
              <w:bottom w:val="nil"/>
              <w:right w:val="nil"/>
            </w:tcBorders>
            <w:shd w:val="clear" w:color="000000" w:fill="D9D9D9"/>
            <w:vAlign w:val="center"/>
          </w:tcPr>
          <w:p w:rsidR="0041147E" w:rsidRDefault="0041147E" w:rsidP="008F4251">
            <w:pPr>
              <w:jc w:val="left"/>
              <w:rPr>
                <w:rFonts w:eastAsia="Times New Roman" w:cs="Arial"/>
                <w:color w:val="000000"/>
                <w:szCs w:val="20"/>
                <w:lang w:eastAsia="pt-BR"/>
              </w:rPr>
            </w:pPr>
          </w:p>
        </w:tc>
        <w:tc>
          <w:tcPr>
            <w:tcW w:w="1913" w:type="dxa"/>
            <w:tcBorders>
              <w:top w:val="nil"/>
              <w:left w:val="nil"/>
              <w:bottom w:val="nil"/>
              <w:right w:val="nil"/>
            </w:tcBorders>
            <w:shd w:val="clear" w:color="D9D9D9" w:fill="D9D9D9"/>
            <w:noWrap/>
            <w:vAlign w:val="bottom"/>
          </w:tcPr>
          <w:p w:rsidR="0041147E" w:rsidRDefault="0041147E" w:rsidP="008F4251">
            <w:pPr>
              <w:jc w:val="right"/>
              <w:rPr>
                <w:rFonts w:eastAsia="Times New Roman" w:cs="Arial"/>
                <w:color w:val="000000"/>
                <w:szCs w:val="20"/>
                <w:lang w:eastAsia="pt-BR"/>
              </w:rPr>
            </w:pPr>
            <w:r>
              <w:rPr>
                <w:rFonts w:eastAsia="Times New Roman" w:cs="Arial"/>
                <w:color w:val="000000"/>
                <w:szCs w:val="20"/>
                <w:lang w:eastAsia="pt-BR"/>
              </w:rPr>
              <w:t>8.675,69</w:t>
            </w:r>
          </w:p>
        </w:tc>
        <w:tc>
          <w:tcPr>
            <w:tcW w:w="1956" w:type="dxa"/>
            <w:tcBorders>
              <w:top w:val="nil"/>
              <w:left w:val="nil"/>
              <w:bottom w:val="nil"/>
              <w:right w:val="nil"/>
            </w:tcBorders>
            <w:shd w:val="clear" w:color="D9D9D9" w:fill="D9D9D9"/>
            <w:vAlign w:val="bottom"/>
          </w:tcPr>
          <w:p w:rsidR="0041147E" w:rsidRDefault="0041147E" w:rsidP="008F4251">
            <w:pPr>
              <w:jc w:val="right"/>
              <w:rPr>
                <w:rFonts w:eastAsia="Times New Roman" w:cs="Arial"/>
                <w:color w:val="000000"/>
                <w:szCs w:val="20"/>
                <w:lang w:eastAsia="pt-BR"/>
              </w:rPr>
            </w:pPr>
            <w:r>
              <w:rPr>
                <w:rFonts w:eastAsia="Times New Roman" w:cs="Arial"/>
                <w:color w:val="000000"/>
                <w:szCs w:val="20"/>
                <w:lang w:eastAsia="pt-BR"/>
              </w:rPr>
              <w:t>0,00</w:t>
            </w:r>
          </w:p>
        </w:tc>
        <w:tc>
          <w:tcPr>
            <w:tcW w:w="1161" w:type="dxa"/>
            <w:tcBorders>
              <w:top w:val="nil"/>
              <w:left w:val="nil"/>
              <w:bottom w:val="nil"/>
              <w:right w:val="nil"/>
            </w:tcBorders>
            <w:shd w:val="clear" w:color="D9D9D9" w:fill="D9D9D9"/>
            <w:noWrap/>
            <w:vAlign w:val="bottom"/>
          </w:tcPr>
          <w:p w:rsidR="0041147E" w:rsidRDefault="0041147E" w:rsidP="008F4251">
            <w:pPr>
              <w:jc w:val="right"/>
              <w:rPr>
                <w:rFonts w:eastAsia="Times New Roman" w:cs="Arial"/>
                <w:color w:val="000000"/>
                <w:szCs w:val="20"/>
                <w:lang w:eastAsia="pt-BR"/>
              </w:rPr>
            </w:pPr>
          </w:p>
        </w:tc>
      </w:tr>
      <w:tr w:rsidR="0041147E" w:rsidRPr="00EC6F3A" w:rsidTr="008F4251">
        <w:trPr>
          <w:trHeight w:val="258"/>
        </w:trPr>
        <w:tc>
          <w:tcPr>
            <w:tcW w:w="1267" w:type="dxa"/>
            <w:tcBorders>
              <w:top w:val="nil"/>
              <w:left w:val="nil"/>
              <w:bottom w:val="nil"/>
              <w:right w:val="nil"/>
            </w:tcBorders>
            <w:shd w:val="clear" w:color="D9D9D9" w:fill="D9D9D9"/>
            <w:noWrap/>
            <w:vAlign w:val="bottom"/>
          </w:tcPr>
          <w:p w:rsidR="0041147E" w:rsidRDefault="0041147E" w:rsidP="008F4251">
            <w:pPr>
              <w:jc w:val="left"/>
              <w:rPr>
                <w:rFonts w:eastAsia="Times New Roman" w:cs="Arial"/>
                <w:color w:val="000000"/>
                <w:szCs w:val="20"/>
                <w:lang w:eastAsia="pt-BR"/>
              </w:rPr>
            </w:pPr>
            <w:r>
              <w:rPr>
                <w:rFonts w:eastAsia="Times New Roman" w:cs="Arial"/>
                <w:color w:val="000000"/>
                <w:szCs w:val="20"/>
                <w:lang w:eastAsia="pt-BR"/>
              </w:rPr>
              <w:t>0174022064</w:t>
            </w:r>
          </w:p>
        </w:tc>
        <w:tc>
          <w:tcPr>
            <w:tcW w:w="2917" w:type="dxa"/>
            <w:tcBorders>
              <w:top w:val="nil"/>
              <w:left w:val="nil"/>
              <w:bottom w:val="nil"/>
              <w:right w:val="nil"/>
            </w:tcBorders>
            <w:shd w:val="clear" w:color="000000" w:fill="D9D9D9"/>
            <w:vAlign w:val="center"/>
          </w:tcPr>
          <w:p w:rsidR="0041147E" w:rsidRDefault="0041147E" w:rsidP="008F4251">
            <w:pPr>
              <w:jc w:val="left"/>
              <w:rPr>
                <w:rFonts w:eastAsia="Times New Roman" w:cs="Arial"/>
                <w:color w:val="000000"/>
                <w:szCs w:val="20"/>
                <w:lang w:eastAsia="pt-BR"/>
              </w:rPr>
            </w:pPr>
            <w:r w:rsidRPr="00AC3B39">
              <w:rPr>
                <w:rFonts w:eastAsia="Times New Roman" w:cs="Arial"/>
                <w:color w:val="000000"/>
                <w:szCs w:val="20"/>
                <w:lang w:eastAsia="pt-BR"/>
              </w:rPr>
              <w:t xml:space="preserve">Multas </w:t>
            </w:r>
            <w:proofErr w:type="spellStart"/>
            <w:proofErr w:type="gramStart"/>
            <w:r w:rsidRPr="00AC3B39">
              <w:rPr>
                <w:rFonts w:eastAsia="Times New Roman" w:cs="Arial"/>
                <w:color w:val="000000"/>
                <w:szCs w:val="20"/>
                <w:lang w:eastAsia="pt-BR"/>
              </w:rPr>
              <w:t>Leg.Lubrif.CombustAnp</w:t>
            </w:r>
            <w:proofErr w:type="spellEnd"/>
            <w:proofErr w:type="gramEnd"/>
          </w:p>
        </w:tc>
        <w:tc>
          <w:tcPr>
            <w:tcW w:w="1913" w:type="dxa"/>
            <w:tcBorders>
              <w:top w:val="nil"/>
              <w:left w:val="nil"/>
              <w:bottom w:val="nil"/>
              <w:right w:val="nil"/>
            </w:tcBorders>
            <w:shd w:val="clear" w:color="D9D9D9" w:fill="D9D9D9"/>
            <w:noWrap/>
            <w:vAlign w:val="bottom"/>
          </w:tcPr>
          <w:p w:rsidR="0041147E" w:rsidRDefault="0041147E" w:rsidP="008F4251">
            <w:pPr>
              <w:jc w:val="right"/>
              <w:rPr>
                <w:rFonts w:eastAsia="Times New Roman" w:cs="Arial"/>
                <w:color w:val="000000"/>
                <w:szCs w:val="20"/>
                <w:lang w:eastAsia="pt-BR"/>
              </w:rPr>
            </w:pPr>
            <w:r>
              <w:rPr>
                <w:rFonts w:eastAsia="Times New Roman" w:cs="Arial"/>
                <w:color w:val="000000"/>
                <w:szCs w:val="20"/>
                <w:lang w:eastAsia="pt-BR"/>
              </w:rPr>
              <w:t>105.711,38</w:t>
            </w:r>
          </w:p>
        </w:tc>
        <w:tc>
          <w:tcPr>
            <w:tcW w:w="1956" w:type="dxa"/>
            <w:tcBorders>
              <w:top w:val="nil"/>
              <w:left w:val="nil"/>
              <w:bottom w:val="nil"/>
              <w:right w:val="nil"/>
            </w:tcBorders>
            <w:shd w:val="clear" w:color="D9D9D9" w:fill="D9D9D9"/>
            <w:vAlign w:val="bottom"/>
          </w:tcPr>
          <w:p w:rsidR="0041147E" w:rsidRDefault="0041147E" w:rsidP="008F4251">
            <w:pPr>
              <w:jc w:val="right"/>
              <w:rPr>
                <w:rFonts w:eastAsia="Times New Roman" w:cs="Arial"/>
                <w:color w:val="000000"/>
                <w:szCs w:val="20"/>
                <w:lang w:eastAsia="pt-BR"/>
              </w:rPr>
            </w:pPr>
            <w:r>
              <w:rPr>
                <w:rFonts w:eastAsia="Times New Roman" w:cs="Arial"/>
                <w:color w:val="000000"/>
                <w:szCs w:val="20"/>
                <w:lang w:eastAsia="pt-BR"/>
              </w:rPr>
              <w:t>0,00</w:t>
            </w:r>
          </w:p>
        </w:tc>
        <w:tc>
          <w:tcPr>
            <w:tcW w:w="1161" w:type="dxa"/>
            <w:tcBorders>
              <w:top w:val="nil"/>
              <w:left w:val="nil"/>
              <w:bottom w:val="nil"/>
              <w:right w:val="nil"/>
            </w:tcBorders>
            <w:shd w:val="clear" w:color="D9D9D9" w:fill="D9D9D9"/>
            <w:noWrap/>
            <w:vAlign w:val="bottom"/>
          </w:tcPr>
          <w:p w:rsidR="0041147E" w:rsidRDefault="0041147E" w:rsidP="008F4251">
            <w:pPr>
              <w:jc w:val="right"/>
              <w:rPr>
                <w:rFonts w:eastAsia="Times New Roman" w:cs="Arial"/>
                <w:color w:val="000000"/>
                <w:szCs w:val="20"/>
                <w:lang w:eastAsia="pt-BR"/>
              </w:rPr>
            </w:pPr>
          </w:p>
        </w:tc>
      </w:tr>
      <w:tr w:rsidR="0041147E" w:rsidRPr="00EC6F3A" w:rsidTr="008F4251">
        <w:trPr>
          <w:trHeight w:val="258"/>
        </w:trPr>
        <w:tc>
          <w:tcPr>
            <w:tcW w:w="1267" w:type="dxa"/>
            <w:tcBorders>
              <w:top w:val="nil"/>
              <w:left w:val="nil"/>
              <w:bottom w:val="nil"/>
              <w:right w:val="nil"/>
            </w:tcBorders>
            <w:shd w:val="clear" w:color="D9D9D9" w:fill="D9D9D9"/>
            <w:noWrap/>
            <w:vAlign w:val="bottom"/>
          </w:tcPr>
          <w:p w:rsidR="0041147E" w:rsidRPr="00EC6F3A" w:rsidRDefault="0041147E" w:rsidP="008F4251">
            <w:pPr>
              <w:jc w:val="left"/>
              <w:rPr>
                <w:rFonts w:eastAsia="Times New Roman" w:cs="Arial"/>
                <w:color w:val="000000"/>
                <w:szCs w:val="20"/>
                <w:lang w:eastAsia="pt-BR"/>
              </w:rPr>
            </w:pPr>
            <w:r>
              <w:rPr>
                <w:rFonts w:eastAsia="Times New Roman" w:cs="Arial"/>
                <w:color w:val="000000"/>
                <w:szCs w:val="20"/>
                <w:lang w:eastAsia="pt-BR"/>
              </w:rPr>
              <w:t>0180365009</w:t>
            </w:r>
          </w:p>
        </w:tc>
        <w:tc>
          <w:tcPr>
            <w:tcW w:w="2917" w:type="dxa"/>
            <w:tcBorders>
              <w:top w:val="nil"/>
              <w:left w:val="nil"/>
              <w:bottom w:val="nil"/>
              <w:right w:val="nil"/>
            </w:tcBorders>
            <w:shd w:val="clear" w:color="000000" w:fill="D9D9D9"/>
            <w:vAlign w:val="center"/>
          </w:tcPr>
          <w:p w:rsidR="0041147E" w:rsidRDefault="0041147E" w:rsidP="008F4251">
            <w:pPr>
              <w:jc w:val="left"/>
              <w:rPr>
                <w:rFonts w:eastAsia="Times New Roman" w:cs="Arial"/>
                <w:color w:val="000000"/>
                <w:szCs w:val="20"/>
                <w:lang w:eastAsia="pt-BR"/>
              </w:rPr>
            </w:pPr>
            <w:proofErr w:type="spellStart"/>
            <w:r>
              <w:rPr>
                <w:rFonts w:eastAsia="Times New Roman" w:cs="Arial"/>
                <w:color w:val="000000"/>
                <w:szCs w:val="20"/>
                <w:lang w:eastAsia="pt-BR"/>
              </w:rPr>
              <w:t>Rec</w:t>
            </w:r>
            <w:proofErr w:type="spellEnd"/>
            <w:r>
              <w:rPr>
                <w:rFonts w:eastAsia="Times New Roman" w:cs="Arial"/>
                <w:color w:val="000000"/>
                <w:szCs w:val="20"/>
                <w:lang w:eastAsia="pt-BR"/>
              </w:rPr>
              <w:t xml:space="preserve"> </w:t>
            </w:r>
            <w:proofErr w:type="spellStart"/>
            <w:r>
              <w:rPr>
                <w:rFonts w:eastAsia="Times New Roman" w:cs="Arial"/>
                <w:color w:val="000000"/>
                <w:szCs w:val="20"/>
                <w:lang w:eastAsia="pt-BR"/>
              </w:rPr>
              <w:t>Fin</w:t>
            </w:r>
            <w:proofErr w:type="spellEnd"/>
            <w:r>
              <w:rPr>
                <w:rFonts w:eastAsia="Times New Roman" w:cs="Arial"/>
                <w:color w:val="000000"/>
                <w:szCs w:val="20"/>
                <w:lang w:eastAsia="pt-BR"/>
              </w:rPr>
              <w:t xml:space="preserve"> </w:t>
            </w:r>
            <w:proofErr w:type="spellStart"/>
            <w:r>
              <w:rPr>
                <w:rFonts w:eastAsia="Times New Roman" w:cs="Arial"/>
                <w:color w:val="000000"/>
                <w:szCs w:val="20"/>
                <w:lang w:eastAsia="pt-BR"/>
              </w:rPr>
              <w:t>Diretam</w:t>
            </w:r>
            <w:proofErr w:type="spellEnd"/>
            <w:r>
              <w:rPr>
                <w:rFonts w:eastAsia="Times New Roman" w:cs="Arial"/>
                <w:color w:val="000000"/>
                <w:szCs w:val="20"/>
                <w:lang w:eastAsia="pt-BR"/>
              </w:rPr>
              <w:t>. Arrecadados</w:t>
            </w:r>
          </w:p>
        </w:tc>
        <w:tc>
          <w:tcPr>
            <w:tcW w:w="1913" w:type="dxa"/>
            <w:tcBorders>
              <w:top w:val="nil"/>
              <w:left w:val="nil"/>
              <w:bottom w:val="nil"/>
              <w:right w:val="nil"/>
            </w:tcBorders>
            <w:shd w:val="clear" w:color="D9D9D9" w:fill="D9D9D9"/>
            <w:noWrap/>
            <w:vAlign w:val="bottom"/>
          </w:tcPr>
          <w:p w:rsidR="0041147E" w:rsidRPr="00EC6F3A" w:rsidRDefault="0041147E" w:rsidP="008F4251">
            <w:pPr>
              <w:jc w:val="right"/>
              <w:rPr>
                <w:rFonts w:eastAsia="Times New Roman" w:cs="Arial"/>
                <w:color w:val="000000"/>
                <w:szCs w:val="20"/>
                <w:lang w:eastAsia="pt-BR"/>
              </w:rPr>
            </w:pPr>
            <w:r>
              <w:rPr>
                <w:rFonts w:eastAsia="Times New Roman" w:cs="Arial"/>
                <w:color w:val="000000"/>
                <w:szCs w:val="20"/>
                <w:lang w:eastAsia="pt-BR"/>
              </w:rPr>
              <w:t>11.568,90</w:t>
            </w:r>
          </w:p>
        </w:tc>
        <w:tc>
          <w:tcPr>
            <w:tcW w:w="1956" w:type="dxa"/>
            <w:tcBorders>
              <w:top w:val="nil"/>
              <w:left w:val="nil"/>
              <w:bottom w:val="nil"/>
              <w:right w:val="nil"/>
            </w:tcBorders>
            <w:shd w:val="clear" w:color="D9D9D9" w:fill="D9D9D9"/>
            <w:vAlign w:val="bottom"/>
          </w:tcPr>
          <w:p w:rsidR="0041147E" w:rsidRPr="00EC6F3A" w:rsidRDefault="0041147E" w:rsidP="008F4251">
            <w:pPr>
              <w:jc w:val="right"/>
              <w:rPr>
                <w:rFonts w:eastAsia="Times New Roman" w:cs="Arial"/>
                <w:color w:val="000000"/>
                <w:szCs w:val="20"/>
                <w:lang w:eastAsia="pt-BR"/>
              </w:rPr>
            </w:pPr>
            <w:r>
              <w:rPr>
                <w:rFonts w:eastAsia="Times New Roman" w:cs="Arial"/>
                <w:color w:val="000000"/>
                <w:szCs w:val="20"/>
                <w:lang w:eastAsia="pt-BR"/>
              </w:rPr>
              <w:t>56.705,10</w:t>
            </w:r>
          </w:p>
        </w:tc>
        <w:tc>
          <w:tcPr>
            <w:tcW w:w="1161" w:type="dxa"/>
            <w:tcBorders>
              <w:top w:val="nil"/>
              <w:left w:val="nil"/>
              <w:bottom w:val="nil"/>
              <w:right w:val="nil"/>
            </w:tcBorders>
            <w:shd w:val="clear" w:color="D9D9D9" w:fill="D9D9D9"/>
            <w:noWrap/>
            <w:vAlign w:val="bottom"/>
          </w:tcPr>
          <w:p w:rsidR="0041147E" w:rsidRPr="00EC6F3A" w:rsidRDefault="0041147E" w:rsidP="008F4251">
            <w:pPr>
              <w:jc w:val="right"/>
              <w:rPr>
                <w:rFonts w:eastAsia="Times New Roman" w:cs="Arial"/>
                <w:color w:val="000000"/>
                <w:szCs w:val="20"/>
                <w:lang w:eastAsia="pt-BR"/>
              </w:rPr>
            </w:pPr>
            <w:r>
              <w:rPr>
                <w:rFonts w:eastAsia="Times New Roman" w:cs="Arial"/>
                <w:color w:val="000000"/>
                <w:szCs w:val="20"/>
                <w:lang w:eastAsia="pt-BR"/>
              </w:rPr>
              <w:t>-79,60</w:t>
            </w:r>
          </w:p>
        </w:tc>
      </w:tr>
      <w:tr w:rsidR="0041147E" w:rsidRPr="00EC6F3A" w:rsidTr="008F4251">
        <w:trPr>
          <w:trHeight w:val="258"/>
        </w:trPr>
        <w:tc>
          <w:tcPr>
            <w:tcW w:w="1267" w:type="dxa"/>
            <w:tcBorders>
              <w:top w:val="nil"/>
              <w:left w:val="nil"/>
              <w:bottom w:val="nil"/>
              <w:right w:val="nil"/>
            </w:tcBorders>
            <w:shd w:val="clear" w:color="D9D9D9" w:fill="D9D9D9"/>
            <w:noWrap/>
            <w:vAlign w:val="bottom"/>
          </w:tcPr>
          <w:p w:rsidR="0041147E" w:rsidRPr="00EC6F3A" w:rsidRDefault="0041147E" w:rsidP="008F4251">
            <w:pPr>
              <w:jc w:val="left"/>
              <w:rPr>
                <w:rFonts w:eastAsia="Times New Roman" w:cs="Arial"/>
                <w:color w:val="000000"/>
                <w:szCs w:val="20"/>
                <w:lang w:eastAsia="pt-BR"/>
              </w:rPr>
            </w:pPr>
            <w:r>
              <w:rPr>
                <w:rFonts w:eastAsia="Times New Roman" w:cs="Arial"/>
                <w:color w:val="000000"/>
                <w:szCs w:val="20"/>
                <w:lang w:eastAsia="pt-BR"/>
              </w:rPr>
              <w:t>0190000000</w:t>
            </w:r>
          </w:p>
        </w:tc>
        <w:tc>
          <w:tcPr>
            <w:tcW w:w="2917" w:type="dxa"/>
            <w:tcBorders>
              <w:top w:val="nil"/>
              <w:left w:val="nil"/>
              <w:bottom w:val="nil"/>
              <w:right w:val="nil"/>
            </w:tcBorders>
            <w:shd w:val="clear" w:color="000000" w:fill="D9D9D9"/>
            <w:vAlign w:val="center"/>
          </w:tcPr>
          <w:p w:rsidR="0041147E" w:rsidRDefault="0041147E" w:rsidP="008F4251">
            <w:pPr>
              <w:jc w:val="left"/>
              <w:rPr>
                <w:rFonts w:eastAsia="Times New Roman" w:cs="Arial"/>
                <w:color w:val="000000"/>
                <w:szCs w:val="20"/>
                <w:lang w:eastAsia="pt-BR"/>
              </w:rPr>
            </w:pPr>
            <w:r>
              <w:rPr>
                <w:rFonts w:eastAsia="Times New Roman" w:cs="Arial"/>
                <w:color w:val="000000"/>
                <w:szCs w:val="20"/>
                <w:lang w:eastAsia="pt-BR"/>
              </w:rPr>
              <w:t>Recursos Diversos</w:t>
            </w:r>
          </w:p>
        </w:tc>
        <w:tc>
          <w:tcPr>
            <w:tcW w:w="1913" w:type="dxa"/>
            <w:tcBorders>
              <w:top w:val="nil"/>
              <w:left w:val="nil"/>
              <w:bottom w:val="nil"/>
              <w:right w:val="nil"/>
            </w:tcBorders>
            <w:shd w:val="clear" w:color="D9D9D9" w:fill="D9D9D9"/>
            <w:noWrap/>
            <w:vAlign w:val="bottom"/>
          </w:tcPr>
          <w:p w:rsidR="0041147E" w:rsidRPr="00EC6F3A" w:rsidRDefault="0041147E" w:rsidP="008F4251">
            <w:pPr>
              <w:jc w:val="right"/>
              <w:rPr>
                <w:rFonts w:eastAsia="Times New Roman" w:cs="Arial"/>
                <w:color w:val="000000"/>
                <w:szCs w:val="20"/>
                <w:lang w:eastAsia="pt-BR"/>
              </w:rPr>
            </w:pPr>
            <w:r>
              <w:rPr>
                <w:rFonts w:eastAsia="Times New Roman" w:cs="Arial"/>
                <w:color w:val="000000"/>
                <w:szCs w:val="20"/>
                <w:lang w:eastAsia="pt-BR"/>
              </w:rPr>
              <w:t>22.525,93</w:t>
            </w:r>
          </w:p>
        </w:tc>
        <w:tc>
          <w:tcPr>
            <w:tcW w:w="1956" w:type="dxa"/>
            <w:tcBorders>
              <w:top w:val="nil"/>
              <w:left w:val="nil"/>
              <w:bottom w:val="nil"/>
              <w:right w:val="nil"/>
            </w:tcBorders>
            <w:shd w:val="clear" w:color="D9D9D9" w:fill="D9D9D9"/>
            <w:vAlign w:val="bottom"/>
          </w:tcPr>
          <w:p w:rsidR="0041147E" w:rsidRPr="00EC6F3A" w:rsidRDefault="0041147E" w:rsidP="008F4251">
            <w:pPr>
              <w:jc w:val="right"/>
              <w:rPr>
                <w:rFonts w:eastAsia="Times New Roman" w:cs="Arial"/>
                <w:color w:val="000000"/>
                <w:szCs w:val="20"/>
                <w:lang w:eastAsia="pt-BR"/>
              </w:rPr>
            </w:pPr>
            <w:r>
              <w:rPr>
                <w:rFonts w:eastAsia="Times New Roman" w:cs="Arial"/>
                <w:color w:val="000000"/>
                <w:szCs w:val="20"/>
                <w:lang w:eastAsia="pt-BR"/>
              </w:rPr>
              <w:t>23.111,22</w:t>
            </w:r>
          </w:p>
        </w:tc>
        <w:tc>
          <w:tcPr>
            <w:tcW w:w="1161" w:type="dxa"/>
            <w:tcBorders>
              <w:top w:val="nil"/>
              <w:left w:val="nil"/>
              <w:bottom w:val="nil"/>
              <w:right w:val="nil"/>
            </w:tcBorders>
            <w:shd w:val="clear" w:color="D9D9D9" w:fill="D9D9D9"/>
            <w:noWrap/>
            <w:vAlign w:val="bottom"/>
          </w:tcPr>
          <w:p w:rsidR="0041147E" w:rsidRPr="00EC6F3A" w:rsidRDefault="0041147E" w:rsidP="008F4251">
            <w:pPr>
              <w:jc w:val="right"/>
              <w:rPr>
                <w:rFonts w:eastAsia="Times New Roman" w:cs="Arial"/>
                <w:color w:val="000000"/>
                <w:szCs w:val="20"/>
                <w:lang w:eastAsia="pt-BR"/>
              </w:rPr>
            </w:pPr>
            <w:r>
              <w:rPr>
                <w:rFonts w:eastAsia="Times New Roman" w:cs="Arial"/>
                <w:color w:val="000000"/>
                <w:szCs w:val="20"/>
                <w:lang w:eastAsia="pt-BR"/>
              </w:rPr>
              <w:t>-2,53</w:t>
            </w:r>
          </w:p>
        </w:tc>
      </w:tr>
      <w:tr w:rsidR="0041147E" w:rsidRPr="00EC6F3A" w:rsidTr="008F4251">
        <w:trPr>
          <w:trHeight w:val="258"/>
        </w:trPr>
        <w:tc>
          <w:tcPr>
            <w:tcW w:w="1267" w:type="dxa"/>
            <w:tcBorders>
              <w:top w:val="nil"/>
              <w:left w:val="nil"/>
              <w:bottom w:val="nil"/>
              <w:right w:val="nil"/>
            </w:tcBorders>
            <w:shd w:val="clear" w:color="auto" w:fill="auto"/>
            <w:noWrap/>
            <w:vAlign w:val="bottom"/>
            <w:hideMark/>
          </w:tcPr>
          <w:p w:rsidR="0041147E" w:rsidRPr="00EC6F3A" w:rsidRDefault="0041147E" w:rsidP="008F4251">
            <w:pPr>
              <w:jc w:val="left"/>
              <w:rPr>
                <w:rFonts w:eastAsia="Times New Roman" w:cs="Arial"/>
                <w:color w:val="000000"/>
                <w:szCs w:val="20"/>
                <w:lang w:eastAsia="pt-BR"/>
              </w:rPr>
            </w:pPr>
            <w:r w:rsidRPr="00EC6F3A">
              <w:rPr>
                <w:rFonts w:eastAsia="Times New Roman" w:cs="Arial"/>
                <w:color w:val="000000"/>
                <w:szCs w:val="20"/>
                <w:lang w:eastAsia="pt-BR"/>
              </w:rPr>
              <w:t>0250</w:t>
            </w:r>
            <w:r>
              <w:rPr>
                <w:rFonts w:eastAsia="Times New Roman" w:cs="Arial"/>
                <w:color w:val="000000"/>
                <w:szCs w:val="20"/>
                <w:lang w:eastAsia="pt-BR"/>
              </w:rPr>
              <w:t>322051</w:t>
            </w:r>
          </w:p>
        </w:tc>
        <w:tc>
          <w:tcPr>
            <w:tcW w:w="2917" w:type="dxa"/>
            <w:tcBorders>
              <w:top w:val="nil"/>
              <w:left w:val="nil"/>
              <w:bottom w:val="nil"/>
              <w:right w:val="nil"/>
            </w:tcBorders>
            <w:shd w:val="clear" w:color="auto" w:fill="auto"/>
            <w:vAlign w:val="center"/>
            <w:hideMark/>
          </w:tcPr>
          <w:p w:rsidR="0041147E" w:rsidRPr="00EC6F3A" w:rsidRDefault="0041147E" w:rsidP="008F4251">
            <w:pPr>
              <w:jc w:val="left"/>
              <w:rPr>
                <w:rFonts w:eastAsia="Times New Roman" w:cs="Arial"/>
                <w:color w:val="000000"/>
                <w:szCs w:val="20"/>
                <w:lang w:eastAsia="pt-BR"/>
              </w:rPr>
            </w:pPr>
            <w:proofErr w:type="spellStart"/>
            <w:r>
              <w:rPr>
                <w:rFonts w:eastAsia="Times New Roman" w:cs="Arial"/>
                <w:color w:val="000000"/>
                <w:szCs w:val="20"/>
                <w:lang w:eastAsia="pt-BR"/>
              </w:rPr>
              <w:t>Serv</w:t>
            </w:r>
            <w:proofErr w:type="spellEnd"/>
            <w:r>
              <w:rPr>
                <w:rFonts w:eastAsia="Times New Roman" w:cs="Arial"/>
                <w:color w:val="000000"/>
                <w:szCs w:val="20"/>
                <w:lang w:eastAsia="pt-BR"/>
              </w:rPr>
              <w:t xml:space="preserve"> de </w:t>
            </w:r>
            <w:proofErr w:type="spellStart"/>
            <w:r>
              <w:rPr>
                <w:rFonts w:eastAsia="Times New Roman" w:cs="Arial"/>
                <w:color w:val="000000"/>
                <w:szCs w:val="20"/>
                <w:lang w:eastAsia="pt-BR"/>
              </w:rPr>
              <w:t>Inform</w:t>
            </w:r>
            <w:proofErr w:type="spellEnd"/>
            <w:r>
              <w:rPr>
                <w:rFonts w:eastAsia="Times New Roman" w:cs="Arial"/>
                <w:color w:val="000000"/>
                <w:szCs w:val="20"/>
                <w:lang w:eastAsia="pt-BR"/>
              </w:rPr>
              <w:t xml:space="preserve"> Técnicas ANP</w:t>
            </w:r>
          </w:p>
        </w:tc>
        <w:tc>
          <w:tcPr>
            <w:tcW w:w="1913" w:type="dxa"/>
            <w:tcBorders>
              <w:top w:val="nil"/>
              <w:left w:val="nil"/>
              <w:bottom w:val="nil"/>
              <w:right w:val="nil"/>
            </w:tcBorders>
            <w:shd w:val="clear" w:color="auto" w:fill="auto"/>
            <w:noWrap/>
            <w:vAlign w:val="bottom"/>
            <w:hideMark/>
          </w:tcPr>
          <w:p w:rsidR="0041147E" w:rsidRPr="00EC6F3A" w:rsidRDefault="0041147E" w:rsidP="008F4251">
            <w:pPr>
              <w:jc w:val="right"/>
              <w:rPr>
                <w:rFonts w:eastAsia="Times New Roman" w:cs="Arial"/>
                <w:color w:val="000000"/>
                <w:szCs w:val="20"/>
                <w:lang w:eastAsia="pt-BR"/>
              </w:rPr>
            </w:pPr>
            <w:r>
              <w:rPr>
                <w:rFonts w:eastAsia="Times New Roman" w:cs="Arial"/>
                <w:color w:val="000000"/>
                <w:szCs w:val="20"/>
                <w:lang w:eastAsia="pt-BR"/>
              </w:rPr>
              <w:t>910.171.682,25</w:t>
            </w:r>
          </w:p>
        </w:tc>
        <w:tc>
          <w:tcPr>
            <w:tcW w:w="1956" w:type="dxa"/>
            <w:tcBorders>
              <w:top w:val="nil"/>
              <w:left w:val="nil"/>
              <w:bottom w:val="nil"/>
              <w:right w:val="nil"/>
            </w:tcBorders>
            <w:vAlign w:val="bottom"/>
          </w:tcPr>
          <w:p w:rsidR="0041147E" w:rsidRPr="00EC6F3A" w:rsidRDefault="0041147E" w:rsidP="008F4251">
            <w:pPr>
              <w:jc w:val="right"/>
              <w:rPr>
                <w:rFonts w:eastAsia="Times New Roman" w:cs="Arial"/>
                <w:color w:val="000000"/>
                <w:szCs w:val="20"/>
                <w:lang w:eastAsia="pt-BR"/>
              </w:rPr>
            </w:pPr>
            <w:r>
              <w:rPr>
                <w:rFonts w:eastAsia="Times New Roman" w:cs="Arial"/>
                <w:color w:val="000000"/>
                <w:szCs w:val="20"/>
                <w:lang w:eastAsia="pt-BR"/>
              </w:rPr>
              <w:t>883.849.625,60</w:t>
            </w:r>
          </w:p>
        </w:tc>
        <w:tc>
          <w:tcPr>
            <w:tcW w:w="1161" w:type="dxa"/>
            <w:tcBorders>
              <w:top w:val="nil"/>
              <w:left w:val="nil"/>
              <w:bottom w:val="nil"/>
              <w:right w:val="nil"/>
            </w:tcBorders>
            <w:shd w:val="clear" w:color="auto" w:fill="auto"/>
            <w:noWrap/>
            <w:vAlign w:val="bottom"/>
            <w:hideMark/>
          </w:tcPr>
          <w:p w:rsidR="0041147E" w:rsidRPr="00EC6F3A" w:rsidRDefault="0041147E" w:rsidP="008F4251">
            <w:pPr>
              <w:jc w:val="right"/>
              <w:rPr>
                <w:rFonts w:eastAsia="Times New Roman" w:cs="Arial"/>
                <w:color w:val="000000"/>
                <w:szCs w:val="20"/>
                <w:lang w:eastAsia="pt-BR"/>
              </w:rPr>
            </w:pPr>
            <w:r>
              <w:rPr>
                <w:rFonts w:eastAsia="Times New Roman" w:cs="Arial"/>
                <w:color w:val="000000"/>
                <w:szCs w:val="20"/>
                <w:lang w:eastAsia="pt-BR"/>
              </w:rPr>
              <w:t>2,96</w:t>
            </w:r>
          </w:p>
        </w:tc>
      </w:tr>
      <w:tr w:rsidR="0041147E" w:rsidRPr="00EC6F3A" w:rsidTr="008F4251">
        <w:trPr>
          <w:trHeight w:val="258"/>
        </w:trPr>
        <w:tc>
          <w:tcPr>
            <w:tcW w:w="1267" w:type="dxa"/>
            <w:tcBorders>
              <w:top w:val="nil"/>
              <w:left w:val="nil"/>
              <w:bottom w:val="nil"/>
              <w:right w:val="nil"/>
            </w:tcBorders>
            <w:shd w:val="clear" w:color="D9D9D9" w:fill="D9D9D9"/>
            <w:noWrap/>
            <w:vAlign w:val="bottom"/>
            <w:hideMark/>
          </w:tcPr>
          <w:p w:rsidR="0041147E" w:rsidRPr="00EC6F3A" w:rsidRDefault="0041147E" w:rsidP="008F4251">
            <w:pPr>
              <w:jc w:val="left"/>
              <w:rPr>
                <w:rFonts w:eastAsia="Times New Roman" w:cs="Arial"/>
                <w:color w:val="000000"/>
                <w:szCs w:val="20"/>
                <w:lang w:eastAsia="pt-BR"/>
              </w:rPr>
            </w:pPr>
            <w:r w:rsidRPr="00EC6F3A">
              <w:rPr>
                <w:rFonts w:eastAsia="Times New Roman" w:cs="Arial"/>
                <w:color w:val="000000"/>
                <w:szCs w:val="20"/>
                <w:lang w:eastAsia="pt-BR"/>
              </w:rPr>
              <w:t>0</w:t>
            </w:r>
            <w:r>
              <w:rPr>
                <w:rFonts w:eastAsia="Times New Roman" w:cs="Arial"/>
                <w:color w:val="000000"/>
                <w:szCs w:val="20"/>
                <w:lang w:eastAsia="pt-BR"/>
              </w:rPr>
              <w:t>650322051</w:t>
            </w:r>
          </w:p>
        </w:tc>
        <w:tc>
          <w:tcPr>
            <w:tcW w:w="2917" w:type="dxa"/>
            <w:tcBorders>
              <w:top w:val="nil"/>
              <w:left w:val="nil"/>
              <w:bottom w:val="nil"/>
              <w:right w:val="nil"/>
            </w:tcBorders>
            <w:shd w:val="clear" w:color="000000" w:fill="D9D9D9"/>
            <w:vAlign w:val="center"/>
            <w:hideMark/>
          </w:tcPr>
          <w:p w:rsidR="0041147E" w:rsidRPr="00EC6F3A" w:rsidRDefault="0041147E" w:rsidP="008F4251">
            <w:pPr>
              <w:jc w:val="left"/>
              <w:rPr>
                <w:rFonts w:eastAsia="Times New Roman" w:cs="Arial"/>
                <w:color w:val="000000"/>
                <w:szCs w:val="20"/>
                <w:lang w:eastAsia="pt-BR"/>
              </w:rPr>
            </w:pPr>
            <w:proofErr w:type="spellStart"/>
            <w:r>
              <w:rPr>
                <w:rFonts w:eastAsia="Times New Roman" w:cs="Arial"/>
                <w:color w:val="000000"/>
                <w:szCs w:val="20"/>
                <w:lang w:eastAsia="pt-BR"/>
              </w:rPr>
              <w:t>Serv</w:t>
            </w:r>
            <w:proofErr w:type="spellEnd"/>
            <w:r>
              <w:rPr>
                <w:rFonts w:eastAsia="Times New Roman" w:cs="Arial"/>
                <w:color w:val="000000"/>
                <w:szCs w:val="20"/>
                <w:lang w:eastAsia="pt-BR"/>
              </w:rPr>
              <w:t xml:space="preserve"> de </w:t>
            </w:r>
            <w:proofErr w:type="spellStart"/>
            <w:r>
              <w:rPr>
                <w:rFonts w:eastAsia="Times New Roman" w:cs="Arial"/>
                <w:color w:val="000000"/>
                <w:szCs w:val="20"/>
                <w:lang w:eastAsia="pt-BR"/>
              </w:rPr>
              <w:t>Inform</w:t>
            </w:r>
            <w:proofErr w:type="spellEnd"/>
            <w:r>
              <w:rPr>
                <w:rFonts w:eastAsia="Times New Roman" w:cs="Arial"/>
                <w:color w:val="000000"/>
                <w:szCs w:val="20"/>
                <w:lang w:eastAsia="pt-BR"/>
              </w:rPr>
              <w:t xml:space="preserve"> Técnicas ANP Exercício Anterior</w:t>
            </w:r>
          </w:p>
        </w:tc>
        <w:tc>
          <w:tcPr>
            <w:tcW w:w="1913" w:type="dxa"/>
            <w:tcBorders>
              <w:top w:val="nil"/>
              <w:left w:val="nil"/>
              <w:bottom w:val="nil"/>
              <w:right w:val="nil"/>
            </w:tcBorders>
            <w:shd w:val="clear" w:color="D9D9D9" w:fill="D9D9D9"/>
            <w:noWrap/>
            <w:vAlign w:val="bottom"/>
            <w:hideMark/>
          </w:tcPr>
          <w:p w:rsidR="0041147E" w:rsidRPr="00EC6F3A" w:rsidRDefault="0041147E" w:rsidP="008F4251">
            <w:pPr>
              <w:jc w:val="right"/>
              <w:rPr>
                <w:rFonts w:eastAsia="Times New Roman" w:cs="Arial"/>
                <w:color w:val="000000"/>
                <w:szCs w:val="20"/>
                <w:lang w:eastAsia="pt-BR"/>
              </w:rPr>
            </w:pPr>
            <w:r>
              <w:rPr>
                <w:rFonts w:eastAsia="Times New Roman" w:cs="Arial"/>
                <w:color w:val="000000"/>
                <w:szCs w:val="20"/>
                <w:lang w:eastAsia="pt-BR"/>
              </w:rPr>
              <w:t>874.393,63</w:t>
            </w:r>
          </w:p>
        </w:tc>
        <w:tc>
          <w:tcPr>
            <w:tcW w:w="1956" w:type="dxa"/>
            <w:tcBorders>
              <w:top w:val="nil"/>
              <w:left w:val="nil"/>
              <w:bottom w:val="nil"/>
              <w:right w:val="nil"/>
            </w:tcBorders>
            <w:shd w:val="clear" w:color="D9D9D9" w:fill="D9D9D9"/>
            <w:vAlign w:val="bottom"/>
          </w:tcPr>
          <w:p w:rsidR="0041147E" w:rsidRPr="00EC6F3A" w:rsidRDefault="0041147E" w:rsidP="008F4251">
            <w:pPr>
              <w:jc w:val="right"/>
              <w:rPr>
                <w:rFonts w:eastAsia="Times New Roman" w:cs="Arial"/>
                <w:color w:val="000000"/>
                <w:szCs w:val="20"/>
                <w:lang w:eastAsia="pt-BR"/>
              </w:rPr>
            </w:pPr>
            <w:r>
              <w:rPr>
                <w:rFonts w:eastAsia="Times New Roman" w:cs="Arial"/>
                <w:color w:val="000000"/>
                <w:szCs w:val="20"/>
                <w:lang w:eastAsia="pt-BR"/>
              </w:rPr>
              <w:t>3.889.862,60</w:t>
            </w:r>
          </w:p>
        </w:tc>
        <w:tc>
          <w:tcPr>
            <w:tcW w:w="1161" w:type="dxa"/>
            <w:tcBorders>
              <w:top w:val="nil"/>
              <w:left w:val="nil"/>
              <w:bottom w:val="nil"/>
              <w:right w:val="nil"/>
            </w:tcBorders>
            <w:shd w:val="clear" w:color="D9D9D9" w:fill="D9D9D9"/>
            <w:noWrap/>
            <w:vAlign w:val="bottom"/>
            <w:hideMark/>
          </w:tcPr>
          <w:p w:rsidR="0041147E" w:rsidRPr="00EC6F3A" w:rsidRDefault="0041147E" w:rsidP="008F4251">
            <w:pPr>
              <w:jc w:val="right"/>
              <w:rPr>
                <w:rFonts w:eastAsia="Times New Roman" w:cs="Arial"/>
                <w:color w:val="000000"/>
                <w:szCs w:val="20"/>
                <w:lang w:eastAsia="pt-BR"/>
              </w:rPr>
            </w:pPr>
            <w:r>
              <w:rPr>
                <w:rFonts w:eastAsia="Times New Roman" w:cs="Arial"/>
                <w:color w:val="000000"/>
                <w:szCs w:val="20"/>
                <w:lang w:eastAsia="pt-BR"/>
              </w:rPr>
              <w:t>-77,52</w:t>
            </w:r>
          </w:p>
        </w:tc>
      </w:tr>
      <w:tr w:rsidR="0041147E" w:rsidRPr="00EC6F3A" w:rsidTr="008F4251">
        <w:trPr>
          <w:trHeight w:val="258"/>
        </w:trPr>
        <w:tc>
          <w:tcPr>
            <w:tcW w:w="1267" w:type="dxa"/>
            <w:tcBorders>
              <w:top w:val="nil"/>
              <w:left w:val="nil"/>
              <w:bottom w:val="single" w:sz="4" w:space="0" w:color="000000"/>
              <w:right w:val="nil"/>
            </w:tcBorders>
            <w:shd w:val="clear" w:color="D9D9D9" w:fill="D9D9D9"/>
            <w:noWrap/>
            <w:vAlign w:val="bottom"/>
            <w:hideMark/>
          </w:tcPr>
          <w:p w:rsidR="0041147E" w:rsidRPr="00EC6F3A" w:rsidRDefault="0041147E" w:rsidP="008F4251">
            <w:pPr>
              <w:jc w:val="left"/>
              <w:rPr>
                <w:rFonts w:eastAsia="Times New Roman" w:cs="Arial"/>
                <w:b/>
                <w:bCs/>
                <w:color w:val="000000"/>
                <w:szCs w:val="20"/>
                <w:lang w:eastAsia="pt-BR"/>
              </w:rPr>
            </w:pPr>
            <w:r w:rsidRPr="00EC6F3A">
              <w:rPr>
                <w:rFonts w:eastAsia="Times New Roman" w:cs="Arial"/>
                <w:b/>
                <w:bCs/>
                <w:color w:val="000000"/>
                <w:szCs w:val="20"/>
                <w:lang w:eastAsia="pt-BR"/>
              </w:rPr>
              <w:t>Total</w:t>
            </w:r>
          </w:p>
        </w:tc>
        <w:tc>
          <w:tcPr>
            <w:tcW w:w="2917" w:type="dxa"/>
            <w:tcBorders>
              <w:top w:val="nil"/>
              <w:left w:val="nil"/>
              <w:bottom w:val="single" w:sz="4" w:space="0" w:color="000000"/>
              <w:right w:val="nil"/>
            </w:tcBorders>
            <w:shd w:val="clear" w:color="D9D9D9" w:fill="D9D9D9"/>
            <w:noWrap/>
            <w:vAlign w:val="bottom"/>
            <w:hideMark/>
          </w:tcPr>
          <w:p w:rsidR="0041147E" w:rsidRPr="00EC6F3A" w:rsidRDefault="0041147E" w:rsidP="008F4251">
            <w:pPr>
              <w:jc w:val="left"/>
              <w:rPr>
                <w:rFonts w:eastAsia="Times New Roman" w:cs="Arial"/>
                <w:b/>
                <w:bCs/>
                <w:color w:val="000000"/>
                <w:szCs w:val="20"/>
                <w:lang w:eastAsia="pt-BR"/>
              </w:rPr>
            </w:pPr>
          </w:p>
        </w:tc>
        <w:tc>
          <w:tcPr>
            <w:tcW w:w="1913" w:type="dxa"/>
            <w:tcBorders>
              <w:top w:val="nil"/>
              <w:left w:val="nil"/>
              <w:bottom w:val="single" w:sz="4" w:space="0" w:color="000000"/>
              <w:right w:val="nil"/>
            </w:tcBorders>
            <w:shd w:val="clear" w:color="D9D9D9" w:fill="D9D9D9"/>
            <w:noWrap/>
            <w:vAlign w:val="bottom"/>
            <w:hideMark/>
          </w:tcPr>
          <w:p w:rsidR="0041147E" w:rsidRPr="00EC6F3A" w:rsidRDefault="0041147E" w:rsidP="008F4251">
            <w:pPr>
              <w:jc w:val="left"/>
              <w:rPr>
                <w:rFonts w:eastAsia="Times New Roman" w:cs="Arial"/>
                <w:b/>
                <w:bCs/>
                <w:color w:val="000000"/>
                <w:szCs w:val="20"/>
                <w:lang w:eastAsia="pt-BR"/>
              </w:rPr>
            </w:pPr>
            <w:r w:rsidRPr="00EC6F3A">
              <w:rPr>
                <w:rFonts w:eastAsia="Times New Roman" w:cs="Arial"/>
                <w:b/>
                <w:bCs/>
                <w:color w:val="000000"/>
                <w:szCs w:val="20"/>
                <w:lang w:eastAsia="pt-BR"/>
              </w:rPr>
              <w:t xml:space="preserve"> </w:t>
            </w:r>
            <w:r>
              <w:rPr>
                <w:rFonts w:eastAsia="Times New Roman" w:cs="Arial"/>
                <w:b/>
                <w:bCs/>
                <w:color w:val="000000"/>
                <w:szCs w:val="20"/>
                <w:lang w:eastAsia="pt-BR"/>
              </w:rPr>
              <w:t xml:space="preserve">     </w:t>
            </w:r>
            <w:r w:rsidRPr="004C6461">
              <w:rPr>
                <w:rFonts w:eastAsia="Times New Roman" w:cs="Arial"/>
                <w:b/>
                <w:bCs/>
                <w:color w:val="000000"/>
                <w:szCs w:val="20"/>
                <w:lang w:eastAsia="pt-BR"/>
              </w:rPr>
              <w:t>939</w:t>
            </w:r>
            <w:r>
              <w:rPr>
                <w:rFonts w:eastAsia="Times New Roman" w:cs="Arial"/>
                <w:b/>
                <w:bCs/>
                <w:color w:val="000000"/>
                <w:szCs w:val="20"/>
                <w:lang w:eastAsia="pt-BR"/>
              </w:rPr>
              <w:t>.</w:t>
            </w:r>
            <w:r w:rsidRPr="004C6461">
              <w:rPr>
                <w:rFonts w:eastAsia="Times New Roman" w:cs="Arial"/>
                <w:b/>
                <w:bCs/>
                <w:color w:val="000000"/>
                <w:szCs w:val="20"/>
                <w:lang w:eastAsia="pt-BR"/>
              </w:rPr>
              <w:t>167</w:t>
            </w:r>
            <w:r>
              <w:rPr>
                <w:rFonts w:eastAsia="Times New Roman" w:cs="Arial"/>
                <w:b/>
                <w:bCs/>
                <w:color w:val="000000"/>
                <w:szCs w:val="20"/>
                <w:lang w:eastAsia="pt-BR"/>
              </w:rPr>
              <w:t>.</w:t>
            </w:r>
            <w:r w:rsidRPr="004C6461">
              <w:rPr>
                <w:rFonts w:eastAsia="Times New Roman" w:cs="Arial"/>
                <w:b/>
                <w:bCs/>
                <w:color w:val="000000"/>
                <w:szCs w:val="20"/>
                <w:lang w:eastAsia="pt-BR"/>
              </w:rPr>
              <w:t>666,87</w:t>
            </w:r>
          </w:p>
        </w:tc>
        <w:tc>
          <w:tcPr>
            <w:tcW w:w="1956" w:type="dxa"/>
            <w:tcBorders>
              <w:top w:val="nil"/>
              <w:left w:val="nil"/>
              <w:bottom w:val="single" w:sz="4" w:space="0" w:color="000000"/>
              <w:right w:val="nil"/>
            </w:tcBorders>
            <w:shd w:val="clear" w:color="D9D9D9" w:fill="D9D9D9"/>
            <w:vAlign w:val="bottom"/>
          </w:tcPr>
          <w:p w:rsidR="0041147E" w:rsidRPr="00EC6F3A" w:rsidRDefault="0041147E" w:rsidP="008F4251">
            <w:pPr>
              <w:jc w:val="left"/>
              <w:rPr>
                <w:rFonts w:eastAsia="Times New Roman" w:cs="Arial"/>
                <w:b/>
                <w:bCs/>
                <w:color w:val="000000"/>
                <w:szCs w:val="20"/>
                <w:lang w:eastAsia="pt-BR"/>
              </w:rPr>
            </w:pPr>
            <w:r w:rsidRPr="00EC6F3A">
              <w:rPr>
                <w:rFonts w:eastAsia="Times New Roman" w:cs="Arial"/>
                <w:b/>
                <w:bCs/>
                <w:color w:val="000000"/>
                <w:szCs w:val="20"/>
                <w:lang w:eastAsia="pt-BR"/>
              </w:rPr>
              <w:t xml:space="preserve">  </w:t>
            </w:r>
            <w:r>
              <w:rPr>
                <w:rFonts w:eastAsia="Times New Roman" w:cs="Arial"/>
                <w:b/>
                <w:bCs/>
                <w:color w:val="000000"/>
                <w:szCs w:val="20"/>
                <w:lang w:eastAsia="pt-BR"/>
              </w:rPr>
              <w:t xml:space="preserve">    </w:t>
            </w:r>
            <w:r w:rsidRPr="00960217">
              <w:rPr>
                <w:rFonts w:eastAsia="Times New Roman" w:cs="Arial"/>
                <w:b/>
                <w:bCs/>
                <w:color w:val="000000"/>
                <w:szCs w:val="20"/>
                <w:lang w:eastAsia="pt-BR"/>
              </w:rPr>
              <w:t>901.500.565,02</w:t>
            </w:r>
          </w:p>
        </w:tc>
        <w:tc>
          <w:tcPr>
            <w:tcW w:w="1161" w:type="dxa"/>
            <w:tcBorders>
              <w:top w:val="nil"/>
              <w:left w:val="nil"/>
              <w:bottom w:val="single" w:sz="4" w:space="0" w:color="000000"/>
              <w:right w:val="nil"/>
            </w:tcBorders>
            <w:shd w:val="clear" w:color="D9D9D9" w:fill="D9D9D9"/>
            <w:noWrap/>
            <w:vAlign w:val="bottom"/>
            <w:hideMark/>
          </w:tcPr>
          <w:p w:rsidR="0041147E" w:rsidRPr="00EC6F3A" w:rsidRDefault="0041147E" w:rsidP="008F4251">
            <w:pPr>
              <w:jc w:val="right"/>
              <w:rPr>
                <w:rFonts w:eastAsia="Times New Roman" w:cs="Arial"/>
                <w:b/>
                <w:bCs/>
                <w:color w:val="000000"/>
                <w:szCs w:val="20"/>
                <w:lang w:eastAsia="pt-BR"/>
              </w:rPr>
            </w:pPr>
            <w:r>
              <w:rPr>
                <w:rFonts w:eastAsia="Times New Roman" w:cs="Arial"/>
                <w:b/>
                <w:bCs/>
                <w:color w:val="000000"/>
                <w:szCs w:val="20"/>
                <w:lang w:eastAsia="pt-BR"/>
              </w:rPr>
              <w:t>4,18</w:t>
            </w:r>
          </w:p>
        </w:tc>
      </w:tr>
    </w:tbl>
    <w:p w:rsidR="0041147E" w:rsidRPr="00EC6F3A" w:rsidRDefault="0041147E" w:rsidP="0041147E">
      <w:pPr>
        <w:rPr>
          <w:rFonts w:cs="Arial"/>
          <w:i/>
          <w:szCs w:val="20"/>
        </w:rPr>
      </w:pPr>
      <w:r w:rsidRPr="00EC6F3A">
        <w:rPr>
          <w:rFonts w:cs="Arial"/>
          <w:i/>
          <w:szCs w:val="20"/>
        </w:rPr>
        <w:t>Fonte: SIAFI, 201</w:t>
      </w:r>
      <w:r>
        <w:rPr>
          <w:rFonts w:cs="Arial"/>
          <w:i/>
          <w:szCs w:val="20"/>
        </w:rPr>
        <w:t>9</w:t>
      </w:r>
      <w:r w:rsidRPr="00EC6F3A">
        <w:rPr>
          <w:rFonts w:cs="Arial"/>
          <w:i/>
          <w:szCs w:val="20"/>
        </w:rPr>
        <w:t xml:space="preserve"> e 201</w:t>
      </w:r>
      <w:r>
        <w:rPr>
          <w:rFonts w:cs="Arial"/>
          <w:i/>
          <w:szCs w:val="20"/>
        </w:rPr>
        <w:t>8</w:t>
      </w:r>
      <w:r w:rsidRPr="00EC6F3A">
        <w:rPr>
          <w:rFonts w:cs="Arial"/>
          <w:i/>
          <w:szCs w:val="20"/>
        </w:rPr>
        <w:t>.</w:t>
      </w:r>
    </w:p>
    <w:p w:rsidR="0041147E" w:rsidRPr="00C0371B" w:rsidRDefault="0041147E" w:rsidP="0041147E">
      <w:pPr>
        <w:rPr>
          <w:rFonts w:cs="Arial"/>
          <w:sz w:val="22"/>
        </w:rPr>
      </w:pPr>
    </w:p>
    <w:p w:rsidR="0041147E" w:rsidRDefault="0041147E" w:rsidP="0041147E">
      <w:pPr>
        <w:rPr>
          <w:rFonts w:cs="Arial"/>
          <w:sz w:val="22"/>
        </w:rPr>
      </w:pPr>
      <w:r>
        <w:rPr>
          <w:rFonts w:cs="Arial"/>
          <w:sz w:val="22"/>
        </w:rPr>
        <w:t>Em suma, o</w:t>
      </w:r>
      <w:r w:rsidRPr="00C0371B">
        <w:rPr>
          <w:rFonts w:cs="Arial"/>
          <w:sz w:val="22"/>
        </w:rPr>
        <w:t xml:space="preserve">s recursos </w:t>
      </w:r>
      <w:r>
        <w:rPr>
          <w:rFonts w:cs="Arial"/>
          <w:sz w:val="22"/>
        </w:rPr>
        <w:t>disponíveis correspondem</w:t>
      </w:r>
      <w:r w:rsidRPr="00C0371B">
        <w:rPr>
          <w:rFonts w:cs="Arial"/>
          <w:sz w:val="22"/>
        </w:rPr>
        <w:t xml:space="preserve"> às Taxas de Fiscalização, às Multas aplicadas aos agentes regulados</w:t>
      </w:r>
      <w:r>
        <w:rPr>
          <w:rFonts w:cs="Arial"/>
          <w:sz w:val="22"/>
        </w:rPr>
        <w:t>, Royalties do Petróleo e Serviços de Informações Técnica de dados prestados pela agência ao público em geral.</w:t>
      </w:r>
    </w:p>
    <w:p w:rsidR="0041147E" w:rsidRDefault="0041147E" w:rsidP="0041147E">
      <w:pPr>
        <w:rPr>
          <w:rFonts w:cs="Arial"/>
          <w:sz w:val="22"/>
        </w:rPr>
      </w:pPr>
    </w:p>
    <w:p w:rsidR="0041147E" w:rsidRPr="00957BE7" w:rsidRDefault="0041147E" w:rsidP="0041147E">
      <w:pPr>
        <w:rPr>
          <w:rFonts w:cs="Arial"/>
          <w:sz w:val="22"/>
        </w:rPr>
      </w:pPr>
      <w:r w:rsidRPr="00957BE7">
        <w:rPr>
          <w:rFonts w:cs="Arial"/>
          <w:sz w:val="22"/>
        </w:rPr>
        <w:t>Ainda integram o Caixa e Equivalentes de Caixa, os saldos relativos a numerários em outros bancos. Estes referem-se às Garantias Contratuais, na modalidade caução em dinheiro, depositadas em contas abertas junto à Caixa Econômica Federal, por empresas contratadas pela ANP.</w:t>
      </w:r>
      <w:r>
        <w:rPr>
          <w:rFonts w:cs="Arial"/>
          <w:sz w:val="22"/>
        </w:rPr>
        <w:t xml:space="preserve"> </w:t>
      </w:r>
    </w:p>
    <w:p w:rsidR="0041147E" w:rsidRPr="00957BE7" w:rsidRDefault="0041147E" w:rsidP="0041147E">
      <w:pPr>
        <w:rPr>
          <w:rFonts w:cs="Arial"/>
          <w:sz w:val="22"/>
        </w:rPr>
      </w:pPr>
    </w:p>
    <w:p w:rsidR="0041147E" w:rsidRDefault="0041147E" w:rsidP="0041147E">
      <w:pPr>
        <w:rPr>
          <w:rFonts w:cs="Arial"/>
          <w:sz w:val="22"/>
        </w:rPr>
      </w:pPr>
      <w:r w:rsidRPr="00957BE7">
        <w:rPr>
          <w:rFonts w:cs="Arial"/>
          <w:sz w:val="22"/>
        </w:rPr>
        <w:t>Os valores a seguir mostram essa composição</w:t>
      </w:r>
      <w:r>
        <w:rPr>
          <w:rFonts w:cs="Arial"/>
          <w:sz w:val="22"/>
        </w:rPr>
        <w:t xml:space="preserve"> e </w:t>
      </w:r>
      <w:r w:rsidRPr="00957BE7">
        <w:rPr>
          <w:rFonts w:cs="Arial"/>
          <w:sz w:val="22"/>
        </w:rPr>
        <w:t>referem-se a contratos vigentes.</w:t>
      </w:r>
      <w:r>
        <w:rPr>
          <w:rFonts w:cs="Arial"/>
          <w:sz w:val="22"/>
        </w:rPr>
        <w:t xml:space="preserve"> Ressalte-se que, além dos saldos não contemplarem atualização monetária, </w:t>
      </w:r>
      <w:r w:rsidRPr="00957BE7">
        <w:rPr>
          <w:rFonts w:cs="Arial"/>
          <w:sz w:val="22"/>
        </w:rPr>
        <w:t>em razão da dificuldade na obtenção dos extratos junto às respectivas agências bancárias onde os recursos estão depositados</w:t>
      </w:r>
      <w:r>
        <w:rPr>
          <w:rFonts w:cs="Arial"/>
          <w:sz w:val="22"/>
        </w:rPr>
        <w:t>, algumas áreas da ANP não enviaram a documentação para o setor contábil efetuar o registro da garantia, o que provoca significativa distorção das demonstrações</w:t>
      </w:r>
      <w:r w:rsidRPr="00957BE7">
        <w:rPr>
          <w:rFonts w:cs="Arial"/>
          <w:sz w:val="22"/>
        </w:rPr>
        <w:t xml:space="preserve">. </w:t>
      </w:r>
    </w:p>
    <w:p w:rsidR="0041147E" w:rsidRDefault="0041147E" w:rsidP="0041147E">
      <w:pPr>
        <w:rPr>
          <w:rFonts w:cs="Arial"/>
          <w:sz w:val="22"/>
        </w:rPr>
      </w:pPr>
    </w:p>
    <w:p w:rsidR="0041147E" w:rsidRPr="00957BE7" w:rsidRDefault="0041147E" w:rsidP="0041147E">
      <w:pPr>
        <w:rPr>
          <w:rFonts w:cs="Arial"/>
          <w:b/>
          <w:sz w:val="22"/>
        </w:rPr>
      </w:pPr>
      <w:r w:rsidRPr="00957BE7">
        <w:rPr>
          <w:rFonts w:cs="Arial"/>
          <w:b/>
          <w:sz w:val="22"/>
        </w:rPr>
        <w:t xml:space="preserve">Tabela </w:t>
      </w:r>
      <w:r>
        <w:rPr>
          <w:rFonts w:cs="Arial"/>
          <w:b/>
          <w:sz w:val="22"/>
        </w:rPr>
        <w:t>2</w:t>
      </w:r>
      <w:r w:rsidRPr="00957BE7">
        <w:rPr>
          <w:rFonts w:cs="Arial"/>
          <w:b/>
          <w:sz w:val="22"/>
        </w:rPr>
        <w:t xml:space="preserve"> – Recursos em outros Bancos – C</w:t>
      </w:r>
      <w:r>
        <w:rPr>
          <w:rFonts w:cs="Arial"/>
          <w:b/>
          <w:sz w:val="22"/>
        </w:rPr>
        <w:t>aixa Econômica Federal</w:t>
      </w:r>
    </w:p>
    <w:p w:rsidR="0041147E" w:rsidRPr="00957BE7" w:rsidRDefault="0041147E" w:rsidP="0041147E">
      <w:pPr>
        <w:rPr>
          <w:rFonts w:cs="Arial"/>
          <w:sz w:val="22"/>
        </w:rPr>
      </w:pPr>
      <w:r w:rsidRPr="00957BE7">
        <w:rPr>
          <w:rFonts w:cs="Arial"/>
          <w:b/>
          <w:sz w:val="22"/>
        </w:rPr>
        <w:tab/>
      </w:r>
      <w:r w:rsidRPr="00957BE7">
        <w:rPr>
          <w:rFonts w:cs="Arial"/>
          <w:b/>
          <w:sz w:val="22"/>
        </w:rPr>
        <w:tab/>
      </w:r>
      <w:r w:rsidRPr="00957BE7">
        <w:rPr>
          <w:rFonts w:cs="Arial"/>
          <w:b/>
          <w:sz w:val="22"/>
        </w:rPr>
        <w:tab/>
      </w:r>
      <w:r w:rsidRPr="00957BE7">
        <w:rPr>
          <w:rFonts w:cs="Arial"/>
          <w:b/>
          <w:sz w:val="22"/>
        </w:rPr>
        <w:tab/>
      </w:r>
      <w:r w:rsidRPr="00957BE7">
        <w:rPr>
          <w:rFonts w:cs="Arial"/>
          <w:b/>
          <w:sz w:val="22"/>
        </w:rPr>
        <w:tab/>
      </w:r>
      <w:r w:rsidRPr="00957BE7">
        <w:rPr>
          <w:rFonts w:cs="Arial"/>
          <w:b/>
          <w:sz w:val="22"/>
        </w:rPr>
        <w:tab/>
      </w:r>
      <w:r w:rsidRPr="00957BE7">
        <w:rPr>
          <w:rFonts w:cs="Arial"/>
          <w:b/>
          <w:sz w:val="22"/>
        </w:rPr>
        <w:tab/>
      </w:r>
      <w:r w:rsidRPr="00957BE7">
        <w:rPr>
          <w:rFonts w:cs="Arial"/>
          <w:b/>
          <w:sz w:val="22"/>
        </w:rPr>
        <w:tab/>
      </w:r>
      <w:r w:rsidRPr="00957BE7">
        <w:rPr>
          <w:rFonts w:cs="Arial"/>
          <w:b/>
          <w:sz w:val="22"/>
        </w:rPr>
        <w:tab/>
      </w:r>
      <w:r w:rsidRPr="00957BE7">
        <w:rPr>
          <w:rFonts w:cs="Arial"/>
          <w:b/>
          <w:sz w:val="22"/>
        </w:rPr>
        <w:tab/>
      </w:r>
      <w:r w:rsidRPr="00957BE7">
        <w:rPr>
          <w:rFonts w:cs="Arial"/>
          <w:b/>
          <w:sz w:val="22"/>
        </w:rPr>
        <w:tab/>
      </w:r>
      <w:r w:rsidRPr="00957BE7">
        <w:rPr>
          <w:rFonts w:cs="Arial"/>
          <w:b/>
          <w:sz w:val="22"/>
        </w:rPr>
        <w:tab/>
      </w:r>
      <w:r w:rsidRPr="00957BE7">
        <w:rPr>
          <w:rFonts w:cs="Arial"/>
          <w:sz w:val="22"/>
        </w:rPr>
        <w:t>R$</w:t>
      </w:r>
    </w:p>
    <w:tbl>
      <w:tblPr>
        <w:tblW w:w="9209" w:type="dxa"/>
        <w:tblCellMar>
          <w:left w:w="70" w:type="dxa"/>
          <w:right w:w="70" w:type="dxa"/>
        </w:tblCellMar>
        <w:tblLook w:val="04A0" w:firstRow="1" w:lastRow="0" w:firstColumn="1" w:lastColumn="0" w:noHBand="0" w:noVBand="1"/>
      </w:tblPr>
      <w:tblGrid>
        <w:gridCol w:w="1683"/>
        <w:gridCol w:w="2806"/>
        <w:gridCol w:w="1995"/>
        <w:gridCol w:w="1420"/>
        <w:gridCol w:w="1305"/>
      </w:tblGrid>
      <w:tr w:rsidR="0041147E" w:rsidRPr="009D62DC" w:rsidTr="008F4251">
        <w:trPr>
          <w:trHeight w:val="245"/>
        </w:trPr>
        <w:tc>
          <w:tcPr>
            <w:tcW w:w="1683" w:type="dxa"/>
            <w:tcBorders>
              <w:top w:val="single" w:sz="4" w:space="0" w:color="000000"/>
              <w:left w:val="nil"/>
              <w:bottom w:val="single" w:sz="4" w:space="0" w:color="000000"/>
              <w:right w:val="nil"/>
            </w:tcBorders>
            <w:shd w:val="clear" w:color="auto" w:fill="auto"/>
            <w:noWrap/>
            <w:vAlign w:val="bottom"/>
            <w:hideMark/>
          </w:tcPr>
          <w:p w:rsidR="0041147E" w:rsidRPr="009352A2" w:rsidRDefault="0041147E" w:rsidP="008F4251">
            <w:pPr>
              <w:jc w:val="left"/>
              <w:rPr>
                <w:rFonts w:eastAsia="Times New Roman" w:cs="Arial"/>
                <w:b/>
                <w:bCs/>
                <w:color w:val="000000"/>
                <w:szCs w:val="20"/>
                <w:lang w:eastAsia="pt-BR"/>
              </w:rPr>
            </w:pPr>
            <w:r w:rsidRPr="009352A2">
              <w:rPr>
                <w:rFonts w:eastAsia="Times New Roman" w:cs="Arial"/>
                <w:b/>
                <w:bCs/>
                <w:color w:val="000000"/>
                <w:szCs w:val="20"/>
                <w:lang w:eastAsia="pt-BR"/>
              </w:rPr>
              <w:t xml:space="preserve">Fonte Recursos </w:t>
            </w:r>
          </w:p>
        </w:tc>
        <w:tc>
          <w:tcPr>
            <w:tcW w:w="2806" w:type="dxa"/>
            <w:tcBorders>
              <w:top w:val="single" w:sz="4" w:space="0" w:color="000000"/>
              <w:left w:val="nil"/>
              <w:bottom w:val="single" w:sz="4" w:space="0" w:color="000000"/>
              <w:right w:val="nil"/>
            </w:tcBorders>
            <w:shd w:val="clear" w:color="auto" w:fill="auto"/>
            <w:noWrap/>
            <w:vAlign w:val="bottom"/>
            <w:hideMark/>
          </w:tcPr>
          <w:p w:rsidR="0041147E" w:rsidRPr="009352A2" w:rsidRDefault="0041147E" w:rsidP="008F4251">
            <w:pPr>
              <w:jc w:val="left"/>
              <w:rPr>
                <w:rFonts w:eastAsia="Times New Roman" w:cs="Arial"/>
                <w:b/>
                <w:bCs/>
                <w:color w:val="000000"/>
                <w:szCs w:val="20"/>
                <w:lang w:eastAsia="pt-BR"/>
              </w:rPr>
            </w:pPr>
            <w:r w:rsidRPr="009352A2">
              <w:rPr>
                <w:rFonts w:eastAsia="Times New Roman" w:cs="Arial"/>
                <w:b/>
                <w:bCs/>
                <w:color w:val="000000"/>
                <w:szCs w:val="20"/>
                <w:lang w:eastAsia="pt-BR"/>
              </w:rPr>
              <w:t>Descrição</w:t>
            </w:r>
          </w:p>
        </w:tc>
        <w:tc>
          <w:tcPr>
            <w:tcW w:w="1995" w:type="dxa"/>
            <w:tcBorders>
              <w:top w:val="single" w:sz="4" w:space="0" w:color="000000"/>
              <w:left w:val="nil"/>
              <w:bottom w:val="single" w:sz="4" w:space="0" w:color="000000"/>
              <w:right w:val="nil"/>
            </w:tcBorders>
            <w:shd w:val="clear" w:color="auto" w:fill="auto"/>
            <w:noWrap/>
            <w:vAlign w:val="bottom"/>
            <w:hideMark/>
          </w:tcPr>
          <w:p w:rsidR="0041147E" w:rsidRPr="009352A2" w:rsidRDefault="0041147E" w:rsidP="008F4251">
            <w:pPr>
              <w:jc w:val="right"/>
              <w:rPr>
                <w:rFonts w:eastAsia="Times New Roman" w:cs="Arial"/>
                <w:b/>
                <w:bCs/>
                <w:color w:val="000000"/>
                <w:szCs w:val="20"/>
                <w:lang w:eastAsia="pt-BR"/>
              </w:rPr>
            </w:pPr>
            <w:r w:rsidRPr="009352A2">
              <w:rPr>
                <w:rFonts w:eastAsia="Times New Roman" w:cs="Arial"/>
                <w:b/>
                <w:bCs/>
                <w:color w:val="000000"/>
                <w:szCs w:val="20"/>
                <w:lang w:eastAsia="pt-BR"/>
              </w:rPr>
              <w:t>31/12/2019</w:t>
            </w:r>
          </w:p>
        </w:tc>
        <w:tc>
          <w:tcPr>
            <w:tcW w:w="1420" w:type="dxa"/>
            <w:tcBorders>
              <w:top w:val="single" w:sz="4" w:space="0" w:color="000000"/>
              <w:left w:val="nil"/>
              <w:bottom w:val="single" w:sz="4" w:space="0" w:color="000000"/>
              <w:right w:val="nil"/>
            </w:tcBorders>
            <w:vAlign w:val="bottom"/>
          </w:tcPr>
          <w:p w:rsidR="0041147E" w:rsidRPr="009352A2" w:rsidRDefault="0041147E" w:rsidP="008F4251">
            <w:pPr>
              <w:jc w:val="right"/>
              <w:rPr>
                <w:rFonts w:eastAsia="Times New Roman" w:cs="Arial"/>
                <w:b/>
                <w:bCs/>
                <w:color w:val="000000"/>
                <w:szCs w:val="20"/>
                <w:lang w:eastAsia="pt-BR"/>
              </w:rPr>
            </w:pPr>
            <w:r w:rsidRPr="009352A2">
              <w:rPr>
                <w:rFonts w:eastAsia="Times New Roman" w:cs="Arial"/>
                <w:b/>
                <w:bCs/>
                <w:color w:val="000000"/>
                <w:szCs w:val="20"/>
                <w:lang w:eastAsia="pt-BR"/>
              </w:rPr>
              <w:t>31/12/2018</w:t>
            </w:r>
          </w:p>
        </w:tc>
        <w:tc>
          <w:tcPr>
            <w:tcW w:w="1305" w:type="dxa"/>
            <w:tcBorders>
              <w:top w:val="single" w:sz="4" w:space="0" w:color="000000"/>
              <w:left w:val="nil"/>
              <w:bottom w:val="single" w:sz="4" w:space="0" w:color="000000"/>
              <w:right w:val="nil"/>
            </w:tcBorders>
            <w:shd w:val="clear" w:color="auto" w:fill="auto"/>
            <w:noWrap/>
            <w:vAlign w:val="bottom"/>
            <w:hideMark/>
          </w:tcPr>
          <w:p w:rsidR="0041147E" w:rsidRPr="009352A2" w:rsidRDefault="0041147E" w:rsidP="008F4251">
            <w:pPr>
              <w:jc w:val="center"/>
              <w:rPr>
                <w:rFonts w:eastAsia="Times New Roman" w:cs="Arial"/>
                <w:b/>
                <w:bCs/>
                <w:color w:val="000000"/>
                <w:szCs w:val="20"/>
                <w:lang w:eastAsia="pt-BR"/>
              </w:rPr>
            </w:pPr>
            <w:r w:rsidRPr="009352A2">
              <w:rPr>
                <w:rFonts w:eastAsia="Times New Roman" w:cs="Arial"/>
                <w:b/>
                <w:bCs/>
                <w:color w:val="000000"/>
                <w:szCs w:val="20"/>
                <w:lang w:eastAsia="pt-BR"/>
              </w:rPr>
              <w:t>AH (%)</w:t>
            </w:r>
          </w:p>
        </w:tc>
      </w:tr>
      <w:tr w:rsidR="0041147E" w:rsidRPr="00445460" w:rsidTr="008F4251">
        <w:trPr>
          <w:trHeight w:val="245"/>
        </w:trPr>
        <w:tc>
          <w:tcPr>
            <w:tcW w:w="1683" w:type="dxa"/>
            <w:tcBorders>
              <w:top w:val="nil"/>
              <w:left w:val="nil"/>
              <w:right w:val="nil"/>
            </w:tcBorders>
            <w:shd w:val="clear" w:color="auto" w:fill="FFFFFF" w:themeFill="background1"/>
            <w:noWrap/>
            <w:vAlign w:val="bottom"/>
            <w:hideMark/>
          </w:tcPr>
          <w:p w:rsidR="0041147E" w:rsidRPr="009352A2" w:rsidRDefault="0041147E" w:rsidP="008F4251">
            <w:pPr>
              <w:rPr>
                <w:rFonts w:eastAsia="Times New Roman" w:cs="Arial"/>
                <w:color w:val="000000"/>
                <w:szCs w:val="20"/>
                <w:lang w:eastAsia="pt-BR"/>
              </w:rPr>
            </w:pPr>
            <w:r w:rsidRPr="009352A2">
              <w:rPr>
                <w:rFonts w:eastAsia="Times New Roman" w:cs="Arial"/>
                <w:color w:val="000000"/>
                <w:szCs w:val="20"/>
                <w:lang w:eastAsia="pt-BR"/>
              </w:rPr>
              <w:t>0190000000</w:t>
            </w:r>
          </w:p>
        </w:tc>
        <w:tc>
          <w:tcPr>
            <w:tcW w:w="2806" w:type="dxa"/>
            <w:tcBorders>
              <w:top w:val="nil"/>
              <w:left w:val="nil"/>
              <w:right w:val="nil"/>
            </w:tcBorders>
            <w:shd w:val="clear" w:color="auto" w:fill="FFFFFF" w:themeFill="background1"/>
            <w:vAlign w:val="bottom"/>
            <w:hideMark/>
          </w:tcPr>
          <w:p w:rsidR="0041147E" w:rsidRPr="009352A2" w:rsidRDefault="0041147E" w:rsidP="008F4251">
            <w:pPr>
              <w:rPr>
                <w:rFonts w:eastAsia="Times New Roman" w:cs="Arial"/>
                <w:color w:val="000000"/>
                <w:szCs w:val="20"/>
                <w:lang w:eastAsia="pt-BR"/>
              </w:rPr>
            </w:pPr>
            <w:r w:rsidRPr="009352A2">
              <w:rPr>
                <w:rFonts w:eastAsia="Times New Roman" w:cs="Arial"/>
                <w:color w:val="000000"/>
                <w:szCs w:val="20"/>
                <w:lang w:eastAsia="pt-BR"/>
              </w:rPr>
              <w:t>Recursos Diversos</w:t>
            </w:r>
          </w:p>
        </w:tc>
        <w:tc>
          <w:tcPr>
            <w:tcW w:w="1995" w:type="dxa"/>
            <w:tcBorders>
              <w:top w:val="nil"/>
              <w:left w:val="nil"/>
              <w:right w:val="nil"/>
            </w:tcBorders>
            <w:shd w:val="clear" w:color="auto" w:fill="FFFFFF" w:themeFill="background1"/>
            <w:noWrap/>
            <w:vAlign w:val="bottom"/>
            <w:hideMark/>
          </w:tcPr>
          <w:p w:rsidR="0041147E" w:rsidRPr="009352A2" w:rsidRDefault="0041147E" w:rsidP="008F4251">
            <w:pPr>
              <w:jc w:val="right"/>
              <w:rPr>
                <w:rFonts w:eastAsia="Times New Roman" w:cs="Arial"/>
                <w:color w:val="000000"/>
                <w:szCs w:val="20"/>
                <w:lang w:eastAsia="pt-BR"/>
              </w:rPr>
            </w:pPr>
            <w:r w:rsidRPr="009352A2">
              <w:rPr>
                <w:rFonts w:eastAsia="Times New Roman" w:cs="Arial"/>
                <w:color w:val="000000"/>
                <w:szCs w:val="20"/>
                <w:lang w:eastAsia="pt-BR"/>
              </w:rPr>
              <w:t xml:space="preserve">             5.383.999,42 </w:t>
            </w:r>
          </w:p>
        </w:tc>
        <w:tc>
          <w:tcPr>
            <w:tcW w:w="1420" w:type="dxa"/>
            <w:tcBorders>
              <w:top w:val="nil"/>
              <w:left w:val="nil"/>
              <w:right w:val="nil"/>
            </w:tcBorders>
            <w:shd w:val="clear" w:color="auto" w:fill="FFFFFF" w:themeFill="background1"/>
            <w:vAlign w:val="bottom"/>
          </w:tcPr>
          <w:p w:rsidR="0041147E" w:rsidRPr="009352A2" w:rsidRDefault="0041147E" w:rsidP="008F4251">
            <w:pPr>
              <w:jc w:val="right"/>
              <w:rPr>
                <w:rFonts w:eastAsia="Times New Roman" w:cs="Arial"/>
                <w:color w:val="000000"/>
                <w:szCs w:val="20"/>
                <w:lang w:eastAsia="pt-BR"/>
              </w:rPr>
            </w:pPr>
            <w:r w:rsidRPr="009352A2">
              <w:rPr>
                <w:rFonts w:eastAsia="Times New Roman" w:cs="Arial"/>
                <w:color w:val="000000"/>
                <w:szCs w:val="20"/>
                <w:lang w:eastAsia="pt-BR"/>
              </w:rPr>
              <w:t>5.240.849,58</w:t>
            </w:r>
          </w:p>
        </w:tc>
        <w:tc>
          <w:tcPr>
            <w:tcW w:w="1305" w:type="dxa"/>
            <w:tcBorders>
              <w:top w:val="nil"/>
              <w:left w:val="nil"/>
              <w:right w:val="nil"/>
            </w:tcBorders>
            <w:shd w:val="clear" w:color="auto" w:fill="FFFFFF" w:themeFill="background1"/>
            <w:noWrap/>
            <w:vAlign w:val="bottom"/>
            <w:hideMark/>
          </w:tcPr>
          <w:p w:rsidR="0041147E" w:rsidRPr="009352A2" w:rsidRDefault="0041147E" w:rsidP="008F4251">
            <w:pPr>
              <w:jc w:val="right"/>
              <w:rPr>
                <w:rFonts w:eastAsia="Times New Roman" w:cs="Arial"/>
                <w:color w:val="000000"/>
                <w:szCs w:val="20"/>
                <w:lang w:eastAsia="pt-BR"/>
              </w:rPr>
            </w:pPr>
            <w:r w:rsidRPr="009352A2">
              <w:rPr>
                <w:rFonts w:eastAsia="Times New Roman" w:cs="Arial"/>
                <w:color w:val="000000"/>
                <w:szCs w:val="20"/>
                <w:lang w:eastAsia="pt-BR"/>
              </w:rPr>
              <w:t>2,73</w:t>
            </w:r>
          </w:p>
        </w:tc>
      </w:tr>
      <w:tr w:rsidR="0041147E" w:rsidRPr="001C0A9B" w:rsidTr="008F4251">
        <w:trPr>
          <w:trHeight w:val="260"/>
        </w:trPr>
        <w:tc>
          <w:tcPr>
            <w:tcW w:w="1683" w:type="dxa"/>
            <w:tcBorders>
              <w:top w:val="nil"/>
              <w:left w:val="nil"/>
              <w:bottom w:val="single" w:sz="4" w:space="0" w:color="auto"/>
              <w:right w:val="nil"/>
            </w:tcBorders>
            <w:shd w:val="clear" w:color="auto" w:fill="D9D9D9" w:themeFill="background1" w:themeFillShade="D9"/>
            <w:noWrap/>
            <w:vAlign w:val="bottom"/>
            <w:hideMark/>
          </w:tcPr>
          <w:p w:rsidR="0041147E" w:rsidRPr="009352A2" w:rsidRDefault="0041147E" w:rsidP="008F4251">
            <w:pPr>
              <w:jc w:val="left"/>
              <w:rPr>
                <w:rFonts w:eastAsia="Times New Roman" w:cs="Arial"/>
                <w:b/>
                <w:bCs/>
                <w:color w:val="000000"/>
                <w:szCs w:val="20"/>
                <w:lang w:eastAsia="pt-BR"/>
              </w:rPr>
            </w:pPr>
            <w:r w:rsidRPr="009352A2">
              <w:rPr>
                <w:rFonts w:eastAsia="Times New Roman" w:cs="Arial"/>
                <w:b/>
                <w:bCs/>
                <w:color w:val="000000"/>
                <w:szCs w:val="20"/>
                <w:lang w:eastAsia="pt-BR"/>
              </w:rPr>
              <w:t>Total</w:t>
            </w:r>
          </w:p>
        </w:tc>
        <w:tc>
          <w:tcPr>
            <w:tcW w:w="2806" w:type="dxa"/>
            <w:tcBorders>
              <w:top w:val="nil"/>
              <w:left w:val="nil"/>
              <w:bottom w:val="single" w:sz="4" w:space="0" w:color="auto"/>
              <w:right w:val="nil"/>
            </w:tcBorders>
            <w:shd w:val="clear" w:color="auto" w:fill="D9D9D9" w:themeFill="background1" w:themeFillShade="D9"/>
            <w:noWrap/>
            <w:vAlign w:val="bottom"/>
            <w:hideMark/>
          </w:tcPr>
          <w:p w:rsidR="0041147E" w:rsidRPr="009352A2" w:rsidRDefault="0041147E" w:rsidP="008F4251">
            <w:pPr>
              <w:jc w:val="left"/>
              <w:rPr>
                <w:rFonts w:eastAsia="Times New Roman" w:cs="Arial"/>
                <w:b/>
                <w:bCs/>
                <w:color w:val="000000"/>
                <w:szCs w:val="20"/>
                <w:lang w:eastAsia="pt-BR"/>
              </w:rPr>
            </w:pPr>
          </w:p>
        </w:tc>
        <w:tc>
          <w:tcPr>
            <w:tcW w:w="1995" w:type="dxa"/>
            <w:tcBorders>
              <w:top w:val="nil"/>
              <w:left w:val="nil"/>
              <w:bottom w:val="single" w:sz="4" w:space="0" w:color="auto"/>
              <w:right w:val="nil"/>
            </w:tcBorders>
            <w:shd w:val="clear" w:color="auto" w:fill="D9D9D9" w:themeFill="background1" w:themeFillShade="D9"/>
            <w:noWrap/>
            <w:vAlign w:val="center"/>
            <w:hideMark/>
          </w:tcPr>
          <w:p w:rsidR="0041147E" w:rsidRPr="009352A2" w:rsidRDefault="0041147E" w:rsidP="008F4251">
            <w:pPr>
              <w:jc w:val="right"/>
              <w:rPr>
                <w:rFonts w:eastAsia="Times New Roman" w:cs="Arial"/>
                <w:b/>
                <w:bCs/>
                <w:color w:val="000000"/>
                <w:szCs w:val="20"/>
                <w:lang w:eastAsia="pt-BR"/>
              </w:rPr>
            </w:pPr>
            <w:r w:rsidRPr="009352A2">
              <w:rPr>
                <w:rFonts w:eastAsia="Times New Roman" w:cs="Arial"/>
                <w:b/>
                <w:bCs/>
                <w:color w:val="000000"/>
                <w:szCs w:val="20"/>
                <w:lang w:eastAsia="pt-BR"/>
              </w:rPr>
              <w:t xml:space="preserve">             </w:t>
            </w:r>
            <w:r w:rsidRPr="009352A2">
              <w:rPr>
                <w:rFonts w:eastAsia="Times New Roman" w:cs="Arial"/>
                <w:b/>
                <w:color w:val="000000"/>
                <w:szCs w:val="20"/>
                <w:lang w:eastAsia="pt-BR"/>
              </w:rPr>
              <w:t>5.383.999,42</w:t>
            </w:r>
          </w:p>
        </w:tc>
        <w:tc>
          <w:tcPr>
            <w:tcW w:w="1420" w:type="dxa"/>
            <w:tcBorders>
              <w:top w:val="nil"/>
              <w:left w:val="nil"/>
              <w:bottom w:val="single" w:sz="4" w:space="0" w:color="auto"/>
              <w:right w:val="nil"/>
            </w:tcBorders>
            <w:shd w:val="clear" w:color="auto" w:fill="D9D9D9" w:themeFill="background1" w:themeFillShade="D9"/>
            <w:vAlign w:val="center"/>
          </w:tcPr>
          <w:p w:rsidR="0041147E" w:rsidRPr="009352A2" w:rsidRDefault="0041147E" w:rsidP="008F4251">
            <w:pPr>
              <w:jc w:val="right"/>
              <w:rPr>
                <w:rFonts w:eastAsia="Times New Roman" w:cs="Arial"/>
                <w:b/>
                <w:bCs/>
                <w:color w:val="000000"/>
                <w:szCs w:val="20"/>
                <w:lang w:eastAsia="pt-BR"/>
              </w:rPr>
            </w:pPr>
            <w:r w:rsidRPr="009352A2">
              <w:rPr>
                <w:rFonts w:eastAsia="Times New Roman" w:cs="Arial"/>
                <w:b/>
                <w:bCs/>
                <w:color w:val="000000"/>
                <w:szCs w:val="20"/>
                <w:lang w:eastAsia="pt-BR"/>
              </w:rPr>
              <w:t xml:space="preserve">             </w:t>
            </w:r>
          </w:p>
          <w:p w:rsidR="0041147E" w:rsidRPr="009352A2" w:rsidRDefault="0041147E" w:rsidP="008F4251">
            <w:pPr>
              <w:jc w:val="right"/>
              <w:rPr>
                <w:rFonts w:eastAsia="Times New Roman" w:cs="Arial"/>
                <w:b/>
                <w:bCs/>
                <w:color w:val="000000"/>
                <w:szCs w:val="20"/>
                <w:lang w:eastAsia="pt-BR"/>
              </w:rPr>
            </w:pPr>
            <w:r w:rsidRPr="009352A2">
              <w:rPr>
                <w:rFonts w:eastAsia="Times New Roman" w:cs="Arial"/>
                <w:b/>
                <w:bCs/>
                <w:color w:val="000000"/>
                <w:szCs w:val="20"/>
                <w:lang w:eastAsia="pt-BR"/>
              </w:rPr>
              <w:t xml:space="preserve"> </w:t>
            </w:r>
          </w:p>
        </w:tc>
        <w:tc>
          <w:tcPr>
            <w:tcW w:w="1305" w:type="dxa"/>
            <w:tcBorders>
              <w:top w:val="nil"/>
              <w:left w:val="nil"/>
              <w:bottom w:val="single" w:sz="4" w:space="0" w:color="auto"/>
              <w:right w:val="nil"/>
            </w:tcBorders>
            <w:shd w:val="clear" w:color="auto" w:fill="D9D9D9" w:themeFill="background1" w:themeFillShade="D9"/>
            <w:noWrap/>
            <w:vAlign w:val="bottom"/>
            <w:hideMark/>
          </w:tcPr>
          <w:p w:rsidR="0041147E" w:rsidRPr="001C0A9B" w:rsidRDefault="0041147E" w:rsidP="008F4251">
            <w:pPr>
              <w:jc w:val="right"/>
              <w:rPr>
                <w:rFonts w:eastAsia="Times New Roman" w:cs="Arial"/>
                <w:b/>
                <w:bCs/>
                <w:color w:val="000000"/>
                <w:szCs w:val="20"/>
                <w:lang w:eastAsia="pt-BR"/>
              </w:rPr>
            </w:pPr>
            <w:r w:rsidRPr="009352A2">
              <w:rPr>
                <w:rFonts w:eastAsia="Times New Roman" w:cs="Arial"/>
                <w:b/>
                <w:bCs/>
                <w:color w:val="000000"/>
                <w:szCs w:val="20"/>
                <w:lang w:eastAsia="pt-BR"/>
              </w:rPr>
              <w:t>2,73</w:t>
            </w:r>
          </w:p>
        </w:tc>
      </w:tr>
    </w:tbl>
    <w:p w:rsidR="0041147E" w:rsidRDefault="0041147E" w:rsidP="0041147E">
      <w:pPr>
        <w:rPr>
          <w:rFonts w:cs="Arial"/>
          <w:i/>
          <w:szCs w:val="20"/>
        </w:rPr>
      </w:pPr>
      <w:r w:rsidRPr="00500772">
        <w:rPr>
          <w:rFonts w:cs="Arial"/>
          <w:i/>
          <w:szCs w:val="20"/>
        </w:rPr>
        <w:t>Fonte: SIAFI, 201</w:t>
      </w:r>
      <w:r>
        <w:rPr>
          <w:rFonts w:cs="Arial"/>
          <w:i/>
          <w:szCs w:val="20"/>
        </w:rPr>
        <w:t>9</w:t>
      </w:r>
      <w:r w:rsidRPr="00500772">
        <w:rPr>
          <w:rFonts w:cs="Arial"/>
          <w:i/>
          <w:szCs w:val="20"/>
        </w:rPr>
        <w:t xml:space="preserve"> e</w:t>
      </w:r>
      <w:r>
        <w:rPr>
          <w:rFonts w:cs="Arial"/>
          <w:i/>
          <w:szCs w:val="20"/>
        </w:rPr>
        <w:t xml:space="preserve"> 2018</w:t>
      </w:r>
    </w:p>
    <w:p w:rsidR="0041147E" w:rsidRDefault="0041147E" w:rsidP="0041147E">
      <w:pPr>
        <w:rPr>
          <w:rFonts w:cs="Arial"/>
          <w:szCs w:val="20"/>
        </w:rPr>
      </w:pPr>
    </w:p>
    <w:p w:rsidR="0041147E" w:rsidRDefault="0041147E">
      <w:pPr>
        <w:spacing w:after="160" w:line="259" w:lineRule="auto"/>
        <w:jc w:val="left"/>
        <w:rPr>
          <w:rFonts w:cs="Arial"/>
          <w:b/>
          <w:sz w:val="22"/>
        </w:rPr>
      </w:pPr>
      <w:r>
        <w:rPr>
          <w:rFonts w:cs="Arial"/>
          <w:b/>
          <w:sz w:val="22"/>
        </w:rPr>
        <w:br w:type="page"/>
      </w:r>
    </w:p>
    <w:p w:rsidR="0041147E" w:rsidRDefault="0041147E" w:rsidP="0041147E">
      <w:pPr>
        <w:rPr>
          <w:rFonts w:cs="Arial"/>
          <w:b/>
          <w:sz w:val="22"/>
        </w:rPr>
      </w:pPr>
    </w:p>
    <w:p w:rsidR="0041147E" w:rsidRDefault="0041147E" w:rsidP="0041147E">
      <w:pPr>
        <w:rPr>
          <w:rFonts w:cs="Arial"/>
          <w:b/>
          <w:sz w:val="22"/>
        </w:rPr>
      </w:pPr>
      <w:r w:rsidRPr="001F3255">
        <w:rPr>
          <w:rFonts w:cs="Arial"/>
          <w:b/>
          <w:sz w:val="22"/>
        </w:rPr>
        <w:t xml:space="preserve">Nota 02 </w:t>
      </w:r>
      <w:r w:rsidRPr="004028B5">
        <w:rPr>
          <w:rFonts w:cs="Arial"/>
          <w:b/>
          <w:sz w:val="22"/>
        </w:rPr>
        <w:t>– Créditos a Receber</w:t>
      </w:r>
    </w:p>
    <w:p w:rsidR="0041147E" w:rsidRDefault="0041147E" w:rsidP="0041147E">
      <w:pPr>
        <w:rPr>
          <w:rFonts w:cs="Arial"/>
          <w:b/>
          <w:sz w:val="22"/>
        </w:rPr>
      </w:pPr>
    </w:p>
    <w:p w:rsidR="0041147E" w:rsidRDefault="0041147E" w:rsidP="0041147E">
      <w:pPr>
        <w:rPr>
          <w:rFonts w:cs="Arial"/>
          <w:b/>
          <w:sz w:val="22"/>
        </w:rPr>
      </w:pPr>
      <w:r w:rsidRPr="004028B5">
        <w:rPr>
          <w:rFonts w:cs="Arial"/>
          <w:b/>
          <w:sz w:val="22"/>
        </w:rPr>
        <w:t>Créditos a Curto Prazo</w:t>
      </w:r>
    </w:p>
    <w:p w:rsidR="0041147E" w:rsidRDefault="0041147E" w:rsidP="0041147E">
      <w:pPr>
        <w:rPr>
          <w:rFonts w:cs="Arial"/>
          <w:b/>
          <w:sz w:val="22"/>
        </w:rPr>
      </w:pPr>
    </w:p>
    <w:p w:rsidR="0041147E" w:rsidRDefault="0041147E" w:rsidP="0041147E">
      <w:pPr>
        <w:rPr>
          <w:rFonts w:cs="Arial"/>
          <w:sz w:val="22"/>
        </w:rPr>
      </w:pPr>
      <w:r w:rsidRPr="007E5D8D">
        <w:rPr>
          <w:rFonts w:cs="Arial"/>
          <w:sz w:val="22"/>
        </w:rPr>
        <w:t>Em 31/12/201</w:t>
      </w:r>
      <w:r>
        <w:rPr>
          <w:rFonts w:cs="Arial"/>
          <w:sz w:val="22"/>
        </w:rPr>
        <w:t>9</w:t>
      </w:r>
      <w:r w:rsidRPr="007E5D8D">
        <w:rPr>
          <w:rFonts w:cs="Arial"/>
          <w:sz w:val="22"/>
        </w:rPr>
        <w:t>, a ANP tinha a receber em CP, mais de R$ 1</w:t>
      </w:r>
      <w:r>
        <w:rPr>
          <w:rFonts w:cs="Arial"/>
          <w:sz w:val="22"/>
        </w:rPr>
        <w:t>39</w:t>
      </w:r>
      <w:r w:rsidRPr="007E5D8D">
        <w:rPr>
          <w:rFonts w:cs="Arial"/>
          <w:sz w:val="22"/>
        </w:rPr>
        <w:t xml:space="preserve"> milh</w:t>
      </w:r>
      <w:r>
        <w:rPr>
          <w:rFonts w:cs="Arial"/>
          <w:sz w:val="22"/>
        </w:rPr>
        <w:t>ões</w:t>
      </w:r>
      <w:r w:rsidRPr="007E5D8D">
        <w:rPr>
          <w:rFonts w:cs="Arial"/>
          <w:sz w:val="22"/>
        </w:rPr>
        <w:t xml:space="preserve"> a receber, referentes a adiantamentos concedidos (remuneração, 13º salário) e créditos por cessão de pessoal</w:t>
      </w:r>
      <w:r>
        <w:rPr>
          <w:rFonts w:cs="Arial"/>
          <w:sz w:val="22"/>
        </w:rPr>
        <w:t>, além dos adiantamentos que envolvem Termo de Execução Descentralizada - TED</w:t>
      </w:r>
      <w:r w:rsidRPr="007E5D8D">
        <w:rPr>
          <w:rFonts w:cs="Arial"/>
          <w:sz w:val="22"/>
        </w:rPr>
        <w:t>.</w:t>
      </w:r>
    </w:p>
    <w:p w:rsidR="0041147E" w:rsidRDefault="0041147E" w:rsidP="0041147E">
      <w:pPr>
        <w:rPr>
          <w:rFonts w:cs="Arial"/>
          <w:sz w:val="22"/>
        </w:rPr>
      </w:pPr>
    </w:p>
    <w:p w:rsidR="0041147E" w:rsidRPr="007E5D8D" w:rsidRDefault="0041147E" w:rsidP="0041147E">
      <w:pPr>
        <w:rPr>
          <w:rFonts w:cs="Arial"/>
          <w:sz w:val="22"/>
        </w:rPr>
      </w:pPr>
      <w:r w:rsidRPr="002D48A7">
        <w:rPr>
          <w:rFonts w:cs="Arial"/>
          <w:sz w:val="22"/>
        </w:rPr>
        <w:t>O reconhecimento dos valores de TED repassados foi incorporado ao ativo no início de 2019, devido à mudança de critério contábil pela Coordenação Geral de Contabilidade (CCONT) da Secretaria do Tesouro Nacional (STN).</w:t>
      </w:r>
    </w:p>
    <w:p w:rsidR="0041147E" w:rsidRPr="004028B5" w:rsidRDefault="0041147E" w:rsidP="0041147E">
      <w:pPr>
        <w:rPr>
          <w:rFonts w:cs="Arial"/>
          <w:b/>
          <w:sz w:val="22"/>
        </w:rPr>
      </w:pPr>
    </w:p>
    <w:p w:rsidR="0041147E" w:rsidRDefault="0041147E" w:rsidP="0041147E">
      <w:pPr>
        <w:rPr>
          <w:rFonts w:cs="Arial"/>
          <w:sz w:val="22"/>
        </w:rPr>
      </w:pPr>
      <w:r w:rsidRPr="005C45E1">
        <w:rPr>
          <w:rFonts w:cs="Arial"/>
          <w:sz w:val="22"/>
        </w:rPr>
        <w:t xml:space="preserve">Não estão </w:t>
      </w:r>
      <w:r>
        <w:rPr>
          <w:rFonts w:cs="Arial"/>
          <w:sz w:val="22"/>
        </w:rPr>
        <w:t>reconhecidos</w:t>
      </w:r>
      <w:r w:rsidRPr="005C45E1">
        <w:rPr>
          <w:rFonts w:cs="Arial"/>
          <w:sz w:val="22"/>
        </w:rPr>
        <w:t xml:space="preserve"> no Balanço Patrimonial os créditos relativos às multas aplicadas aos entes regulados</w:t>
      </w:r>
      <w:r>
        <w:rPr>
          <w:rFonts w:cs="Arial"/>
          <w:sz w:val="22"/>
        </w:rPr>
        <w:t>, entre</w:t>
      </w:r>
      <w:r w:rsidRPr="005C45E1">
        <w:rPr>
          <w:rFonts w:cs="Arial"/>
          <w:sz w:val="22"/>
        </w:rPr>
        <w:t xml:space="preserve"> outros créditos de curto prazo</w:t>
      </w:r>
      <w:r>
        <w:rPr>
          <w:rFonts w:cs="Arial"/>
          <w:sz w:val="22"/>
        </w:rPr>
        <w:t xml:space="preserve"> de acordo com o período da competência</w:t>
      </w:r>
      <w:r w:rsidRPr="005C45E1">
        <w:rPr>
          <w:rFonts w:cs="Arial"/>
          <w:sz w:val="22"/>
        </w:rPr>
        <w:t>. Faz-se necessária uma conciliação e classificação dos créditos de acordo com o fato gerador que os originou</w:t>
      </w:r>
      <w:r>
        <w:rPr>
          <w:rFonts w:cs="Arial"/>
          <w:sz w:val="22"/>
        </w:rPr>
        <w:t xml:space="preserve">, tendo por base o </w:t>
      </w:r>
      <w:r w:rsidRPr="005C45E1">
        <w:rPr>
          <w:rFonts w:cs="Arial"/>
          <w:sz w:val="22"/>
        </w:rPr>
        <w:t>sistema de gestão de créditos</w:t>
      </w:r>
      <w:r>
        <w:rPr>
          <w:rFonts w:cs="Arial"/>
          <w:sz w:val="22"/>
        </w:rPr>
        <w:t xml:space="preserve">, a fim de permitir o reconhecimento de forma fidedigna. </w:t>
      </w:r>
    </w:p>
    <w:p w:rsidR="0041147E" w:rsidRDefault="0041147E" w:rsidP="0041147E">
      <w:pPr>
        <w:rPr>
          <w:rFonts w:cs="Arial"/>
          <w:sz w:val="22"/>
        </w:rPr>
      </w:pPr>
    </w:p>
    <w:p w:rsidR="0041147E" w:rsidRDefault="0041147E" w:rsidP="0041147E">
      <w:pPr>
        <w:rPr>
          <w:rFonts w:cs="Arial"/>
          <w:b/>
          <w:sz w:val="22"/>
        </w:rPr>
      </w:pPr>
      <w:r>
        <w:rPr>
          <w:rFonts w:cs="Arial"/>
          <w:b/>
          <w:sz w:val="22"/>
        </w:rPr>
        <w:t>Tabela 3 – Demais Créditos e Valores CP</w:t>
      </w:r>
    </w:p>
    <w:p w:rsidR="0041147E" w:rsidRDefault="0041147E" w:rsidP="0041147E">
      <w:pPr>
        <w:rPr>
          <w:rFonts w:cs="Arial"/>
          <w:b/>
          <w:sz w:val="22"/>
        </w:rPr>
      </w:pPr>
    </w:p>
    <w:tbl>
      <w:tblPr>
        <w:tblW w:w="9214" w:type="dxa"/>
        <w:tblCellMar>
          <w:left w:w="70" w:type="dxa"/>
          <w:right w:w="70" w:type="dxa"/>
        </w:tblCellMar>
        <w:tblLook w:val="04A0" w:firstRow="1" w:lastRow="0" w:firstColumn="1" w:lastColumn="0" w:noHBand="0" w:noVBand="1"/>
      </w:tblPr>
      <w:tblGrid>
        <w:gridCol w:w="2694"/>
        <w:gridCol w:w="1970"/>
        <w:gridCol w:w="1732"/>
        <w:gridCol w:w="2818"/>
      </w:tblGrid>
      <w:tr w:rsidR="0041147E" w:rsidRPr="00484C19" w:rsidTr="008F4251">
        <w:trPr>
          <w:trHeight w:val="229"/>
        </w:trPr>
        <w:tc>
          <w:tcPr>
            <w:tcW w:w="2694" w:type="dxa"/>
            <w:tcBorders>
              <w:top w:val="single" w:sz="4" w:space="0" w:color="000000"/>
              <w:left w:val="nil"/>
              <w:bottom w:val="single" w:sz="4" w:space="0" w:color="000000"/>
              <w:right w:val="nil"/>
            </w:tcBorders>
            <w:shd w:val="clear" w:color="auto" w:fill="auto"/>
            <w:noWrap/>
            <w:vAlign w:val="bottom"/>
            <w:hideMark/>
          </w:tcPr>
          <w:p w:rsidR="0041147E" w:rsidRPr="00484C19" w:rsidRDefault="0041147E" w:rsidP="008F4251">
            <w:pPr>
              <w:jc w:val="left"/>
              <w:rPr>
                <w:rFonts w:eastAsia="Times New Roman" w:cs="Arial"/>
                <w:b/>
                <w:bCs/>
                <w:color w:val="FFFFFF"/>
                <w:szCs w:val="20"/>
                <w:lang w:eastAsia="pt-BR"/>
              </w:rPr>
            </w:pPr>
            <w:r w:rsidRPr="00484C19">
              <w:rPr>
                <w:rFonts w:eastAsia="Times New Roman" w:cs="Arial"/>
                <w:b/>
                <w:bCs/>
                <w:color w:val="FFFFFF"/>
                <w:szCs w:val="20"/>
                <w:lang w:eastAsia="pt-BR"/>
              </w:rPr>
              <w:t>Colunas1</w:t>
            </w:r>
          </w:p>
        </w:tc>
        <w:tc>
          <w:tcPr>
            <w:tcW w:w="1970" w:type="dxa"/>
            <w:tcBorders>
              <w:top w:val="single" w:sz="4" w:space="0" w:color="000000"/>
              <w:left w:val="nil"/>
              <w:bottom w:val="single" w:sz="4" w:space="0" w:color="000000"/>
              <w:right w:val="nil"/>
            </w:tcBorders>
            <w:shd w:val="clear" w:color="auto" w:fill="auto"/>
            <w:noWrap/>
            <w:vAlign w:val="bottom"/>
            <w:hideMark/>
          </w:tcPr>
          <w:p w:rsidR="0041147E" w:rsidRPr="00484C19" w:rsidRDefault="0041147E" w:rsidP="008F4251">
            <w:pPr>
              <w:jc w:val="right"/>
              <w:rPr>
                <w:rFonts w:eastAsia="Times New Roman" w:cs="Arial"/>
                <w:b/>
                <w:bCs/>
                <w:color w:val="000000"/>
                <w:szCs w:val="20"/>
                <w:lang w:eastAsia="pt-BR"/>
              </w:rPr>
            </w:pPr>
            <w:r w:rsidRPr="00484C19">
              <w:rPr>
                <w:rFonts w:eastAsia="Times New Roman" w:cs="Arial"/>
                <w:b/>
                <w:bCs/>
                <w:color w:val="000000"/>
                <w:szCs w:val="20"/>
                <w:lang w:eastAsia="pt-BR"/>
              </w:rPr>
              <w:t>3</w:t>
            </w:r>
            <w:r>
              <w:rPr>
                <w:rFonts w:eastAsia="Times New Roman" w:cs="Arial"/>
                <w:b/>
                <w:bCs/>
                <w:color w:val="000000"/>
                <w:szCs w:val="20"/>
                <w:lang w:eastAsia="pt-BR"/>
              </w:rPr>
              <w:t>1</w:t>
            </w:r>
            <w:r w:rsidRPr="00484C19">
              <w:rPr>
                <w:rFonts w:eastAsia="Times New Roman" w:cs="Arial"/>
                <w:b/>
                <w:bCs/>
                <w:color w:val="000000"/>
                <w:szCs w:val="20"/>
                <w:lang w:eastAsia="pt-BR"/>
              </w:rPr>
              <w:t>/</w:t>
            </w:r>
            <w:r>
              <w:rPr>
                <w:rFonts w:eastAsia="Times New Roman" w:cs="Arial"/>
                <w:b/>
                <w:bCs/>
                <w:color w:val="000000"/>
                <w:szCs w:val="20"/>
                <w:lang w:eastAsia="pt-BR"/>
              </w:rPr>
              <w:t>12</w:t>
            </w:r>
            <w:r w:rsidRPr="00484C19">
              <w:rPr>
                <w:rFonts w:eastAsia="Times New Roman" w:cs="Arial"/>
                <w:b/>
                <w:bCs/>
                <w:color w:val="000000"/>
                <w:szCs w:val="20"/>
                <w:lang w:eastAsia="pt-BR"/>
              </w:rPr>
              <w:t>/201</w:t>
            </w:r>
            <w:r>
              <w:rPr>
                <w:rFonts w:eastAsia="Times New Roman" w:cs="Arial"/>
                <w:b/>
                <w:bCs/>
                <w:color w:val="000000"/>
                <w:szCs w:val="20"/>
                <w:lang w:eastAsia="pt-BR"/>
              </w:rPr>
              <w:t>9</w:t>
            </w:r>
          </w:p>
        </w:tc>
        <w:tc>
          <w:tcPr>
            <w:tcW w:w="1732" w:type="dxa"/>
            <w:tcBorders>
              <w:top w:val="single" w:sz="4" w:space="0" w:color="000000"/>
              <w:left w:val="nil"/>
              <w:bottom w:val="single" w:sz="4" w:space="0" w:color="000000"/>
              <w:right w:val="nil"/>
            </w:tcBorders>
            <w:shd w:val="clear" w:color="auto" w:fill="auto"/>
            <w:noWrap/>
            <w:vAlign w:val="bottom"/>
            <w:hideMark/>
          </w:tcPr>
          <w:p w:rsidR="0041147E" w:rsidRPr="00484C19" w:rsidRDefault="0041147E" w:rsidP="008F4251">
            <w:pPr>
              <w:jc w:val="right"/>
              <w:rPr>
                <w:rFonts w:eastAsia="Times New Roman" w:cs="Arial"/>
                <w:b/>
                <w:bCs/>
                <w:color w:val="000000"/>
                <w:szCs w:val="20"/>
                <w:lang w:eastAsia="pt-BR"/>
              </w:rPr>
            </w:pPr>
            <w:r w:rsidRPr="00484C19">
              <w:rPr>
                <w:rFonts w:eastAsia="Times New Roman" w:cs="Arial"/>
                <w:b/>
                <w:bCs/>
                <w:color w:val="000000"/>
                <w:szCs w:val="20"/>
                <w:lang w:eastAsia="pt-BR"/>
              </w:rPr>
              <w:t>31/12/201</w:t>
            </w:r>
            <w:r>
              <w:rPr>
                <w:rFonts w:eastAsia="Times New Roman" w:cs="Arial"/>
                <w:b/>
                <w:bCs/>
                <w:color w:val="000000"/>
                <w:szCs w:val="20"/>
                <w:lang w:eastAsia="pt-BR"/>
              </w:rPr>
              <w:t>8</w:t>
            </w:r>
          </w:p>
        </w:tc>
        <w:tc>
          <w:tcPr>
            <w:tcW w:w="2818" w:type="dxa"/>
            <w:tcBorders>
              <w:top w:val="single" w:sz="4" w:space="0" w:color="000000"/>
              <w:left w:val="nil"/>
              <w:bottom w:val="single" w:sz="4" w:space="0" w:color="000000"/>
              <w:right w:val="nil"/>
            </w:tcBorders>
            <w:shd w:val="clear" w:color="auto" w:fill="auto"/>
            <w:noWrap/>
            <w:vAlign w:val="bottom"/>
            <w:hideMark/>
          </w:tcPr>
          <w:p w:rsidR="0041147E" w:rsidRPr="00484C19" w:rsidRDefault="0041147E" w:rsidP="008F4251">
            <w:pPr>
              <w:jc w:val="right"/>
              <w:rPr>
                <w:rFonts w:eastAsia="Times New Roman" w:cs="Arial"/>
                <w:b/>
                <w:bCs/>
                <w:color w:val="000000"/>
                <w:szCs w:val="20"/>
                <w:lang w:eastAsia="pt-BR"/>
              </w:rPr>
            </w:pPr>
            <w:r>
              <w:rPr>
                <w:rFonts w:eastAsia="Times New Roman" w:cs="Arial"/>
                <w:b/>
                <w:bCs/>
                <w:color w:val="000000"/>
                <w:szCs w:val="20"/>
                <w:lang w:eastAsia="pt-BR"/>
              </w:rPr>
              <w:t xml:space="preserve">AH </w:t>
            </w:r>
            <w:r w:rsidRPr="00484C19">
              <w:rPr>
                <w:rFonts w:eastAsia="Times New Roman" w:cs="Arial"/>
                <w:b/>
                <w:bCs/>
                <w:color w:val="000000"/>
                <w:szCs w:val="20"/>
                <w:lang w:eastAsia="pt-BR"/>
              </w:rPr>
              <w:t>%</w:t>
            </w:r>
          </w:p>
        </w:tc>
      </w:tr>
      <w:tr w:rsidR="0041147E" w:rsidRPr="00484C19" w:rsidTr="008F4251">
        <w:trPr>
          <w:trHeight w:val="229"/>
        </w:trPr>
        <w:tc>
          <w:tcPr>
            <w:tcW w:w="2694" w:type="dxa"/>
            <w:tcBorders>
              <w:top w:val="nil"/>
              <w:left w:val="nil"/>
              <w:bottom w:val="nil"/>
              <w:right w:val="nil"/>
            </w:tcBorders>
            <w:shd w:val="clear" w:color="D9D9D9" w:fill="D9D9D9"/>
            <w:noWrap/>
            <w:vAlign w:val="bottom"/>
            <w:hideMark/>
          </w:tcPr>
          <w:p w:rsidR="0041147E" w:rsidRPr="00484C19" w:rsidRDefault="0041147E" w:rsidP="008F4251">
            <w:pPr>
              <w:jc w:val="left"/>
              <w:rPr>
                <w:rFonts w:eastAsia="Times New Roman" w:cs="Arial"/>
                <w:color w:val="000000"/>
                <w:szCs w:val="20"/>
                <w:lang w:eastAsia="pt-BR"/>
              </w:rPr>
            </w:pPr>
            <w:r>
              <w:rPr>
                <w:rFonts w:eastAsia="Times New Roman" w:cs="Arial"/>
                <w:color w:val="000000"/>
                <w:szCs w:val="20"/>
                <w:lang w:eastAsia="pt-BR"/>
              </w:rPr>
              <w:t>Créditos a Receber CP - Pessoal</w:t>
            </w:r>
          </w:p>
        </w:tc>
        <w:tc>
          <w:tcPr>
            <w:tcW w:w="1970" w:type="dxa"/>
            <w:tcBorders>
              <w:top w:val="nil"/>
              <w:left w:val="nil"/>
              <w:bottom w:val="nil"/>
              <w:right w:val="nil"/>
            </w:tcBorders>
            <w:shd w:val="clear" w:color="D9D9D9" w:fill="D9D9D9"/>
            <w:noWrap/>
            <w:vAlign w:val="bottom"/>
            <w:hideMark/>
          </w:tcPr>
          <w:p w:rsidR="0041147E" w:rsidRPr="00484C19" w:rsidRDefault="0041147E" w:rsidP="008F4251">
            <w:pPr>
              <w:jc w:val="right"/>
              <w:rPr>
                <w:rFonts w:eastAsia="Times New Roman" w:cs="Arial"/>
                <w:color w:val="000000"/>
                <w:szCs w:val="20"/>
                <w:lang w:eastAsia="pt-BR"/>
              </w:rPr>
            </w:pPr>
            <w:r>
              <w:rPr>
                <w:rFonts w:cs="Arial"/>
                <w:szCs w:val="20"/>
              </w:rPr>
              <w:t xml:space="preserve">              3.620.107,12 </w:t>
            </w:r>
          </w:p>
        </w:tc>
        <w:tc>
          <w:tcPr>
            <w:tcW w:w="1732" w:type="dxa"/>
            <w:tcBorders>
              <w:top w:val="nil"/>
              <w:left w:val="nil"/>
              <w:bottom w:val="nil"/>
              <w:right w:val="nil"/>
            </w:tcBorders>
            <w:shd w:val="clear" w:color="D9D9D9" w:fill="D9D9D9"/>
            <w:noWrap/>
            <w:vAlign w:val="bottom"/>
            <w:hideMark/>
          </w:tcPr>
          <w:p w:rsidR="0041147E" w:rsidRPr="00484C19" w:rsidRDefault="0041147E" w:rsidP="008F4251">
            <w:pPr>
              <w:jc w:val="right"/>
              <w:rPr>
                <w:rFonts w:eastAsia="Times New Roman" w:cs="Arial"/>
                <w:color w:val="000000"/>
                <w:szCs w:val="20"/>
                <w:lang w:eastAsia="pt-BR"/>
              </w:rPr>
            </w:pPr>
            <w:r w:rsidRPr="007E5D8D">
              <w:rPr>
                <w:rFonts w:eastAsia="Times New Roman" w:cs="Arial"/>
                <w:color w:val="000000"/>
                <w:szCs w:val="20"/>
                <w:lang w:eastAsia="pt-BR"/>
              </w:rPr>
              <w:t>1</w:t>
            </w:r>
            <w:r>
              <w:rPr>
                <w:rFonts w:eastAsia="Times New Roman" w:cs="Arial"/>
                <w:color w:val="000000"/>
                <w:szCs w:val="20"/>
                <w:lang w:eastAsia="pt-BR"/>
              </w:rPr>
              <w:t>.</w:t>
            </w:r>
            <w:r w:rsidRPr="007E5D8D">
              <w:rPr>
                <w:rFonts w:eastAsia="Times New Roman" w:cs="Arial"/>
                <w:color w:val="000000"/>
                <w:szCs w:val="20"/>
                <w:lang w:eastAsia="pt-BR"/>
              </w:rPr>
              <w:t>808</w:t>
            </w:r>
            <w:r>
              <w:rPr>
                <w:rFonts w:eastAsia="Times New Roman" w:cs="Arial"/>
                <w:color w:val="000000"/>
                <w:szCs w:val="20"/>
                <w:lang w:eastAsia="pt-BR"/>
              </w:rPr>
              <w:t>.</w:t>
            </w:r>
            <w:r w:rsidRPr="007E5D8D">
              <w:rPr>
                <w:rFonts w:eastAsia="Times New Roman" w:cs="Arial"/>
                <w:color w:val="000000"/>
                <w:szCs w:val="20"/>
                <w:lang w:eastAsia="pt-BR"/>
              </w:rPr>
              <w:t>968,01</w:t>
            </w:r>
          </w:p>
        </w:tc>
        <w:tc>
          <w:tcPr>
            <w:tcW w:w="2818" w:type="dxa"/>
            <w:tcBorders>
              <w:top w:val="nil"/>
              <w:left w:val="nil"/>
              <w:bottom w:val="nil"/>
              <w:right w:val="nil"/>
            </w:tcBorders>
            <w:shd w:val="clear" w:color="D9D9D9" w:fill="D9D9D9"/>
            <w:noWrap/>
            <w:vAlign w:val="bottom"/>
            <w:hideMark/>
          </w:tcPr>
          <w:p w:rsidR="0041147E" w:rsidRPr="00484C19" w:rsidRDefault="0041147E" w:rsidP="008F4251">
            <w:pPr>
              <w:jc w:val="right"/>
              <w:rPr>
                <w:rFonts w:eastAsia="Times New Roman" w:cs="Arial"/>
                <w:color w:val="000000"/>
                <w:szCs w:val="20"/>
                <w:lang w:eastAsia="pt-BR"/>
              </w:rPr>
            </w:pPr>
            <w:r>
              <w:rPr>
                <w:rFonts w:eastAsia="Times New Roman" w:cs="Arial"/>
                <w:color w:val="000000"/>
                <w:szCs w:val="20"/>
                <w:lang w:eastAsia="pt-BR"/>
              </w:rPr>
              <w:t>-100</w:t>
            </w:r>
            <w:r w:rsidRPr="00484C19">
              <w:rPr>
                <w:rFonts w:eastAsia="Times New Roman" w:cs="Arial"/>
                <w:color w:val="000000"/>
                <w:szCs w:val="20"/>
                <w:lang w:eastAsia="pt-BR"/>
              </w:rPr>
              <w:t>,</w:t>
            </w:r>
            <w:r>
              <w:rPr>
                <w:rFonts w:eastAsia="Times New Roman" w:cs="Arial"/>
                <w:color w:val="000000"/>
                <w:szCs w:val="20"/>
                <w:lang w:eastAsia="pt-BR"/>
              </w:rPr>
              <w:t>12</w:t>
            </w:r>
          </w:p>
        </w:tc>
      </w:tr>
      <w:tr w:rsidR="0041147E" w:rsidRPr="00484C19" w:rsidTr="008F4251">
        <w:trPr>
          <w:trHeight w:val="229"/>
        </w:trPr>
        <w:tc>
          <w:tcPr>
            <w:tcW w:w="2694" w:type="dxa"/>
            <w:tcBorders>
              <w:top w:val="nil"/>
              <w:left w:val="nil"/>
              <w:bottom w:val="nil"/>
              <w:right w:val="nil"/>
            </w:tcBorders>
            <w:shd w:val="clear" w:color="auto" w:fill="auto"/>
            <w:noWrap/>
            <w:vAlign w:val="bottom"/>
          </w:tcPr>
          <w:p w:rsidR="0041147E" w:rsidRDefault="0041147E" w:rsidP="008F4251">
            <w:pPr>
              <w:jc w:val="left"/>
              <w:rPr>
                <w:rFonts w:eastAsia="Times New Roman" w:cs="Arial"/>
                <w:color w:val="000000"/>
                <w:szCs w:val="20"/>
                <w:lang w:eastAsia="pt-BR"/>
              </w:rPr>
            </w:pPr>
            <w:r>
              <w:rPr>
                <w:rFonts w:eastAsia="Times New Roman" w:cs="Arial"/>
                <w:color w:val="000000"/>
                <w:szCs w:val="20"/>
                <w:lang w:eastAsia="pt-BR"/>
              </w:rPr>
              <w:t>Adiantamento de TED</w:t>
            </w:r>
          </w:p>
        </w:tc>
        <w:tc>
          <w:tcPr>
            <w:tcW w:w="1970" w:type="dxa"/>
            <w:tcBorders>
              <w:top w:val="nil"/>
              <w:left w:val="nil"/>
              <w:bottom w:val="nil"/>
              <w:right w:val="nil"/>
            </w:tcBorders>
            <w:shd w:val="clear" w:color="auto" w:fill="auto"/>
            <w:noWrap/>
            <w:vAlign w:val="bottom"/>
          </w:tcPr>
          <w:p w:rsidR="0041147E" w:rsidRPr="00803A43" w:rsidRDefault="0041147E" w:rsidP="008F4251">
            <w:pPr>
              <w:jc w:val="right"/>
              <w:rPr>
                <w:rFonts w:eastAsia="Times New Roman" w:cs="Arial"/>
                <w:color w:val="000000"/>
                <w:szCs w:val="20"/>
                <w:lang w:eastAsia="pt-BR"/>
              </w:rPr>
            </w:pPr>
            <w:r w:rsidRPr="00803A43">
              <w:rPr>
                <w:rFonts w:eastAsia="Times New Roman" w:cs="Arial"/>
                <w:color w:val="000000"/>
                <w:szCs w:val="20"/>
                <w:lang w:eastAsia="pt-BR"/>
              </w:rPr>
              <w:t>135</w:t>
            </w:r>
            <w:r>
              <w:rPr>
                <w:rFonts w:eastAsia="Times New Roman" w:cs="Arial"/>
                <w:color w:val="000000"/>
                <w:szCs w:val="20"/>
                <w:lang w:eastAsia="pt-BR"/>
              </w:rPr>
              <w:t>.</w:t>
            </w:r>
            <w:r w:rsidRPr="00803A43">
              <w:rPr>
                <w:rFonts w:eastAsia="Times New Roman" w:cs="Arial"/>
                <w:color w:val="000000"/>
                <w:szCs w:val="20"/>
                <w:lang w:eastAsia="pt-BR"/>
              </w:rPr>
              <w:t>692</w:t>
            </w:r>
            <w:r>
              <w:rPr>
                <w:rFonts w:eastAsia="Times New Roman" w:cs="Arial"/>
                <w:color w:val="000000"/>
                <w:szCs w:val="20"/>
                <w:lang w:eastAsia="pt-BR"/>
              </w:rPr>
              <w:t>.</w:t>
            </w:r>
            <w:r w:rsidRPr="00803A43">
              <w:rPr>
                <w:rFonts w:eastAsia="Times New Roman" w:cs="Arial"/>
                <w:color w:val="000000"/>
                <w:szCs w:val="20"/>
                <w:lang w:eastAsia="pt-BR"/>
              </w:rPr>
              <w:t>910,99</w:t>
            </w:r>
          </w:p>
        </w:tc>
        <w:tc>
          <w:tcPr>
            <w:tcW w:w="1732" w:type="dxa"/>
            <w:tcBorders>
              <w:top w:val="nil"/>
              <w:left w:val="nil"/>
              <w:bottom w:val="nil"/>
              <w:right w:val="nil"/>
            </w:tcBorders>
            <w:shd w:val="clear" w:color="auto" w:fill="auto"/>
            <w:noWrap/>
            <w:vAlign w:val="bottom"/>
          </w:tcPr>
          <w:p w:rsidR="0041147E" w:rsidRPr="007E5D8D" w:rsidRDefault="0041147E" w:rsidP="008F4251">
            <w:pPr>
              <w:jc w:val="right"/>
              <w:rPr>
                <w:rFonts w:eastAsia="Times New Roman" w:cs="Arial"/>
                <w:color w:val="000000"/>
                <w:szCs w:val="20"/>
                <w:lang w:eastAsia="pt-BR"/>
              </w:rPr>
            </w:pPr>
            <w:r>
              <w:rPr>
                <w:rFonts w:eastAsia="Times New Roman" w:cs="Arial"/>
                <w:color w:val="000000"/>
                <w:szCs w:val="20"/>
                <w:lang w:eastAsia="pt-BR"/>
              </w:rPr>
              <w:t>0,00</w:t>
            </w:r>
          </w:p>
        </w:tc>
        <w:tc>
          <w:tcPr>
            <w:tcW w:w="2818" w:type="dxa"/>
            <w:tcBorders>
              <w:top w:val="nil"/>
              <w:left w:val="nil"/>
              <w:bottom w:val="nil"/>
              <w:right w:val="nil"/>
            </w:tcBorders>
            <w:shd w:val="clear" w:color="auto" w:fill="auto"/>
            <w:noWrap/>
            <w:vAlign w:val="bottom"/>
          </w:tcPr>
          <w:p w:rsidR="0041147E" w:rsidRDefault="0041147E" w:rsidP="008F4251">
            <w:pPr>
              <w:jc w:val="right"/>
              <w:rPr>
                <w:rFonts w:eastAsia="Times New Roman" w:cs="Arial"/>
                <w:color w:val="000000"/>
                <w:szCs w:val="20"/>
                <w:lang w:eastAsia="pt-BR"/>
              </w:rPr>
            </w:pPr>
          </w:p>
        </w:tc>
      </w:tr>
      <w:tr w:rsidR="0041147E" w:rsidRPr="00484C19" w:rsidTr="008F4251">
        <w:trPr>
          <w:trHeight w:val="229"/>
        </w:trPr>
        <w:tc>
          <w:tcPr>
            <w:tcW w:w="2694" w:type="dxa"/>
            <w:tcBorders>
              <w:top w:val="nil"/>
              <w:left w:val="nil"/>
              <w:bottom w:val="single" w:sz="4" w:space="0" w:color="000000"/>
              <w:right w:val="nil"/>
            </w:tcBorders>
            <w:shd w:val="clear" w:color="auto" w:fill="D9D9D9" w:themeFill="background1" w:themeFillShade="D9"/>
            <w:noWrap/>
            <w:vAlign w:val="bottom"/>
            <w:hideMark/>
          </w:tcPr>
          <w:p w:rsidR="0041147E" w:rsidRPr="00484C19" w:rsidRDefault="0041147E" w:rsidP="008F4251">
            <w:pPr>
              <w:jc w:val="left"/>
              <w:rPr>
                <w:rFonts w:eastAsia="Times New Roman" w:cs="Arial"/>
                <w:b/>
                <w:bCs/>
                <w:color w:val="000000"/>
                <w:szCs w:val="20"/>
                <w:lang w:eastAsia="pt-BR"/>
              </w:rPr>
            </w:pPr>
            <w:r w:rsidRPr="00484C19">
              <w:rPr>
                <w:rFonts w:eastAsia="Times New Roman" w:cs="Arial"/>
                <w:b/>
                <w:bCs/>
                <w:color w:val="000000"/>
                <w:szCs w:val="20"/>
                <w:lang w:eastAsia="pt-BR"/>
              </w:rPr>
              <w:t>Total</w:t>
            </w:r>
          </w:p>
        </w:tc>
        <w:tc>
          <w:tcPr>
            <w:tcW w:w="1970" w:type="dxa"/>
            <w:tcBorders>
              <w:top w:val="nil"/>
              <w:left w:val="nil"/>
              <w:bottom w:val="single" w:sz="4" w:space="0" w:color="000000"/>
              <w:right w:val="nil"/>
            </w:tcBorders>
            <w:shd w:val="clear" w:color="auto" w:fill="D9D9D9" w:themeFill="background1" w:themeFillShade="D9"/>
            <w:noWrap/>
            <w:vAlign w:val="bottom"/>
            <w:hideMark/>
          </w:tcPr>
          <w:p w:rsidR="0041147E" w:rsidRPr="00803A43" w:rsidRDefault="0041147E" w:rsidP="008F4251">
            <w:pPr>
              <w:jc w:val="right"/>
              <w:rPr>
                <w:rFonts w:eastAsia="Times New Roman" w:cs="Arial"/>
                <w:b/>
                <w:color w:val="000000"/>
                <w:szCs w:val="20"/>
                <w:lang w:eastAsia="pt-BR"/>
              </w:rPr>
            </w:pPr>
            <w:r w:rsidRPr="00803A43">
              <w:rPr>
                <w:rFonts w:eastAsia="Times New Roman" w:cs="Arial"/>
                <w:b/>
                <w:color w:val="000000"/>
                <w:szCs w:val="20"/>
                <w:lang w:eastAsia="pt-BR"/>
              </w:rPr>
              <w:t>139.313.018,11</w:t>
            </w:r>
          </w:p>
        </w:tc>
        <w:tc>
          <w:tcPr>
            <w:tcW w:w="1732" w:type="dxa"/>
            <w:tcBorders>
              <w:top w:val="nil"/>
              <w:left w:val="nil"/>
              <w:bottom w:val="single" w:sz="4" w:space="0" w:color="000000"/>
              <w:right w:val="nil"/>
            </w:tcBorders>
            <w:shd w:val="clear" w:color="auto" w:fill="D9D9D9" w:themeFill="background1" w:themeFillShade="D9"/>
            <w:noWrap/>
            <w:vAlign w:val="bottom"/>
            <w:hideMark/>
          </w:tcPr>
          <w:p w:rsidR="0041147E" w:rsidRPr="007E5D8D" w:rsidRDefault="0041147E" w:rsidP="008F4251">
            <w:pPr>
              <w:jc w:val="right"/>
              <w:rPr>
                <w:rFonts w:eastAsia="Times New Roman" w:cs="Arial"/>
                <w:b/>
                <w:color w:val="000000"/>
                <w:szCs w:val="20"/>
                <w:lang w:eastAsia="pt-BR"/>
              </w:rPr>
            </w:pPr>
            <w:r w:rsidRPr="007E5D8D">
              <w:rPr>
                <w:rFonts w:eastAsia="Times New Roman" w:cs="Arial"/>
                <w:b/>
                <w:color w:val="000000"/>
                <w:szCs w:val="20"/>
                <w:lang w:eastAsia="pt-BR"/>
              </w:rPr>
              <w:t>1.808.968,01</w:t>
            </w:r>
          </w:p>
        </w:tc>
        <w:tc>
          <w:tcPr>
            <w:tcW w:w="2818" w:type="dxa"/>
            <w:tcBorders>
              <w:top w:val="nil"/>
              <w:left w:val="nil"/>
              <w:bottom w:val="single" w:sz="4" w:space="0" w:color="000000"/>
              <w:right w:val="nil"/>
            </w:tcBorders>
            <w:shd w:val="clear" w:color="auto" w:fill="D9D9D9" w:themeFill="background1" w:themeFillShade="D9"/>
            <w:noWrap/>
            <w:vAlign w:val="bottom"/>
            <w:hideMark/>
          </w:tcPr>
          <w:p w:rsidR="0041147E" w:rsidRPr="00484C19" w:rsidRDefault="0041147E" w:rsidP="008F4251">
            <w:pPr>
              <w:jc w:val="right"/>
              <w:rPr>
                <w:rFonts w:eastAsia="Times New Roman" w:cs="Arial"/>
                <w:b/>
                <w:bCs/>
                <w:color w:val="000000"/>
                <w:szCs w:val="20"/>
                <w:lang w:eastAsia="pt-BR"/>
              </w:rPr>
            </w:pPr>
            <w:r>
              <w:rPr>
                <w:rFonts w:eastAsia="Times New Roman" w:cs="Arial"/>
                <w:b/>
                <w:bCs/>
                <w:color w:val="000000"/>
                <w:szCs w:val="20"/>
                <w:lang w:eastAsia="pt-BR"/>
              </w:rPr>
              <w:t>7601,24</w:t>
            </w:r>
          </w:p>
        </w:tc>
      </w:tr>
    </w:tbl>
    <w:p w:rsidR="0041147E" w:rsidRPr="00484C19" w:rsidRDefault="0041147E" w:rsidP="0041147E">
      <w:pPr>
        <w:rPr>
          <w:rFonts w:cs="Arial"/>
          <w:i/>
          <w:szCs w:val="20"/>
        </w:rPr>
      </w:pPr>
      <w:r w:rsidRPr="00484C19">
        <w:rPr>
          <w:rFonts w:cs="Arial"/>
          <w:i/>
          <w:szCs w:val="20"/>
        </w:rPr>
        <w:t>Fonte: SIAFI, 201</w:t>
      </w:r>
      <w:r>
        <w:rPr>
          <w:rFonts w:cs="Arial"/>
          <w:i/>
          <w:szCs w:val="20"/>
        </w:rPr>
        <w:t>9</w:t>
      </w:r>
      <w:r w:rsidRPr="00484C19">
        <w:rPr>
          <w:rFonts w:cs="Arial"/>
          <w:i/>
          <w:szCs w:val="20"/>
        </w:rPr>
        <w:t xml:space="preserve"> e 201</w:t>
      </w:r>
      <w:r>
        <w:rPr>
          <w:rFonts w:cs="Arial"/>
          <w:i/>
          <w:szCs w:val="20"/>
        </w:rPr>
        <w:t>8</w:t>
      </w:r>
      <w:r w:rsidRPr="00484C19">
        <w:rPr>
          <w:rFonts w:cs="Arial"/>
          <w:i/>
          <w:szCs w:val="20"/>
        </w:rPr>
        <w:t>.</w:t>
      </w:r>
    </w:p>
    <w:p w:rsidR="0041147E" w:rsidRPr="005C45E1" w:rsidRDefault="0041147E" w:rsidP="0041147E">
      <w:pPr>
        <w:rPr>
          <w:rFonts w:cs="Arial"/>
          <w:sz w:val="22"/>
        </w:rPr>
      </w:pPr>
    </w:p>
    <w:p w:rsidR="0041147E" w:rsidRPr="004028B5" w:rsidRDefault="0041147E" w:rsidP="0041147E">
      <w:pPr>
        <w:rPr>
          <w:rFonts w:cs="Arial"/>
          <w:b/>
          <w:sz w:val="22"/>
        </w:rPr>
      </w:pPr>
    </w:p>
    <w:p w:rsidR="0041147E" w:rsidRPr="004028B5" w:rsidRDefault="0041147E" w:rsidP="0041147E">
      <w:pPr>
        <w:rPr>
          <w:rFonts w:cs="Arial"/>
          <w:b/>
          <w:sz w:val="22"/>
        </w:rPr>
      </w:pPr>
      <w:r w:rsidRPr="004028B5">
        <w:rPr>
          <w:rFonts w:cs="Arial"/>
          <w:b/>
          <w:sz w:val="22"/>
        </w:rPr>
        <w:t>Créditos a Longo Prazo</w:t>
      </w:r>
    </w:p>
    <w:p w:rsidR="0041147E" w:rsidRPr="004028B5" w:rsidRDefault="0041147E" w:rsidP="0041147E">
      <w:pPr>
        <w:rPr>
          <w:rFonts w:cs="Arial"/>
          <w:b/>
          <w:sz w:val="22"/>
        </w:rPr>
      </w:pPr>
    </w:p>
    <w:p w:rsidR="0041147E" w:rsidRDefault="0041147E" w:rsidP="0041147E">
      <w:pPr>
        <w:rPr>
          <w:rFonts w:cs="Arial"/>
          <w:sz w:val="22"/>
        </w:rPr>
      </w:pPr>
      <w:r w:rsidRPr="004028B5">
        <w:rPr>
          <w:rFonts w:cs="Arial"/>
          <w:sz w:val="22"/>
        </w:rPr>
        <w:t xml:space="preserve">Este item contempla os Créditos a Receber vencidos e não pagos, com inscrição em Dívida Ativa. Os créditos estão </w:t>
      </w:r>
      <w:r>
        <w:rPr>
          <w:rFonts w:cs="Arial"/>
          <w:sz w:val="22"/>
        </w:rPr>
        <w:t>reconhecidos</w:t>
      </w:r>
      <w:r w:rsidRPr="004028B5">
        <w:rPr>
          <w:rFonts w:cs="Arial"/>
          <w:sz w:val="22"/>
        </w:rPr>
        <w:t xml:space="preserve"> conforme tabela a seguir:</w:t>
      </w:r>
    </w:p>
    <w:p w:rsidR="0041147E" w:rsidRDefault="0041147E" w:rsidP="0041147E">
      <w:pPr>
        <w:rPr>
          <w:rFonts w:cs="Arial"/>
          <w:sz w:val="22"/>
        </w:rPr>
      </w:pPr>
    </w:p>
    <w:p w:rsidR="0041147E" w:rsidRPr="00791AED" w:rsidRDefault="0041147E" w:rsidP="0041147E">
      <w:pPr>
        <w:rPr>
          <w:rFonts w:cs="Arial"/>
          <w:b/>
          <w:sz w:val="22"/>
        </w:rPr>
      </w:pPr>
      <w:r w:rsidRPr="00791AED">
        <w:rPr>
          <w:rFonts w:cs="Arial"/>
          <w:b/>
          <w:sz w:val="22"/>
        </w:rPr>
        <w:t xml:space="preserve">Tabela </w:t>
      </w:r>
      <w:r>
        <w:rPr>
          <w:rFonts w:cs="Arial"/>
          <w:b/>
          <w:sz w:val="22"/>
        </w:rPr>
        <w:t>4</w:t>
      </w:r>
      <w:r w:rsidRPr="00791AED">
        <w:rPr>
          <w:rFonts w:cs="Arial"/>
          <w:b/>
          <w:sz w:val="22"/>
        </w:rPr>
        <w:t xml:space="preserve"> – Créditos a Longo Prazo - Composição</w:t>
      </w:r>
    </w:p>
    <w:p w:rsidR="0041147E" w:rsidRDefault="0041147E" w:rsidP="0041147E">
      <w:pPr>
        <w:jc w:val="center"/>
        <w:rPr>
          <w:rFonts w:cs="Arial"/>
          <w:sz w:val="22"/>
        </w:rPr>
      </w:pPr>
      <w:r>
        <w:rPr>
          <w:rFonts w:cs="Arial"/>
          <w:sz w:val="22"/>
        </w:rPr>
        <w:t xml:space="preserve">                                                                                                                                   R$</w:t>
      </w:r>
    </w:p>
    <w:tbl>
      <w:tblPr>
        <w:tblW w:w="9083" w:type="dxa"/>
        <w:tblCellMar>
          <w:left w:w="70" w:type="dxa"/>
          <w:right w:w="70" w:type="dxa"/>
        </w:tblCellMar>
        <w:tblLook w:val="04A0" w:firstRow="1" w:lastRow="0" w:firstColumn="1" w:lastColumn="0" w:noHBand="0" w:noVBand="1"/>
      </w:tblPr>
      <w:tblGrid>
        <w:gridCol w:w="3908"/>
        <w:gridCol w:w="1725"/>
        <w:gridCol w:w="1725"/>
        <w:gridCol w:w="1725"/>
      </w:tblGrid>
      <w:tr w:rsidR="0041147E" w:rsidRPr="00204D59" w:rsidTr="008F4251">
        <w:trPr>
          <w:trHeight w:val="269"/>
        </w:trPr>
        <w:tc>
          <w:tcPr>
            <w:tcW w:w="3908" w:type="dxa"/>
            <w:tcBorders>
              <w:top w:val="single" w:sz="4" w:space="0" w:color="000000"/>
              <w:left w:val="nil"/>
              <w:bottom w:val="single" w:sz="4" w:space="0" w:color="000000"/>
              <w:right w:val="nil"/>
            </w:tcBorders>
            <w:shd w:val="clear" w:color="auto" w:fill="auto"/>
            <w:noWrap/>
            <w:vAlign w:val="bottom"/>
            <w:hideMark/>
          </w:tcPr>
          <w:p w:rsidR="0041147E" w:rsidRPr="00204D59" w:rsidRDefault="0041147E" w:rsidP="008F4251">
            <w:pPr>
              <w:jc w:val="left"/>
              <w:rPr>
                <w:rFonts w:eastAsia="Times New Roman" w:cs="Arial"/>
                <w:b/>
                <w:bCs/>
                <w:color w:val="FFFFFF"/>
                <w:szCs w:val="20"/>
                <w:lang w:eastAsia="pt-BR"/>
              </w:rPr>
            </w:pPr>
            <w:r w:rsidRPr="00204D59">
              <w:rPr>
                <w:rFonts w:eastAsia="Times New Roman" w:cs="Arial"/>
                <w:b/>
                <w:bCs/>
                <w:color w:val="FFFFFF"/>
                <w:szCs w:val="20"/>
                <w:lang w:eastAsia="pt-BR"/>
              </w:rPr>
              <w:t>Colunas1</w:t>
            </w:r>
          </w:p>
        </w:tc>
        <w:tc>
          <w:tcPr>
            <w:tcW w:w="1725" w:type="dxa"/>
            <w:tcBorders>
              <w:top w:val="single" w:sz="4" w:space="0" w:color="000000"/>
              <w:left w:val="nil"/>
              <w:bottom w:val="single" w:sz="4" w:space="0" w:color="000000"/>
              <w:right w:val="nil"/>
            </w:tcBorders>
            <w:shd w:val="clear" w:color="auto" w:fill="auto"/>
            <w:noWrap/>
            <w:vAlign w:val="bottom"/>
            <w:hideMark/>
          </w:tcPr>
          <w:p w:rsidR="0041147E" w:rsidRPr="00204D59" w:rsidRDefault="0041147E" w:rsidP="008F4251">
            <w:pPr>
              <w:jc w:val="right"/>
              <w:rPr>
                <w:rFonts w:eastAsia="Times New Roman" w:cs="Arial"/>
                <w:b/>
                <w:bCs/>
                <w:color w:val="000000"/>
                <w:szCs w:val="20"/>
                <w:lang w:eastAsia="pt-BR"/>
              </w:rPr>
            </w:pPr>
            <w:r w:rsidRPr="00204D59">
              <w:rPr>
                <w:rFonts w:eastAsia="Times New Roman" w:cs="Arial"/>
                <w:b/>
                <w:bCs/>
                <w:color w:val="000000"/>
                <w:szCs w:val="20"/>
                <w:lang w:eastAsia="pt-BR"/>
              </w:rPr>
              <w:t>3</w:t>
            </w:r>
            <w:r>
              <w:rPr>
                <w:rFonts w:eastAsia="Times New Roman" w:cs="Arial"/>
                <w:b/>
                <w:bCs/>
                <w:color w:val="000000"/>
                <w:szCs w:val="20"/>
                <w:lang w:eastAsia="pt-BR"/>
              </w:rPr>
              <w:t>1</w:t>
            </w:r>
            <w:r w:rsidRPr="00204D59">
              <w:rPr>
                <w:rFonts w:eastAsia="Times New Roman" w:cs="Arial"/>
                <w:b/>
                <w:bCs/>
                <w:color w:val="000000"/>
                <w:szCs w:val="20"/>
                <w:lang w:eastAsia="pt-BR"/>
              </w:rPr>
              <w:t>/</w:t>
            </w:r>
            <w:r>
              <w:rPr>
                <w:rFonts w:eastAsia="Times New Roman" w:cs="Arial"/>
                <w:b/>
                <w:bCs/>
                <w:color w:val="000000"/>
                <w:szCs w:val="20"/>
                <w:lang w:eastAsia="pt-BR"/>
              </w:rPr>
              <w:t>12</w:t>
            </w:r>
            <w:r w:rsidRPr="00204D59">
              <w:rPr>
                <w:rFonts w:eastAsia="Times New Roman" w:cs="Arial"/>
                <w:b/>
                <w:bCs/>
                <w:color w:val="000000"/>
                <w:szCs w:val="20"/>
                <w:lang w:eastAsia="pt-BR"/>
              </w:rPr>
              <w:t>/201</w:t>
            </w:r>
            <w:r>
              <w:rPr>
                <w:rFonts w:eastAsia="Times New Roman" w:cs="Arial"/>
                <w:b/>
                <w:bCs/>
                <w:color w:val="000000"/>
                <w:szCs w:val="20"/>
                <w:lang w:eastAsia="pt-BR"/>
              </w:rPr>
              <w:t>8</w:t>
            </w:r>
          </w:p>
        </w:tc>
        <w:tc>
          <w:tcPr>
            <w:tcW w:w="1725" w:type="dxa"/>
            <w:tcBorders>
              <w:top w:val="single" w:sz="4" w:space="0" w:color="000000"/>
              <w:left w:val="nil"/>
              <w:bottom w:val="single" w:sz="4" w:space="0" w:color="000000"/>
              <w:right w:val="nil"/>
            </w:tcBorders>
            <w:shd w:val="clear" w:color="auto" w:fill="auto"/>
            <w:noWrap/>
            <w:vAlign w:val="bottom"/>
            <w:hideMark/>
          </w:tcPr>
          <w:p w:rsidR="0041147E" w:rsidRPr="00204D59" w:rsidRDefault="0041147E" w:rsidP="008F4251">
            <w:pPr>
              <w:jc w:val="right"/>
              <w:rPr>
                <w:rFonts w:eastAsia="Times New Roman" w:cs="Arial"/>
                <w:b/>
                <w:bCs/>
                <w:color w:val="000000"/>
                <w:szCs w:val="20"/>
                <w:lang w:eastAsia="pt-BR"/>
              </w:rPr>
            </w:pPr>
            <w:r w:rsidRPr="00204D59">
              <w:rPr>
                <w:rFonts w:eastAsia="Times New Roman" w:cs="Arial"/>
                <w:b/>
                <w:bCs/>
                <w:color w:val="000000"/>
                <w:szCs w:val="20"/>
                <w:lang w:eastAsia="pt-BR"/>
              </w:rPr>
              <w:t>31/12/201</w:t>
            </w:r>
            <w:r>
              <w:rPr>
                <w:rFonts w:eastAsia="Times New Roman" w:cs="Arial"/>
                <w:b/>
                <w:bCs/>
                <w:color w:val="000000"/>
                <w:szCs w:val="20"/>
                <w:lang w:eastAsia="pt-BR"/>
              </w:rPr>
              <w:t>8</w:t>
            </w:r>
          </w:p>
        </w:tc>
        <w:tc>
          <w:tcPr>
            <w:tcW w:w="1725" w:type="dxa"/>
            <w:tcBorders>
              <w:top w:val="single" w:sz="4" w:space="0" w:color="000000"/>
              <w:left w:val="nil"/>
              <w:bottom w:val="single" w:sz="4" w:space="0" w:color="000000"/>
              <w:right w:val="nil"/>
            </w:tcBorders>
            <w:shd w:val="clear" w:color="auto" w:fill="auto"/>
            <w:noWrap/>
            <w:vAlign w:val="bottom"/>
            <w:hideMark/>
          </w:tcPr>
          <w:p w:rsidR="0041147E" w:rsidRPr="00204D59" w:rsidRDefault="0041147E" w:rsidP="008F4251">
            <w:pPr>
              <w:jc w:val="right"/>
              <w:rPr>
                <w:rFonts w:eastAsia="Times New Roman" w:cs="Arial"/>
                <w:b/>
                <w:bCs/>
                <w:color w:val="000000"/>
                <w:szCs w:val="20"/>
                <w:lang w:eastAsia="pt-BR"/>
              </w:rPr>
            </w:pPr>
            <w:r w:rsidRPr="00204D59">
              <w:rPr>
                <w:rFonts w:eastAsia="Times New Roman" w:cs="Arial"/>
                <w:b/>
                <w:bCs/>
                <w:color w:val="000000"/>
                <w:szCs w:val="20"/>
                <w:lang w:eastAsia="pt-BR"/>
              </w:rPr>
              <w:t>AH (%)</w:t>
            </w:r>
          </w:p>
        </w:tc>
      </w:tr>
      <w:tr w:rsidR="0041147E" w:rsidRPr="00204D59" w:rsidTr="008F4251">
        <w:trPr>
          <w:trHeight w:val="269"/>
        </w:trPr>
        <w:tc>
          <w:tcPr>
            <w:tcW w:w="3908" w:type="dxa"/>
            <w:tcBorders>
              <w:top w:val="nil"/>
              <w:left w:val="nil"/>
              <w:bottom w:val="nil"/>
              <w:right w:val="nil"/>
            </w:tcBorders>
            <w:shd w:val="clear" w:color="D9D9D9" w:fill="D9D9D9"/>
            <w:vAlign w:val="bottom"/>
            <w:hideMark/>
          </w:tcPr>
          <w:p w:rsidR="0041147E" w:rsidRPr="00204D59" w:rsidRDefault="0041147E" w:rsidP="008F4251">
            <w:pPr>
              <w:jc w:val="left"/>
              <w:rPr>
                <w:rFonts w:eastAsia="Times New Roman" w:cs="Arial"/>
                <w:color w:val="000000"/>
                <w:szCs w:val="20"/>
                <w:lang w:eastAsia="pt-BR"/>
              </w:rPr>
            </w:pPr>
            <w:r w:rsidRPr="00204D59">
              <w:rPr>
                <w:rFonts w:eastAsia="Times New Roman" w:cs="Arial"/>
                <w:color w:val="000000"/>
                <w:szCs w:val="20"/>
                <w:lang w:eastAsia="pt-BR"/>
              </w:rPr>
              <w:t>Dívida Ativa Não Tributária</w:t>
            </w:r>
          </w:p>
        </w:tc>
        <w:tc>
          <w:tcPr>
            <w:tcW w:w="1725" w:type="dxa"/>
            <w:tcBorders>
              <w:top w:val="nil"/>
              <w:left w:val="nil"/>
              <w:bottom w:val="nil"/>
              <w:right w:val="nil"/>
            </w:tcBorders>
            <w:shd w:val="clear" w:color="D9D9D9" w:fill="D9D9D9"/>
            <w:noWrap/>
            <w:vAlign w:val="bottom"/>
            <w:hideMark/>
          </w:tcPr>
          <w:p w:rsidR="0041147E" w:rsidRPr="00204D59" w:rsidRDefault="0041147E" w:rsidP="008F4251">
            <w:pPr>
              <w:jc w:val="right"/>
              <w:rPr>
                <w:rFonts w:eastAsia="Times New Roman" w:cs="Arial"/>
                <w:color w:val="000000"/>
                <w:szCs w:val="20"/>
                <w:lang w:eastAsia="pt-BR"/>
              </w:rPr>
            </w:pPr>
            <w:r w:rsidRPr="00624E0A">
              <w:rPr>
                <w:rFonts w:eastAsia="Times New Roman" w:cs="Arial"/>
                <w:color w:val="000000"/>
                <w:szCs w:val="20"/>
                <w:lang w:eastAsia="pt-BR"/>
              </w:rPr>
              <w:t>1</w:t>
            </w:r>
            <w:r>
              <w:rPr>
                <w:rFonts w:eastAsia="Times New Roman" w:cs="Arial"/>
                <w:color w:val="000000"/>
                <w:szCs w:val="20"/>
                <w:lang w:eastAsia="pt-BR"/>
              </w:rPr>
              <w:t>.</w:t>
            </w:r>
            <w:r w:rsidRPr="00624E0A">
              <w:rPr>
                <w:rFonts w:eastAsia="Times New Roman" w:cs="Arial"/>
                <w:color w:val="000000"/>
                <w:szCs w:val="20"/>
                <w:lang w:eastAsia="pt-BR"/>
              </w:rPr>
              <w:t>865</w:t>
            </w:r>
            <w:r>
              <w:rPr>
                <w:rFonts w:eastAsia="Times New Roman" w:cs="Arial"/>
                <w:color w:val="000000"/>
                <w:szCs w:val="20"/>
                <w:lang w:eastAsia="pt-BR"/>
              </w:rPr>
              <w:t>.</w:t>
            </w:r>
            <w:r w:rsidRPr="00624E0A">
              <w:rPr>
                <w:rFonts w:eastAsia="Times New Roman" w:cs="Arial"/>
                <w:color w:val="000000"/>
                <w:szCs w:val="20"/>
                <w:lang w:eastAsia="pt-BR"/>
              </w:rPr>
              <w:t>104</w:t>
            </w:r>
            <w:r>
              <w:rPr>
                <w:rFonts w:eastAsia="Times New Roman" w:cs="Arial"/>
                <w:color w:val="000000"/>
                <w:szCs w:val="20"/>
                <w:lang w:eastAsia="pt-BR"/>
              </w:rPr>
              <w:t>.</w:t>
            </w:r>
            <w:r w:rsidRPr="00624E0A">
              <w:rPr>
                <w:rFonts w:eastAsia="Times New Roman" w:cs="Arial"/>
                <w:color w:val="000000"/>
                <w:szCs w:val="20"/>
                <w:lang w:eastAsia="pt-BR"/>
              </w:rPr>
              <w:t>857,9</w:t>
            </w:r>
            <w:r>
              <w:rPr>
                <w:rFonts w:eastAsia="Times New Roman" w:cs="Arial"/>
                <w:color w:val="000000"/>
                <w:szCs w:val="20"/>
                <w:lang w:eastAsia="pt-BR"/>
              </w:rPr>
              <w:t>0</w:t>
            </w:r>
          </w:p>
        </w:tc>
        <w:tc>
          <w:tcPr>
            <w:tcW w:w="1725" w:type="dxa"/>
            <w:tcBorders>
              <w:top w:val="nil"/>
              <w:left w:val="nil"/>
              <w:bottom w:val="nil"/>
              <w:right w:val="nil"/>
            </w:tcBorders>
            <w:shd w:val="clear" w:color="D9D9D9" w:fill="D9D9D9"/>
            <w:noWrap/>
            <w:vAlign w:val="bottom"/>
            <w:hideMark/>
          </w:tcPr>
          <w:p w:rsidR="0041147E" w:rsidRPr="00204D59" w:rsidRDefault="0041147E" w:rsidP="008F4251">
            <w:pPr>
              <w:jc w:val="right"/>
              <w:rPr>
                <w:rFonts w:eastAsia="Times New Roman" w:cs="Arial"/>
                <w:color w:val="000000"/>
                <w:szCs w:val="20"/>
                <w:lang w:eastAsia="pt-BR"/>
              </w:rPr>
            </w:pPr>
            <w:r>
              <w:rPr>
                <w:rFonts w:eastAsia="Times New Roman" w:cs="Arial"/>
                <w:color w:val="000000"/>
                <w:szCs w:val="20"/>
                <w:lang w:eastAsia="pt-BR"/>
              </w:rPr>
              <w:t>1.834.670.229,41</w:t>
            </w:r>
          </w:p>
        </w:tc>
        <w:tc>
          <w:tcPr>
            <w:tcW w:w="1725" w:type="dxa"/>
            <w:tcBorders>
              <w:top w:val="nil"/>
              <w:left w:val="nil"/>
              <w:bottom w:val="nil"/>
              <w:right w:val="nil"/>
            </w:tcBorders>
            <w:shd w:val="clear" w:color="D9D9D9" w:fill="D9D9D9"/>
            <w:noWrap/>
            <w:vAlign w:val="bottom"/>
            <w:hideMark/>
          </w:tcPr>
          <w:p w:rsidR="0041147E" w:rsidRPr="00204D59" w:rsidRDefault="0041147E" w:rsidP="008F4251">
            <w:pPr>
              <w:jc w:val="right"/>
              <w:rPr>
                <w:rFonts w:eastAsia="Times New Roman" w:cs="Arial"/>
                <w:color w:val="000000"/>
                <w:szCs w:val="20"/>
                <w:lang w:eastAsia="pt-BR"/>
              </w:rPr>
            </w:pPr>
            <w:r>
              <w:rPr>
                <w:rFonts w:eastAsia="Times New Roman" w:cs="Arial"/>
                <w:color w:val="000000"/>
                <w:szCs w:val="20"/>
                <w:lang w:eastAsia="pt-BR"/>
              </w:rPr>
              <w:t>1</w:t>
            </w:r>
            <w:r w:rsidRPr="00204D59">
              <w:rPr>
                <w:rFonts w:eastAsia="Times New Roman" w:cs="Arial"/>
                <w:color w:val="000000"/>
                <w:szCs w:val="20"/>
                <w:lang w:eastAsia="pt-BR"/>
              </w:rPr>
              <w:t>,</w:t>
            </w:r>
            <w:r>
              <w:rPr>
                <w:rFonts w:eastAsia="Times New Roman" w:cs="Arial"/>
                <w:color w:val="000000"/>
                <w:szCs w:val="20"/>
                <w:lang w:eastAsia="pt-BR"/>
              </w:rPr>
              <w:t>66</w:t>
            </w:r>
          </w:p>
        </w:tc>
      </w:tr>
      <w:tr w:rsidR="0041147E" w:rsidRPr="00204D59" w:rsidTr="008F4251">
        <w:trPr>
          <w:trHeight w:val="539"/>
        </w:trPr>
        <w:tc>
          <w:tcPr>
            <w:tcW w:w="3908" w:type="dxa"/>
            <w:tcBorders>
              <w:top w:val="nil"/>
              <w:left w:val="nil"/>
              <w:bottom w:val="nil"/>
              <w:right w:val="nil"/>
            </w:tcBorders>
            <w:shd w:val="clear" w:color="auto" w:fill="auto"/>
            <w:vAlign w:val="bottom"/>
            <w:hideMark/>
          </w:tcPr>
          <w:p w:rsidR="0041147E" w:rsidRPr="00204D59" w:rsidRDefault="0041147E" w:rsidP="008F4251">
            <w:pPr>
              <w:jc w:val="left"/>
              <w:rPr>
                <w:rFonts w:eastAsia="Times New Roman" w:cs="Arial"/>
                <w:color w:val="000000"/>
                <w:szCs w:val="20"/>
                <w:lang w:eastAsia="pt-BR"/>
              </w:rPr>
            </w:pPr>
            <w:r w:rsidRPr="00204D59">
              <w:rPr>
                <w:rFonts w:eastAsia="Times New Roman" w:cs="Arial"/>
                <w:color w:val="000000"/>
                <w:szCs w:val="20"/>
                <w:lang w:eastAsia="pt-BR"/>
              </w:rPr>
              <w:t>Ajuste de Perdas de Dívida Ativa Não Tributária</w:t>
            </w:r>
          </w:p>
        </w:tc>
        <w:tc>
          <w:tcPr>
            <w:tcW w:w="1725" w:type="dxa"/>
            <w:tcBorders>
              <w:top w:val="nil"/>
              <w:left w:val="nil"/>
              <w:bottom w:val="nil"/>
              <w:right w:val="nil"/>
            </w:tcBorders>
            <w:shd w:val="clear" w:color="auto" w:fill="auto"/>
            <w:noWrap/>
            <w:vAlign w:val="bottom"/>
            <w:hideMark/>
          </w:tcPr>
          <w:p w:rsidR="0041147E" w:rsidRPr="00204D59" w:rsidRDefault="0041147E" w:rsidP="008F4251">
            <w:pPr>
              <w:jc w:val="right"/>
              <w:rPr>
                <w:rFonts w:eastAsia="Times New Roman" w:cs="Arial"/>
                <w:color w:val="000000"/>
                <w:szCs w:val="20"/>
                <w:lang w:eastAsia="pt-BR"/>
              </w:rPr>
            </w:pPr>
            <w:r>
              <w:rPr>
                <w:rFonts w:eastAsia="Times New Roman" w:cs="Arial"/>
                <w:color w:val="000000"/>
                <w:szCs w:val="20"/>
                <w:lang w:eastAsia="pt-BR"/>
              </w:rPr>
              <w:t>(0,00</w:t>
            </w:r>
            <w:r w:rsidRPr="00204D59">
              <w:rPr>
                <w:rFonts w:eastAsia="Times New Roman" w:cs="Arial"/>
                <w:color w:val="000000"/>
                <w:szCs w:val="20"/>
                <w:lang w:eastAsia="pt-BR"/>
              </w:rPr>
              <w:t>)</w:t>
            </w:r>
          </w:p>
        </w:tc>
        <w:tc>
          <w:tcPr>
            <w:tcW w:w="1725" w:type="dxa"/>
            <w:tcBorders>
              <w:top w:val="nil"/>
              <w:left w:val="nil"/>
              <w:bottom w:val="nil"/>
              <w:right w:val="nil"/>
            </w:tcBorders>
            <w:shd w:val="clear" w:color="auto" w:fill="auto"/>
            <w:noWrap/>
            <w:vAlign w:val="bottom"/>
            <w:hideMark/>
          </w:tcPr>
          <w:p w:rsidR="0041147E" w:rsidRPr="00204D59" w:rsidRDefault="0041147E" w:rsidP="008F4251">
            <w:pPr>
              <w:jc w:val="right"/>
              <w:rPr>
                <w:rFonts w:eastAsia="Times New Roman" w:cs="Arial"/>
                <w:color w:val="000000"/>
                <w:szCs w:val="20"/>
                <w:lang w:eastAsia="pt-BR"/>
              </w:rPr>
            </w:pPr>
            <w:r w:rsidRPr="00204D59">
              <w:rPr>
                <w:rFonts w:eastAsia="Times New Roman" w:cs="Arial"/>
                <w:color w:val="000000"/>
                <w:szCs w:val="20"/>
                <w:lang w:eastAsia="pt-BR"/>
              </w:rPr>
              <w:t>(</w:t>
            </w:r>
            <w:r>
              <w:rPr>
                <w:rFonts w:eastAsia="Times New Roman" w:cs="Arial"/>
                <w:color w:val="000000"/>
                <w:szCs w:val="20"/>
                <w:lang w:eastAsia="pt-BR"/>
              </w:rPr>
              <w:t>0,00</w:t>
            </w:r>
            <w:r w:rsidRPr="00204D59">
              <w:rPr>
                <w:rFonts w:eastAsia="Times New Roman" w:cs="Arial"/>
                <w:color w:val="000000"/>
                <w:szCs w:val="20"/>
                <w:lang w:eastAsia="pt-BR"/>
              </w:rPr>
              <w:t>)</w:t>
            </w:r>
          </w:p>
        </w:tc>
        <w:tc>
          <w:tcPr>
            <w:tcW w:w="1725" w:type="dxa"/>
            <w:tcBorders>
              <w:top w:val="nil"/>
              <w:left w:val="nil"/>
              <w:bottom w:val="nil"/>
              <w:right w:val="nil"/>
            </w:tcBorders>
            <w:shd w:val="clear" w:color="auto" w:fill="auto"/>
            <w:noWrap/>
            <w:vAlign w:val="bottom"/>
            <w:hideMark/>
          </w:tcPr>
          <w:p w:rsidR="0041147E" w:rsidRPr="00204D59" w:rsidRDefault="0041147E" w:rsidP="008F4251">
            <w:pPr>
              <w:jc w:val="right"/>
              <w:rPr>
                <w:rFonts w:eastAsia="Times New Roman" w:cs="Arial"/>
                <w:color w:val="000000"/>
                <w:szCs w:val="20"/>
                <w:lang w:eastAsia="pt-BR"/>
              </w:rPr>
            </w:pPr>
            <w:r w:rsidRPr="00204D59">
              <w:rPr>
                <w:rFonts w:eastAsia="Times New Roman" w:cs="Arial"/>
                <w:color w:val="000000"/>
                <w:szCs w:val="20"/>
                <w:lang w:eastAsia="pt-BR"/>
              </w:rPr>
              <w:t>0,00%</w:t>
            </w:r>
          </w:p>
        </w:tc>
      </w:tr>
      <w:tr w:rsidR="0041147E" w:rsidRPr="00204D59" w:rsidTr="008F4251">
        <w:trPr>
          <w:trHeight w:val="269"/>
        </w:trPr>
        <w:tc>
          <w:tcPr>
            <w:tcW w:w="3908" w:type="dxa"/>
            <w:tcBorders>
              <w:top w:val="nil"/>
              <w:left w:val="nil"/>
              <w:bottom w:val="single" w:sz="4" w:space="0" w:color="000000"/>
              <w:right w:val="nil"/>
            </w:tcBorders>
            <w:shd w:val="clear" w:color="D9D9D9" w:fill="D9D9D9"/>
            <w:noWrap/>
            <w:vAlign w:val="bottom"/>
            <w:hideMark/>
          </w:tcPr>
          <w:p w:rsidR="0041147E" w:rsidRPr="00204D59" w:rsidRDefault="0041147E" w:rsidP="008F4251">
            <w:pPr>
              <w:jc w:val="left"/>
              <w:rPr>
                <w:rFonts w:eastAsia="Times New Roman" w:cs="Arial"/>
                <w:b/>
                <w:bCs/>
                <w:color w:val="000000"/>
                <w:szCs w:val="20"/>
                <w:lang w:eastAsia="pt-BR"/>
              </w:rPr>
            </w:pPr>
            <w:r w:rsidRPr="00204D59">
              <w:rPr>
                <w:rFonts w:eastAsia="Times New Roman" w:cs="Arial"/>
                <w:b/>
                <w:bCs/>
                <w:color w:val="000000"/>
                <w:szCs w:val="20"/>
                <w:lang w:eastAsia="pt-BR"/>
              </w:rPr>
              <w:t>Total</w:t>
            </w:r>
          </w:p>
        </w:tc>
        <w:tc>
          <w:tcPr>
            <w:tcW w:w="1725" w:type="dxa"/>
            <w:tcBorders>
              <w:top w:val="nil"/>
              <w:left w:val="nil"/>
              <w:bottom w:val="single" w:sz="4" w:space="0" w:color="000000"/>
              <w:right w:val="nil"/>
            </w:tcBorders>
            <w:shd w:val="clear" w:color="D9D9D9" w:fill="D9D9D9"/>
            <w:noWrap/>
            <w:vAlign w:val="bottom"/>
            <w:hideMark/>
          </w:tcPr>
          <w:p w:rsidR="0041147E" w:rsidRPr="00624E0A" w:rsidRDefault="0041147E" w:rsidP="008F4251">
            <w:pPr>
              <w:jc w:val="right"/>
              <w:rPr>
                <w:rFonts w:eastAsia="Times New Roman" w:cs="Arial"/>
                <w:b/>
                <w:bCs/>
                <w:color w:val="000000"/>
                <w:szCs w:val="20"/>
                <w:lang w:eastAsia="pt-BR"/>
              </w:rPr>
            </w:pPr>
            <w:r w:rsidRPr="00624E0A">
              <w:rPr>
                <w:rFonts w:eastAsia="Times New Roman" w:cs="Arial"/>
                <w:b/>
                <w:color w:val="000000"/>
                <w:szCs w:val="20"/>
                <w:lang w:eastAsia="pt-BR"/>
              </w:rPr>
              <w:t>1.865.104.857,90</w:t>
            </w:r>
          </w:p>
        </w:tc>
        <w:tc>
          <w:tcPr>
            <w:tcW w:w="1725" w:type="dxa"/>
            <w:tcBorders>
              <w:top w:val="nil"/>
              <w:left w:val="nil"/>
              <w:bottom w:val="single" w:sz="4" w:space="0" w:color="000000"/>
              <w:right w:val="nil"/>
            </w:tcBorders>
            <w:shd w:val="clear" w:color="D9D9D9" w:fill="D9D9D9"/>
            <w:noWrap/>
            <w:vAlign w:val="bottom"/>
            <w:hideMark/>
          </w:tcPr>
          <w:p w:rsidR="0041147E" w:rsidRPr="00204D59" w:rsidRDefault="0041147E" w:rsidP="008F4251">
            <w:pPr>
              <w:jc w:val="right"/>
              <w:rPr>
                <w:rFonts w:eastAsia="Times New Roman" w:cs="Arial"/>
                <w:b/>
                <w:bCs/>
                <w:color w:val="000000"/>
                <w:szCs w:val="20"/>
                <w:lang w:eastAsia="pt-BR"/>
              </w:rPr>
            </w:pPr>
            <w:r w:rsidRPr="000F090C">
              <w:rPr>
                <w:rFonts w:eastAsia="Times New Roman" w:cs="Arial"/>
                <w:b/>
                <w:color w:val="000000"/>
                <w:szCs w:val="20"/>
                <w:lang w:eastAsia="pt-BR"/>
              </w:rPr>
              <w:t>1.834.670.229,41</w:t>
            </w:r>
          </w:p>
        </w:tc>
        <w:tc>
          <w:tcPr>
            <w:tcW w:w="1725" w:type="dxa"/>
            <w:tcBorders>
              <w:top w:val="nil"/>
              <w:left w:val="nil"/>
              <w:bottom w:val="single" w:sz="4" w:space="0" w:color="000000"/>
              <w:right w:val="nil"/>
            </w:tcBorders>
            <w:shd w:val="clear" w:color="D9D9D9" w:fill="D9D9D9"/>
            <w:noWrap/>
            <w:vAlign w:val="bottom"/>
            <w:hideMark/>
          </w:tcPr>
          <w:p w:rsidR="0041147E" w:rsidRPr="00204D59" w:rsidRDefault="0041147E" w:rsidP="008F4251">
            <w:pPr>
              <w:jc w:val="right"/>
              <w:rPr>
                <w:rFonts w:eastAsia="Times New Roman" w:cs="Arial"/>
                <w:b/>
                <w:bCs/>
                <w:color w:val="000000"/>
                <w:szCs w:val="20"/>
                <w:lang w:eastAsia="pt-BR"/>
              </w:rPr>
            </w:pPr>
            <w:r>
              <w:rPr>
                <w:rFonts w:eastAsia="Times New Roman" w:cs="Arial"/>
                <w:b/>
                <w:bCs/>
                <w:color w:val="000000"/>
                <w:szCs w:val="20"/>
                <w:lang w:eastAsia="pt-BR"/>
              </w:rPr>
              <w:t>1,66</w:t>
            </w:r>
          </w:p>
        </w:tc>
      </w:tr>
    </w:tbl>
    <w:p w:rsidR="0041147E" w:rsidRPr="00204D59" w:rsidRDefault="0041147E" w:rsidP="0041147E">
      <w:pPr>
        <w:rPr>
          <w:rFonts w:cs="Arial"/>
          <w:i/>
          <w:szCs w:val="20"/>
        </w:rPr>
      </w:pPr>
      <w:r w:rsidRPr="00204D59">
        <w:rPr>
          <w:rFonts w:cs="Arial"/>
          <w:i/>
          <w:szCs w:val="20"/>
        </w:rPr>
        <w:t>Fonte: SIAFI</w:t>
      </w:r>
      <w:r>
        <w:rPr>
          <w:rFonts w:cs="Arial"/>
          <w:i/>
          <w:szCs w:val="20"/>
        </w:rPr>
        <w:t xml:space="preserve"> 2019</w:t>
      </w:r>
      <w:r w:rsidRPr="00204D59">
        <w:rPr>
          <w:rFonts w:cs="Arial"/>
          <w:i/>
          <w:szCs w:val="20"/>
        </w:rPr>
        <w:t>, 201</w:t>
      </w:r>
      <w:r>
        <w:rPr>
          <w:rFonts w:cs="Arial"/>
          <w:i/>
          <w:szCs w:val="20"/>
        </w:rPr>
        <w:t>8.</w:t>
      </w:r>
    </w:p>
    <w:p w:rsidR="0041147E" w:rsidRPr="004028B5" w:rsidRDefault="0041147E" w:rsidP="0041147E">
      <w:pPr>
        <w:rPr>
          <w:rFonts w:cs="Arial"/>
          <w:sz w:val="22"/>
        </w:rPr>
      </w:pPr>
    </w:p>
    <w:p w:rsidR="0041147E" w:rsidRPr="004028B5" w:rsidRDefault="0041147E" w:rsidP="0041147E">
      <w:pPr>
        <w:rPr>
          <w:rFonts w:cs="Arial"/>
          <w:sz w:val="22"/>
        </w:rPr>
      </w:pPr>
      <w:r w:rsidRPr="00B4789D">
        <w:rPr>
          <w:rFonts w:cs="Arial"/>
          <w:sz w:val="22"/>
        </w:rPr>
        <w:t>Em 31/12/20</w:t>
      </w:r>
      <w:r>
        <w:rPr>
          <w:rFonts w:cs="Arial"/>
          <w:sz w:val="22"/>
        </w:rPr>
        <w:t>19</w:t>
      </w:r>
      <w:r w:rsidRPr="00B4789D">
        <w:rPr>
          <w:rFonts w:cs="Arial"/>
          <w:sz w:val="22"/>
        </w:rPr>
        <w:t>, a ANP possuía um saldo superior a R$ 1,</w:t>
      </w:r>
      <w:r>
        <w:rPr>
          <w:rFonts w:cs="Arial"/>
          <w:sz w:val="22"/>
        </w:rPr>
        <w:t>8</w:t>
      </w:r>
      <w:r w:rsidRPr="00B4789D">
        <w:rPr>
          <w:rFonts w:cs="Arial"/>
          <w:sz w:val="22"/>
        </w:rPr>
        <w:t xml:space="preserve"> bilhões de créditos a receber. Os créditos a receber são gerenciados internamente por meio de uma ferramenta denominada Sistema </w:t>
      </w:r>
      <w:r>
        <w:rPr>
          <w:rFonts w:cs="Arial"/>
          <w:sz w:val="22"/>
        </w:rPr>
        <w:t xml:space="preserve">de Comunicação de Multas </w:t>
      </w:r>
      <w:r w:rsidRPr="00B4789D">
        <w:rPr>
          <w:rFonts w:cs="Arial"/>
          <w:sz w:val="22"/>
        </w:rPr>
        <w:t>SICOM e GPC – Gestão e Parcelamento de Créditos.</w:t>
      </w:r>
    </w:p>
    <w:p w:rsidR="0041147E" w:rsidRPr="004028B5" w:rsidRDefault="0041147E" w:rsidP="0041147E">
      <w:pPr>
        <w:rPr>
          <w:rFonts w:cs="Arial"/>
          <w:sz w:val="22"/>
        </w:rPr>
      </w:pPr>
    </w:p>
    <w:p w:rsidR="0041147E" w:rsidRDefault="0041147E" w:rsidP="0041147E">
      <w:pPr>
        <w:rPr>
          <w:rFonts w:eastAsia="Times New Roman" w:cs="Arial"/>
          <w:sz w:val="22"/>
        </w:rPr>
      </w:pPr>
      <w:r w:rsidRPr="004028B5">
        <w:rPr>
          <w:rFonts w:cs="Arial"/>
          <w:sz w:val="22"/>
        </w:rPr>
        <w:t xml:space="preserve">Conforme Portaria N. 954/2009/AGU, </w:t>
      </w:r>
      <w:r>
        <w:rPr>
          <w:rFonts w:cs="Arial"/>
          <w:sz w:val="22"/>
        </w:rPr>
        <w:t>compete aos Serviços ou Seções de Cobrança e Recuperação de Créditos das</w:t>
      </w:r>
      <w:r w:rsidRPr="004028B5">
        <w:rPr>
          <w:rFonts w:eastAsia="Times New Roman" w:cs="Arial"/>
          <w:sz w:val="22"/>
        </w:rPr>
        <w:t xml:space="preserve"> Procuradorias Regionais Federais, Procuradorias Federais nos Estados, Procuradorias Seccionais Federais e Escritórios de Representação</w:t>
      </w:r>
      <w:r>
        <w:rPr>
          <w:rFonts w:eastAsia="Times New Roman" w:cs="Arial"/>
          <w:sz w:val="22"/>
        </w:rPr>
        <w:t xml:space="preserve"> processarem os pedidos de parcelamento de créditos inscritos em dívida ativa das autarquias e fundações públicas federais</w:t>
      </w:r>
      <w:r w:rsidRPr="004028B5">
        <w:rPr>
          <w:rFonts w:eastAsia="Times New Roman" w:cs="Arial"/>
          <w:sz w:val="22"/>
        </w:rPr>
        <w:t xml:space="preserve">. Segundo este normativo, ao valor de cada prestação mensal, por ocasião </w:t>
      </w:r>
      <w:r w:rsidRPr="004028B5">
        <w:rPr>
          <w:rFonts w:eastAsia="Times New Roman" w:cs="Arial"/>
          <w:sz w:val="22"/>
        </w:rPr>
        <w:lastRenderedPageBreak/>
        <w:t>do pagamento, será acrescido de juros equivalentes à taxa referencial do Sistema Especial de Liquidação e de Custódia - SELIC para títulos federais, acumulada mensalmente, calculados a partir do mês subsequente ao da consolidação até o mês anterior ao do pagamento, e de 1% (um por cento) relativamente ao mês em que o pagamento estiver sendo efetuado.</w:t>
      </w:r>
    </w:p>
    <w:p w:rsidR="0041147E" w:rsidRDefault="0041147E" w:rsidP="0041147E">
      <w:pPr>
        <w:rPr>
          <w:rFonts w:eastAsia="Times New Roman" w:cs="Arial"/>
          <w:sz w:val="22"/>
        </w:rPr>
      </w:pPr>
    </w:p>
    <w:p w:rsidR="0041147E" w:rsidRDefault="0041147E" w:rsidP="0041147E">
      <w:pPr>
        <w:rPr>
          <w:sz w:val="22"/>
        </w:rPr>
      </w:pPr>
      <w:r w:rsidRPr="000F090C">
        <w:rPr>
          <w:sz w:val="22"/>
        </w:rPr>
        <w:t>A Diretoria da ANP, no ano de 2018, resolveu aderir ao Sistema de Gestão de Créditos que está sendo desenvolvido para todas as Agências Reguladoras pelo Ministério da Economia e o SERPRO, com previsão de ser implantado até o fim de 20</w:t>
      </w:r>
      <w:r>
        <w:rPr>
          <w:sz w:val="22"/>
        </w:rPr>
        <w:t>20</w:t>
      </w:r>
      <w:r w:rsidRPr="000F090C">
        <w:rPr>
          <w:sz w:val="22"/>
        </w:rPr>
        <w:t xml:space="preserve">, conforme portaria. Essa solução irá auxiliar no oportuno e tempestivo registro das informações junto ao SIAFI. </w:t>
      </w:r>
    </w:p>
    <w:p w:rsidR="0041147E" w:rsidRDefault="0041147E">
      <w:pPr>
        <w:spacing w:after="160" w:line="259" w:lineRule="auto"/>
        <w:jc w:val="left"/>
        <w:rPr>
          <w:sz w:val="22"/>
        </w:rPr>
      </w:pPr>
      <w:r>
        <w:rPr>
          <w:sz w:val="22"/>
        </w:rPr>
        <w:br w:type="page"/>
      </w:r>
    </w:p>
    <w:p w:rsidR="0041147E" w:rsidRDefault="0041147E" w:rsidP="0041147E">
      <w:pPr>
        <w:rPr>
          <w:sz w:val="22"/>
        </w:rPr>
      </w:pPr>
    </w:p>
    <w:p w:rsidR="0041147E" w:rsidRPr="0037110A" w:rsidRDefault="0041147E" w:rsidP="0041147E">
      <w:pPr>
        <w:rPr>
          <w:rFonts w:cs="Arial"/>
          <w:b/>
          <w:sz w:val="22"/>
        </w:rPr>
      </w:pPr>
      <w:r w:rsidRPr="0037110A">
        <w:rPr>
          <w:rFonts w:cs="Arial"/>
          <w:b/>
          <w:sz w:val="22"/>
        </w:rPr>
        <w:t>Nota 03 – Imobilizado</w:t>
      </w:r>
    </w:p>
    <w:p w:rsidR="0041147E" w:rsidRPr="0037110A" w:rsidRDefault="0041147E" w:rsidP="0041147E">
      <w:pPr>
        <w:rPr>
          <w:rFonts w:cs="Arial"/>
          <w:sz w:val="22"/>
        </w:rPr>
      </w:pPr>
    </w:p>
    <w:p w:rsidR="0041147E" w:rsidRPr="0037110A" w:rsidRDefault="0041147E" w:rsidP="0041147E">
      <w:pPr>
        <w:rPr>
          <w:rFonts w:cs="Arial"/>
          <w:sz w:val="22"/>
        </w:rPr>
      </w:pPr>
      <w:r w:rsidRPr="0037110A">
        <w:rPr>
          <w:rFonts w:cs="Arial"/>
          <w:sz w:val="22"/>
        </w:rPr>
        <w:t xml:space="preserve">O </w:t>
      </w:r>
      <w:r>
        <w:rPr>
          <w:rFonts w:cs="Arial"/>
          <w:sz w:val="22"/>
        </w:rPr>
        <w:t>I</w:t>
      </w:r>
      <w:r w:rsidRPr="0037110A">
        <w:rPr>
          <w:rFonts w:cs="Arial"/>
          <w:sz w:val="22"/>
        </w:rPr>
        <w:t>mobilizado da AN</w:t>
      </w:r>
      <w:r>
        <w:rPr>
          <w:rFonts w:cs="Arial"/>
          <w:sz w:val="22"/>
        </w:rPr>
        <w:t>P</w:t>
      </w:r>
      <w:r w:rsidRPr="0037110A">
        <w:rPr>
          <w:rFonts w:cs="Arial"/>
          <w:sz w:val="22"/>
        </w:rPr>
        <w:t xml:space="preserve"> é segregado em dois grupos: (i) bens móveis; e (</w:t>
      </w:r>
      <w:proofErr w:type="spellStart"/>
      <w:r w:rsidRPr="0037110A">
        <w:rPr>
          <w:rFonts w:cs="Arial"/>
          <w:sz w:val="22"/>
        </w:rPr>
        <w:t>ii</w:t>
      </w:r>
      <w:proofErr w:type="spellEnd"/>
      <w:r w:rsidRPr="0037110A">
        <w:rPr>
          <w:rFonts w:cs="Arial"/>
          <w:sz w:val="22"/>
        </w:rPr>
        <w:t>) bens imóveis. Na tabela a seguir, é apresentada a composição do item imobilizado:</w:t>
      </w:r>
    </w:p>
    <w:p w:rsidR="0041147E" w:rsidRPr="0037110A" w:rsidRDefault="0041147E" w:rsidP="0041147E">
      <w:pPr>
        <w:rPr>
          <w:rFonts w:cs="Arial"/>
          <w:sz w:val="22"/>
        </w:rPr>
      </w:pPr>
    </w:p>
    <w:p w:rsidR="0041147E" w:rsidRPr="0037110A" w:rsidRDefault="0041147E" w:rsidP="0041147E">
      <w:pPr>
        <w:rPr>
          <w:rFonts w:cs="Arial"/>
          <w:b/>
          <w:sz w:val="22"/>
        </w:rPr>
      </w:pPr>
      <w:r w:rsidRPr="0037110A">
        <w:rPr>
          <w:rFonts w:cs="Arial"/>
          <w:b/>
          <w:sz w:val="22"/>
        </w:rPr>
        <w:t>Tabela</w:t>
      </w:r>
      <w:r>
        <w:rPr>
          <w:rFonts w:cs="Arial"/>
          <w:b/>
          <w:sz w:val="22"/>
        </w:rPr>
        <w:t xml:space="preserve"> 5</w:t>
      </w:r>
      <w:r w:rsidRPr="0037110A">
        <w:rPr>
          <w:rFonts w:cs="Arial"/>
          <w:b/>
          <w:sz w:val="22"/>
        </w:rPr>
        <w:t xml:space="preserve"> – Imobilizado - Composição.</w:t>
      </w:r>
    </w:p>
    <w:p w:rsidR="0041147E" w:rsidRDefault="0041147E" w:rsidP="0041147E">
      <w:pPr>
        <w:jc w:val="right"/>
        <w:rPr>
          <w:rFonts w:cs="Arial"/>
          <w:sz w:val="22"/>
        </w:rPr>
      </w:pPr>
      <w:r w:rsidRPr="0037110A">
        <w:rPr>
          <w:rFonts w:cs="Arial"/>
          <w:sz w:val="22"/>
        </w:rPr>
        <w:t xml:space="preserve">  R$</w:t>
      </w:r>
    </w:p>
    <w:tbl>
      <w:tblPr>
        <w:tblW w:w="9429" w:type="dxa"/>
        <w:tblCellMar>
          <w:left w:w="70" w:type="dxa"/>
          <w:right w:w="70" w:type="dxa"/>
        </w:tblCellMar>
        <w:tblLook w:val="04A0" w:firstRow="1" w:lastRow="0" w:firstColumn="1" w:lastColumn="0" w:noHBand="0" w:noVBand="1"/>
      </w:tblPr>
      <w:tblGrid>
        <w:gridCol w:w="4588"/>
        <w:gridCol w:w="1900"/>
        <w:gridCol w:w="1900"/>
        <w:gridCol w:w="1041"/>
      </w:tblGrid>
      <w:tr w:rsidR="0041147E" w:rsidRPr="00924CB1" w:rsidTr="008F4251">
        <w:trPr>
          <w:trHeight w:val="255"/>
        </w:trPr>
        <w:tc>
          <w:tcPr>
            <w:tcW w:w="4588" w:type="dxa"/>
            <w:tcBorders>
              <w:top w:val="single" w:sz="4" w:space="0" w:color="000000"/>
              <w:left w:val="nil"/>
              <w:bottom w:val="single" w:sz="4" w:space="0" w:color="000000"/>
              <w:right w:val="nil"/>
            </w:tcBorders>
            <w:shd w:val="clear" w:color="auto" w:fill="auto"/>
            <w:noWrap/>
            <w:vAlign w:val="bottom"/>
            <w:hideMark/>
          </w:tcPr>
          <w:p w:rsidR="0041147E" w:rsidRPr="00924CB1" w:rsidRDefault="0041147E" w:rsidP="008F4251">
            <w:pPr>
              <w:jc w:val="left"/>
              <w:rPr>
                <w:rFonts w:eastAsia="Times New Roman" w:cs="Arial"/>
                <w:b/>
                <w:bCs/>
                <w:color w:val="FFFFFF"/>
                <w:szCs w:val="20"/>
                <w:lang w:eastAsia="pt-BR"/>
              </w:rPr>
            </w:pPr>
            <w:r w:rsidRPr="00924CB1">
              <w:rPr>
                <w:rFonts w:eastAsia="Times New Roman" w:cs="Arial"/>
                <w:b/>
                <w:bCs/>
                <w:color w:val="FFFFFF"/>
                <w:szCs w:val="20"/>
                <w:lang w:eastAsia="pt-BR"/>
              </w:rPr>
              <w:t>Colunas1</w:t>
            </w:r>
          </w:p>
        </w:tc>
        <w:tc>
          <w:tcPr>
            <w:tcW w:w="1900" w:type="dxa"/>
            <w:tcBorders>
              <w:top w:val="single" w:sz="4" w:space="0" w:color="000000"/>
              <w:left w:val="nil"/>
              <w:bottom w:val="single" w:sz="4" w:space="0" w:color="000000"/>
              <w:right w:val="nil"/>
            </w:tcBorders>
            <w:shd w:val="clear" w:color="auto" w:fill="auto"/>
            <w:noWrap/>
            <w:vAlign w:val="bottom"/>
            <w:hideMark/>
          </w:tcPr>
          <w:p w:rsidR="0041147E" w:rsidRPr="00924CB1" w:rsidRDefault="0041147E" w:rsidP="008F4251">
            <w:pPr>
              <w:jc w:val="right"/>
              <w:rPr>
                <w:rFonts w:eastAsia="Times New Roman" w:cs="Arial"/>
                <w:b/>
                <w:bCs/>
                <w:color w:val="000000"/>
                <w:szCs w:val="20"/>
                <w:lang w:eastAsia="pt-BR"/>
              </w:rPr>
            </w:pPr>
            <w:r w:rsidRPr="00924CB1">
              <w:rPr>
                <w:rFonts w:eastAsia="Times New Roman" w:cs="Arial"/>
                <w:b/>
                <w:bCs/>
                <w:color w:val="000000"/>
                <w:szCs w:val="20"/>
                <w:lang w:eastAsia="pt-BR"/>
              </w:rPr>
              <w:t>3</w:t>
            </w:r>
            <w:r>
              <w:rPr>
                <w:rFonts w:eastAsia="Times New Roman" w:cs="Arial"/>
                <w:b/>
                <w:bCs/>
                <w:color w:val="000000"/>
                <w:szCs w:val="20"/>
                <w:lang w:eastAsia="pt-BR"/>
              </w:rPr>
              <w:t>1</w:t>
            </w:r>
            <w:r w:rsidRPr="00924CB1">
              <w:rPr>
                <w:rFonts w:eastAsia="Times New Roman" w:cs="Arial"/>
                <w:b/>
                <w:bCs/>
                <w:color w:val="000000"/>
                <w:szCs w:val="20"/>
                <w:lang w:eastAsia="pt-BR"/>
              </w:rPr>
              <w:t>/</w:t>
            </w:r>
            <w:r>
              <w:rPr>
                <w:rFonts w:eastAsia="Times New Roman" w:cs="Arial"/>
                <w:b/>
                <w:bCs/>
                <w:color w:val="000000"/>
                <w:szCs w:val="20"/>
                <w:lang w:eastAsia="pt-BR"/>
              </w:rPr>
              <w:t>12</w:t>
            </w:r>
            <w:r w:rsidRPr="00924CB1">
              <w:rPr>
                <w:rFonts w:eastAsia="Times New Roman" w:cs="Arial"/>
                <w:b/>
                <w:bCs/>
                <w:color w:val="000000"/>
                <w:szCs w:val="20"/>
                <w:lang w:eastAsia="pt-BR"/>
              </w:rPr>
              <w:t>/201</w:t>
            </w:r>
            <w:r>
              <w:rPr>
                <w:rFonts w:eastAsia="Times New Roman" w:cs="Arial"/>
                <w:b/>
                <w:bCs/>
                <w:color w:val="000000"/>
                <w:szCs w:val="20"/>
                <w:lang w:eastAsia="pt-BR"/>
              </w:rPr>
              <w:t>9</w:t>
            </w:r>
          </w:p>
        </w:tc>
        <w:tc>
          <w:tcPr>
            <w:tcW w:w="1900" w:type="dxa"/>
            <w:tcBorders>
              <w:top w:val="single" w:sz="4" w:space="0" w:color="000000"/>
              <w:left w:val="nil"/>
              <w:bottom w:val="single" w:sz="4" w:space="0" w:color="000000"/>
              <w:right w:val="nil"/>
            </w:tcBorders>
            <w:shd w:val="clear" w:color="auto" w:fill="auto"/>
            <w:noWrap/>
            <w:vAlign w:val="bottom"/>
            <w:hideMark/>
          </w:tcPr>
          <w:p w:rsidR="0041147E" w:rsidRPr="00924CB1" w:rsidRDefault="0041147E" w:rsidP="008F4251">
            <w:pPr>
              <w:jc w:val="right"/>
              <w:rPr>
                <w:rFonts w:eastAsia="Times New Roman" w:cs="Arial"/>
                <w:b/>
                <w:bCs/>
                <w:color w:val="000000"/>
                <w:szCs w:val="20"/>
                <w:lang w:eastAsia="pt-BR"/>
              </w:rPr>
            </w:pPr>
            <w:r w:rsidRPr="00924CB1">
              <w:rPr>
                <w:rFonts w:eastAsia="Times New Roman" w:cs="Arial"/>
                <w:b/>
                <w:bCs/>
                <w:color w:val="000000"/>
                <w:szCs w:val="20"/>
                <w:lang w:eastAsia="pt-BR"/>
              </w:rPr>
              <w:t>31/12/201</w:t>
            </w:r>
            <w:r>
              <w:rPr>
                <w:rFonts w:eastAsia="Times New Roman" w:cs="Arial"/>
                <w:b/>
                <w:bCs/>
                <w:color w:val="000000"/>
                <w:szCs w:val="20"/>
                <w:lang w:eastAsia="pt-BR"/>
              </w:rPr>
              <w:t>8</w:t>
            </w:r>
          </w:p>
        </w:tc>
        <w:tc>
          <w:tcPr>
            <w:tcW w:w="1041" w:type="dxa"/>
            <w:tcBorders>
              <w:top w:val="single" w:sz="4" w:space="0" w:color="000000"/>
              <w:left w:val="nil"/>
              <w:bottom w:val="single" w:sz="4" w:space="0" w:color="000000"/>
              <w:right w:val="nil"/>
            </w:tcBorders>
            <w:shd w:val="clear" w:color="auto" w:fill="auto"/>
            <w:noWrap/>
            <w:vAlign w:val="bottom"/>
            <w:hideMark/>
          </w:tcPr>
          <w:p w:rsidR="0041147E" w:rsidRPr="00924CB1" w:rsidRDefault="0041147E" w:rsidP="008F4251">
            <w:pPr>
              <w:jc w:val="center"/>
              <w:rPr>
                <w:rFonts w:eastAsia="Times New Roman" w:cs="Arial"/>
                <w:b/>
                <w:bCs/>
                <w:color w:val="000000"/>
                <w:szCs w:val="20"/>
                <w:lang w:eastAsia="pt-BR"/>
              </w:rPr>
            </w:pPr>
            <w:r w:rsidRPr="00924CB1">
              <w:rPr>
                <w:rFonts w:eastAsia="Times New Roman" w:cs="Arial"/>
                <w:b/>
                <w:bCs/>
                <w:color w:val="000000"/>
                <w:szCs w:val="20"/>
                <w:lang w:eastAsia="pt-BR"/>
              </w:rPr>
              <w:t>AH (%)</w:t>
            </w:r>
          </w:p>
        </w:tc>
      </w:tr>
      <w:tr w:rsidR="0041147E" w:rsidRPr="00924CB1" w:rsidTr="008F4251">
        <w:trPr>
          <w:trHeight w:val="255"/>
        </w:trPr>
        <w:tc>
          <w:tcPr>
            <w:tcW w:w="4588" w:type="dxa"/>
            <w:tcBorders>
              <w:top w:val="nil"/>
              <w:left w:val="nil"/>
              <w:bottom w:val="nil"/>
              <w:right w:val="nil"/>
            </w:tcBorders>
            <w:shd w:val="clear" w:color="D9D9D9" w:fill="D9D9D9"/>
            <w:noWrap/>
            <w:vAlign w:val="bottom"/>
            <w:hideMark/>
          </w:tcPr>
          <w:p w:rsidR="0041147E" w:rsidRPr="00924CB1" w:rsidRDefault="0041147E" w:rsidP="008F4251">
            <w:pPr>
              <w:jc w:val="left"/>
              <w:rPr>
                <w:rFonts w:eastAsia="Times New Roman" w:cs="Arial"/>
                <w:color w:val="000000"/>
                <w:szCs w:val="20"/>
                <w:lang w:eastAsia="pt-BR"/>
              </w:rPr>
            </w:pPr>
            <w:r w:rsidRPr="00924CB1">
              <w:rPr>
                <w:rFonts w:eastAsia="Times New Roman" w:cs="Arial"/>
                <w:color w:val="000000"/>
                <w:szCs w:val="20"/>
                <w:lang w:eastAsia="pt-BR"/>
              </w:rPr>
              <w:t>Valor Contábil Bruto - Bens Móveis</w:t>
            </w:r>
          </w:p>
        </w:tc>
        <w:tc>
          <w:tcPr>
            <w:tcW w:w="1900" w:type="dxa"/>
            <w:tcBorders>
              <w:top w:val="nil"/>
              <w:left w:val="nil"/>
              <w:bottom w:val="nil"/>
              <w:right w:val="nil"/>
            </w:tcBorders>
            <w:shd w:val="clear" w:color="D9D9D9" w:fill="D9D9D9"/>
            <w:noWrap/>
            <w:vAlign w:val="bottom"/>
            <w:hideMark/>
          </w:tcPr>
          <w:p w:rsidR="0041147E" w:rsidRPr="00924CB1" w:rsidRDefault="0041147E" w:rsidP="008F4251">
            <w:pPr>
              <w:jc w:val="right"/>
              <w:rPr>
                <w:rFonts w:eastAsia="Times New Roman" w:cs="Arial"/>
                <w:color w:val="000000"/>
                <w:szCs w:val="20"/>
                <w:lang w:eastAsia="pt-BR"/>
              </w:rPr>
            </w:pPr>
            <w:r w:rsidRPr="00531CE6">
              <w:rPr>
                <w:rFonts w:eastAsia="Times New Roman" w:cs="Arial"/>
                <w:color w:val="000000"/>
                <w:szCs w:val="20"/>
                <w:lang w:eastAsia="pt-BR"/>
              </w:rPr>
              <w:t>103</w:t>
            </w:r>
            <w:r>
              <w:rPr>
                <w:rFonts w:eastAsia="Times New Roman" w:cs="Arial"/>
                <w:color w:val="000000"/>
                <w:szCs w:val="20"/>
                <w:lang w:eastAsia="pt-BR"/>
              </w:rPr>
              <w:t>.</w:t>
            </w:r>
            <w:r w:rsidRPr="00531CE6">
              <w:rPr>
                <w:rFonts w:eastAsia="Times New Roman" w:cs="Arial"/>
                <w:color w:val="000000"/>
                <w:szCs w:val="20"/>
                <w:lang w:eastAsia="pt-BR"/>
              </w:rPr>
              <w:t>413</w:t>
            </w:r>
            <w:r>
              <w:rPr>
                <w:rFonts w:eastAsia="Times New Roman" w:cs="Arial"/>
                <w:color w:val="000000"/>
                <w:szCs w:val="20"/>
                <w:lang w:eastAsia="pt-BR"/>
              </w:rPr>
              <w:t>.</w:t>
            </w:r>
            <w:r w:rsidRPr="00531CE6">
              <w:rPr>
                <w:rFonts w:eastAsia="Times New Roman" w:cs="Arial"/>
                <w:color w:val="000000"/>
                <w:szCs w:val="20"/>
                <w:lang w:eastAsia="pt-BR"/>
              </w:rPr>
              <w:t>203,45</w:t>
            </w:r>
          </w:p>
        </w:tc>
        <w:tc>
          <w:tcPr>
            <w:tcW w:w="1900" w:type="dxa"/>
            <w:tcBorders>
              <w:top w:val="nil"/>
              <w:left w:val="nil"/>
              <w:bottom w:val="nil"/>
              <w:right w:val="nil"/>
            </w:tcBorders>
            <w:shd w:val="clear" w:color="D9D9D9" w:fill="D9D9D9"/>
            <w:noWrap/>
            <w:vAlign w:val="bottom"/>
            <w:hideMark/>
          </w:tcPr>
          <w:p w:rsidR="0041147E" w:rsidRPr="00924CB1" w:rsidRDefault="0041147E" w:rsidP="008F4251">
            <w:pPr>
              <w:jc w:val="right"/>
              <w:rPr>
                <w:rFonts w:eastAsia="Times New Roman" w:cs="Arial"/>
                <w:color w:val="000000"/>
                <w:szCs w:val="20"/>
                <w:lang w:eastAsia="pt-BR"/>
              </w:rPr>
            </w:pPr>
            <w:r w:rsidRPr="007A0E47">
              <w:rPr>
                <w:rFonts w:eastAsia="Times New Roman" w:cs="Arial"/>
                <w:color w:val="000000"/>
                <w:szCs w:val="20"/>
                <w:lang w:eastAsia="pt-BR"/>
              </w:rPr>
              <w:t>88</w:t>
            </w:r>
            <w:r>
              <w:rPr>
                <w:rFonts w:eastAsia="Times New Roman" w:cs="Arial"/>
                <w:color w:val="000000"/>
                <w:szCs w:val="20"/>
                <w:lang w:eastAsia="pt-BR"/>
              </w:rPr>
              <w:t>.</w:t>
            </w:r>
            <w:r w:rsidRPr="007A0E47">
              <w:rPr>
                <w:rFonts w:eastAsia="Times New Roman" w:cs="Arial"/>
                <w:color w:val="000000"/>
                <w:szCs w:val="20"/>
                <w:lang w:eastAsia="pt-BR"/>
              </w:rPr>
              <w:t>843</w:t>
            </w:r>
            <w:r>
              <w:rPr>
                <w:rFonts w:eastAsia="Times New Roman" w:cs="Arial"/>
                <w:color w:val="000000"/>
                <w:szCs w:val="20"/>
                <w:lang w:eastAsia="pt-BR"/>
              </w:rPr>
              <w:t>.</w:t>
            </w:r>
            <w:r w:rsidRPr="007A0E47">
              <w:rPr>
                <w:rFonts w:eastAsia="Times New Roman" w:cs="Arial"/>
                <w:color w:val="000000"/>
                <w:szCs w:val="20"/>
                <w:lang w:eastAsia="pt-BR"/>
              </w:rPr>
              <w:t>950,26</w:t>
            </w:r>
          </w:p>
        </w:tc>
        <w:tc>
          <w:tcPr>
            <w:tcW w:w="1041" w:type="dxa"/>
            <w:tcBorders>
              <w:top w:val="nil"/>
              <w:left w:val="nil"/>
              <w:bottom w:val="nil"/>
              <w:right w:val="nil"/>
            </w:tcBorders>
            <w:shd w:val="clear" w:color="D9D9D9" w:fill="D9D9D9"/>
            <w:noWrap/>
            <w:vAlign w:val="bottom"/>
            <w:hideMark/>
          </w:tcPr>
          <w:p w:rsidR="0041147E" w:rsidRPr="00924CB1" w:rsidRDefault="0041147E" w:rsidP="008F4251">
            <w:pPr>
              <w:jc w:val="right"/>
              <w:rPr>
                <w:rFonts w:eastAsia="Times New Roman" w:cs="Arial"/>
                <w:color w:val="000000"/>
                <w:szCs w:val="20"/>
                <w:lang w:eastAsia="pt-BR"/>
              </w:rPr>
            </w:pPr>
            <w:r>
              <w:rPr>
                <w:rFonts w:eastAsia="Times New Roman" w:cs="Arial"/>
                <w:color w:val="000000"/>
                <w:szCs w:val="20"/>
                <w:lang w:eastAsia="pt-BR"/>
              </w:rPr>
              <w:t>16</w:t>
            </w:r>
            <w:r w:rsidRPr="00924CB1">
              <w:rPr>
                <w:rFonts w:eastAsia="Times New Roman" w:cs="Arial"/>
                <w:color w:val="000000"/>
                <w:szCs w:val="20"/>
                <w:lang w:eastAsia="pt-BR"/>
              </w:rPr>
              <w:t>,</w:t>
            </w:r>
            <w:r>
              <w:rPr>
                <w:rFonts w:eastAsia="Times New Roman" w:cs="Arial"/>
                <w:color w:val="000000"/>
                <w:szCs w:val="20"/>
                <w:lang w:eastAsia="pt-BR"/>
              </w:rPr>
              <w:t>40</w:t>
            </w:r>
          </w:p>
        </w:tc>
      </w:tr>
      <w:tr w:rsidR="0041147E" w:rsidRPr="00924CB1" w:rsidTr="008F4251">
        <w:trPr>
          <w:trHeight w:val="255"/>
        </w:trPr>
        <w:tc>
          <w:tcPr>
            <w:tcW w:w="4588" w:type="dxa"/>
            <w:tcBorders>
              <w:top w:val="nil"/>
              <w:left w:val="nil"/>
              <w:bottom w:val="nil"/>
              <w:right w:val="nil"/>
            </w:tcBorders>
            <w:shd w:val="clear" w:color="auto" w:fill="auto"/>
            <w:noWrap/>
            <w:vAlign w:val="bottom"/>
            <w:hideMark/>
          </w:tcPr>
          <w:p w:rsidR="0041147E" w:rsidRPr="00924CB1" w:rsidRDefault="0041147E" w:rsidP="008F4251">
            <w:pPr>
              <w:jc w:val="left"/>
              <w:rPr>
                <w:rFonts w:eastAsia="Times New Roman" w:cs="Arial"/>
                <w:color w:val="000000"/>
                <w:szCs w:val="20"/>
                <w:lang w:eastAsia="pt-BR"/>
              </w:rPr>
            </w:pPr>
            <w:r w:rsidRPr="00924CB1">
              <w:rPr>
                <w:rFonts w:eastAsia="Times New Roman" w:cs="Arial"/>
                <w:color w:val="000000"/>
                <w:szCs w:val="20"/>
                <w:lang w:eastAsia="pt-BR"/>
              </w:rPr>
              <w:t>Depreciação/Amortização/Exaustão - Bens Móveis</w:t>
            </w:r>
          </w:p>
        </w:tc>
        <w:tc>
          <w:tcPr>
            <w:tcW w:w="1900" w:type="dxa"/>
            <w:tcBorders>
              <w:top w:val="nil"/>
              <w:left w:val="nil"/>
              <w:bottom w:val="nil"/>
              <w:right w:val="nil"/>
            </w:tcBorders>
            <w:shd w:val="clear" w:color="auto" w:fill="auto"/>
            <w:noWrap/>
            <w:vAlign w:val="bottom"/>
            <w:hideMark/>
          </w:tcPr>
          <w:p w:rsidR="0041147E" w:rsidRPr="00924CB1" w:rsidRDefault="0041147E" w:rsidP="008F4251">
            <w:pPr>
              <w:jc w:val="right"/>
              <w:rPr>
                <w:rFonts w:eastAsia="Times New Roman" w:cs="Arial"/>
                <w:color w:val="000000"/>
                <w:szCs w:val="20"/>
                <w:lang w:eastAsia="pt-BR"/>
              </w:rPr>
            </w:pPr>
            <w:r>
              <w:rPr>
                <w:rFonts w:eastAsia="Times New Roman" w:cs="Arial"/>
                <w:color w:val="000000"/>
                <w:szCs w:val="20"/>
                <w:lang w:eastAsia="pt-BR"/>
              </w:rPr>
              <w:t>-</w:t>
            </w:r>
            <w:r w:rsidRPr="00531CE6">
              <w:rPr>
                <w:rFonts w:eastAsia="Times New Roman" w:cs="Arial"/>
                <w:color w:val="000000"/>
                <w:szCs w:val="20"/>
                <w:lang w:eastAsia="pt-BR"/>
              </w:rPr>
              <w:t>28</w:t>
            </w:r>
            <w:r>
              <w:rPr>
                <w:rFonts w:eastAsia="Times New Roman" w:cs="Arial"/>
                <w:color w:val="000000"/>
                <w:szCs w:val="20"/>
                <w:lang w:eastAsia="pt-BR"/>
              </w:rPr>
              <w:t>.</w:t>
            </w:r>
            <w:r w:rsidRPr="00531CE6">
              <w:rPr>
                <w:rFonts w:eastAsia="Times New Roman" w:cs="Arial"/>
                <w:color w:val="000000"/>
                <w:szCs w:val="20"/>
                <w:lang w:eastAsia="pt-BR"/>
              </w:rPr>
              <w:t>037</w:t>
            </w:r>
            <w:r>
              <w:rPr>
                <w:rFonts w:eastAsia="Times New Roman" w:cs="Arial"/>
                <w:color w:val="000000"/>
                <w:szCs w:val="20"/>
                <w:lang w:eastAsia="pt-BR"/>
              </w:rPr>
              <w:t>.</w:t>
            </w:r>
            <w:r w:rsidRPr="00531CE6">
              <w:rPr>
                <w:rFonts w:eastAsia="Times New Roman" w:cs="Arial"/>
                <w:color w:val="000000"/>
                <w:szCs w:val="20"/>
                <w:lang w:eastAsia="pt-BR"/>
              </w:rPr>
              <w:t>355,66</w:t>
            </w:r>
          </w:p>
        </w:tc>
        <w:tc>
          <w:tcPr>
            <w:tcW w:w="1900" w:type="dxa"/>
            <w:tcBorders>
              <w:top w:val="nil"/>
              <w:left w:val="nil"/>
              <w:bottom w:val="nil"/>
              <w:right w:val="nil"/>
            </w:tcBorders>
            <w:shd w:val="clear" w:color="auto" w:fill="auto"/>
            <w:noWrap/>
            <w:vAlign w:val="bottom"/>
            <w:hideMark/>
          </w:tcPr>
          <w:p w:rsidR="0041147E" w:rsidRPr="00924CB1" w:rsidRDefault="0041147E" w:rsidP="008F4251">
            <w:pPr>
              <w:jc w:val="right"/>
              <w:rPr>
                <w:rFonts w:eastAsia="Times New Roman" w:cs="Arial"/>
                <w:color w:val="000000"/>
                <w:szCs w:val="20"/>
                <w:lang w:eastAsia="pt-BR"/>
              </w:rPr>
            </w:pPr>
            <w:r>
              <w:rPr>
                <w:rFonts w:eastAsia="Times New Roman" w:cs="Arial"/>
                <w:color w:val="000000"/>
                <w:szCs w:val="20"/>
                <w:lang w:eastAsia="pt-BR"/>
              </w:rPr>
              <w:t>-2</w:t>
            </w:r>
            <w:r w:rsidRPr="00607CF7">
              <w:rPr>
                <w:rFonts w:eastAsia="Times New Roman" w:cs="Arial"/>
                <w:color w:val="000000"/>
                <w:szCs w:val="20"/>
                <w:lang w:eastAsia="pt-BR"/>
              </w:rPr>
              <w:t>2</w:t>
            </w:r>
            <w:r>
              <w:rPr>
                <w:rFonts w:eastAsia="Times New Roman" w:cs="Arial"/>
                <w:color w:val="000000"/>
                <w:szCs w:val="20"/>
                <w:lang w:eastAsia="pt-BR"/>
              </w:rPr>
              <w:t>.829.728</w:t>
            </w:r>
            <w:r w:rsidRPr="00607CF7">
              <w:rPr>
                <w:rFonts w:eastAsia="Times New Roman" w:cs="Arial"/>
                <w:color w:val="000000"/>
                <w:szCs w:val="20"/>
                <w:lang w:eastAsia="pt-BR"/>
              </w:rPr>
              <w:t>,</w:t>
            </w:r>
            <w:r>
              <w:rPr>
                <w:rFonts w:eastAsia="Times New Roman" w:cs="Arial"/>
                <w:color w:val="000000"/>
                <w:szCs w:val="20"/>
                <w:lang w:eastAsia="pt-BR"/>
              </w:rPr>
              <w:t>0</w:t>
            </w:r>
            <w:r w:rsidRPr="00607CF7">
              <w:rPr>
                <w:rFonts w:eastAsia="Times New Roman" w:cs="Arial"/>
                <w:color w:val="000000"/>
                <w:szCs w:val="20"/>
                <w:lang w:eastAsia="pt-BR"/>
              </w:rPr>
              <w:t>5</w:t>
            </w:r>
          </w:p>
        </w:tc>
        <w:tc>
          <w:tcPr>
            <w:tcW w:w="1041" w:type="dxa"/>
            <w:tcBorders>
              <w:top w:val="nil"/>
              <w:left w:val="nil"/>
              <w:bottom w:val="nil"/>
              <w:right w:val="nil"/>
            </w:tcBorders>
            <w:shd w:val="clear" w:color="auto" w:fill="auto"/>
            <w:noWrap/>
            <w:vAlign w:val="bottom"/>
            <w:hideMark/>
          </w:tcPr>
          <w:p w:rsidR="0041147E" w:rsidRPr="00924CB1" w:rsidRDefault="0041147E" w:rsidP="008F4251">
            <w:pPr>
              <w:jc w:val="right"/>
              <w:rPr>
                <w:rFonts w:eastAsia="Times New Roman" w:cs="Arial"/>
                <w:color w:val="000000"/>
                <w:szCs w:val="20"/>
                <w:lang w:eastAsia="pt-BR"/>
              </w:rPr>
            </w:pPr>
            <w:r>
              <w:rPr>
                <w:rFonts w:eastAsia="Times New Roman" w:cs="Arial"/>
                <w:color w:val="000000"/>
                <w:szCs w:val="20"/>
                <w:lang w:eastAsia="pt-BR"/>
              </w:rPr>
              <w:t>22</w:t>
            </w:r>
            <w:r w:rsidRPr="00924CB1">
              <w:rPr>
                <w:rFonts w:eastAsia="Times New Roman" w:cs="Arial"/>
                <w:color w:val="000000"/>
                <w:szCs w:val="20"/>
                <w:lang w:eastAsia="pt-BR"/>
              </w:rPr>
              <w:t>,</w:t>
            </w:r>
            <w:r>
              <w:rPr>
                <w:rFonts w:eastAsia="Times New Roman" w:cs="Arial"/>
                <w:color w:val="000000"/>
                <w:szCs w:val="20"/>
                <w:lang w:eastAsia="pt-BR"/>
              </w:rPr>
              <w:t>81</w:t>
            </w:r>
          </w:p>
        </w:tc>
      </w:tr>
      <w:tr w:rsidR="0041147E" w:rsidRPr="00924CB1" w:rsidTr="008F4251">
        <w:trPr>
          <w:trHeight w:val="255"/>
        </w:trPr>
        <w:tc>
          <w:tcPr>
            <w:tcW w:w="4588" w:type="dxa"/>
            <w:tcBorders>
              <w:top w:val="nil"/>
              <w:left w:val="nil"/>
              <w:bottom w:val="nil"/>
              <w:right w:val="nil"/>
            </w:tcBorders>
            <w:shd w:val="clear" w:color="D9D9D9" w:fill="D9D9D9"/>
            <w:noWrap/>
            <w:vAlign w:val="bottom"/>
            <w:hideMark/>
          </w:tcPr>
          <w:p w:rsidR="0041147E" w:rsidRPr="00924CB1" w:rsidRDefault="0041147E" w:rsidP="008F4251">
            <w:pPr>
              <w:jc w:val="left"/>
              <w:rPr>
                <w:rFonts w:eastAsia="Times New Roman" w:cs="Arial"/>
                <w:color w:val="000000"/>
                <w:szCs w:val="20"/>
                <w:lang w:eastAsia="pt-BR"/>
              </w:rPr>
            </w:pPr>
            <w:r w:rsidRPr="00924CB1">
              <w:rPr>
                <w:rFonts w:eastAsia="Times New Roman" w:cs="Arial"/>
                <w:color w:val="000000"/>
                <w:szCs w:val="20"/>
                <w:lang w:eastAsia="pt-BR"/>
              </w:rPr>
              <w:t>Valor Contábil Bruto - Bens Imóveis</w:t>
            </w:r>
          </w:p>
        </w:tc>
        <w:tc>
          <w:tcPr>
            <w:tcW w:w="1900" w:type="dxa"/>
            <w:tcBorders>
              <w:top w:val="nil"/>
              <w:left w:val="nil"/>
              <w:bottom w:val="nil"/>
              <w:right w:val="nil"/>
            </w:tcBorders>
            <w:shd w:val="clear" w:color="D9D9D9" w:fill="D9D9D9"/>
            <w:noWrap/>
            <w:vAlign w:val="bottom"/>
            <w:hideMark/>
          </w:tcPr>
          <w:p w:rsidR="0041147E" w:rsidRPr="00924CB1" w:rsidRDefault="0041147E" w:rsidP="008F4251">
            <w:pPr>
              <w:jc w:val="right"/>
              <w:rPr>
                <w:rFonts w:eastAsia="Times New Roman" w:cs="Arial"/>
                <w:color w:val="000000"/>
                <w:szCs w:val="20"/>
                <w:lang w:eastAsia="pt-BR"/>
              </w:rPr>
            </w:pPr>
            <w:r w:rsidRPr="00531CE6">
              <w:rPr>
                <w:rFonts w:eastAsia="Times New Roman" w:cs="Arial"/>
                <w:color w:val="000000"/>
                <w:szCs w:val="20"/>
                <w:lang w:eastAsia="pt-BR"/>
              </w:rPr>
              <w:t>124</w:t>
            </w:r>
            <w:r>
              <w:rPr>
                <w:rFonts w:eastAsia="Times New Roman" w:cs="Arial"/>
                <w:color w:val="000000"/>
                <w:szCs w:val="20"/>
                <w:lang w:eastAsia="pt-BR"/>
              </w:rPr>
              <w:t>.</w:t>
            </w:r>
            <w:r w:rsidRPr="00531CE6">
              <w:rPr>
                <w:rFonts w:eastAsia="Times New Roman" w:cs="Arial"/>
                <w:color w:val="000000"/>
                <w:szCs w:val="20"/>
                <w:lang w:eastAsia="pt-BR"/>
              </w:rPr>
              <w:t>908</w:t>
            </w:r>
            <w:r>
              <w:rPr>
                <w:rFonts w:eastAsia="Times New Roman" w:cs="Arial"/>
                <w:color w:val="000000"/>
                <w:szCs w:val="20"/>
                <w:lang w:eastAsia="pt-BR"/>
              </w:rPr>
              <w:t>.</w:t>
            </w:r>
            <w:r w:rsidRPr="00531CE6">
              <w:rPr>
                <w:rFonts w:eastAsia="Times New Roman" w:cs="Arial"/>
                <w:color w:val="000000"/>
                <w:szCs w:val="20"/>
                <w:lang w:eastAsia="pt-BR"/>
              </w:rPr>
              <w:t>860,23</w:t>
            </w:r>
          </w:p>
        </w:tc>
        <w:tc>
          <w:tcPr>
            <w:tcW w:w="1900" w:type="dxa"/>
            <w:tcBorders>
              <w:top w:val="nil"/>
              <w:left w:val="nil"/>
              <w:bottom w:val="nil"/>
              <w:right w:val="nil"/>
            </w:tcBorders>
            <w:shd w:val="clear" w:color="D9D9D9" w:fill="D9D9D9"/>
            <w:noWrap/>
            <w:vAlign w:val="bottom"/>
            <w:hideMark/>
          </w:tcPr>
          <w:p w:rsidR="0041147E" w:rsidRPr="00924CB1" w:rsidRDefault="0041147E" w:rsidP="008F4251">
            <w:pPr>
              <w:jc w:val="right"/>
              <w:rPr>
                <w:rFonts w:eastAsia="Times New Roman" w:cs="Arial"/>
                <w:color w:val="000000"/>
                <w:szCs w:val="20"/>
                <w:lang w:eastAsia="pt-BR"/>
              </w:rPr>
            </w:pPr>
            <w:r w:rsidRPr="007A0E47">
              <w:rPr>
                <w:rFonts w:eastAsia="Times New Roman" w:cs="Arial"/>
                <w:color w:val="000000"/>
                <w:szCs w:val="20"/>
                <w:lang w:eastAsia="pt-BR"/>
              </w:rPr>
              <w:t>125</w:t>
            </w:r>
            <w:r>
              <w:rPr>
                <w:rFonts w:eastAsia="Times New Roman" w:cs="Arial"/>
                <w:color w:val="000000"/>
                <w:szCs w:val="20"/>
                <w:lang w:eastAsia="pt-BR"/>
              </w:rPr>
              <w:t>.</w:t>
            </w:r>
            <w:r w:rsidRPr="007A0E47">
              <w:rPr>
                <w:rFonts w:eastAsia="Times New Roman" w:cs="Arial"/>
                <w:color w:val="000000"/>
                <w:szCs w:val="20"/>
                <w:lang w:eastAsia="pt-BR"/>
              </w:rPr>
              <w:t>825</w:t>
            </w:r>
            <w:r>
              <w:rPr>
                <w:rFonts w:eastAsia="Times New Roman" w:cs="Arial"/>
                <w:color w:val="000000"/>
                <w:szCs w:val="20"/>
                <w:lang w:eastAsia="pt-BR"/>
              </w:rPr>
              <w:t>.</w:t>
            </w:r>
            <w:r w:rsidRPr="007A0E47">
              <w:rPr>
                <w:rFonts w:eastAsia="Times New Roman" w:cs="Arial"/>
                <w:color w:val="000000"/>
                <w:szCs w:val="20"/>
                <w:lang w:eastAsia="pt-BR"/>
              </w:rPr>
              <w:t>180,81</w:t>
            </w:r>
          </w:p>
        </w:tc>
        <w:tc>
          <w:tcPr>
            <w:tcW w:w="1041" w:type="dxa"/>
            <w:tcBorders>
              <w:top w:val="nil"/>
              <w:left w:val="nil"/>
              <w:bottom w:val="nil"/>
              <w:right w:val="nil"/>
            </w:tcBorders>
            <w:shd w:val="clear" w:color="D9D9D9" w:fill="D9D9D9"/>
            <w:noWrap/>
            <w:vAlign w:val="bottom"/>
            <w:hideMark/>
          </w:tcPr>
          <w:p w:rsidR="0041147E" w:rsidRPr="00924CB1" w:rsidRDefault="0041147E" w:rsidP="008F4251">
            <w:pPr>
              <w:jc w:val="right"/>
              <w:rPr>
                <w:rFonts w:eastAsia="Times New Roman" w:cs="Arial"/>
                <w:color w:val="000000"/>
                <w:szCs w:val="20"/>
                <w:lang w:eastAsia="pt-BR"/>
              </w:rPr>
            </w:pPr>
            <w:r>
              <w:rPr>
                <w:rFonts w:eastAsia="Times New Roman" w:cs="Arial"/>
                <w:color w:val="000000"/>
                <w:szCs w:val="20"/>
                <w:lang w:eastAsia="pt-BR"/>
              </w:rPr>
              <w:t>-0,73</w:t>
            </w:r>
          </w:p>
        </w:tc>
      </w:tr>
      <w:tr w:rsidR="0041147E" w:rsidRPr="00924CB1" w:rsidTr="008F4251">
        <w:trPr>
          <w:trHeight w:val="255"/>
        </w:trPr>
        <w:tc>
          <w:tcPr>
            <w:tcW w:w="4588" w:type="dxa"/>
            <w:tcBorders>
              <w:top w:val="nil"/>
              <w:left w:val="nil"/>
              <w:bottom w:val="nil"/>
              <w:right w:val="nil"/>
            </w:tcBorders>
            <w:shd w:val="clear" w:color="auto" w:fill="auto"/>
            <w:noWrap/>
            <w:vAlign w:val="bottom"/>
            <w:hideMark/>
          </w:tcPr>
          <w:p w:rsidR="0041147E" w:rsidRPr="00924CB1" w:rsidRDefault="0041147E" w:rsidP="008F4251">
            <w:pPr>
              <w:jc w:val="left"/>
              <w:rPr>
                <w:rFonts w:eastAsia="Times New Roman" w:cs="Arial"/>
                <w:color w:val="000000"/>
                <w:szCs w:val="20"/>
                <w:lang w:eastAsia="pt-BR"/>
              </w:rPr>
            </w:pPr>
            <w:r w:rsidRPr="00924CB1">
              <w:rPr>
                <w:rFonts w:eastAsia="Times New Roman" w:cs="Arial"/>
                <w:color w:val="000000"/>
                <w:szCs w:val="20"/>
                <w:lang w:eastAsia="pt-BR"/>
              </w:rPr>
              <w:t>Depreciação/Amortização/Exaustão - Bens Imóveis</w:t>
            </w:r>
          </w:p>
        </w:tc>
        <w:tc>
          <w:tcPr>
            <w:tcW w:w="1900" w:type="dxa"/>
            <w:tcBorders>
              <w:top w:val="nil"/>
              <w:left w:val="nil"/>
              <w:bottom w:val="nil"/>
              <w:right w:val="nil"/>
            </w:tcBorders>
            <w:shd w:val="clear" w:color="auto" w:fill="auto"/>
            <w:noWrap/>
            <w:vAlign w:val="bottom"/>
            <w:hideMark/>
          </w:tcPr>
          <w:p w:rsidR="0041147E" w:rsidRPr="007A0E47" w:rsidRDefault="0041147E" w:rsidP="008F4251">
            <w:pPr>
              <w:jc w:val="right"/>
              <w:rPr>
                <w:rFonts w:eastAsia="Times New Roman" w:cs="Arial"/>
                <w:color w:val="000000"/>
                <w:szCs w:val="20"/>
                <w:lang w:eastAsia="pt-BR"/>
              </w:rPr>
            </w:pPr>
            <w:r>
              <w:rPr>
                <w:rFonts w:cs="Arial"/>
                <w:color w:val="000000"/>
                <w:szCs w:val="20"/>
              </w:rPr>
              <w:t>-</w:t>
            </w:r>
            <w:r w:rsidRPr="007A0E47">
              <w:rPr>
                <w:rFonts w:cs="Arial"/>
                <w:color w:val="000000"/>
                <w:szCs w:val="20"/>
              </w:rPr>
              <w:t xml:space="preserve"> </w:t>
            </w:r>
            <w:r w:rsidRPr="00531CE6">
              <w:rPr>
                <w:rFonts w:cs="Arial"/>
                <w:color w:val="000000"/>
                <w:szCs w:val="20"/>
              </w:rPr>
              <w:t>1</w:t>
            </w:r>
            <w:r>
              <w:rPr>
                <w:rFonts w:cs="Arial"/>
                <w:color w:val="000000"/>
                <w:szCs w:val="20"/>
              </w:rPr>
              <w:t>.</w:t>
            </w:r>
            <w:r w:rsidRPr="00531CE6">
              <w:rPr>
                <w:rFonts w:cs="Arial"/>
                <w:color w:val="000000"/>
                <w:szCs w:val="20"/>
              </w:rPr>
              <w:t>311</w:t>
            </w:r>
            <w:r>
              <w:rPr>
                <w:rFonts w:cs="Arial"/>
                <w:color w:val="000000"/>
                <w:szCs w:val="20"/>
              </w:rPr>
              <w:t>.</w:t>
            </w:r>
            <w:r w:rsidRPr="00531CE6">
              <w:rPr>
                <w:rFonts w:cs="Arial"/>
                <w:color w:val="000000"/>
                <w:szCs w:val="20"/>
              </w:rPr>
              <w:t>491,74</w:t>
            </w:r>
          </w:p>
        </w:tc>
        <w:tc>
          <w:tcPr>
            <w:tcW w:w="1900" w:type="dxa"/>
            <w:tcBorders>
              <w:top w:val="nil"/>
              <w:left w:val="nil"/>
              <w:bottom w:val="nil"/>
              <w:right w:val="nil"/>
            </w:tcBorders>
            <w:shd w:val="clear" w:color="auto" w:fill="auto"/>
            <w:noWrap/>
            <w:vAlign w:val="bottom"/>
            <w:hideMark/>
          </w:tcPr>
          <w:p w:rsidR="0041147E" w:rsidRPr="00924CB1" w:rsidRDefault="0041147E" w:rsidP="008F4251">
            <w:pPr>
              <w:jc w:val="right"/>
              <w:rPr>
                <w:rFonts w:eastAsia="Times New Roman" w:cs="Arial"/>
                <w:color w:val="000000"/>
                <w:szCs w:val="20"/>
                <w:lang w:eastAsia="pt-BR"/>
              </w:rPr>
            </w:pPr>
            <w:r>
              <w:rPr>
                <w:rFonts w:cs="Arial"/>
                <w:color w:val="000000"/>
                <w:szCs w:val="20"/>
              </w:rPr>
              <w:t>-</w:t>
            </w:r>
            <w:r w:rsidRPr="007A0E47">
              <w:rPr>
                <w:rFonts w:cs="Arial"/>
                <w:color w:val="000000"/>
                <w:szCs w:val="20"/>
              </w:rPr>
              <w:t xml:space="preserve"> </w:t>
            </w:r>
            <w:r>
              <w:rPr>
                <w:rFonts w:cs="Arial"/>
                <w:color w:val="000000"/>
                <w:szCs w:val="20"/>
              </w:rPr>
              <w:t>1.787.480</w:t>
            </w:r>
            <w:r w:rsidRPr="00531CE6">
              <w:rPr>
                <w:rFonts w:cs="Arial"/>
                <w:color w:val="000000"/>
                <w:szCs w:val="20"/>
              </w:rPr>
              <w:t>,</w:t>
            </w:r>
            <w:r>
              <w:rPr>
                <w:rFonts w:cs="Arial"/>
                <w:color w:val="000000"/>
                <w:szCs w:val="20"/>
              </w:rPr>
              <w:t>50</w:t>
            </w:r>
          </w:p>
        </w:tc>
        <w:tc>
          <w:tcPr>
            <w:tcW w:w="1041" w:type="dxa"/>
            <w:tcBorders>
              <w:top w:val="nil"/>
              <w:left w:val="nil"/>
              <w:bottom w:val="nil"/>
              <w:right w:val="nil"/>
            </w:tcBorders>
            <w:shd w:val="clear" w:color="auto" w:fill="auto"/>
            <w:noWrap/>
            <w:vAlign w:val="bottom"/>
            <w:hideMark/>
          </w:tcPr>
          <w:p w:rsidR="0041147E" w:rsidRPr="00924CB1" w:rsidRDefault="0041147E" w:rsidP="008F4251">
            <w:pPr>
              <w:jc w:val="right"/>
              <w:rPr>
                <w:rFonts w:eastAsia="Times New Roman" w:cs="Arial"/>
                <w:color w:val="000000"/>
                <w:szCs w:val="20"/>
                <w:lang w:eastAsia="pt-BR"/>
              </w:rPr>
            </w:pPr>
            <w:r>
              <w:rPr>
                <w:rFonts w:eastAsia="Times New Roman" w:cs="Arial"/>
                <w:color w:val="000000"/>
                <w:szCs w:val="20"/>
                <w:lang w:eastAsia="pt-BR"/>
              </w:rPr>
              <w:t>-26</w:t>
            </w:r>
            <w:r w:rsidRPr="00924CB1">
              <w:rPr>
                <w:rFonts w:eastAsia="Times New Roman" w:cs="Arial"/>
                <w:color w:val="000000"/>
                <w:szCs w:val="20"/>
                <w:lang w:eastAsia="pt-BR"/>
              </w:rPr>
              <w:t>,</w:t>
            </w:r>
            <w:r>
              <w:rPr>
                <w:rFonts w:eastAsia="Times New Roman" w:cs="Arial"/>
                <w:color w:val="000000"/>
                <w:szCs w:val="20"/>
                <w:lang w:eastAsia="pt-BR"/>
              </w:rPr>
              <w:t>63</w:t>
            </w:r>
          </w:p>
        </w:tc>
      </w:tr>
      <w:tr w:rsidR="0041147E" w:rsidRPr="00924CB1" w:rsidTr="008F4251">
        <w:trPr>
          <w:trHeight w:val="255"/>
        </w:trPr>
        <w:tc>
          <w:tcPr>
            <w:tcW w:w="4588" w:type="dxa"/>
            <w:tcBorders>
              <w:top w:val="nil"/>
              <w:left w:val="nil"/>
              <w:bottom w:val="single" w:sz="4" w:space="0" w:color="000000"/>
              <w:right w:val="nil"/>
            </w:tcBorders>
            <w:shd w:val="clear" w:color="D9D9D9" w:fill="D9D9D9"/>
            <w:noWrap/>
            <w:vAlign w:val="bottom"/>
            <w:hideMark/>
          </w:tcPr>
          <w:p w:rsidR="0041147E" w:rsidRPr="00924CB1" w:rsidRDefault="0041147E" w:rsidP="008F4251">
            <w:pPr>
              <w:jc w:val="left"/>
              <w:rPr>
                <w:rFonts w:eastAsia="Times New Roman" w:cs="Arial"/>
                <w:b/>
                <w:bCs/>
                <w:color w:val="000000"/>
                <w:szCs w:val="20"/>
                <w:lang w:eastAsia="pt-BR"/>
              </w:rPr>
            </w:pPr>
            <w:r w:rsidRPr="00924CB1">
              <w:rPr>
                <w:rFonts w:eastAsia="Times New Roman" w:cs="Arial"/>
                <w:b/>
                <w:bCs/>
                <w:color w:val="000000"/>
                <w:szCs w:val="20"/>
                <w:lang w:eastAsia="pt-BR"/>
              </w:rPr>
              <w:t>Total</w:t>
            </w:r>
          </w:p>
        </w:tc>
        <w:tc>
          <w:tcPr>
            <w:tcW w:w="1900" w:type="dxa"/>
            <w:tcBorders>
              <w:top w:val="nil"/>
              <w:left w:val="nil"/>
              <w:bottom w:val="single" w:sz="4" w:space="0" w:color="000000"/>
              <w:right w:val="nil"/>
            </w:tcBorders>
            <w:shd w:val="clear" w:color="D9D9D9" w:fill="D9D9D9"/>
            <w:noWrap/>
            <w:vAlign w:val="bottom"/>
            <w:hideMark/>
          </w:tcPr>
          <w:p w:rsidR="0041147E" w:rsidRPr="00924CB1" w:rsidRDefault="0041147E" w:rsidP="008F4251">
            <w:pPr>
              <w:jc w:val="right"/>
              <w:rPr>
                <w:rFonts w:eastAsia="Times New Roman" w:cs="Arial"/>
                <w:b/>
                <w:bCs/>
                <w:color w:val="000000"/>
                <w:szCs w:val="20"/>
                <w:lang w:eastAsia="pt-BR"/>
              </w:rPr>
            </w:pPr>
            <w:r w:rsidRPr="00397A49">
              <w:rPr>
                <w:rFonts w:eastAsia="Times New Roman" w:cs="Arial"/>
                <w:b/>
                <w:bCs/>
                <w:color w:val="000000"/>
                <w:szCs w:val="20"/>
                <w:lang w:eastAsia="pt-BR"/>
              </w:rPr>
              <w:t>1</w:t>
            </w:r>
            <w:r>
              <w:rPr>
                <w:rFonts w:eastAsia="Times New Roman" w:cs="Arial"/>
                <w:b/>
                <w:bCs/>
                <w:color w:val="000000"/>
                <w:szCs w:val="20"/>
                <w:lang w:eastAsia="pt-BR"/>
              </w:rPr>
              <w:t>98.973.216</w:t>
            </w:r>
            <w:r w:rsidRPr="00397A49">
              <w:rPr>
                <w:rFonts w:eastAsia="Times New Roman" w:cs="Arial"/>
                <w:b/>
                <w:bCs/>
                <w:color w:val="000000"/>
                <w:szCs w:val="20"/>
                <w:lang w:eastAsia="pt-BR"/>
              </w:rPr>
              <w:t>,</w:t>
            </w:r>
            <w:r>
              <w:rPr>
                <w:rFonts w:eastAsia="Times New Roman" w:cs="Arial"/>
                <w:b/>
                <w:bCs/>
                <w:color w:val="000000"/>
                <w:szCs w:val="20"/>
                <w:lang w:eastAsia="pt-BR"/>
              </w:rPr>
              <w:t>28</w:t>
            </w:r>
          </w:p>
        </w:tc>
        <w:tc>
          <w:tcPr>
            <w:tcW w:w="1900" w:type="dxa"/>
            <w:tcBorders>
              <w:top w:val="nil"/>
              <w:left w:val="nil"/>
              <w:bottom w:val="single" w:sz="4" w:space="0" w:color="000000"/>
              <w:right w:val="nil"/>
            </w:tcBorders>
            <w:shd w:val="clear" w:color="D9D9D9" w:fill="D9D9D9"/>
            <w:noWrap/>
            <w:vAlign w:val="bottom"/>
            <w:hideMark/>
          </w:tcPr>
          <w:p w:rsidR="0041147E" w:rsidRPr="00924CB1" w:rsidRDefault="0041147E" w:rsidP="008F4251">
            <w:pPr>
              <w:jc w:val="right"/>
              <w:rPr>
                <w:rFonts w:eastAsia="Times New Roman" w:cs="Arial"/>
                <w:b/>
                <w:bCs/>
                <w:color w:val="000000"/>
                <w:szCs w:val="20"/>
                <w:lang w:eastAsia="pt-BR"/>
              </w:rPr>
            </w:pPr>
            <w:r w:rsidRPr="00397A49">
              <w:rPr>
                <w:rFonts w:eastAsia="Times New Roman" w:cs="Arial"/>
                <w:b/>
                <w:bCs/>
                <w:color w:val="000000"/>
                <w:szCs w:val="20"/>
                <w:lang w:eastAsia="pt-BR"/>
              </w:rPr>
              <w:t>1</w:t>
            </w:r>
            <w:r>
              <w:rPr>
                <w:rFonts w:eastAsia="Times New Roman" w:cs="Arial"/>
                <w:b/>
                <w:bCs/>
                <w:color w:val="000000"/>
                <w:szCs w:val="20"/>
                <w:lang w:eastAsia="pt-BR"/>
              </w:rPr>
              <w:t>90.051.922</w:t>
            </w:r>
            <w:r w:rsidRPr="00397A49">
              <w:rPr>
                <w:rFonts w:eastAsia="Times New Roman" w:cs="Arial"/>
                <w:b/>
                <w:bCs/>
                <w:color w:val="000000"/>
                <w:szCs w:val="20"/>
                <w:lang w:eastAsia="pt-BR"/>
              </w:rPr>
              <w:t>,</w:t>
            </w:r>
            <w:r>
              <w:rPr>
                <w:rFonts w:eastAsia="Times New Roman" w:cs="Arial"/>
                <w:b/>
                <w:bCs/>
                <w:color w:val="000000"/>
                <w:szCs w:val="20"/>
                <w:lang w:eastAsia="pt-BR"/>
              </w:rPr>
              <w:t>52</w:t>
            </w:r>
          </w:p>
        </w:tc>
        <w:tc>
          <w:tcPr>
            <w:tcW w:w="1041" w:type="dxa"/>
            <w:tcBorders>
              <w:top w:val="nil"/>
              <w:left w:val="nil"/>
              <w:bottom w:val="single" w:sz="4" w:space="0" w:color="000000"/>
              <w:right w:val="nil"/>
            </w:tcBorders>
            <w:shd w:val="clear" w:color="D9D9D9" w:fill="D9D9D9"/>
            <w:noWrap/>
            <w:vAlign w:val="bottom"/>
            <w:hideMark/>
          </w:tcPr>
          <w:p w:rsidR="0041147E" w:rsidRPr="00924CB1" w:rsidRDefault="0041147E" w:rsidP="008F4251">
            <w:pPr>
              <w:jc w:val="right"/>
              <w:rPr>
                <w:rFonts w:eastAsia="Times New Roman" w:cs="Arial"/>
                <w:b/>
                <w:bCs/>
                <w:color w:val="000000"/>
                <w:szCs w:val="20"/>
                <w:lang w:eastAsia="pt-BR"/>
              </w:rPr>
            </w:pPr>
            <w:r w:rsidRPr="00924CB1">
              <w:rPr>
                <w:rFonts w:eastAsia="Times New Roman" w:cs="Arial"/>
                <w:b/>
                <w:bCs/>
                <w:color w:val="000000"/>
                <w:szCs w:val="20"/>
                <w:lang w:eastAsia="pt-BR"/>
              </w:rPr>
              <w:t>2,</w:t>
            </w:r>
            <w:r>
              <w:rPr>
                <w:rFonts w:eastAsia="Times New Roman" w:cs="Arial"/>
                <w:b/>
                <w:bCs/>
                <w:color w:val="000000"/>
                <w:szCs w:val="20"/>
                <w:lang w:eastAsia="pt-BR"/>
              </w:rPr>
              <w:t>26</w:t>
            </w:r>
          </w:p>
        </w:tc>
      </w:tr>
    </w:tbl>
    <w:p w:rsidR="0041147E" w:rsidRPr="00B83A9E" w:rsidRDefault="0041147E" w:rsidP="0041147E">
      <w:pPr>
        <w:rPr>
          <w:rFonts w:cs="Arial"/>
          <w:i/>
          <w:szCs w:val="20"/>
        </w:rPr>
      </w:pPr>
      <w:r w:rsidRPr="00B83A9E">
        <w:rPr>
          <w:rFonts w:cs="Arial"/>
          <w:i/>
          <w:szCs w:val="20"/>
        </w:rPr>
        <w:t>Fonte: SIAFI, 201</w:t>
      </w:r>
      <w:r>
        <w:rPr>
          <w:rFonts w:cs="Arial"/>
          <w:i/>
          <w:szCs w:val="20"/>
        </w:rPr>
        <w:t>9</w:t>
      </w:r>
      <w:r w:rsidRPr="00B83A9E">
        <w:rPr>
          <w:rFonts w:cs="Arial"/>
          <w:i/>
          <w:szCs w:val="20"/>
        </w:rPr>
        <w:t xml:space="preserve"> e 201</w:t>
      </w:r>
      <w:r>
        <w:rPr>
          <w:rFonts w:cs="Arial"/>
          <w:i/>
          <w:szCs w:val="20"/>
        </w:rPr>
        <w:t>8</w:t>
      </w:r>
      <w:r w:rsidRPr="00B83A9E">
        <w:rPr>
          <w:rFonts w:cs="Arial"/>
          <w:i/>
          <w:szCs w:val="20"/>
        </w:rPr>
        <w:t>.</w:t>
      </w:r>
    </w:p>
    <w:p w:rsidR="0041147E" w:rsidRPr="0037110A" w:rsidRDefault="0041147E" w:rsidP="0041147E">
      <w:pPr>
        <w:rPr>
          <w:rFonts w:cs="Arial"/>
          <w:sz w:val="22"/>
        </w:rPr>
      </w:pPr>
    </w:p>
    <w:p w:rsidR="0041147E" w:rsidRPr="0037110A" w:rsidRDefault="0041147E" w:rsidP="0041147E">
      <w:pPr>
        <w:rPr>
          <w:rFonts w:cs="Arial"/>
          <w:b/>
          <w:sz w:val="22"/>
        </w:rPr>
      </w:pPr>
      <w:r w:rsidRPr="0037110A">
        <w:rPr>
          <w:rFonts w:cs="Arial"/>
          <w:b/>
          <w:sz w:val="22"/>
        </w:rPr>
        <w:t>Bens Móveis</w:t>
      </w:r>
    </w:p>
    <w:p w:rsidR="0041147E" w:rsidRPr="0037110A" w:rsidRDefault="0041147E" w:rsidP="0041147E">
      <w:pPr>
        <w:rPr>
          <w:rFonts w:cs="Arial"/>
          <w:sz w:val="22"/>
        </w:rPr>
      </w:pPr>
    </w:p>
    <w:p w:rsidR="0041147E" w:rsidRPr="0037110A" w:rsidRDefault="0041147E" w:rsidP="0041147E">
      <w:pPr>
        <w:rPr>
          <w:rFonts w:cs="Arial"/>
          <w:sz w:val="22"/>
        </w:rPr>
      </w:pPr>
      <w:r w:rsidRPr="0037110A">
        <w:rPr>
          <w:rFonts w:cs="Arial"/>
          <w:sz w:val="22"/>
        </w:rPr>
        <w:t>Os Bens Móveis da AN</w:t>
      </w:r>
      <w:r>
        <w:rPr>
          <w:rFonts w:cs="Arial"/>
          <w:sz w:val="22"/>
        </w:rPr>
        <w:t>P</w:t>
      </w:r>
      <w:r w:rsidRPr="0037110A">
        <w:rPr>
          <w:rFonts w:cs="Arial"/>
          <w:sz w:val="22"/>
        </w:rPr>
        <w:t xml:space="preserve"> em 3</w:t>
      </w:r>
      <w:r>
        <w:rPr>
          <w:rFonts w:cs="Arial"/>
          <w:sz w:val="22"/>
        </w:rPr>
        <w:t>1</w:t>
      </w:r>
      <w:r w:rsidRPr="0037110A">
        <w:rPr>
          <w:rFonts w:cs="Arial"/>
          <w:sz w:val="22"/>
        </w:rPr>
        <w:t>/</w:t>
      </w:r>
      <w:r>
        <w:rPr>
          <w:rFonts w:cs="Arial"/>
          <w:sz w:val="22"/>
        </w:rPr>
        <w:t>12</w:t>
      </w:r>
      <w:r w:rsidRPr="0037110A">
        <w:rPr>
          <w:rFonts w:cs="Arial"/>
          <w:sz w:val="22"/>
        </w:rPr>
        <w:t>/201</w:t>
      </w:r>
      <w:r>
        <w:rPr>
          <w:rFonts w:cs="Arial"/>
          <w:sz w:val="22"/>
        </w:rPr>
        <w:t>9</w:t>
      </w:r>
      <w:r w:rsidRPr="0037110A">
        <w:rPr>
          <w:rFonts w:cs="Arial"/>
          <w:sz w:val="22"/>
        </w:rPr>
        <w:t xml:space="preserve"> totalizaram </w:t>
      </w:r>
      <w:r>
        <w:rPr>
          <w:rFonts w:cs="Arial"/>
          <w:sz w:val="22"/>
        </w:rPr>
        <w:t xml:space="preserve">pouco mais de </w:t>
      </w:r>
      <w:r w:rsidRPr="0037110A">
        <w:rPr>
          <w:rFonts w:cs="Arial"/>
          <w:sz w:val="22"/>
        </w:rPr>
        <w:t>R$</w:t>
      </w:r>
      <w:r>
        <w:rPr>
          <w:rFonts w:cs="Arial"/>
          <w:sz w:val="22"/>
        </w:rPr>
        <w:t xml:space="preserve"> 75 milhões</w:t>
      </w:r>
      <w:r w:rsidRPr="0037110A">
        <w:rPr>
          <w:rFonts w:cs="Arial"/>
          <w:sz w:val="22"/>
        </w:rPr>
        <w:t xml:space="preserve"> e estão distribuídos em várias contas contábeis confor</w:t>
      </w:r>
      <w:r>
        <w:rPr>
          <w:rFonts w:cs="Arial"/>
          <w:sz w:val="22"/>
        </w:rPr>
        <w:t>me detalhado na tabela a seguir:</w:t>
      </w:r>
    </w:p>
    <w:p w:rsidR="0041147E" w:rsidRPr="0037110A" w:rsidRDefault="0041147E" w:rsidP="0041147E">
      <w:pPr>
        <w:rPr>
          <w:rFonts w:cs="Arial"/>
          <w:b/>
          <w:sz w:val="22"/>
        </w:rPr>
      </w:pPr>
    </w:p>
    <w:p w:rsidR="0041147E" w:rsidRPr="0037110A" w:rsidRDefault="0041147E" w:rsidP="0041147E">
      <w:pPr>
        <w:rPr>
          <w:rFonts w:cs="Arial"/>
          <w:b/>
          <w:sz w:val="22"/>
        </w:rPr>
      </w:pPr>
      <w:r w:rsidRPr="00E65DFE">
        <w:rPr>
          <w:rFonts w:cs="Arial"/>
          <w:b/>
          <w:sz w:val="22"/>
        </w:rPr>
        <w:t>Tabela</w:t>
      </w:r>
      <w:r>
        <w:rPr>
          <w:rFonts w:cs="Arial"/>
          <w:b/>
          <w:sz w:val="22"/>
        </w:rPr>
        <w:t xml:space="preserve"> 6</w:t>
      </w:r>
      <w:r w:rsidRPr="00E65DFE">
        <w:rPr>
          <w:rFonts w:cs="Arial"/>
          <w:b/>
          <w:sz w:val="22"/>
        </w:rPr>
        <w:t xml:space="preserve"> </w:t>
      </w:r>
      <w:r w:rsidRPr="0037110A">
        <w:rPr>
          <w:rFonts w:cs="Arial"/>
          <w:b/>
          <w:sz w:val="22"/>
        </w:rPr>
        <w:t>– Bens Móveis – Composição.</w:t>
      </w:r>
    </w:p>
    <w:p w:rsidR="0041147E" w:rsidRDefault="0041147E" w:rsidP="0041147E">
      <w:pPr>
        <w:jc w:val="center"/>
        <w:rPr>
          <w:rFonts w:cs="Arial"/>
          <w:sz w:val="22"/>
        </w:rPr>
      </w:pPr>
      <w:r w:rsidRPr="0037110A">
        <w:rPr>
          <w:rFonts w:cs="Arial"/>
          <w:sz w:val="22"/>
        </w:rPr>
        <w:t xml:space="preserve">                                                                  </w:t>
      </w:r>
      <w:r>
        <w:rPr>
          <w:rFonts w:cs="Arial"/>
          <w:sz w:val="22"/>
        </w:rPr>
        <w:t xml:space="preserve">                                                                            R$</w:t>
      </w:r>
      <w:r w:rsidRPr="0037110A">
        <w:rPr>
          <w:rFonts w:cs="Arial"/>
          <w:sz w:val="22"/>
        </w:rPr>
        <w:t xml:space="preserve"> </w:t>
      </w:r>
    </w:p>
    <w:tbl>
      <w:tblPr>
        <w:tblW w:w="9210" w:type="dxa"/>
        <w:tblCellMar>
          <w:left w:w="70" w:type="dxa"/>
          <w:right w:w="70" w:type="dxa"/>
        </w:tblCellMar>
        <w:tblLook w:val="04A0" w:firstRow="1" w:lastRow="0" w:firstColumn="1" w:lastColumn="0" w:noHBand="0" w:noVBand="1"/>
      </w:tblPr>
      <w:tblGrid>
        <w:gridCol w:w="2302"/>
        <w:gridCol w:w="2302"/>
        <w:gridCol w:w="2303"/>
        <w:gridCol w:w="2303"/>
      </w:tblGrid>
      <w:tr w:rsidR="0041147E" w:rsidRPr="00B5064F" w:rsidTr="008F4251">
        <w:trPr>
          <w:trHeight w:val="255"/>
        </w:trPr>
        <w:tc>
          <w:tcPr>
            <w:tcW w:w="2302" w:type="dxa"/>
            <w:tcBorders>
              <w:top w:val="single" w:sz="4" w:space="0" w:color="000000"/>
              <w:left w:val="nil"/>
              <w:bottom w:val="single" w:sz="4" w:space="0" w:color="000000"/>
              <w:right w:val="nil"/>
            </w:tcBorders>
            <w:shd w:val="clear" w:color="auto" w:fill="auto"/>
            <w:noWrap/>
            <w:vAlign w:val="bottom"/>
            <w:hideMark/>
          </w:tcPr>
          <w:p w:rsidR="0041147E" w:rsidRPr="00B5064F" w:rsidRDefault="0041147E" w:rsidP="008F4251">
            <w:pPr>
              <w:jc w:val="left"/>
              <w:rPr>
                <w:rFonts w:eastAsia="Times New Roman" w:cs="Arial"/>
                <w:b/>
                <w:bCs/>
                <w:color w:val="FFFFFF"/>
                <w:szCs w:val="20"/>
                <w:lang w:eastAsia="pt-BR"/>
              </w:rPr>
            </w:pPr>
            <w:r w:rsidRPr="00B5064F">
              <w:rPr>
                <w:rFonts w:eastAsia="Times New Roman" w:cs="Arial"/>
                <w:b/>
                <w:bCs/>
                <w:color w:val="FFFFFF"/>
                <w:szCs w:val="20"/>
                <w:lang w:eastAsia="pt-BR"/>
              </w:rPr>
              <w:t>Colunas1</w:t>
            </w:r>
          </w:p>
        </w:tc>
        <w:tc>
          <w:tcPr>
            <w:tcW w:w="2302" w:type="dxa"/>
            <w:tcBorders>
              <w:top w:val="single" w:sz="4" w:space="0" w:color="000000"/>
              <w:left w:val="nil"/>
              <w:bottom w:val="single" w:sz="4" w:space="0" w:color="000000"/>
              <w:right w:val="nil"/>
            </w:tcBorders>
            <w:shd w:val="clear" w:color="auto" w:fill="auto"/>
            <w:noWrap/>
            <w:vAlign w:val="bottom"/>
            <w:hideMark/>
          </w:tcPr>
          <w:p w:rsidR="0041147E" w:rsidRPr="00B5064F" w:rsidRDefault="0041147E" w:rsidP="008F4251">
            <w:pPr>
              <w:jc w:val="right"/>
              <w:rPr>
                <w:rFonts w:eastAsia="Times New Roman" w:cs="Arial"/>
                <w:b/>
                <w:bCs/>
                <w:color w:val="000000"/>
                <w:szCs w:val="20"/>
                <w:lang w:eastAsia="pt-BR"/>
              </w:rPr>
            </w:pPr>
            <w:r w:rsidRPr="00B5064F">
              <w:rPr>
                <w:rFonts w:eastAsia="Times New Roman" w:cs="Arial"/>
                <w:b/>
                <w:bCs/>
                <w:color w:val="000000"/>
                <w:szCs w:val="20"/>
                <w:lang w:eastAsia="pt-BR"/>
              </w:rPr>
              <w:t>3</w:t>
            </w:r>
            <w:r>
              <w:rPr>
                <w:rFonts w:eastAsia="Times New Roman" w:cs="Arial"/>
                <w:b/>
                <w:bCs/>
                <w:color w:val="000000"/>
                <w:szCs w:val="20"/>
                <w:lang w:eastAsia="pt-BR"/>
              </w:rPr>
              <w:t>1</w:t>
            </w:r>
            <w:r w:rsidRPr="00B5064F">
              <w:rPr>
                <w:rFonts w:eastAsia="Times New Roman" w:cs="Arial"/>
                <w:b/>
                <w:bCs/>
                <w:color w:val="000000"/>
                <w:szCs w:val="20"/>
                <w:lang w:eastAsia="pt-BR"/>
              </w:rPr>
              <w:t>/</w:t>
            </w:r>
            <w:r>
              <w:rPr>
                <w:rFonts w:eastAsia="Times New Roman" w:cs="Arial"/>
                <w:b/>
                <w:bCs/>
                <w:color w:val="000000"/>
                <w:szCs w:val="20"/>
                <w:lang w:eastAsia="pt-BR"/>
              </w:rPr>
              <w:t>12/2019</w:t>
            </w:r>
          </w:p>
        </w:tc>
        <w:tc>
          <w:tcPr>
            <w:tcW w:w="2303" w:type="dxa"/>
            <w:tcBorders>
              <w:top w:val="single" w:sz="4" w:space="0" w:color="000000"/>
              <w:left w:val="nil"/>
              <w:bottom w:val="single" w:sz="4" w:space="0" w:color="000000"/>
              <w:right w:val="nil"/>
            </w:tcBorders>
            <w:shd w:val="clear" w:color="auto" w:fill="auto"/>
            <w:noWrap/>
            <w:vAlign w:val="bottom"/>
            <w:hideMark/>
          </w:tcPr>
          <w:p w:rsidR="0041147E" w:rsidRPr="00B5064F" w:rsidRDefault="0041147E" w:rsidP="008F4251">
            <w:pPr>
              <w:jc w:val="right"/>
              <w:rPr>
                <w:rFonts w:eastAsia="Times New Roman" w:cs="Arial"/>
                <w:b/>
                <w:bCs/>
                <w:color w:val="000000"/>
                <w:szCs w:val="20"/>
                <w:lang w:eastAsia="pt-BR"/>
              </w:rPr>
            </w:pPr>
            <w:r w:rsidRPr="00B5064F">
              <w:rPr>
                <w:rFonts w:eastAsia="Times New Roman" w:cs="Arial"/>
                <w:b/>
                <w:bCs/>
                <w:color w:val="000000"/>
                <w:szCs w:val="20"/>
                <w:lang w:eastAsia="pt-BR"/>
              </w:rPr>
              <w:t>31/12/201</w:t>
            </w:r>
            <w:r>
              <w:rPr>
                <w:rFonts w:eastAsia="Times New Roman" w:cs="Arial"/>
                <w:b/>
                <w:bCs/>
                <w:color w:val="000000"/>
                <w:szCs w:val="20"/>
                <w:lang w:eastAsia="pt-BR"/>
              </w:rPr>
              <w:t>8</w:t>
            </w:r>
          </w:p>
        </w:tc>
        <w:tc>
          <w:tcPr>
            <w:tcW w:w="2303" w:type="dxa"/>
            <w:tcBorders>
              <w:top w:val="single" w:sz="4" w:space="0" w:color="000000"/>
              <w:left w:val="nil"/>
              <w:bottom w:val="single" w:sz="4" w:space="0" w:color="000000"/>
              <w:right w:val="nil"/>
            </w:tcBorders>
            <w:shd w:val="clear" w:color="auto" w:fill="auto"/>
            <w:noWrap/>
            <w:vAlign w:val="bottom"/>
            <w:hideMark/>
          </w:tcPr>
          <w:p w:rsidR="0041147E" w:rsidRPr="00B5064F" w:rsidRDefault="0041147E" w:rsidP="008F4251">
            <w:pPr>
              <w:jc w:val="right"/>
              <w:rPr>
                <w:rFonts w:eastAsia="Times New Roman" w:cs="Arial"/>
                <w:b/>
                <w:bCs/>
                <w:color w:val="000000"/>
                <w:szCs w:val="20"/>
                <w:lang w:eastAsia="pt-BR"/>
              </w:rPr>
            </w:pPr>
            <w:r w:rsidRPr="00B5064F">
              <w:rPr>
                <w:rFonts w:eastAsia="Times New Roman" w:cs="Arial"/>
                <w:b/>
                <w:bCs/>
                <w:color w:val="000000"/>
                <w:szCs w:val="20"/>
                <w:lang w:eastAsia="pt-BR"/>
              </w:rPr>
              <w:t>AH (%)</w:t>
            </w:r>
          </w:p>
        </w:tc>
      </w:tr>
      <w:tr w:rsidR="0041147E" w:rsidRPr="00B5064F" w:rsidTr="008F4251">
        <w:trPr>
          <w:trHeight w:val="255"/>
        </w:trPr>
        <w:tc>
          <w:tcPr>
            <w:tcW w:w="2302" w:type="dxa"/>
            <w:tcBorders>
              <w:top w:val="nil"/>
              <w:left w:val="nil"/>
              <w:bottom w:val="nil"/>
              <w:right w:val="nil"/>
            </w:tcBorders>
            <w:shd w:val="clear" w:color="auto" w:fill="auto"/>
            <w:noWrap/>
            <w:vAlign w:val="center"/>
            <w:hideMark/>
          </w:tcPr>
          <w:p w:rsidR="0041147E" w:rsidRPr="00B5064F" w:rsidRDefault="0041147E" w:rsidP="008F4251">
            <w:pPr>
              <w:jc w:val="left"/>
              <w:rPr>
                <w:rFonts w:eastAsia="Times New Roman" w:cs="Arial"/>
                <w:color w:val="000000"/>
                <w:szCs w:val="20"/>
                <w:lang w:eastAsia="pt-BR"/>
              </w:rPr>
            </w:pPr>
            <w:r w:rsidRPr="00B5064F">
              <w:rPr>
                <w:rFonts w:eastAsia="Times New Roman" w:cs="Arial"/>
                <w:color w:val="000000"/>
                <w:szCs w:val="20"/>
                <w:lang w:eastAsia="pt-BR"/>
              </w:rPr>
              <w:t>Maquinas, Aparelhos, Equipamento e Ferramenta</w:t>
            </w:r>
          </w:p>
        </w:tc>
        <w:tc>
          <w:tcPr>
            <w:tcW w:w="2302" w:type="dxa"/>
            <w:tcBorders>
              <w:top w:val="nil"/>
              <w:left w:val="nil"/>
              <w:bottom w:val="nil"/>
              <w:right w:val="nil"/>
            </w:tcBorders>
            <w:shd w:val="clear" w:color="auto" w:fill="auto"/>
            <w:noWrap/>
            <w:vAlign w:val="bottom"/>
          </w:tcPr>
          <w:p w:rsidR="0041147E" w:rsidRPr="00B5064F" w:rsidRDefault="0041147E" w:rsidP="008F4251">
            <w:pPr>
              <w:jc w:val="right"/>
              <w:rPr>
                <w:rFonts w:eastAsia="Times New Roman" w:cs="Arial"/>
                <w:color w:val="000000"/>
                <w:szCs w:val="20"/>
                <w:lang w:eastAsia="pt-BR"/>
              </w:rPr>
            </w:pPr>
            <w:r w:rsidRPr="00B30256">
              <w:rPr>
                <w:rFonts w:eastAsia="Times New Roman" w:cs="Arial"/>
                <w:color w:val="000000"/>
                <w:szCs w:val="20"/>
                <w:lang w:eastAsia="pt-BR"/>
              </w:rPr>
              <w:t>33</w:t>
            </w:r>
            <w:r>
              <w:rPr>
                <w:rFonts w:eastAsia="Times New Roman" w:cs="Arial"/>
                <w:color w:val="000000"/>
                <w:szCs w:val="20"/>
                <w:lang w:eastAsia="pt-BR"/>
              </w:rPr>
              <w:t>.</w:t>
            </w:r>
            <w:r w:rsidRPr="00B30256">
              <w:rPr>
                <w:rFonts w:eastAsia="Times New Roman" w:cs="Arial"/>
                <w:color w:val="000000"/>
                <w:szCs w:val="20"/>
                <w:lang w:eastAsia="pt-BR"/>
              </w:rPr>
              <w:t>130</w:t>
            </w:r>
            <w:r>
              <w:rPr>
                <w:rFonts w:eastAsia="Times New Roman" w:cs="Arial"/>
                <w:color w:val="000000"/>
                <w:szCs w:val="20"/>
                <w:lang w:eastAsia="pt-BR"/>
              </w:rPr>
              <w:t>.</w:t>
            </w:r>
            <w:r w:rsidRPr="00B30256">
              <w:rPr>
                <w:rFonts w:eastAsia="Times New Roman" w:cs="Arial"/>
                <w:color w:val="000000"/>
                <w:szCs w:val="20"/>
                <w:lang w:eastAsia="pt-BR"/>
              </w:rPr>
              <w:t>475,06</w:t>
            </w:r>
          </w:p>
        </w:tc>
        <w:tc>
          <w:tcPr>
            <w:tcW w:w="2303" w:type="dxa"/>
            <w:tcBorders>
              <w:top w:val="nil"/>
              <w:left w:val="nil"/>
              <w:bottom w:val="nil"/>
              <w:right w:val="nil"/>
            </w:tcBorders>
            <w:shd w:val="clear" w:color="auto" w:fill="auto"/>
            <w:noWrap/>
            <w:vAlign w:val="bottom"/>
          </w:tcPr>
          <w:p w:rsidR="0041147E" w:rsidRPr="00B5064F" w:rsidRDefault="0041147E" w:rsidP="008F4251">
            <w:pPr>
              <w:jc w:val="right"/>
              <w:rPr>
                <w:rFonts w:eastAsia="Times New Roman" w:cs="Arial"/>
                <w:color w:val="000000"/>
                <w:szCs w:val="20"/>
                <w:lang w:eastAsia="pt-BR"/>
              </w:rPr>
            </w:pPr>
            <w:r w:rsidRPr="00B46A6E">
              <w:rPr>
                <w:rFonts w:eastAsia="Times New Roman" w:cs="Arial"/>
                <w:color w:val="000000"/>
                <w:szCs w:val="20"/>
                <w:lang w:eastAsia="pt-BR"/>
              </w:rPr>
              <w:t>32</w:t>
            </w:r>
            <w:r>
              <w:rPr>
                <w:rFonts w:eastAsia="Times New Roman" w:cs="Arial"/>
                <w:color w:val="000000"/>
                <w:szCs w:val="20"/>
                <w:lang w:eastAsia="pt-BR"/>
              </w:rPr>
              <w:t>.</w:t>
            </w:r>
            <w:r w:rsidRPr="00B46A6E">
              <w:rPr>
                <w:rFonts w:eastAsia="Times New Roman" w:cs="Arial"/>
                <w:color w:val="000000"/>
                <w:szCs w:val="20"/>
                <w:lang w:eastAsia="pt-BR"/>
              </w:rPr>
              <w:t>328</w:t>
            </w:r>
            <w:r>
              <w:rPr>
                <w:rFonts w:eastAsia="Times New Roman" w:cs="Arial"/>
                <w:color w:val="000000"/>
                <w:szCs w:val="20"/>
                <w:lang w:eastAsia="pt-BR"/>
              </w:rPr>
              <w:t>.</w:t>
            </w:r>
            <w:r w:rsidRPr="00B46A6E">
              <w:rPr>
                <w:rFonts w:eastAsia="Times New Roman" w:cs="Arial"/>
                <w:color w:val="000000"/>
                <w:szCs w:val="20"/>
                <w:lang w:eastAsia="pt-BR"/>
              </w:rPr>
              <w:t>268,08</w:t>
            </w:r>
          </w:p>
        </w:tc>
        <w:tc>
          <w:tcPr>
            <w:tcW w:w="2303" w:type="dxa"/>
            <w:tcBorders>
              <w:top w:val="nil"/>
              <w:left w:val="nil"/>
              <w:bottom w:val="nil"/>
              <w:right w:val="nil"/>
            </w:tcBorders>
            <w:shd w:val="clear" w:color="auto" w:fill="auto"/>
            <w:noWrap/>
            <w:vAlign w:val="bottom"/>
            <w:hideMark/>
          </w:tcPr>
          <w:p w:rsidR="0041147E" w:rsidRPr="00B5064F" w:rsidRDefault="0041147E" w:rsidP="008F4251">
            <w:pPr>
              <w:jc w:val="right"/>
              <w:rPr>
                <w:rFonts w:eastAsia="Times New Roman" w:cs="Arial"/>
                <w:color w:val="000000"/>
                <w:szCs w:val="20"/>
                <w:lang w:eastAsia="pt-BR"/>
              </w:rPr>
            </w:pPr>
            <w:r>
              <w:rPr>
                <w:rFonts w:eastAsia="Times New Roman" w:cs="Arial"/>
                <w:color w:val="000000"/>
                <w:szCs w:val="20"/>
                <w:lang w:eastAsia="pt-BR"/>
              </w:rPr>
              <w:t>2,48</w:t>
            </w:r>
          </w:p>
        </w:tc>
      </w:tr>
      <w:tr w:rsidR="0041147E" w:rsidRPr="00B5064F" w:rsidTr="008F4251">
        <w:trPr>
          <w:trHeight w:val="255"/>
        </w:trPr>
        <w:tc>
          <w:tcPr>
            <w:tcW w:w="2302" w:type="dxa"/>
            <w:tcBorders>
              <w:top w:val="nil"/>
              <w:left w:val="nil"/>
              <w:bottom w:val="nil"/>
              <w:right w:val="nil"/>
            </w:tcBorders>
            <w:shd w:val="clear" w:color="000000" w:fill="D9D9D9"/>
            <w:noWrap/>
            <w:vAlign w:val="center"/>
            <w:hideMark/>
          </w:tcPr>
          <w:p w:rsidR="0041147E" w:rsidRPr="00B5064F" w:rsidRDefault="0041147E" w:rsidP="008F4251">
            <w:pPr>
              <w:jc w:val="left"/>
              <w:rPr>
                <w:rFonts w:eastAsia="Times New Roman" w:cs="Arial"/>
                <w:color w:val="000000"/>
                <w:szCs w:val="20"/>
                <w:lang w:eastAsia="pt-BR"/>
              </w:rPr>
            </w:pPr>
            <w:r w:rsidRPr="00B5064F">
              <w:rPr>
                <w:rFonts w:eastAsia="Times New Roman" w:cs="Arial"/>
                <w:color w:val="000000"/>
                <w:szCs w:val="20"/>
                <w:lang w:eastAsia="pt-BR"/>
              </w:rPr>
              <w:t>Bens de Informática</w:t>
            </w:r>
          </w:p>
        </w:tc>
        <w:tc>
          <w:tcPr>
            <w:tcW w:w="2302" w:type="dxa"/>
            <w:tcBorders>
              <w:top w:val="nil"/>
              <w:left w:val="nil"/>
              <w:bottom w:val="nil"/>
              <w:right w:val="nil"/>
            </w:tcBorders>
            <w:shd w:val="clear" w:color="D9D9D9" w:fill="D9D9D9"/>
            <w:noWrap/>
            <w:vAlign w:val="bottom"/>
          </w:tcPr>
          <w:p w:rsidR="0041147E" w:rsidRPr="00B5064F" w:rsidRDefault="0041147E" w:rsidP="008F4251">
            <w:pPr>
              <w:jc w:val="right"/>
              <w:rPr>
                <w:rFonts w:eastAsia="Times New Roman" w:cs="Arial"/>
                <w:color w:val="000000"/>
                <w:szCs w:val="20"/>
                <w:lang w:eastAsia="pt-BR"/>
              </w:rPr>
            </w:pPr>
            <w:r w:rsidRPr="00B30256">
              <w:rPr>
                <w:rFonts w:eastAsia="Times New Roman" w:cs="Arial"/>
                <w:color w:val="000000"/>
                <w:szCs w:val="20"/>
                <w:lang w:eastAsia="pt-BR"/>
              </w:rPr>
              <w:t>47</w:t>
            </w:r>
            <w:r>
              <w:rPr>
                <w:rFonts w:eastAsia="Times New Roman" w:cs="Arial"/>
                <w:color w:val="000000"/>
                <w:szCs w:val="20"/>
                <w:lang w:eastAsia="pt-BR"/>
              </w:rPr>
              <w:t>.</w:t>
            </w:r>
            <w:r w:rsidRPr="00B30256">
              <w:rPr>
                <w:rFonts w:eastAsia="Times New Roman" w:cs="Arial"/>
                <w:color w:val="000000"/>
                <w:szCs w:val="20"/>
                <w:lang w:eastAsia="pt-BR"/>
              </w:rPr>
              <w:t>009</w:t>
            </w:r>
            <w:r>
              <w:rPr>
                <w:rFonts w:eastAsia="Times New Roman" w:cs="Arial"/>
                <w:color w:val="000000"/>
                <w:szCs w:val="20"/>
                <w:lang w:eastAsia="pt-BR"/>
              </w:rPr>
              <w:t>.</w:t>
            </w:r>
            <w:r w:rsidRPr="00B30256">
              <w:rPr>
                <w:rFonts w:eastAsia="Times New Roman" w:cs="Arial"/>
                <w:color w:val="000000"/>
                <w:szCs w:val="20"/>
                <w:lang w:eastAsia="pt-BR"/>
              </w:rPr>
              <w:t>763,72</w:t>
            </w:r>
          </w:p>
        </w:tc>
        <w:tc>
          <w:tcPr>
            <w:tcW w:w="2303" w:type="dxa"/>
            <w:tcBorders>
              <w:top w:val="nil"/>
              <w:left w:val="nil"/>
              <w:bottom w:val="nil"/>
              <w:right w:val="nil"/>
            </w:tcBorders>
            <w:shd w:val="clear" w:color="D9D9D9" w:fill="D9D9D9"/>
            <w:noWrap/>
            <w:vAlign w:val="bottom"/>
          </w:tcPr>
          <w:p w:rsidR="0041147E" w:rsidRPr="00B5064F" w:rsidRDefault="0041147E" w:rsidP="008F4251">
            <w:pPr>
              <w:jc w:val="right"/>
              <w:rPr>
                <w:rFonts w:eastAsia="Times New Roman" w:cs="Arial"/>
                <w:color w:val="000000"/>
                <w:szCs w:val="20"/>
                <w:lang w:eastAsia="pt-BR"/>
              </w:rPr>
            </w:pPr>
            <w:r w:rsidRPr="00B46A6E">
              <w:rPr>
                <w:rFonts w:eastAsia="Times New Roman" w:cs="Arial"/>
                <w:color w:val="000000"/>
                <w:szCs w:val="20"/>
                <w:lang w:eastAsia="pt-BR"/>
              </w:rPr>
              <w:t>35</w:t>
            </w:r>
            <w:r>
              <w:rPr>
                <w:rFonts w:eastAsia="Times New Roman" w:cs="Arial"/>
                <w:color w:val="000000"/>
                <w:szCs w:val="20"/>
                <w:lang w:eastAsia="pt-BR"/>
              </w:rPr>
              <w:t>.</w:t>
            </w:r>
            <w:r w:rsidRPr="00B46A6E">
              <w:rPr>
                <w:rFonts w:eastAsia="Times New Roman" w:cs="Arial"/>
                <w:color w:val="000000"/>
                <w:szCs w:val="20"/>
                <w:lang w:eastAsia="pt-BR"/>
              </w:rPr>
              <w:t>088</w:t>
            </w:r>
            <w:r>
              <w:rPr>
                <w:rFonts w:eastAsia="Times New Roman" w:cs="Arial"/>
                <w:color w:val="000000"/>
                <w:szCs w:val="20"/>
                <w:lang w:eastAsia="pt-BR"/>
              </w:rPr>
              <w:t>.</w:t>
            </w:r>
            <w:r w:rsidRPr="00B46A6E">
              <w:rPr>
                <w:rFonts w:eastAsia="Times New Roman" w:cs="Arial"/>
                <w:color w:val="000000"/>
                <w:szCs w:val="20"/>
                <w:lang w:eastAsia="pt-BR"/>
              </w:rPr>
              <w:t>208,21</w:t>
            </w:r>
          </w:p>
        </w:tc>
        <w:tc>
          <w:tcPr>
            <w:tcW w:w="2303" w:type="dxa"/>
            <w:tcBorders>
              <w:top w:val="nil"/>
              <w:left w:val="nil"/>
              <w:bottom w:val="nil"/>
              <w:right w:val="nil"/>
            </w:tcBorders>
            <w:shd w:val="clear" w:color="D9D9D9" w:fill="D9D9D9"/>
            <w:noWrap/>
            <w:vAlign w:val="bottom"/>
            <w:hideMark/>
          </w:tcPr>
          <w:p w:rsidR="0041147E" w:rsidRPr="00B5064F" w:rsidRDefault="0041147E" w:rsidP="008F4251">
            <w:pPr>
              <w:jc w:val="right"/>
              <w:rPr>
                <w:rFonts w:eastAsia="Times New Roman" w:cs="Arial"/>
                <w:color w:val="000000"/>
                <w:szCs w:val="20"/>
                <w:lang w:eastAsia="pt-BR"/>
              </w:rPr>
            </w:pPr>
            <w:r>
              <w:rPr>
                <w:rFonts w:eastAsia="Times New Roman" w:cs="Arial"/>
                <w:color w:val="000000"/>
                <w:szCs w:val="20"/>
                <w:lang w:eastAsia="pt-BR"/>
              </w:rPr>
              <w:t>33,98</w:t>
            </w:r>
          </w:p>
        </w:tc>
      </w:tr>
      <w:tr w:rsidR="0041147E" w:rsidRPr="00B5064F" w:rsidTr="008F4251">
        <w:trPr>
          <w:trHeight w:val="255"/>
        </w:trPr>
        <w:tc>
          <w:tcPr>
            <w:tcW w:w="2302" w:type="dxa"/>
            <w:tcBorders>
              <w:top w:val="nil"/>
              <w:left w:val="nil"/>
              <w:bottom w:val="nil"/>
              <w:right w:val="nil"/>
            </w:tcBorders>
            <w:shd w:val="clear" w:color="auto" w:fill="auto"/>
            <w:noWrap/>
            <w:vAlign w:val="center"/>
            <w:hideMark/>
          </w:tcPr>
          <w:p w:rsidR="0041147E" w:rsidRPr="00B5064F" w:rsidRDefault="0041147E" w:rsidP="008F4251">
            <w:pPr>
              <w:jc w:val="left"/>
              <w:rPr>
                <w:rFonts w:eastAsia="Times New Roman" w:cs="Arial"/>
                <w:color w:val="000000"/>
                <w:szCs w:val="20"/>
                <w:lang w:eastAsia="pt-BR"/>
              </w:rPr>
            </w:pPr>
            <w:r w:rsidRPr="00B5064F">
              <w:rPr>
                <w:rFonts w:eastAsia="Times New Roman" w:cs="Arial"/>
                <w:color w:val="000000"/>
                <w:szCs w:val="20"/>
                <w:lang w:eastAsia="pt-BR"/>
              </w:rPr>
              <w:t>Material Cultural, Educacional e de Comunicação</w:t>
            </w:r>
          </w:p>
        </w:tc>
        <w:tc>
          <w:tcPr>
            <w:tcW w:w="2302" w:type="dxa"/>
            <w:tcBorders>
              <w:top w:val="nil"/>
              <w:left w:val="nil"/>
              <w:bottom w:val="nil"/>
              <w:right w:val="nil"/>
            </w:tcBorders>
            <w:shd w:val="clear" w:color="auto" w:fill="auto"/>
            <w:noWrap/>
            <w:vAlign w:val="bottom"/>
          </w:tcPr>
          <w:p w:rsidR="0041147E" w:rsidRPr="00B5064F" w:rsidRDefault="0041147E" w:rsidP="008F4251">
            <w:pPr>
              <w:jc w:val="right"/>
              <w:rPr>
                <w:rFonts w:eastAsia="Times New Roman" w:cs="Arial"/>
                <w:color w:val="000000"/>
                <w:szCs w:val="20"/>
                <w:lang w:eastAsia="pt-BR"/>
              </w:rPr>
            </w:pPr>
            <w:r w:rsidRPr="00B30256">
              <w:rPr>
                <w:rFonts w:eastAsia="Times New Roman" w:cs="Arial"/>
                <w:color w:val="000000"/>
                <w:szCs w:val="20"/>
                <w:lang w:eastAsia="pt-BR"/>
              </w:rPr>
              <w:t>3</w:t>
            </w:r>
            <w:r>
              <w:rPr>
                <w:rFonts w:eastAsia="Times New Roman" w:cs="Arial"/>
                <w:color w:val="000000"/>
                <w:szCs w:val="20"/>
                <w:lang w:eastAsia="pt-BR"/>
              </w:rPr>
              <w:t>.</w:t>
            </w:r>
            <w:r w:rsidRPr="00B30256">
              <w:rPr>
                <w:rFonts w:eastAsia="Times New Roman" w:cs="Arial"/>
                <w:color w:val="000000"/>
                <w:szCs w:val="20"/>
                <w:lang w:eastAsia="pt-BR"/>
              </w:rPr>
              <w:t>681</w:t>
            </w:r>
            <w:r>
              <w:rPr>
                <w:rFonts w:eastAsia="Times New Roman" w:cs="Arial"/>
                <w:color w:val="000000"/>
                <w:szCs w:val="20"/>
                <w:lang w:eastAsia="pt-BR"/>
              </w:rPr>
              <w:t>.</w:t>
            </w:r>
            <w:r w:rsidRPr="00B30256">
              <w:rPr>
                <w:rFonts w:eastAsia="Times New Roman" w:cs="Arial"/>
                <w:color w:val="000000"/>
                <w:szCs w:val="20"/>
                <w:lang w:eastAsia="pt-BR"/>
              </w:rPr>
              <w:t>601,47</w:t>
            </w:r>
          </w:p>
        </w:tc>
        <w:tc>
          <w:tcPr>
            <w:tcW w:w="2303" w:type="dxa"/>
            <w:tcBorders>
              <w:top w:val="nil"/>
              <w:left w:val="nil"/>
              <w:bottom w:val="nil"/>
              <w:right w:val="nil"/>
            </w:tcBorders>
            <w:shd w:val="clear" w:color="auto" w:fill="auto"/>
            <w:noWrap/>
            <w:vAlign w:val="bottom"/>
          </w:tcPr>
          <w:p w:rsidR="0041147E" w:rsidRPr="00B5064F" w:rsidRDefault="0041147E" w:rsidP="008F4251">
            <w:pPr>
              <w:jc w:val="right"/>
              <w:rPr>
                <w:rFonts w:eastAsia="Times New Roman" w:cs="Arial"/>
                <w:color w:val="000000"/>
                <w:szCs w:val="20"/>
                <w:lang w:eastAsia="pt-BR"/>
              </w:rPr>
            </w:pPr>
            <w:r w:rsidRPr="00B46A6E">
              <w:rPr>
                <w:rFonts w:eastAsia="Times New Roman" w:cs="Arial"/>
                <w:color w:val="000000"/>
                <w:szCs w:val="20"/>
                <w:lang w:eastAsia="pt-BR"/>
              </w:rPr>
              <w:t>3</w:t>
            </w:r>
            <w:r>
              <w:rPr>
                <w:rFonts w:eastAsia="Times New Roman" w:cs="Arial"/>
                <w:color w:val="000000"/>
                <w:szCs w:val="20"/>
                <w:lang w:eastAsia="pt-BR"/>
              </w:rPr>
              <w:t>.</w:t>
            </w:r>
            <w:r w:rsidRPr="00B46A6E">
              <w:rPr>
                <w:rFonts w:eastAsia="Times New Roman" w:cs="Arial"/>
                <w:color w:val="000000"/>
                <w:szCs w:val="20"/>
                <w:lang w:eastAsia="pt-BR"/>
              </w:rPr>
              <w:t>704</w:t>
            </w:r>
            <w:r>
              <w:rPr>
                <w:rFonts w:eastAsia="Times New Roman" w:cs="Arial"/>
                <w:color w:val="000000"/>
                <w:szCs w:val="20"/>
                <w:lang w:eastAsia="pt-BR"/>
              </w:rPr>
              <w:t>.</w:t>
            </w:r>
            <w:r w:rsidRPr="00B46A6E">
              <w:rPr>
                <w:rFonts w:eastAsia="Times New Roman" w:cs="Arial"/>
                <w:color w:val="000000"/>
                <w:szCs w:val="20"/>
                <w:lang w:eastAsia="pt-BR"/>
              </w:rPr>
              <w:t>816,90</w:t>
            </w:r>
          </w:p>
        </w:tc>
        <w:tc>
          <w:tcPr>
            <w:tcW w:w="2303" w:type="dxa"/>
            <w:tcBorders>
              <w:top w:val="nil"/>
              <w:left w:val="nil"/>
              <w:bottom w:val="nil"/>
              <w:right w:val="nil"/>
            </w:tcBorders>
            <w:shd w:val="clear" w:color="auto" w:fill="auto"/>
            <w:noWrap/>
            <w:vAlign w:val="bottom"/>
            <w:hideMark/>
          </w:tcPr>
          <w:p w:rsidR="0041147E" w:rsidRPr="00B5064F" w:rsidRDefault="0041147E" w:rsidP="008F4251">
            <w:pPr>
              <w:jc w:val="right"/>
              <w:rPr>
                <w:rFonts w:eastAsia="Times New Roman" w:cs="Arial"/>
                <w:color w:val="000000"/>
                <w:szCs w:val="20"/>
                <w:lang w:eastAsia="pt-BR"/>
              </w:rPr>
            </w:pPr>
            <w:r>
              <w:rPr>
                <w:rFonts w:eastAsia="Times New Roman" w:cs="Arial"/>
                <w:color w:val="000000"/>
                <w:szCs w:val="20"/>
                <w:lang w:eastAsia="pt-BR"/>
              </w:rPr>
              <w:t>-0,63</w:t>
            </w:r>
          </w:p>
        </w:tc>
      </w:tr>
      <w:tr w:rsidR="0041147E" w:rsidRPr="00B5064F" w:rsidTr="008F4251">
        <w:trPr>
          <w:trHeight w:val="255"/>
        </w:trPr>
        <w:tc>
          <w:tcPr>
            <w:tcW w:w="2302" w:type="dxa"/>
            <w:tcBorders>
              <w:top w:val="nil"/>
              <w:left w:val="nil"/>
              <w:bottom w:val="nil"/>
              <w:right w:val="nil"/>
            </w:tcBorders>
            <w:shd w:val="clear" w:color="auto" w:fill="D9D9D9" w:themeFill="background1" w:themeFillShade="D9"/>
            <w:noWrap/>
            <w:vAlign w:val="center"/>
            <w:hideMark/>
          </w:tcPr>
          <w:p w:rsidR="0041147E" w:rsidRPr="00B5064F" w:rsidRDefault="0041147E" w:rsidP="008F4251">
            <w:pPr>
              <w:jc w:val="left"/>
              <w:rPr>
                <w:rFonts w:eastAsia="Times New Roman" w:cs="Arial"/>
                <w:color w:val="000000"/>
                <w:szCs w:val="20"/>
                <w:lang w:eastAsia="pt-BR"/>
              </w:rPr>
            </w:pPr>
            <w:r w:rsidRPr="00B5064F">
              <w:rPr>
                <w:rFonts w:eastAsia="Times New Roman" w:cs="Arial"/>
                <w:color w:val="000000"/>
                <w:szCs w:val="20"/>
                <w:lang w:eastAsia="pt-BR"/>
              </w:rPr>
              <w:t>Móveis e Utensílios</w:t>
            </w:r>
          </w:p>
        </w:tc>
        <w:tc>
          <w:tcPr>
            <w:tcW w:w="2302" w:type="dxa"/>
            <w:tcBorders>
              <w:top w:val="nil"/>
              <w:left w:val="nil"/>
              <w:bottom w:val="nil"/>
              <w:right w:val="nil"/>
            </w:tcBorders>
            <w:shd w:val="clear" w:color="auto" w:fill="D9D9D9" w:themeFill="background1" w:themeFillShade="D9"/>
            <w:noWrap/>
            <w:vAlign w:val="bottom"/>
          </w:tcPr>
          <w:p w:rsidR="0041147E" w:rsidRPr="00B5064F" w:rsidRDefault="0041147E" w:rsidP="008F4251">
            <w:pPr>
              <w:jc w:val="right"/>
              <w:rPr>
                <w:rFonts w:eastAsia="Times New Roman" w:cs="Arial"/>
                <w:color w:val="000000"/>
                <w:szCs w:val="20"/>
                <w:lang w:eastAsia="pt-BR"/>
              </w:rPr>
            </w:pPr>
            <w:r w:rsidRPr="00B30256">
              <w:rPr>
                <w:rFonts w:eastAsia="Times New Roman" w:cs="Arial"/>
                <w:color w:val="000000"/>
                <w:szCs w:val="20"/>
                <w:lang w:eastAsia="pt-BR"/>
              </w:rPr>
              <w:t>17</w:t>
            </w:r>
            <w:r>
              <w:rPr>
                <w:rFonts w:eastAsia="Times New Roman" w:cs="Arial"/>
                <w:color w:val="000000"/>
                <w:szCs w:val="20"/>
                <w:lang w:eastAsia="pt-BR"/>
              </w:rPr>
              <w:t>.</w:t>
            </w:r>
            <w:r w:rsidRPr="00B30256">
              <w:rPr>
                <w:rFonts w:eastAsia="Times New Roman" w:cs="Arial"/>
                <w:color w:val="000000"/>
                <w:szCs w:val="20"/>
                <w:lang w:eastAsia="pt-BR"/>
              </w:rPr>
              <w:t>142</w:t>
            </w:r>
            <w:r>
              <w:rPr>
                <w:rFonts w:eastAsia="Times New Roman" w:cs="Arial"/>
                <w:color w:val="000000"/>
                <w:szCs w:val="20"/>
                <w:lang w:eastAsia="pt-BR"/>
              </w:rPr>
              <w:t>.</w:t>
            </w:r>
            <w:r w:rsidRPr="00B30256">
              <w:rPr>
                <w:rFonts w:eastAsia="Times New Roman" w:cs="Arial"/>
                <w:color w:val="000000"/>
                <w:szCs w:val="20"/>
                <w:lang w:eastAsia="pt-BR"/>
              </w:rPr>
              <w:t>272,92</w:t>
            </w:r>
          </w:p>
        </w:tc>
        <w:tc>
          <w:tcPr>
            <w:tcW w:w="2303" w:type="dxa"/>
            <w:tcBorders>
              <w:top w:val="nil"/>
              <w:left w:val="nil"/>
              <w:bottom w:val="nil"/>
              <w:right w:val="nil"/>
            </w:tcBorders>
            <w:shd w:val="clear" w:color="auto" w:fill="D9D9D9" w:themeFill="background1" w:themeFillShade="D9"/>
            <w:noWrap/>
            <w:vAlign w:val="bottom"/>
          </w:tcPr>
          <w:p w:rsidR="0041147E" w:rsidRPr="00B5064F" w:rsidRDefault="0041147E" w:rsidP="008F4251">
            <w:pPr>
              <w:jc w:val="right"/>
              <w:rPr>
                <w:rFonts w:eastAsia="Times New Roman" w:cs="Arial"/>
                <w:color w:val="000000"/>
                <w:szCs w:val="20"/>
                <w:lang w:eastAsia="pt-BR"/>
              </w:rPr>
            </w:pPr>
            <w:r w:rsidRPr="00B46A6E">
              <w:rPr>
                <w:rFonts w:eastAsia="Times New Roman" w:cs="Arial"/>
                <w:color w:val="000000"/>
                <w:szCs w:val="20"/>
                <w:lang w:eastAsia="pt-BR"/>
              </w:rPr>
              <w:t>17</w:t>
            </w:r>
            <w:r>
              <w:rPr>
                <w:rFonts w:eastAsia="Times New Roman" w:cs="Arial"/>
                <w:color w:val="000000"/>
                <w:szCs w:val="20"/>
                <w:lang w:eastAsia="pt-BR"/>
              </w:rPr>
              <w:t>.</w:t>
            </w:r>
            <w:r w:rsidRPr="00B46A6E">
              <w:rPr>
                <w:rFonts w:eastAsia="Times New Roman" w:cs="Arial"/>
                <w:color w:val="000000"/>
                <w:szCs w:val="20"/>
                <w:lang w:eastAsia="pt-BR"/>
              </w:rPr>
              <w:t>536</w:t>
            </w:r>
            <w:r>
              <w:rPr>
                <w:rFonts w:eastAsia="Times New Roman" w:cs="Arial"/>
                <w:color w:val="000000"/>
                <w:szCs w:val="20"/>
                <w:lang w:eastAsia="pt-BR"/>
              </w:rPr>
              <w:t>.</w:t>
            </w:r>
            <w:r w:rsidRPr="00B46A6E">
              <w:rPr>
                <w:rFonts w:eastAsia="Times New Roman" w:cs="Arial"/>
                <w:color w:val="000000"/>
                <w:szCs w:val="20"/>
                <w:lang w:eastAsia="pt-BR"/>
              </w:rPr>
              <w:t>542,96</w:t>
            </w:r>
          </w:p>
        </w:tc>
        <w:tc>
          <w:tcPr>
            <w:tcW w:w="2303" w:type="dxa"/>
            <w:tcBorders>
              <w:top w:val="nil"/>
              <w:left w:val="nil"/>
              <w:bottom w:val="nil"/>
              <w:right w:val="nil"/>
            </w:tcBorders>
            <w:shd w:val="clear" w:color="auto" w:fill="D9D9D9" w:themeFill="background1" w:themeFillShade="D9"/>
            <w:noWrap/>
            <w:vAlign w:val="bottom"/>
            <w:hideMark/>
          </w:tcPr>
          <w:p w:rsidR="0041147E" w:rsidRPr="00B5064F" w:rsidRDefault="0041147E" w:rsidP="008F4251">
            <w:pPr>
              <w:jc w:val="right"/>
              <w:rPr>
                <w:rFonts w:eastAsia="Times New Roman" w:cs="Arial"/>
                <w:color w:val="000000"/>
                <w:szCs w:val="20"/>
                <w:lang w:eastAsia="pt-BR"/>
              </w:rPr>
            </w:pPr>
            <w:r>
              <w:rPr>
                <w:rFonts w:eastAsia="Times New Roman" w:cs="Arial"/>
                <w:color w:val="000000"/>
                <w:szCs w:val="20"/>
                <w:lang w:eastAsia="pt-BR"/>
              </w:rPr>
              <w:t>-2,25</w:t>
            </w:r>
          </w:p>
        </w:tc>
      </w:tr>
      <w:tr w:rsidR="0041147E" w:rsidRPr="00B5064F" w:rsidTr="008F4251">
        <w:trPr>
          <w:trHeight w:val="255"/>
        </w:trPr>
        <w:tc>
          <w:tcPr>
            <w:tcW w:w="2302" w:type="dxa"/>
            <w:tcBorders>
              <w:top w:val="nil"/>
              <w:left w:val="nil"/>
              <w:bottom w:val="nil"/>
              <w:right w:val="nil"/>
            </w:tcBorders>
            <w:shd w:val="clear" w:color="auto" w:fill="FFFFFF" w:themeFill="background1"/>
            <w:noWrap/>
            <w:vAlign w:val="center"/>
            <w:hideMark/>
          </w:tcPr>
          <w:p w:rsidR="0041147E" w:rsidRPr="00B5064F" w:rsidRDefault="0041147E" w:rsidP="008F4251">
            <w:pPr>
              <w:jc w:val="left"/>
              <w:rPr>
                <w:rFonts w:eastAsia="Times New Roman" w:cs="Arial"/>
                <w:color w:val="000000"/>
                <w:szCs w:val="20"/>
                <w:lang w:eastAsia="pt-BR"/>
              </w:rPr>
            </w:pPr>
            <w:r w:rsidRPr="00B5064F">
              <w:rPr>
                <w:rFonts w:eastAsia="Times New Roman" w:cs="Arial"/>
                <w:color w:val="000000"/>
                <w:szCs w:val="20"/>
                <w:lang w:eastAsia="pt-BR"/>
              </w:rPr>
              <w:t>Veículos</w:t>
            </w:r>
          </w:p>
        </w:tc>
        <w:tc>
          <w:tcPr>
            <w:tcW w:w="2302" w:type="dxa"/>
            <w:tcBorders>
              <w:top w:val="nil"/>
              <w:left w:val="nil"/>
              <w:bottom w:val="nil"/>
              <w:right w:val="nil"/>
            </w:tcBorders>
            <w:shd w:val="clear" w:color="auto" w:fill="FFFFFF" w:themeFill="background1"/>
            <w:noWrap/>
            <w:vAlign w:val="bottom"/>
          </w:tcPr>
          <w:p w:rsidR="0041147E" w:rsidRPr="00B5064F" w:rsidRDefault="0041147E" w:rsidP="008F4251">
            <w:pPr>
              <w:jc w:val="right"/>
              <w:rPr>
                <w:rFonts w:eastAsia="Times New Roman" w:cs="Arial"/>
                <w:color w:val="000000"/>
                <w:szCs w:val="20"/>
                <w:lang w:eastAsia="pt-BR"/>
              </w:rPr>
            </w:pPr>
            <w:r w:rsidRPr="00D91263">
              <w:rPr>
                <w:rFonts w:eastAsia="Times New Roman" w:cs="Arial"/>
                <w:color w:val="000000"/>
                <w:szCs w:val="20"/>
                <w:lang w:eastAsia="pt-BR"/>
              </w:rPr>
              <w:t>39</w:t>
            </w:r>
            <w:r>
              <w:rPr>
                <w:rFonts w:eastAsia="Times New Roman" w:cs="Arial"/>
                <w:color w:val="000000"/>
                <w:szCs w:val="20"/>
                <w:lang w:eastAsia="pt-BR"/>
              </w:rPr>
              <w:t>.</w:t>
            </w:r>
            <w:r w:rsidRPr="00D91263">
              <w:rPr>
                <w:rFonts w:eastAsia="Times New Roman" w:cs="Arial"/>
                <w:color w:val="000000"/>
                <w:szCs w:val="20"/>
                <w:lang w:eastAsia="pt-BR"/>
              </w:rPr>
              <w:t>873,97</w:t>
            </w:r>
          </w:p>
        </w:tc>
        <w:tc>
          <w:tcPr>
            <w:tcW w:w="2303" w:type="dxa"/>
            <w:tcBorders>
              <w:top w:val="nil"/>
              <w:left w:val="nil"/>
              <w:bottom w:val="nil"/>
              <w:right w:val="nil"/>
            </w:tcBorders>
            <w:shd w:val="clear" w:color="auto" w:fill="FFFFFF" w:themeFill="background1"/>
            <w:noWrap/>
            <w:vAlign w:val="bottom"/>
          </w:tcPr>
          <w:p w:rsidR="0041147E" w:rsidRPr="00B5064F" w:rsidRDefault="0041147E" w:rsidP="008F4251">
            <w:pPr>
              <w:jc w:val="right"/>
              <w:rPr>
                <w:rFonts w:eastAsia="Times New Roman" w:cs="Arial"/>
                <w:color w:val="000000"/>
                <w:szCs w:val="20"/>
                <w:lang w:eastAsia="pt-BR"/>
              </w:rPr>
            </w:pPr>
            <w:r w:rsidRPr="00D91263">
              <w:rPr>
                <w:rFonts w:eastAsia="Times New Roman" w:cs="Arial"/>
                <w:color w:val="000000"/>
                <w:szCs w:val="20"/>
                <w:lang w:eastAsia="pt-BR"/>
              </w:rPr>
              <w:t>39</w:t>
            </w:r>
            <w:r>
              <w:rPr>
                <w:rFonts w:eastAsia="Times New Roman" w:cs="Arial"/>
                <w:color w:val="000000"/>
                <w:szCs w:val="20"/>
                <w:lang w:eastAsia="pt-BR"/>
              </w:rPr>
              <w:t>.</w:t>
            </w:r>
            <w:r w:rsidRPr="00D91263">
              <w:rPr>
                <w:rFonts w:eastAsia="Times New Roman" w:cs="Arial"/>
                <w:color w:val="000000"/>
                <w:szCs w:val="20"/>
                <w:lang w:eastAsia="pt-BR"/>
              </w:rPr>
              <w:t>873,97</w:t>
            </w:r>
          </w:p>
        </w:tc>
        <w:tc>
          <w:tcPr>
            <w:tcW w:w="2303" w:type="dxa"/>
            <w:tcBorders>
              <w:top w:val="nil"/>
              <w:left w:val="nil"/>
              <w:bottom w:val="nil"/>
              <w:right w:val="nil"/>
            </w:tcBorders>
            <w:shd w:val="clear" w:color="auto" w:fill="FFFFFF" w:themeFill="background1"/>
            <w:noWrap/>
            <w:vAlign w:val="bottom"/>
            <w:hideMark/>
          </w:tcPr>
          <w:p w:rsidR="0041147E" w:rsidRPr="00B5064F" w:rsidRDefault="0041147E" w:rsidP="008F4251">
            <w:pPr>
              <w:jc w:val="right"/>
              <w:rPr>
                <w:rFonts w:eastAsia="Times New Roman" w:cs="Arial"/>
                <w:color w:val="000000"/>
                <w:szCs w:val="20"/>
                <w:lang w:eastAsia="pt-BR"/>
              </w:rPr>
            </w:pPr>
            <w:r>
              <w:rPr>
                <w:rFonts w:eastAsia="Times New Roman" w:cs="Arial"/>
                <w:color w:val="000000"/>
                <w:szCs w:val="20"/>
                <w:lang w:eastAsia="pt-BR"/>
              </w:rPr>
              <w:t>0</w:t>
            </w:r>
          </w:p>
        </w:tc>
      </w:tr>
      <w:tr w:rsidR="0041147E" w:rsidRPr="00B5064F" w:rsidTr="008F4251">
        <w:trPr>
          <w:trHeight w:val="255"/>
        </w:trPr>
        <w:tc>
          <w:tcPr>
            <w:tcW w:w="2302" w:type="dxa"/>
            <w:tcBorders>
              <w:top w:val="nil"/>
              <w:left w:val="nil"/>
              <w:bottom w:val="nil"/>
              <w:right w:val="nil"/>
            </w:tcBorders>
            <w:shd w:val="clear" w:color="auto" w:fill="D9D9D9" w:themeFill="background1" w:themeFillShade="D9"/>
            <w:noWrap/>
            <w:vAlign w:val="center"/>
          </w:tcPr>
          <w:p w:rsidR="0041147E" w:rsidRPr="00B5064F" w:rsidRDefault="0041147E" w:rsidP="008F4251">
            <w:pPr>
              <w:jc w:val="left"/>
              <w:rPr>
                <w:rFonts w:eastAsia="Times New Roman" w:cs="Arial"/>
                <w:color w:val="000000"/>
                <w:szCs w:val="20"/>
                <w:lang w:eastAsia="pt-BR"/>
              </w:rPr>
            </w:pPr>
            <w:r>
              <w:rPr>
                <w:rFonts w:eastAsia="Times New Roman" w:cs="Arial"/>
                <w:color w:val="000000"/>
                <w:szCs w:val="20"/>
                <w:lang w:eastAsia="pt-BR"/>
              </w:rPr>
              <w:t>Peças e Conjunto de reposição</w:t>
            </w:r>
          </w:p>
        </w:tc>
        <w:tc>
          <w:tcPr>
            <w:tcW w:w="2302" w:type="dxa"/>
            <w:tcBorders>
              <w:top w:val="nil"/>
              <w:left w:val="nil"/>
              <w:bottom w:val="nil"/>
              <w:right w:val="nil"/>
            </w:tcBorders>
            <w:shd w:val="clear" w:color="auto" w:fill="D9D9D9" w:themeFill="background1" w:themeFillShade="D9"/>
            <w:noWrap/>
            <w:vAlign w:val="bottom"/>
          </w:tcPr>
          <w:p w:rsidR="0041147E" w:rsidRPr="00B5064F" w:rsidRDefault="0041147E" w:rsidP="008F4251">
            <w:pPr>
              <w:jc w:val="right"/>
              <w:rPr>
                <w:rFonts w:eastAsia="Times New Roman" w:cs="Arial"/>
                <w:color w:val="000000"/>
                <w:szCs w:val="20"/>
                <w:lang w:eastAsia="pt-BR"/>
              </w:rPr>
            </w:pPr>
            <w:r w:rsidRPr="00D91263">
              <w:rPr>
                <w:rFonts w:eastAsia="Times New Roman" w:cs="Arial"/>
                <w:color w:val="000000"/>
                <w:szCs w:val="20"/>
                <w:lang w:eastAsia="pt-BR"/>
              </w:rPr>
              <w:t>194</w:t>
            </w:r>
            <w:r>
              <w:rPr>
                <w:rFonts w:eastAsia="Times New Roman" w:cs="Arial"/>
                <w:color w:val="000000"/>
                <w:szCs w:val="20"/>
                <w:lang w:eastAsia="pt-BR"/>
              </w:rPr>
              <w:t>.</w:t>
            </w:r>
            <w:r w:rsidRPr="00D91263">
              <w:rPr>
                <w:rFonts w:eastAsia="Times New Roman" w:cs="Arial"/>
                <w:color w:val="000000"/>
                <w:szCs w:val="20"/>
                <w:lang w:eastAsia="pt-BR"/>
              </w:rPr>
              <w:t>531,61</w:t>
            </w:r>
          </w:p>
        </w:tc>
        <w:tc>
          <w:tcPr>
            <w:tcW w:w="2303" w:type="dxa"/>
            <w:tcBorders>
              <w:top w:val="nil"/>
              <w:left w:val="nil"/>
              <w:bottom w:val="nil"/>
              <w:right w:val="nil"/>
            </w:tcBorders>
            <w:shd w:val="clear" w:color="auto" w:fill="D9D9D9" w:themeFill="background1" w:themeFillShade="D9"/>
            <w:noWrap/>
            <w:vAlign w:val="bottom"/>
          </w:tcPr>
          <w:p w:rsidR="0041147E" w:rsidRPr="00B5064F" w:rsidRDefault="0041147E" w:rsidP="008F4251">
            <w:pPr>
              <w:jc w:val="right"/>
              <w:rPr>
                <w:rFonts w:eastAsia="Times New Roman" w:cs="Arial"/>
                <w:color w:val="000000"/>
                <w:szCs w:val="20"/>
                <w:lang w:eastAsia="pt-BR"/>
              </w:rPr>
            </w:pPr>
            <w:r w:rsidRPr="00D91263">
              <w:rPr>
                <w:rFonts w:eastAsia="Times New Roman" w:cs="Arial"/>
                <w:color w:val="000000"/>
                <w:szCs w:val="20"/>
                <w:lang w:eastAsia="pt-BR"/>
              </w:rPr>
              <w:t>194</w:t>
            </w:r>
            <w:r>
              <w:rPr>
                <w:rFonts w:eastAsia="Times New Roman" w:cs="Arial"/>
                <w:color w:val="000000"/>
                <w:szCs w:val="20"/>
                <w:lang w:eastAsia="pt-BR"/>
              </w:rPr>
              <w:t>.</w:t>
            </w:r>
            <w:r w:rsidRPr="00D91263">
              <w:rPr>
                <w:rFonts w:eastAsia="Times New Roman" w:cs="Arial"/>
                <w:color w:val="000000"/>
                <w:szCs w:val="20"/>
                <w:lang w:eastAsia="pt-BR"/>
              </w:rPr>
              <w:t>531,61</w:t>
            </w:r>
          </w:p>
        </w:tc>
        <w:tc>
          <w:tcPr>
            <w:tcW w:w="2303" w:type="dxa"/>
            <w:tcBorders>
              <w:top w:val="nil"/>
              <w:left w:val="nil"/>
              <w:bottom w:val="nil"/>
              <w:right w:val="nil"/>
            </w:tcBorders>
            <w:shd w:val="clear" w:color="auto" w:fill="D9D9D9" w:themeFill="background1" w:themeFillShade="D9"/>
            <w:noWrap/>
            <w:vAlign w:val="bottom"/>
          </w:tcPr>
          <w:p w:rsidR="0041147E" w:rsidRPr="00B5064F" w:rsidRDefault="0041147E" w:rsidP="008F4251">
            <w:pPr>
              <w:jc w:val="right"/>
              <w:rPr>
                <w:rFonts w:eastAsia="Times New Roman" w:cs="Arial"/>
                <w:color w:val="000000"/>
                <w:szCs w:val="20"/>
                <w:lang w:eastAsia="pt-BR"/>
              </w:rPr>
            </w:pPr>
            <w:r>
              <w:rPr>
                <w:rFonts w:eastAsia="Times New Roman" w:cs="Arial"/>
                <w:color w:val="000000"/>
                <w:szCs w:val="20"/>
                <w:lang w:eastAsia="pt-BR"/>
              </w:rPr>
              <w:t>0</w:t>
            </w:r>
          </w:p>
        </w:tc>
      </w:tr>
      <w:tr w:rsidR="0041147E" w:rsidRPr="00B5064F" w:rsidTr="008F4251">
        <w:trPr>
          <w:trHeight w:val="255"/>
        </w:trPr>
        <w:tc>
          <w:tcPr>
            <w:tcW w:w="2302" w:type="dxa"/>
            <w:tcBorders>
              <w:top w:val="nil"/>
              <w:left w:val="nil"/>
              <w:bottom w:val="nil"/>
              <w:right w:val="nil"/>
            </w:tcBorders>
            <w:shd w:val="clear" w:color="auto" w:fill="auto"/>
            <w:noWrap/>
            <w:vAlign w:val="center"/>
            <w:hideMark/>
          </w:tcPr>
          <w:p w:rsidR="0041147E" w:rsidRPr="00B5064F" w:rsidRDefault="0041147E" w:rsidP="008F4251">
            <w:pPr>
              <w:jc w:val="left"/>
              <w:rPr>
                <w:rFonts w:eastAsia="Times New Roman" w:cs="Arial"/>
                <w:color w:val="000000"/>
                <w:szCs w:val="20"/>
                <w:lang w:eastAsia="pt-BR"/>
              </w:rPr>
            </w:pPr>
            <w:r w:rsidRPr="00B5064F">
              <w:rPr>
                <w:rFonts w:eastAsia="Times New Roman" w:cs="Arial"/>
                <w:color w:val="000000"/>
                <w:szCs w:val="20"/>
                <w:lang w:eastAsia="pt-BR"/>
              </w:rPr>
              <w:t>Demais Bens Móveis</w:t>
            </w:r>
          </w:p>
        </w:tc>
        <w:tc>
          <w:tcPr>
            <w:tcW w:w="2302" w:type="dxa"/>
            <w:tcBorders>
              <w:top w:val="nil"/>
              <w:left w:val="nil"/>
              <w:bottom w:val="nil"/>
              <w:right w:val="nil"/>
            </w:tcBorders>
            <w:shd w:val="clear" w:color="auto" w:fill="auto"/>
            <w:noWrap/>
            <w:vAlign w:val="bottom"/>
          </w:tcPr>
          <w:p w:rsidR="0041147E" w:rsidRPr="00B5064F" w:rsidRDefault="0041147E" w:rsidP="008F4251">
            <w:pPr>
              <w:jc w:val="right"/>
              <w:rPr>
                <w:rFonts w:eastAsia="Times New Roman" w:cs="Arial"/>
                <w:color w:val="000000"/>
                <w:szCs w:val="20"/>
                <w:lang w:eastAsia="pt-BR"/>
              </w:rPr>
            </w:pPr>
            <w:r w:rsidRPr="00B30256">
              <w:rPr>
                <w:rFonts w:eastAsia="Times New Roman" w:cs="Arial"/>
                <w:color w:val="000000"/>
                <w:szCs w:val="20"/>
                <w:lang w:eastAsia="pt-BR"/>
              </w:rPr>
              <w:t>2</w:t>
            </w:r>
            <w:r>
              <w:rPr>
                <w:rFonts w:eastAsia="Times New Roman" w:cs="Arial"/>
                <w:color w:val="000000"/>
                <w:szCs w:val="20"/>
                <w:lang w:eastAsia="pt-BR"/>
              </w:rPr>
              <w:t>.</w:t>
            </w:r>
            <w:r w:rsidRPr="00B30256">
              <w:rPr>
                <w:rFonts w:eastAsia="Times New Roman" w:cs="Arial"/>
                <w:color w:val="000000"/>
                <w:szCs w:val="20"/>
                <w:lang w:eastAsia="pt-BR"/>
              </w:rPr>
              <w:t>409</w:t>
            </w:r>
            <w:r>
              <w:rPr>
                <w:rFonts w:eastAsia="Times New Roman" w:cs="Arial"/>
                <w:color w:val="000000"/>
                <w:szCs w:val="20"/>
                <w:lang w:eastAsia="pt-BR"/>
              </w:rPr>
              <w:t>.</w:t>
            </w:r>
            <w:r w:rsidRPr="00B30256">
              <w:rPr>
                <w:rFonts w:eastAsia="Times New Roman" w:cs="Arial"/>
                <w:color w:val="000000"/>
                <w:szCs w:val="20"/>
                <w:lang w:eastAsia="pt-BR"/>
              </w:rPr>
              <w:t>216,31</w:t>
            </w:r>
          </w:p>
        </w:tc>
        <w:tc>
          <w:tcPr>
            <w:tcW w:w="2303" w:type="dxa"/>
            <w:tcBorders>
              <w:top w:val="nil"/>
              <w:left w:val="nil"/>
              <w:bottom w:val="nil"/>
              <w:right w:val="nil"/>
            </w:tcBorders>
            <w:shd w:val="clear" w:color="auto" w:fill="auto"/>
            <w:noWrap/>
            <w:vAlign w:val="bottom"/>
          </w:tcPr>
          <w:p w:rsidR="0041147E" w:rsidRPr="00B5064F" w:rsidRDefault="0041147E" w:rsidP="008F4251">
            <w:pPr>
              <w:jc w:val="right"/>
              <w:rPr>
                <w:rFonts w:eastAsia="Times New Roman" w:cs="Arial"/>
                <w:color w:val="000000"/>
                <w:szCs w:val="20"/>
                <w:lang w:eastAsia="pt-BR"/>
              </w:rPr>
            </w:pPr>
            <w:r w:rsidRPr="00D06DC5">
              <w:rPr>
                <w:rFonts w:eastAsia="Times New Roman" w:cs="Arial"/>
                <w:color w:val="000000"/>
                <w:szCs w:val="20"/>
                <w:lang w:eastAsia="pt-BR"/>
              </w:rPr>
              <w:t>146</w:t>
            </w:r>
            <w:r>
              <w:rPr>
                <w:rFonts w:eastAsia="Times New Roman" w:cs="Arial"/>
                <w:color w:val="000000"/>
                <w:szCs w:val="20"/>
                <w:lang w:eastAsia="pt-BR"/>
              </w:rPr>
              <w:t>.</w:t>
            </w:r>
            <w:r w:rsidRPr="00D06DC5">
              <w:rPr>
                <w:rFonts w:eastAsia="Times New Roman" w:cs="Arial"/>
                <w:color w:val="000000"/>
                <w:szCs w:val="20"/>
                <w:lang w:eastAsia="pt-BR"/>
              </w:rPr>
              <w:t>240,14</w:t>
            </w:r>
          </w:p>
        </w:tc>
        <w:tc>
          <w:tcPr>
            <w:tcW w:w="2303" w:type="dxa"/>
            <w:tcBorders>
              <w:top w:val="nil"/>
              <w:left w:val="nil"/>
              <w:bottom w:val="nil"/>
              <w:right w:val="nil"/>
            </w:tcBorders>
            <w:shd w:val="clear" w:color="auto" w:fill="auto"/>
            <w:noWrap/>
            <w:vAlign w:val="bottom"/>
            <w:hideMark/>
          </w:tcPr>
          <w:p w:rsidR="0041147E" w:rsidRPr="00B5064F" w:rsidRDefault="0041147E" w:rsidP="008F4251">
            <w:pPr>
              <w:jc w:val="right"/>
              <w:rPr>
                <w:rFonts w:eastAsia="Times New Roman" w:cs="Arial"/>
                <w:color w:val="000000"/>
                <w:szCs w:val="20"/>
                <w:lang w:eastAsia="pt-BR"/>
              </w:rPr>
            </w:pPr>
            <w:r>
              <w:rPr>
                <w:rFonts w:eastAsia="Times New Roman" w:cs="Arial"/>
                <w:color w:val="000000"/>
                <w:szCs w:val="20"/>
                <w:lang w:eastAsia="pt-BR"/>
              </w:rPr>
              <w:t>1547,44</w:t>
            </w:r>
          </w:p>
        </w:tc>
      </w:tr>
      <w:tr w:rsidR="0041147E" w:rsidRPr="00B5064F" w:rsidTr="008F4251">
        <w:trPr>
          <w:trHeight w:val="255"/>
        </w:trPr>
        <w:tc>
          <w:tcPr>
            <w:tcW w:w="2302" w:type="dxa"/>
            <w:tcBorders>
              <w:top w:val="nil"/>
              <w:left w:val="nil"/>
              <w:bottom w:val="nil"/>
              <w:right w:val="nil"/>
            </w:tcBorders>
            <w:shd w:val="clear" w:color="auto" w:fill="D9D9D9" w:themeFill="background1" w:themeFillShade="D9"/>
            <w:noWrap/>
            <w:vAlign w:val="center"/>
            <w:hideMark/>
          </w:tcPr>
          <w:p w:rsidR="0041147E" w:rsidRPr="00B5064F" w:rsidRDefault="0041147E" w:rsidP="008F4251">
            <w:pPr>
              <w:jc w:val="left"/>
              <w:rPr>
                <w:rFonts w:eastAsia="Times New Roman" w:cs="Arial"/>
                <w:color w:val="000000"/>
                <w:szCs w:val="20"/>
                <w:lang w:eastAsia="pt-BR"/>
              </w:rPr>
            </w:pPr>
            <w:r w:rsidRPr="00B5064F">
              <w:rPr>
                <w:rFonts w:eastAsia="Times New Roman" w:cs="Arial"/>
                <w:color w:val="000000"/>
                <w:szCs w:val="20"/>
                <w:lang w:eastAsia="pt-BR"/>
              </w:rPr>
              <w:t>Depreciação Acumulada - Bens Móveis</w:t>
            </w:r>
          </w:p>
        </w:tc>
        <w:tc>
          <w:tcPr>
            <w:tcW w:w="2302" w:type="dxa"/>
            <w:tcBorders>
              <w:top w:val="nil"/>
              <w:left w:val="nil"/>
              <w:bottom w:val="nil"/>
              <w:right w:val="nil"/>
            </w:tcBorders>
            <w:shd w:val="clear" w:color="auto" w:fill="D9D9D9" w:themeFill="background1" w:themeFillShade="D9"/>
            <w:noWrap/>
            <w:vAlign w:val="bottom"/>
            <w:hideMark/>
          </w:tcPr>
          <w:p w:rsidR="0041147E" w:rsidRPr="00B30256" w:rsidRDefault="0041147E" w:rsidP="008F4251">
            <w:pPr>
              <w:jc w:val="right"/>
              <w:rPr>
                <w:rFonts w:cs="Arial"/>
                <w:color w:val="000000"/>
                <w:szCs w:val="20"/>
              </w:rPr>
            </w:pPr>
            <w:r>
              <w:rPr>
                <w:rFonts w:cs="Arial"/>
                <w:color w:val="000000"/>
                <w:szCs w:val="20"/>
              </w:rPr>
              <w:t>-28.037.355,66</w:t>
            </w:r>
          </w:p>
        </w:tc>
        <w:tc>
          <w:tcPr>
            <w:tcW w:w="2303" w:type="dxa"/>
            <w:tcBorders>
              <w:top w:val="nil"/>
              <w:left w:val="nil"/>
              <w:bottom w:val="nil"/>
              <w:right w:val="nil"/>
            </w:tcBorders>
            <w:shd w:val="clear" w:color="auto" w:fill="D9D9D9" w:themeFill="background1" w:themeFillShade="D9"/>
            <w:noWrap/>
            <w:vAlign w:val="bottom"/>
            <w:hideMark/>
          </w:tcPr>
          <w:p w:rsidR="0041147E" w:rsidRPr="00B5064F" w:rsidRDefault="0041147E" w:rsidP="008F4251">
            <w:pPr>
              <w:jc w:val="right"/>
              <w:rPr>
                <w:rFonts w:eastAsia="Times New Roman" w:cs="Arial"/>
                <w:color w:val="000000"/>
                <w:szCs w:val="20"/>
                <w:lang w:eastAsia="pt-BR"/>
              </w:rPr>
            </w:pPr>
            <w:r>
              <w:rPr>
                <w:rFonts w:eastAsia="Times New Roman" w:cs="Arial"/>
                <w:color w:val="000000"/>
                <w:szCs w:val="20"/>
                <w:lang w:eastAsia="pt-BR"/>
              </w:rPr>
              <w:t>-</w:t>
            </w:r>
            <w:r w:rsidRPr="00D06DC5">
              <w:rPr>
                <w:rFonts w:eastAsia="Times New Roman" w:cs="Arial"/>
                <w:color w:val="000000"/>
                <w:szCs w:val="20"/>
                <w:lang w:eastAsia="pt-BR"/>
              </w:rPr>
              <w:t>22</w:t>
            </w:r>
            <w:r>
              <w:rPr>
                <w:rFonts w:eastAsia="Times New Roman" w:cs="Arial"/>
                <w:color w:val="000000"/>
                <w:szCs w:val="20"/>
                <w:lang w:eastAsia="pt-BR"/>
              </w:rPr>
              <w:t>.</w:t>
            </w:r>
            <w:r w:rsidRPr="00D06DC5">
              <w:rPr>
                <w:rFonts w:eastAsia="Times New Roman" w:cs="Arial"/>
                <w:color w:val="000000"/>
                <w:szCs w:val="20"/>
                <w:lang w:eastAsia="pt-BR"/>
              </w:rPr>
              <w:t>829</w:t>
            </w:r>
            <w:r>
              <w:rPr>
                <w:rFonts w:eastAsia="Times New Roman" w:cs="Arial"/>
                <w:color w:val="000000"/>
                <w:szCs w:val="20"/>
                <w:lang w:eastAsia="pt-BR"/>
              </w:rPr>
              <w:t>.</w:t>
            </w:r>
            <w:r w:rsidRPr="00D06DC5">
              <w:rPr>
                <w:rFonts w:eastAsia="Times New Roman" w:cs="Arial"/>
                <w:color w:val="000000"/>
                <w:szCs w:val="20"/>
                <w:lang w:eastAsia="pt-BR"/>
              </w:rPr>
              <w:t>728,05</w:t>
            </w:r>
          </w:p>
        </w:tc>
        <w:tc>
          <w:tcPr>
            <w:tcW w:w="2303" w:type="dxa"/>
            <w:tcBorders>
              <w:top w:val="nil"/>
              <w:left w:val="nil"/>
              <w:bottom w:val="nil"/>
              <w:right w:val="nil"/>
            </w:tcBorders>
            <w:shd w:val="clear" w:color="auto" w:fill="D9D9D9" w:themeFill="background1" w:themeFillShade="D9"/>
            <w:noWrap/>
            <w:vAlign w:val="bottom"/>
            <w:hideMark/>
          </w:tcPr>
          <w:p w:rsidR="0041147E" w:rsidRPr="00B5064F" w:rsidRDefault="0041147E" w:rsidP="008F4251">
            <w:pPr>
              <w:jc w:val="right"/>
              <w:rPr>
                <w:rFonts w:eastAsia="Times New Roman" w:cs="Arial"/>
                <w:color w:val="000000"/>
                <w:szCs w:val="20"/>
                <w:lang w:eastAsia="pt-BR"/>
              </w:rPr>
            </w:pPr>
            <w:r>
              <w:rPr>
                <w:rFonts w:eastAsia="Times New Roman" w:cs="Arial"/>
                <w:color w:val="000000"/>
                <w:szCs w:val="20"/>
                <w:lang w:eastAsia="pt-BR"/>
              </w:rPr>
              <w:t>22,81</w:t>
            </w:r>
          </w:p>
        </w:tc>
      </w:tr>
      <w:tr w:rsidR="0041147E" w:rsidRPr="00B30256" w:rsidTr="008F4251">
        <w:trPr>
          <w:trHeight w:val="255"/>
        </w:trPr>
        <w:tc>
          <w:tcPr>
            <w:tcW w:w="2302" w:type="dxa"/>
            <w:tcBorders>
              <w:top w:val="nil"/>
              <w:left w:val="nil"/>
              <w:bottom w:val="single" w:sz="4" w:space="0" w:color="000000"/>
              <w:right w:val="nil"/>
            </w:tcBorders>
            <w:shd w:val="clear" w:color="auto" w:fill="auto"/>
            <w:noWrap/>
            <w:vAlign w:val="bottom"/>
            <w:hideMark/>
          </w:tcPr>
          <w:p w:rsidR="0041147E" w:rsidRPr="00B30256" w:rsidRDefault="0041147E" w:rsidP="008F4251">
            <w:pPr>
              <w:jc w:val="left"/>
              <w:rPr>
                <w:rFonts w:eastAsia="Times New Roman" w:cs="Arial"/>
                <w:b/>
                <w:bCs/>
                <w:color w:val="000000"/>
                <w:szCs w:val="20"/>
                <w:lang w:eastAsia="pt-BR"/>
              </w:rPr>
            </w:pPr>
            <w:r w:rsidRPr="00B30256">
              <w:rPr>
                <w:rFonts w:eastAsia="Times New Roman" w:cs="Arial"/>
                <w:b/>
                <w:bCs/>
                <w:color w:val="000000"/>
                <w:szCs w:val="20"/>
                <w:lang w:eastAsia="pt-BR"/>
              </w:rPr>
              <w:t>Total Geral</w:t>
            </w:r>
          </w:p>
        </w:tc>
        <w:tc>
          <w:tcPr>
            <w:tcW w:w="2302" w:type="dxa"/>
            <w:tcBorders>
              <w:top w:val="nil"/>
              <w:left w:val="nil"/>
              <w:bottom w:val="single" w:sz="4" w:space="0" w:color="000000"/>
              <w:right w:val="nil"/>
            </w:tcBorders>
            <w:shd w:val="clear" w:color="auto" w:fill="auto"/>
            <w:noWrap/>
            <w:vAlign w:val="bottom"/>
          </w:tcPr>
          <w:p w:rsidR="0041147E" w:rsidRPr="00B30256" w:rsidRDefault="0041147E" w:rsidP="008F4251">
            <w:pPr>
              <w:jc w:val="right"/>
              <w:rPr>
                <w:rFonts w:cs="Arial"/>
                <w:b/>
                <w:color w:val="000000"/>
                <w:szCs w:val="20"/>
              </w:rPr>
            </w:pPr>
            <w:r>
              <w:rPr>
                <w:rFonts w:cs="Arial"/>
                <w:b/>
                <w:color w:val="000000"/>
                <w:szCs w:val="20"/>
              </w:rPr>
              <w:t>75</w:t>
            </w:r>
            <w:r w:rsidRPr="00B30256">
              <w:rPr>
                <w:rFonts w:cs="Arial"/>
                <w:b/>
                <w:color w:val="000000"/>
                <w:szCs w:val="20"/>
              </w:rPr>
              <w:t>.</w:t>
            </w:r>
            <w:r>
              <w:rPr>
                <w:rFonts w:cs="Arial"/>
                <w:b/>
                <w:color w:val="000000"/>
                <w:szCs w:val="20"/>
              </w:rPr>
              <w:t>570</w:t>
            </w:r>
            <w:r w:rsidRPr="00B30256">
              <w:rPr>
                <w:rFonts w:cs="Arial"/>
                <w:b/>
                <w:color w:val="000000"/>
                <w:szCs w:val="20"/>
              </w:rPr>
              <w:t>.</w:t>
            </w:r>
            <w:r>
              <w:rPr>
                <w:rFonts w:cs="Arial"/>
                <w:b/>
                <w:color w:val="000000"/>
                <w:szCs w:val="20"/>
              </w:rPr>
              <w:t>379</w:t>
            </w:r>
            <w:r w:rsidRPr="00B30256">
              <w:rPr>
                <w:rFonts w:cs="Arial"/>
                <w:b/>
                <w:color w:val="000000"/>
                <w:szCs w:val="20"/>
              </w:rPr>
              <w:t>,</w:t>
            </w:r>
            <w:r>
              <w:rPr>
                <w:rFonts w:cs="Arial"/>
                <w:b/>
                <w:color w:val="000000"/>
                <w:szCs w:val="20"/>
              </w:rPr>
              <w:t>40</w:t>
            </w:r>
          </w:p>
        </w:tc>
        <w:tc>
          <w:tcPr>
            <w:tcW w:w="2303" w:type="dxa"/>
            <w:tcBorders>
              <w:top w:val="nil"/>
              <w:left w:val="nil"/>
              <w:bottom w:val="single" w:sz="4" w:space="0" w:color="000000"/>
              <w:right w:val="nil"/>
            </w:tcBorders>
            <w:shd w:val="clear" w:color="auto" w:fill="auto"/>
            <w:noWrap/>
            <w:vAlign w:val="bottom"/>
          </w:tcPr>
          <w:p w:rsidR="0041147E" w:rsidRPr="00B30256" w:rsidRDefault="0041147E" w:rsidP="008F4251">
            <w:pPr>
              <w:jc w:val="right"/>
              <w:rPr>
                <w:rFonts w:cs="Arial"/>
                <w:b/>
                <w:color w:val="000000"/>
                <w:szCs w:val="20"/>
              </w:rPr>
            </w:pPr>
            <w:r w:rsidRPr="00B30256">
              <w:rPr>
                <w:rFonts w:cs="Arial"/>
                <w:b/>
                <w:color w:val="000000"/>
                <w:szCs w:val="20"/>
              </w:rPr>
              <w:t>66.208.753,82</w:t>
            </w:r>
          </w:p>
        </w:tc>
        <w:tc>
          <w:tcPr>
            <w:tcW w:w="2303" w:type="dxa"/>
            <w:tcBorders>
              <w:top w:val="nil"/>
              <w:left w:val="nil"/>
              <w:bottom w:val="single" w:sz="4" w:space="0" w:color="000000"/>
              <w:right w:val="nil"/>
            </w:tcBorders>
            <w:shd w:val="clear" w:color="auto" w:fill="auto"/>
            <w:noWrap/>
            <w:vAlign w:val="bottom"/>
            <w:hideMark/>
          </w:tcPr>
          <w:p w:rsidR="0041147E" w:rsidRPr="00B30256" w:rsidRDefault="0041147E" w:rsidP="008F4251">
            <w:pPr>
              <w:jc w:val="right"/>
              <w:rPr>
                <w:rFonts w:eastAsia="Times New Roman" w:cs="Arial"/>
                <w:b/>
                <w:color w:val="000000"/>
                <w:szCs w:val="20"/>
                <w:lang w:eastAsia="pt-BR"/>
              </w:rPr>
            </w:pPr>
            <w:r>
              <w:rPr>
                <w:rFonts w:eastAsia="Times New Roman" w:cs="Arial"/>
                <w:b/>
                <w:color w:val="000000"/>
                <w:szCs w:val="20"/>
                <w:lang w:eastAsia="pt-BR"/>
              </w:rPr>
              <w:t>14</w:t>
            </w:r>
            <w:r w:rsidRPr="00B30256">
              <w:rPr>
                <w:rFonts w:eastAsia="Times New Roman" w:cs="Arial"/>
                <w:b/>
                <w:color w:val="000000"/>
                <w:szCs w:val="20"/>
                <w:lang w:eastAsia="pt-BR"/>
              </w:rPr>
              <w:t>,</w:t>
            </w:r>
            <w:r>
              <w:rPr>
                <w:rFonts w:eastAsia="Times New Roman" w:cs="Arial"/>
                <w:b/>
                <w:color w:val="000000"/>
                <w:szCs w:val="20"/>
                <w:lang w:eastAsia="pt-BR"/>
              </w:rPr>
              <w:t>14</w:t>
            </w:r>
          </w:p>
        </w:tc>
      </w:tr>
    </w:tbl>
    <w:p w:rsidR="0041147E" w:rsidRPr="00B5064F" w:rsidRDefault="0041147E" w:rsidP="0041147E">
      <w:pPr>
        <w:jc w:val="left"/>
        <w:rPr>
          <w:rFonts w:cs="Arial"/>
          <w:i/>
          <w:szCs w:val="20"/>
        </w:rPr>
      </w:pPr>
      <w:r w:rsidRPr="00B5064F">
        <w:rPr>
          <w:rFonts w:cs="Arial"/>
          <w:i/>
          <w:szCs w:val="20"/>
        </w:rPr>
        <w:t>Fonte: SIAFI, 201</w:t>
      </w:r>
      <w:r>
        <w:rPr>
          <w:rFonts w:cs="Arial"/>
          <w:i/>
          <w:szCs w:val="20"/>
        </w:rPr>
        <w:t>9</w:t>
      </w:r>
      <w:r w:rsidRPr="00B5064F">
        <w:rPr>
          <w:rFonts w:cs="Arial"/>
          <w:i/>
          <w:szCs w:val="20"/>
        </w:rPr>
        <w:t xml:space="preserve"> e 201</w:t>
      </w:r>
      <w:r>
        <w:rPr>
          <w:rFonts w:cs="Arial"/>
          <w:i/>
          <w:szCs w:val="20"/>
        </w:rPr>
        <w:t>8</w:t>
      </w:r>
      <w:r w:rsidRPr="00B5064F">
        <w:rPr>
          <w:rFonts w:cs="Arial"/>
          <w:i/>
          <w:szCs w:val="20"/>
        </w:rPr>
        <w:t>.</w:t>
      </w:r>
    </w:p>
    <w:p w:rsidR="0041147E" w:rsidRPr="0037110A" w:rsidRDefault="0041147E" w:rsidP="0041147E">
      <w:pPr>
        <w:rPr>
          <w:rFonts w:cs="Arial"/>
          <w:sz w:val="22"/>
        </w:rPr>
      </w:pPr>
    </w:p>
    <w:p w:rsidR="0041147E" w:rsidRDefault="0041147E" w:rsidP="0041147E">
      <w:pPr>
        <w:rPr>
          <w:rFonts w:cs="Arial"/>
          <w:sz w:val="22"/>
        </w:rPr>
      </w:pPr>
      <w:r w:rsidRPr="0037110A">
        <w:rPr>
          <w:rFonts w:cs="Arial"/>
          <w:sz w:val="22"/>
        </w:rPr>
        <w:t>Os Bens Móveis estão distribuídos para uso em diversas localidades. Além da sede</w:t>
      </w:r>
      <w:r>
        <w:rPr>
          <w:rFonts w:cs="Arial"/>
          <w:sz w:val="22"/>
        </w:rPr>
        <w:t xml:space="preserve">, </w:t>
      </w:r>
      <w:r w:rsidRPr="0037110A">
        <w:rPr>
          <w:rFonts w:cs="Arial"/>
          <w:sz w:val="22"/>
        </w:rPr>
        <w:t>em Brasília (DF)</w:t>
      </w:r>
      <w:r>
        <w:rPr>
          <w:rFonts w:cs="Arial"/>
          <w:sz w:val="22"/>
        </w:rPr>
        <w:t xml:space="preserve"> e do Escritório central no Rio de Janeiro/RJ</w:t>
      </w:r>
      <w:r w:rsidRPr="0037110A">
        <w:rPr>
          <w:rFonts w:cs="Arial"/>
          <w:sz w:val="22"/>
        </w:rPr>
        <w:t>, a AN</w:t>
      </w:r>
      <w:r>
        <w:rPr>
          <w:rFonts w:cs="Arial"/>
          <w:sz w:val="22"/>
        </w:rPr>
        <w:t>P possui r</w:t>
      </w:r>
      <w:r w:rsidRPr="0037110A">
        <w:rPr>
          <w:rFonts w:cs="Arial"/>
          <w:sz w:val="22"/>
        </w:rPr>
        <w:t xml:space="preserve">epresentações Regionais </w:t>
      </w:r>
      <w:r>
        <w:rPr>
          <w:rFonts w:cs="Arial"/>
          <w:sz w:val="22"/>
        </w:rPr>
        <w:t xml:space="preserve">em </w:t>
      </w:r>
      <w:r w:rsidRPr="0037110A">
        <w:rPr>
          <w:rFonts w:cs="Arial"/>
          <w:sz w:val="22"/>
        </w:rPr>
        <w:t>São Paulo</w:t>
      </w:r>
      <w:r>
        <w:rPr>
          <w:rFonts w:cs="Arial"/>
          <w:sz w:val="22"/>
        </w:rPr>
        <w:t>/</w:t>
      </w:r>
      <w:r w:rsidRPr="0037110A">
        <w:rPr>
          <w:rFonts w:cs="Arial"/>
          <w:sz w:val="22"/>
        </w:rPr>
        <w:t>SP</w:t>
      </w:r>
      <w:r>
        <w:rPr>
          <w:rFonts w:cs="Arial"/>
          <w:sz w:val="22"/>
        </w:rPr>
        <w:t>, Salvador/BA, Porto Alegre/RS, Belo Horizonte/MG</w:t>
      </w:r>
      <w:r w:rsidRPr="0037110A">
        <w:rPr>
          <w:rFonts w:cs="Arial"/>
          <w:sz w:val="22"/>
        </w:rPr>
        <w:t xml:space="preserve"> e </w:t>
      </w:r>
      <w:r>
        <w:rPr>
          <w:rFonts w:cs="Arial"/>
          <w:sz w:val="22"/>
        </w:rPr>
        <w:t>Manaus/AM</w:t>
      </w:r>
      <w:r w:rsidRPr="0037110A">
        <w:rPr>
          <w:rFonts w:cs="Arial"/>
          <w:sz w:val="22"/>
        </w:rPr>
        <w:t xml:space="preserve">. </w:t>
      </w:r>
    </w:p>
    <w:p w:rsidR="0041147E" w:rsidRDefault="0041147E" w:rsidP="0041147E">
      <w:pPr>
        <w:rPr>
          <w:rFonts w:cs="Arial"/>
          <w:sz w:val="22"/>
        </w:rPr>
      </w:pPr>
    </w:p>
    <w:p w:rsidR="0041147E" w:rsidRDefault="0041147E" w:rsidP="0041147E">
      <w:pPr>
        <w:rPr>
          <w:rFonts w:cs="Arial"/>
          <w:sz w:val="22"/>
        </w:rPr>
      </w:pPr>
      <w:r>
        <w:rPr>
          <w:rFonts w:cs="Arial"/>
          <w:sz w:val="22"/>
        </w:rPr>
        <w:t>A partir da disponibilização dos bens para uso, o</w:t>
      </w:r>
      <w:r w:rsidRPr="0037110A">
        <w:rPr>
          <w:rFonts w:cs="Arial"/>
          <w:sz w:val="22"/>
        </w:rPr>
        <w:t xml:space="preserve"> método de depreciação </w:t>
      </w:r>
      <w:r>
        <w:rPr>
          <w:rFonts w:cs="Arial"/>
          <w:sz w:val="22"/>
        </w:rPr>
        <w:t>empregado</w:t>
      </w:r>
      <w:r w:rsidRPr="0037110A">
        <w:rPr>
          <w:rFonts w:cs="Arial"/>
          <w:sz w:val="22"/>
        </w:rPr>
        <w:t xml:space="preserve"> é o de cotas constantes, tendo como referência a vida útil e o valor residual definido</w:t>
      </w:r>
      <w:r>
        <w:rPr>
          <w:rFonts w:cs="Arial"/>
          <w:sz w:val="22"/>
        </w:rPr>
        <w:t>s</w:t>
      </w:r>
      <w:r w:rsidRPr="0037110A">
        <w:rPr>
          <w:rFonts w:cs="Arial"/>
          <w:sz w:val="22"/>
        </w:rPr>
        <w:t xml:space="preserve"> para cada classificação contábil</w:t>
      </w:r>
      <w:r>
        <w:rPr>
          <w:rFonts w:cs="Arial"/>
          <w:sz w:val="22"/>
        </w:rPr>
        <w:t>, conforme tabela a seguir:</w:t>
      </w:r>
    </w:p>
    <w:p w:rsidR="0041147E" w:rsidRDefault="0041147E" w:rsidP="0041147E">
      <w:pPr>
        <w:rPr>
          <w:rFonts w:cs="Arial"/>
          <w:sz w:val="22"/>
        </w:rPr>
      </w:pPr>
    </w:p>
    <w:p w:rsidR="0041147E" w:rsidRDefault="0041147E" w:rsidP="0041147E">
      <w:pPr>
        <w:rPr>
          <w:rFonts w:cs="Arial"/>
          <w:sz w:val="22"/>
        </w:rPr>
      </w:pPr>
      <w:r w:rsidRPr="00E65DFE">
        <w:rPr>
          <w:rFonts w:cs="Arial"/>
          <w:b/>
          <w:sz w:val="22"/>
        </w:rPr>
        <w:lastRenderedPageBreak/>
        <w:t xml:space="preserve">Tabela </w:t>
      </w:r>
      <w:r>
        <w:rPr>
          <w:rFonts w:cs="Arial"/>
          <w:b/>
          <w:sz w:val="22"/>
        </w:rPr>
        <w:t xml:space="preserve">7 </w:t>
      </w:r>
      <w:r w:rsidRPr="0037110A">
        <w:rPr>
          <w:rFonts w:cs="Arial"/>
          <w:b/>
          <w:sz w:val="22"/>
        </w:rPr>
        <w:t xml:space="preserve">– Bens </w:t>
      </w:r>
      <w:r>
        <w:rPr>
          <w:rFonts w:cs="Arial"/>
          <w:b/>
          <w:sz w:val="22"/>
        </w:rPr>
        <w:t>Móveis</w:t>
      </w:r>
      <w:r w:rsidRPr="0037110A">
        <w:rPr>
          <w:rFonts w:cs="Arial"/>
          <w:b/>
          <w:sz w:val="22"/>
        </w:rPr>
        <w:t xml:space="preserve"> </w:t>
      </w:r>
      <w:r>
        <w:rPr>
          <w:rFonts w:cs="Arial"/>
          <w:b/>
          <w:sz w:val="22"/>
        </w:rPr>
        <w:t>–</w:t>
      </w:r>
      <w:r w:rsidRPr="0037110A">
        <w:rPr>
          <w:rFonts w:cs="Arial"/>
          <w:b/>
          <w:sz w:val="22"/>
        </w:rPr>
        <w:t xml:space="preserve"> </w:t>
      </w:r>
      <w:r>
        <w:rPr>
          <w:rFonts w:cs="Arial"/>
          <w:b/>
          <w:sz w:val="22"/>
        </w:rPr>
        <w:t>Vida Útil e Valor Residual.</w:t>
      </w:r>
    </w:p>
    <w:p w:rsidR="0041147E" w:rsidRDefault="0041147E" w:rsidP="0041147E">
      <w:pPr>
        <w:rPr>
          <w:rFonts w:cs="Arial"/>
          <w:sz w:val="22"/>
        </w:rPr>
      </w:pPr>
    </w:p>
    <w:tbl>
      <w:tblPr>
        <w:tblW w:w="9095" w:type="dxa"/>
        <w:tblCellMar>
          <w:left w:w="70" w:type="dxa"/>
          <w:right w:w="70" w:type="dxa"/>
        </w:tblCellMar>
        <w:tblLook w:val="04A0" w:firstRow="1" w:lastRow="0" w:firstColumn="1" w:lastColumn="0" w:noHBand="0" w:noVBand="1"/>
      </w:tblPr>
      <w:tblGrid>
        <w:gridCol w:w="4888"/>
        <w:gridCol w:w="1950"/>
        <w:gridCol w:w="2257"/>
      </w:tblGrid>
      <w:tr w:rsidR="0041147E" w:rsidRPr="001A0BCE" w:rsidTr="008F4251">
        <w:trPr>
          <w:trHeight w:val="258"/>
        </w:trPr>
        <w:tc>
          <w:tcPr>
            <w:tcW w:w="4888" w:type="dxa"/>
            <w:tcBorders>
              <w:top w:val="single" w:sz="4" w:space="0" w:color="000000"/>
              <w:left w:val="nil"/>
              <w:bottom w:val="single" w:sz="4" w:space="0" w:color="000000"/>
              <w:right w:val="nil"/>
            </w:tcBorders>
            <w:shd w:val="clear" w:color="auto" w:fill="auto"/>
            <w:noWrap/>
            <w:vAlign w:val="bottom"/>
            <w:hideMark/>
          </w:tcPr>
          <w:p w:rsidR="0041147E" w:rsidRPr="001A0BCE" w:rsidRDefault="0041147E" w:rsidP="008F4251">
            <w:pPr>
              <w:jc w:val="center"/>
              <w:rPr>
                <w:rFonts w:eastAsia="Times New Roman" w:cs="Arial"/>
                <w:b/>
                <w:bCs/>
                <w:color w:val="000000"/>
                <w:szCs w:val="20"/>
                <w:lang w:eastAsia="pt-BR"/>
              </w:rPr>
            </w:pPr>
          </w:p>
        </w:tc>
        <w:tc>
          <w:tcPr>
            <w:tcW w:w="1950" w:type="dxa"/>
            <w:tcBorders>
              <w:top w:val="single" w:sz="4" w:space="0" w:color="000000"/>
              <w:left w:val="nil"/>
              <w:bottom w:val="single" w:sz="4" w:space="0" w:color="000000"/>
              <w:right w:val="nil"/>
            </w:tcBorders>
            <w:shd w:val="clear" w:color="auto" w:fill="auto"/>
            <w:vAlign w:val="bottom"/>
            <w:hideMark/>
          </w:tcPr>
          <w:p w:rsidR="0041147E" w:rsidRPr="001A0BCE" w:rsidRDefault="0041147E" w:rsidP="008F4251">
            <w:pPr>
              <w:jc w:val="right"/>
              <w:rPr>
                <w:rFonts w:eastAsia="Times New Roman" w:cs="Arial"/>
                <w:b/>
                <w:bCs/>
                <w:color w:val="000000"/>
                <w:szCs w:val="20"/>
                <w:lang w:eastAsia="pt-BR"/>
              </w:rPr>
            </w:pPr>
            <w:r w:rsidRPr="001A0BCE">
              <w:rPr>
                <w:rFonts w:eastAsia="Times New Roman" w:cs="Arial"/>
                <w:b/>
                <w:bCs/>
                <w:color w:val="000000"/>
                <w:szCs w:val="20"/>
                <w:lang w:eastAsia="pt-BR"/>
              </w:rPr>
              <w:t>Vida Útil (anos)</w:t>
            </w:r>
          </w:p>
        </w:tc>
        <w:tc>
          <w:tcPr>
            <w:tcW w:w="2257" w:type="dxa"/>
            <w:tcBorders>
              <w:top w:val="single" w:sz="4" w:space="0" w:color="000000"/>
              <w:left w:val="nil"/>
              <w:bottom w:val="single" w:sz="4" w:space="0" w:color="000000"/>
              <w:right w:val="nil"/>
            </w:tcBorders>
            <w:shd w:val="clear" w:color="auto" w:fill="auto"/>
            <w:vAlign w:val="bottom"/>
            <w:hideMark/>
          </w:tcPr>
          <w:p w:rsidR="0041147E" w:rsidRPr="001A0BCE" w:rsidRDefault="0041147E" w:rsidP="008F4251">
            <w:pPr>
              <w:jc w:val="right"/>
              <w:rPr>
                <w:rFonts w:eastAsia="Times New Roman" w:cs="Arial"/>
                <w:b/>
                <w:bCs/>
                <w:color w:val="000000"/>
                <w:szCs w:val="20"/>
                <w:lang w:eastAsia="pt-BR"/>
              </w:rPr>
            </w:pPr>
            <w:r w:rsidRPr="001A0BCE">
              <w:rPr>
                <w:rFonts w:eastAsia="Times New Roman" w:cs="Arial"/>
                <w:b/>
                <w:bCs/>
                <w:color w:val="000000"/>
                <w:szCs w:val="20"/>
                <w:lang w:eastAsia="pt-BR"/>
              </w:rPr>
              <w:t>Valor Residual (%)</w:t>
            </w:r>
          </w:p>
        </w:tc>
      </w:tr>
      <w:tr w:rsidR="0041147E" w:rsidRPr="001A0BCE" w:rsidTr="008F4251">
        <w:trPr>
          <w:trHeight w:val="258"/>
        </w:trPr>
        <w:tc>
          <w:tcPr>
            <w:tcW w:w="4888" w:type="dxa"/>
            <w:tcBorders>
              <w:top w:val="nil"/>
              <w:left w:val="nil"/>
              <w:bottom w:val="nil"/>
              <w:right w:val="nil"/>
            </w:tcBorders>
            <w:shd w:val="clear" w:color="000000" w:fill="D9D9D9"/>
            <w:vAlign w:val="center"/>
            <w:hideMark/>
          </w:tcPr>
          <w:p w:rsidR="0041147E" w:rsidRPr="001A0BCE" w:rsidRDefault="0041147E" w:rsidP="008F4251">
            <w:pPr>
              <w:jc w:val="left"/>
              <w:rPr>
                <w:rFonts w:eastAsia="Times New Roman" w:cs="Arial"/>
                <w:color w:val="000000"/>
                <w:szCs w:val="20"/>
                <w:lang w:eastAsia="pt-BR"/>
              </w:rPr>
            </w:pPr>
            <w:r w:rsidRPr="001A0BCE">
              <w:rPr>
                <w:rFonts w:eastAsia="Times New Roman" w:cs="Arial"/>
                <w:color w:val="000000"/>
                <w:szCs w:val="20"/>
                <w:lang w:eastAsia="pt-BR"/>
              </w:rPr>
              <w:t>Aparelhos de medição e orientação</w:t>
            </w:r>
          </w:p>
        </w:tc>
        <w:tc>
          <w:tcPr>
            <w:tcW w:w="1950" w:type="dxa"/>
            <w:tcBorders>
              <w:top w:val="nil"/>
              <w:left w:val="nil"/>
              <w:bottom w:val="nil"/>
              <w:right w:val="nil"/>
            </w:tcBorders>
            <w:shd w:val="clear" w:color="D9D9D9" w:fill="D9D9D9"/>
            <w:noWrap/>
            <w:vAlign w:val="bottom"/>
            <w:hideMark/>
          </w:tcPr>
          <w:p w:rsidR="0041147E" w:rsidRPr="001A0BCE" w:rsidRDefault="0041147E" w:rsidP="008F4251">
            <w:pPr>
              <w:jc w:val="right"/>
              <w:rPr>
                <w:rFonts w:eastAsia="Times New Roman" w:cs="Arial"/>
                <w:color w:val="000000"/>
                <w:szCs w:val="20"/>
                <w:lang w:eastAsia="pt-BR"/>
              </w:rPr>
            </w:pPr>
            <w:r w:rsidRPr="001A0BCE">
              <w:rPr>
                <w:rFonts w:eastAsia="Times New Roman" w:cs="Arial"/>
                <w:color w:val="000000"/>
                <w:szCs w:val="20"/>
                <w:lang w:eastAsia="pt-BR"/>
              </w:rPr>
              <w:t>15</w:t>
            </w:r>
          </w:p>
        </w:tc>
        <w:tc>
          <w:tcPr>
            <w:tcW w:w="2257" w:type="dxa"/>
            <w:tcBorders>
              <w:top w:val="nil"/>
              <w:left w:val="nil"/>
              <w:bottom w:val="nil"/>
              <w:right w:val="nil"/>
            </w:tcBorders>
            <w:shd w:val="clear" w:color="D9D9D9" w:fill="D9D9D9"/>
            <w:noWrap/>
            <w:vAlign w:val="bottom"/>
            <w:hideMark/>
          </w:tcPr>
          <w:p w:rsidR="0041147E" w:rsidRPr="001A0BCE" w:rsidRDefault="0041147E" w:rsidP="008F4251">
            <w:pPr>
              <w:jc w:val="right"/>
              <w:rPr>
                <w:rFonts w:eastAsia="Times New Roman" w:cs="Arial"/>
                <w:color w:val="000000"/>
                <w:szCs w:val="20"/>
                <w:lang w:eastAsia="pt-BR"/>
              </w:rPr>
            </w:pPr>
            <w:r w:rsidRPr="001A0BCE">
              <w:rPr>
                <w:rFonts w:eastAsia="Times New Roman" w:cs="Arial"/>
                <w:color w:val="000000"/>
                <w:szCs w:val="20"/>
                <w:lang w:eastAsia="pt-BR"/>
              </w:rPr>
              <w:t>10</w:t>
            </w:r>
          </w:p>
        </w:tc>
      </w:tr>
      <w:tr w:rsidR="0041147E" w:rsidRPr="001A0BCE" w:rsidTr="008F4251">
        <w:trPr>
          <w:trHeight w:val="258"/>
        </w:trPr>
        <w:tc>
          <w:tcPr>
            <w:tcW w:w="4888" w:type="dxa"/>
            <w:tcBorders>
              <w:top w:val="nil"/>
              <w:left w:val="nil"/>
              <w:bottom w:val="nil"/>
              <w:right w:val="nil"/>
            </w:tcBorders>
            <w:shd w:val="clear" w:color="auto" w:fill="auto"/>
            <w:vAlign w:val="center"/>
            <w:hideMark/>
          </w:tcPr>
          <w:p w:rsidR="0041147E" w:rsidRPr="001A0BCE" w:rsidRDefault="0041147E" w:rsidP="008F4251">
            <w:pPr>
              <w:jc w:val="left"/>
              <w:rPr>
                <w:rFonts w:eastAsia="Times New Roman" w:cs="Arial"/>
                <w:color w:val="000000"/>
                <w:szCs w:val="20"/>
                <w:lang w:eastAsia="pt-BR"/>
              </w:rPr>
            </w:pPr>
            <w:r w:rsidRPr="001A0BCE">
              <w:rPr>
                <w:rFonts w:eastAsia="Times New Roman" w:cs="Arial"/>
                <w:color w:val="000000"/>
                <w:szCs w:val="20"/>
                <w:lang w:eastAsia="pt-BR"/>
              </w:rPr>
              <w:t>Aparelhos e equipamentos de comunicação</w:t>
            </w:r>
          </w:p>
        </w:tc>
        <w:tc>
          <w:tcPr>
            <w:tcW w:w="1950" w:type="dxa"/>
            <w:tcBorders>
              <w:top w:val="nil"/>
              <w:left w:val="nil"/>
              <w:bottom w:val="nil"/>
              <w:right w:val="nil"/>
            </w:tcBorders>
            <w:shd w:val="clear" w:color="auto" w:fill="auto"/>
            <w:noWrap/>
            <w:vAlign w:val="bottom"/>
            <w:hideMark/>
          </w:tcPr>
          <w:p w:rsidR="0041147E" w:rsidRPr="001A0BCE" w:rsidRDefault="0041147E" w:rsidP="008F4251">
            <w:pPr>
              <w:jc w:val="right"/>
              <w:rPr>
                <w:rFonts w:eastAsia="Times New Roman" w:cs="Arial"/>
                <w:color w:val="000000"/>
                <w:szCs w:val="20"/>
                <w:lang w:eastAsia="pt-BR"/>
              </w:rPr>
            </w:pPr>
            <w:r w:rsidRPr="001A0BCE">
              <w:rPr>
                <w:rFonts w:eastAsia="Times New Roman" w:cs="Arial"/>
                <w:color w:val="000000"/>
                <w:szCs w:val="20"/>
                <w:lang w:eastAsia="pt-BR"/>
              </w:rPr>
              <w:t>10</w:t>
            </w:r>
          </w:p>
        </w:tc>
        <w:tc>
          <w:tcPr>
            <w:tcW w:w="2257" w:type="dxa"/>
            <w:tcBorders>
              <w:top w:val="nil"/>
              <w:left w:val="nil"/>
              <w:bottom w:val="nil"/>
              <w:right w:val="nil"/>
            </w:tcBorders>
            <w:shd w:val="clear" w:color="auto" w:fill="auto"/>
            <w:noWrap/>
            <w:vAlign w:val="bottom"/>
            <w:hideMark/>
          </w:tcPr>
          <w:p w:rsidR="0041147E" w:rsidRPr="001A0BCE" w:rsidRDefault="0041147E" w:rsidP="008F4251">
            <w:pPr>
              <w:jc w:val="right"/>
              <w:rPr>
                <w:rFonts w:eastAsia="Times New Roman" w:cs="Arial"/>
                <w:color w:val="000000"/>
                <w:szCs w:val="20"/>
                <w:lang w:eastAsia="pt-BR"/>
              </w:rPr>
            </w:pPr>
            <w:r w:rsidRPr="001A0BCE">
              <w:rPr>
                <w:rFonts w:eastAsia="Times New Roman" w:cs="Arial"/>
                <w:color w:val="000000"/>
                <w:szCs w:val="20"/>
                <w:lang w:eastAsia="pt-BR"/>
              </w:rPr>
              <w:t>20</w:t>
            </w:r>
          </w:p>
        </w:tc>
      </w:tr>
      <w:tr w:rsidR="0041147E" w:rsidRPr="001A0BCE" w:rsidTr="008F4251">
        <w:trPr>
          <w:trHeight w:val="517"/>
        </w:trPr>
        <w:tc>
          <w:tcPr>
            <w:tcW w:w="4888" w:type="dxa"/>
            <w:tcBorders>
              <w:top w:val="nil"/>
              <w:left w:val="nil"/>
              <w:bottom w:val="nil"/>
              <w:right w:val="nil"/>
            </w:tcBorders>
            <w:shd w:val="clear" w:color="000000" w:fill="D9D9D9"/>
            <w:vAlign w:val="center"/>
            <w:hideMark/>
          </w:tcPr>
          <w:p w:rsidR="0041147E" w:rsidRPr="001A0BCE" w:rsidRDefault="0041147E" w:rsidP="008F4251">
            <w:pPr>
              <w:jc w:val="left"/>
              <w:rPr>
                <w:rFonts w:eastAsia="Times New Roman" w:cs="Arial"/>
                <w:color w:val="000000"/>
                <w:szCs w:val="20"/>
                <w:lang w:eastAsia="pt-BR"/>
              </w:rPr>
            </w:pPr>
            <w:r w:rsidRPr="001A0BCE">
              <w:rPr>
                <w:rFonts w:eastAsia="Times New Roman" w:cs="Arial"/>
                <w:color w:val="000000"/>
                <w:szCs w:val="20"/>
                <w:lang w:eastAsia="pt-BR"/>
              </w:rPr>
              <w:t>Equipam/utensílios médicos, odontológicos, lab. e hospitalares</w:t>
            </w:r>
          </w:p>
        </w:tc>
        <w:tc>
          <w:tcPr>
            <w:tcW w:w="1950" w:type="dxa"/>
            <w:tcBorders>
              <w:top w:val="nil"/>
              <w:left w:val="nil"/>
              <w:bottom w:val="nil"/>
              <w:right w:val="nil"/>
            </w:tcBorders>
            <w:shd w:val="clear" w:color="D9D9D9" w:fill="D9D9D9"/>
            <w:noWrap/>
            <w:vAlign w:val="bottom"/>
            <w:hideMark/>
          </w:tcPr>
          <w:p w:rsidR="0041147E" w:rsidRPr="001A0BCE" w:rsidRDefault="0041147E" w:rsidP="008F4251">
            <w:pPr>
              <w:jc w:val="right"/>
              <w:rPr>
                <w:rFonts w:eastAsia="Times New Roman" w:cs="Arial"/>
                <w:color w:val="000000"/>
                <w:szCs w:val="20"/>
                <w:lang w:eastAsia="pt-BR"/>
              </w:rPr>
            </w:pPr>
            <w:r w:rsidRPr="001A0BCE">
              <w:rPr>
                <w:rFonts w:eastAsia="Times New Roman" w:cs="Arial"/>
                <w:color w:val="000000"/>
                <w:szCs w:val="20"/>
                <w:lang w:eastAsia="pt-BR"/>
              </w:rPr>
              <w:t>15</w:t>
            </w:r>
          </w:p>
        </w:tc>
        <w:tc>
          <w:tcPr>
            <w:tcW w:w="2257" w:type="dxa"/>
            <w:tcBorders>
              <w:top w:val="nil"/>
              <w:left w:val="nil"/>
              <w:bottom w:val="nil"/>
              <w:right w:val="nil"/>
            </w:tcBorders>
            <w:shd w:val="clear" w:color="D9D9D9" w:fill="D9D9D9"/>
            <w:noWrap/>
            <w:vAlign w:val="bottom"/>
            <w:hideMark/>
          </w:tcPr>
          <w:p w:rsidR="0041147E" w:rsidRPr="001A0BCE" w:rsidRDefault="0041147E" w:rsidP="008F4251">
            <w:pPr>
              <w:jc w:val="right"/>
              <w:rPr>
                <w:rFonts w:eastAsia="Times New Roman" w:cs="Arial"/>
                <w:color w:val="000000"/>
                <w:szCs w:val="20"/>
                <w:lang w:eastAsia="pt-BR"/>
              </w:rPr>
            </w:pPr>
            <w:r w:rsidRPr="001A0BCE">
              <w:rPr>
                <w:rFonts w:eastAsia="Times New Roman" w:cs="Arial"/>
                <w:color w:val="000000"/>
                <w:szCs w:val="20"/>
                <w:lang w:eastAsia="pt-BR"/>
              </w:rPr>
              <w:t>20</w:t>
            </w:r>
          </w:p>
        </w:tc>
      </w:tr>
      <w:tr w:rsidR="0041147E" w:rsidRPr="001A0BCE" w:rsidTr="008F4251">
        <w:trPr>
          <w:trHeight w:val="258"/>
        </w:trPr>
        <w:tc>
          <w:tcPr>
            <w:tcW w:w="4888" w:type="dxa"/>
            <w:tcBorders>
              <w:top w:val="nil"/>
              <w:left w:val="nil"/>
              <w:bottom w:val="nil"/>
              <w:right w:val="nil"/>
            </w:tcBorders>
            <w:shd w:val="clear" w:color="auto" w:fill="auto"/>
            <w:vAlign w:val="center"/>
            <w:hideMark/>
          </w:tcPr>
          <w:p w:rsidR="0041147E" w:rsidRPr="001A0BCE" w:rsidRDefault="0041147E" w:rsidP="008F4251">
            <w:pPr>
              <w:jc w:val="left"/>
              <w:rPr>
                <w:rFonts w:eastAsia="Times New Roman" w:cs="Arial"/>
                <w:color w:val="000000"/>
                <w:szCs w:val="20"/>
                <w:lang w:eastAsia="pt-BR"/>
              </w:rPr>
            </w:pPr>
            <w:r w:rsidRPr="001A0BCE">
              <w:rPr>
                <w:rFonts w:eastAsia="Times New Roman" w:cs="Arial"/>
                <w:color w:val="000000"/>
                <w:szCs w:val="20"/>
                <w:lang w:eastAsia="pt-BR"/>
              </w:rPr>
              <w:t>Equipamento de proteção, segurança e socorro</w:t>
            </w:r>
          </w:p>
        </w:tc>
        <w:tc>
          <w:tcPr>
            <w:tcW w:w="1950" w:type="dxa"/>
            <w:tcBorders>
              <w:top w:val="nil"/>
              <w:left w:val="nil"/>
              <w:bottom w:val="nil"/>
              <w:right w:val="nil"/>
            </w:tcBorders>
            <w:shd w:val="clear" w:color="auto" w:fill="auto"/>
            <w:noWrap/>
            <w:vAlign w:val="bottom"/>
            <w:hideMark/>
          </w:tcPr>
          <w:p w:rsidR="0041147E" w:rsidRPr="001A0BCE" w:rsidRDefault="0041147E" w:rsidP="008F4251">
            <w:pPr>
              <w:jc w:val="right"/>
              <w:rPr>
                <w:rFonts w:eastAsia="Times New Roman" w:cs="Arial"/>
                <w:color w:val="000000"/>
                <w:szCs w:val="20"/>
                <w:lang w:eastAsia="pt-BR"/>
              </w:rPr>
            </w:pPr>
            <w:r w:rsidRPr="001A0BCE">
              <w:rPr>
                <w:rFonts w:eastAsia="Times New Roman" w:cs="Arial"/>
                <w:color w:val="000000"/>
                <w:szCs w:val="20"/>
                <w:lang w:eastAsia="pt-BR"/>
              </w:rPr>
              <w:t>10</w:t>
            </w:r>
          </w:p>
        </w:tc>
        <w:tc>
          <w:tcPr>
            <w:tcW w:w="2257" w:type="dxa"/>
            <w:tcBorders>
              <w:top w:val="nil"/>
              <w:left w:val="nil"/>
              <w:bottom w:val="nil"/>
              <w:right w:val="nil"/>
            </w:tcBorders>
            <w:shd w:val="clear" w:color="auto" w:fill="auto"/>
            <w:noWrap/>
            <w:vAlign w:val="bottom"/>
            <w:hideMark/>
          </w:tcPr>
          <w:p w:rsidR="0041147E" w:rsidRPr="001A0BCE" w:rsidRDefault="0041147E" w:rsidP="008F4251">
            <w:pPr>
              <w:jc w:val="right"/>
              <w:rPr>
                <w:rFonts w:eastAsia="Times New Roman" w:cs="Arial"/>
                <w:color w:val="000000"/>
                <w:szCs w:val="20"/>
                <w:lang w:eastAsia="pt-BR"/>
              </w:rPr>
            </w:pPr>
            <w:r w:rsidRPr="001A0BCE">
              <w:rPr>
                <w:rFonts w:eastAsia="Times New Roman" w:cs="Arial"/>
                <w:color w:val="000000"/>
                <w:szCs w:val="20"/>
                <w:lang w:eastAsia="pt-BR"/>
              </w:rPr>
              <w:t>10</w:t>
            </w:r>
          </w:p>
        </w:tc>
      </w:tr>
      <w:tr w:rsidR="0041147E" w:rsidRPr="001A0BCE" w:rsidTr="008F4251">
        <w:trPr>
          <w:trHeight w:val="258"/>
        </w:trPr>
        <w:tc>
          <w:tcPr>
            <w:tcW w:w="4888" w:type="dxa"/>
            <w:tcBorders>
              <w:top w:val="nil"/>
              <w:left w:val="nil"/>
              <w:bottom w:val="nil"/>
              <w:right w:val="nil"/>
            </w:tcBorders>
            <w:shd w:val="clear" w:color="000000" w:fill="D9D9D9"/>
            <w:vAlign w:val="center"/>
            <w:hideMark/>
          </w:tcPr>
          <w:p w:rsidR="0041147E" w:rsidRPr="001A0BCE" w:rsidRDefault="0041147E" w:rsidP="008F4251">
            <w:pPr>
              <w:jc w:val="left"/>
              <w:rPr>
                <w:rFonts w:eastAsia="Times New Roman" w:cs="Arial"/>
                <w:color w:val="000000"/>
                <w:szCs w:val="20"/>
                <w:lang w:eastAsia="pt-BR"/>
              </w:rPr>
            </w:pPr>
            <w:r w:rsidRPr="001A0BCE">
              <w:rPr>
                <w:rFonts w:eastAsia="Times New Roman" w:cs="Arial"/>
                <w:color w:val="000000"/>
                <w:szCs w:val="20"/>
                <w:lang w:eastAsia="pt-BR"/>
              </w:rPr>
              <w:t>Maquinas e equipamentos industriais</w:t>
            </w:r>
          </w:p>
        </w:tc>
        <w:tc>
          <w:tcPr>
            <w:tcW w:w="1950" w:type="dxa"/>
            <w:tcBorders>
              <w:top w:val="nil"/>
              <w:left w:val="nil"/>
              <w:bottom w:val="nil"/>
              <w:right w:val="nil"/>
            </w:tcBorders>
            <w:shd w:val="clear" w:color="D9D9D9" w:fill="D9D9D9"/>
            <w:noWrap/>
            <w:vAlign w:val="bottom"/>
            <w:hideMark/>
          </w:tcPr>
          <w:p w:rsidR="0041147E" w:rsidRPr="001A0BCE" w:rsidRDefault="0041147E" w:rsidP="008F4251">
            <w:pPr>
              <w:jc w:val="right"/>
              <w:rPr>
                <w:rFonts w:eastAsia="Times New Roman" w:cs="Arial"/>
                <w:color w:val="000000"/>
                <w:szCs w:val="20"/>
                <w:lang w:eastAsia="pt-BR"/>
              </w:rPr>
            </w:pPr>
            <w:r w:rsidRPr="001A0BCE">
              <w:rPr>
                <w:rFonts w:eastAsia="Times New Roman" w:cs="Arial"/>
                <w:color w:val="000000"/>
                <w:szCs w:val="20"/>
                <w:lang w:eastAsia="pt-BR"/>
              </w:rPr>
              <w:t>20</w:t>
            </w:r>
          </w:p>
        </w:tc>
        <w:tc>
          <w:tcPr>
            <w:tcW w:w="2257" w:type="dxa"/>
            <w:tcBorders>
              <w:top w:val="nil"/>
              <w:left w:val="nil"/>
              <w:bottom w:val="nil"/>
              <w:right w:val="nil"/>
            </w:tcBorders>
            <w:shd w:val="clear" w:color="D9D9D9" w:fill="D9D9D9"/>
            <w:noWrap/>
            <w:vAlign w:val="bottom"/>
            <w:hideMark/>
          </w:tcPr>
          <w:p w:rsidR="0041147E" w:rsidRPr="001A0BCE" w:rsidRDefault="0041147E" w:rsidP="008F4251">
            <w:pPr>
              <w:jc w:val="right"/>
              <w:rPr>
                <w:rFonts w:eastAsia="Times New Roman" w:cs="Arial"/>
                <w:color w:val="000000"/>
                <w:szCs w:val="20"/>
                <w:lang w:eastAsia="pt-BR"/>
              </w:rPr>
            </w:pPr>
            <w:r w:rsidRPr="001A0BCE">
              <w:rPr>
                <w:rFonts w:eastAsia="Times New Roman" w:cs="Arial"/>
                <w:color w:val="000000"/>
                <w:szCs w:val="20"/>
                <w:lang w:eastAsia="pt-BR"/>
              </w:rPr>
              <w:t>10</w:t>
            </w:r>
          </w:p>
        </w:tc>
      </w:tr>
      <w:tr w:rsidR="0041147E" w:rsidRPr="001A0BCE" w:rsidTr="008F4251">
        <w:trPr>
          <w:trHeight w:val="258"/>
        </w:trPr>
        <w:tc>
          <w:tcPr>
            <w:tcW w:w="4888" w:type="dxa"/>
            <w:tcBorders>
              <w:top w:val="nil"/>
              <w:left w:val="nil"/>
              <w:bottom w:val="nil"/>
              <w:right w:val="nil"/>
            </w:tcBorders>
            <w:shd w:val="clear" w:color="auto" w:fill="auto"/>
            <w:vAlign w:val="center"/>
            <w:hideMark/>
          </w:tcPr>
          <w:p w:rsidR="0041147E" w:rsidRPr="001A0BCE" w:rsidRDefault="0041147E" w:rsidP="008F4251">
            <w:pPr>
              <w:jc w:val="left"/>
              <w:rPr>
                <w:rFonts w:eastAsia="Times New Roman" w:cs="Arial"/>
                <w:color w:val="000000"/>
                <w:szCs w:val="20"/>
                <w:lang w:eastAsia="pt-BR"/>
              </w:rPr>
            </w:pPr>
            <w:r w:rsidRPr="001A0BCE">
              <w:rPr>
                <w:rFonts w:eastAsia="Times New Roman" w:cs="Arial"/>
                <w:color w:val="000000"/>
                <w:szCs w:val="20"/>
                <w:lang w:eastAsia="pt-BR"/>
              </w:rPr>
              <w:t>Maquinas e equipamentos energéticos</w:t>
            </w:r>
          </w:p>
        </w:tc>
        <w:tc>
          <w:tcPr>
            <w:tcW w:w="1950" w:type="dxa"/>
            <w:tcBorders>
              <w:top w:val="nil"/>
              <w:left w:val="nil"/>
              <w:bottom w:val="nil"/>
              <w:right w:val="nil"/>
            </w:tcBorders>
            <w:shd w:val="clear" w:color="auto" w:fill="auto"/>
            <w:noWrap/>
            <w:vAlign w:val="bottom"/>
            <w:hideMark/>
          </w:tcPr>
          <w:p w:rsidR="0041147E" w:rsidRPr="001A0BCE" w:rsidRDefault="0041147E" w:rsidP="008F4251">
            <w:pPr>
              <w:jc w:val="right"/>
              <w:rPr>
                <w:rFonts w:eastAsia="Times New Roman" w:cs="Arial"/>
                <w:color w:val="000000"/>
                <w:szCs w:val="20"/>
                <w:lang w:eastAsia="pt-BR"/>
              </w:rPr>
            </w:pPr>
            <w:r w:rsidRPr="001A0BCE">
              <w:rPr>
                <w:rFonts w:eastAsia="Times New Roman" w:cs="Arial"/>
                <w:color w:val="000000"/>
                <w:szCs w:val="20"/>
                <w:lang w:eastAsia="pt-BR"/>
              </w:rPr>
              <w:t>10</w:t>
            </w:r>
          </w:p>
        </w:tc>
        <w:tc>
          <w:tcPr>
            <w:tcW w:w="2257" w:type="dxa"/>
            <w:tcBorders>
              <w:top w:val="nil"/>
              <w:left w:val="nil"/>
              <w:bottom w:val="nil"/>
              <w:right w:val="nil"/>
            </w:tcBorders>
            <w:shd w:val="clear" w:color="auto" w:fill="auto"/>
            <w:noWrap/>
            <w:vAlign w:val="bottom"/>
            <w:hideMark/>
          </w:tcPr>
          <w:p w:rsidR="0041147E" w:rsidRPr="001A0BCE" w:rsidRDefault="0041147E" w:rsidP="008F4251">
            <w:pPr>
              <w:jc w:val="right"/>
              <w:rPr>
                <w:rFonts w:eastAsia="Times New Roman" w:cs="Arial"/>
                <w:color w:val="000000"/>
                <w:szCs w:val="20"/>
                <w:lang w:eastAsia="pt-BR"/>
              </w:rPr>
            </w:pPr>
            <w:r w:rsidRPr="001A0BCE">
              <w:rPr>
                <w:rFonts w:eastAsia="Times New Roman" w:cs="Arial"/>
                <w:color w:val="000000"/>
                <w:szCs w:val="20"/>
                <w:lang w:eastAsia="pt-BR"/>
              </w:rPr>
              <w:t>10</w:t>
            </w:r>
          </w:p>
        </w:tc>
      </w:tr>
      <w:tr w:rsidR="0041147E" w:rsidRPr="001A0BCE" w:rsidTr="008F4251">
        <w:trPr>
          <w:trHeight w:val="258"/>
        </w:trPr>
        <w:tc>
          <w:tcPr>
            <w:tcW w:w="4888" w:type="dxa"/>
            <w:tcBorders>
              <w:top w:val="nil"/>
              <w:left w:val="nil"/>
              <w:bottom w:val="nil"/>
              <w:right w:val="nil"/>
            </w:tcBorders>
            <w:shd w:val="clear" w:color="000000" w:fill="D9D9D9"/>
            <w:vAlign w:val="center"/>
            <w:hideMark/>
          </w:tcPr>
          <w:p w:rsidR="0041147E" w:rsidRPr="001A0BCE" w:rsidRDefault="0041147E" w:rsidP="008F4251">
            <w:pPr>
              <w:jc w:val="left"/>
              <w:rPr>
                <w:rFonts w:eastAsia="Times New Roman" w:cs="Arial"/>
                <w:color w:val="000000"/>
                <w:szCs w:val="20"/>
                <w:lang w:eastAsia="pt-BR"/>
              </w:rPr>
            </w:pPr>
            <w:r w:rsidRPr="001A0BCE">
              <w:rPr>
                <w:rFonts w:eastAsia="Times New Roman" w:cs="Arial"/>
                <w:color w:val="000000"/>
                <w:szCs w:val="20"/>
                <w:lang w:eastAsia="pt-BR"/>
              </w:rPr>
              <w:t>Maquinas e equipamentos gráficos</w:t>
            </w:r>
          </w:p>
        </w:tc>
        <w:tc>
          <w:tcPr>
            <w:tcW w:w="1950" w:type="dxa"/>
            <w:tcBorders>
              <w:top w:val="nil"/>
              <w:left w:val="nil"/>
              <w:bottom w:val="nil"/>
              <w:right w:val="nil"/>
            </w:tcBorders>
            <w:shd w:val="clear" w:color="D9D9D9" w:fill="D9D9D9"/>
            <w:noWrap/>
            <w:vAlign w:val="bottom"/>
            <w:hideMark/>
          </w:tcPr>
          <w:p w:rsidR="0041147E" w:rsidRPr="001A0BCE" w:rsidRDefault="0041147E" w:rsidP="008F4251">
            <w:pPr>
              <w:jc w:val="right"/>
              <w:rPr>
                <w:rFonts w:eastAsia="Times New Roman" w:cs="Arial"/>
                <w:color w:val="000000"/>
                <w:szCs w:val="20"/>
                <w:lang w:eastAsia="pt-BR"/>
              </w:rPr>
            </w:pPr>
            <w:r w:rsidRPr="001A0BCE">
              <w:rPr>
                <w:rFonts w:eastAsia="Times New Roman" w:cs="Arial"/>
                <w:color w:val="000000"/>
                <w:szCs w:val="20"/>
                <w:lang w:eastAsia="pt-BR"/>
              </w:rPr>
              <w:t>15</w:t>
            </w:r>
          </w:p>
        </w:tc>
        <w:tc>
          <w:tcPr>
            <w:tcW w:w="2257" w:type="dxa"/>
            <w:tcBorders>
              <w:top w:val="nil"/>
              <w:left w:val="nil"/>
              <w:bottom w:val="nil"/>
              <w:right w:val="nil"/>
            </w:tcBorders>
            <w:shd w:val="clear" w:color="D9D9D9" w:fill="D9D9D9"/>
            <w:noWrap/>
            <w:vAlign w:val="bottom"/>
            <w:hideMark/>
          </w:tcPr>
          <w:p w:rsidR="0041147E" w:rsidRPr="001A0BCE" w:rsidRDefault="0041147E" w:rsidP="008F4251">
            <w:pPr>
              <w:jc w:val="right"/>
              <w:rPr>
                <w:rFonts w:eastAsia="Times New Roman" w:cs="Arial"/>
                <w:color w:val="000000"/>
                <w:szCs w:val="20"/>
                <w:lang w:eastAsia="pt-BR"/>
              </w:rPr>
            </w:pPr>
            <w:r w:rsidRPr="001A0BCE">
              <w:rPr>
                <w:rFonts w:eastAsia="Times New Roman" w:cs="Arial"/>
                <w:color w:val="000000"/>
                <w:szCs w:val="20"/>
                <w:lang w:eastAsia="pt-BR"/>
              </w:rPr>
              <w:t>10</w:t>
            </w:r>
          </w:p>
        </w:tc>
      </w:tr>
      <w:tr w:rsidR="0041147E" w:rsidRPr="001A0BCE" w:rsidTr="008F4251">
        <w:trPr>
          <w:trHeight w:val="258"/>
        </w:trPr>
        <w:tc>
          <w:tcPr>
            <w:tcW w:w="4888" w:type="dxa"/>
            <w:tcBorders>
              <w:top w:val="nil"/>
              <w:left w:val="nil"/>
              <w:bottom w:val="nil"/>
              <w:right w:val="nil"/>
            </w:tcBorders>
            <w:shd w:val="clear" w:color="auto" w:fill="auto"/>
            <w:vAlign w:val="center"/>
            <w:hideMark/>
          </w:tcPr>
          <w:p w:rsidR="0041147E" w:rsidRPr="001A0BCE" w:rsidRDefault="0041147E" w:rsidP="008F4251">
            <w:pPr>
              <w:jc w:val="left"/>
              <w:rPr>
                <w:rFonts w:eastAsia="Times New Roman" w:cs="Arial"/>
                <w:color w:val="000000"/>
                <w:szCs w:val="20"/>
                <w:lang w:eastAsia="pt-BR"/>
              </w:rPr>
            </w:pPr>
            <w:r w:rsidRPr="001A0BCE">
              <w:rPr>
                <w:rFonts w:eastAsia="Times New Roman" w:cs="Arial"/>
                <w:color w:val="000000"/>
                <w:szCs w:val="20"/>
                <w:lang w:eastAsia="pt-BR"/>
              </w:rPr>
              <w:t>Maquinas, ferramentas e utensílios de oficina</w:t>
            </w:r>
          </w:p>
        </w:tc>
        <w:tc>
          <w:tcPr>
            <w:tcW w:w="1950" w:type="dxa"/>
            <w:tcBorders>
              <w:top w:val="nil"/>
              <w:left w:val="nil"/>
              <w:bottom w:val="nil"/>
              <w:right w:val="nil"/>
            </w:tcBorders>
            <w:shd w:val="clear" w:color="auto" w:fill="auto"/>
            <w:noWrap/>
            <w:vAlign w:val="bottom"/>
            <w:hideMark/>
          </w:tcPr>
          <w:p w:rsidR="0041147E" w:rsidRPr="001A0BCE" w:rsidRDefault="0041147E" w:rsidP="008F4251">
            <w:pPr>
              <w:jc w:val="right"/>
              <w:rPr>
                <w:rFonts w:eastAsia="Times New Roman" w:cs="Arial"/>
                <w:color w:val="000000"/>
                <w:szCs w:val="20"/>
                <w:lang w:eastAsia="pt-BR"/>
              </w:rPr>
            </w:pPr>
            <w:r w:rsidRPr="001A0BCE">
              <w:rPr>
                <w:rFonts w:eastAsia="Times New Roman" w:cs="Arial"/>
                <w:color w:val="000000"/>
                <w:szCs w:val="20"/>
                <w:lang w:eastAsia="pt-BR"/>
              </w:rPr>
              <w:t>10</w:t>
            </w:r>
          </w:p>
        </w:tc>
        <w:tc>
          <w:tcPr>
            <w:tcW w:w="2257" w:type="dxa"/>
            <w:tcBorders>
              <w:top w:val="nil"/>
              <w:left w:val="nil"/>
              <w:bottom w:val="nil"/>
              <w:right w:val="nil"/>
            </w:tcBorders>
            <w:shd w:val="clear" w:color="auto" w:fill="auto"/>
            <w:noWrap/>
            <w:vAlign w:val="bottom"/>
            <w:hideMark/>
          </w:tcPr>
          <w:p w:rsidR="0041147E" w:rsidRPr="001A0BCE" w:rsidRDefault="0041147E" w:rsidP="008F4251">
            <w:pPr>
              <w:jc w:val="right"/>
              <w:rPr>
                <w:rFonts w:eastAsia="Times New Roman" w:cs="Arial"/>
                <w:color w:val="000000"/>
                <w:szCs w:val="20"/>
                <w:lang w:eastAsia="pt-BR"/>
              </w:rPr>
            </w:pPr>
            <w:r w:rsidRPr="001A0BCE">
              <w:rPr>
                <w:rFonts w:eastAsia="Times New Roman" w:cs="Arial"/>
                <w:color w:val="000000"/>
                <w:szCs w:val="20"/>
                <w:lang w:eastAsia="pt-BR"/>
              </w:rPr>
              <w:t>10</w:t>
            </w:r>
          </w:p>
        </w:tc>
      </w:tr>
      <w:tr w:rsidR="0041147E" w:rsidRPr="001A0BCE" w:rsidTr="008F4251">
        <w:trPr>
          <w:trHeight w:val="258"/>
        </w:trPr>
        <w:tc>
          <w:tcPr>
            <w:tcW w:w="4888" w:type="dxa"/>
            <w:tcBorders>
              <w:top w:val="nil"/>
              <w:left w:val="nil"/>
              <w:bottom w:val="nil"/>
              <w:right w:val="nil"/>
            </w:tcBorders>
            <w:shd w:val="clear" w:color="000000" w:fill="D9D9D9"/>
            <w:vAlign w:val="center"/>
            <w:hideMark/>
          </w:tcPr>
          <w:p w:rsidR="0041147E" w:rsidRPr="001A0BCE" w:rsidRDefault="0041147E" w:rsidP="008F4251">
            <w:pPr>
              <w:jc w:val="left"/>
              <w:rPr>
                <w:rFonts w:eastAsia="Times New Roman" w:cs="Arial"/>
                <w:color w:val="000000"/>
                <w:szCs w:val="20"/>
                <w:lang w:eastAsia="pt-BR"/>
              </w:rPr>
            </w:pPr>
            <w:r w:rsidRPr="001A0BCE">
              <w:rPr>
                <w:rFonts w:eastAsia="Times New Roman" w:cs="Arial"/>
                <w:color w:val="000000"/>
                <w:szCs w:val="20"/>
                <w:lang w:eastAsia="pt-BR"/>
              </w:rPr>
              <w:t>Maquinas, utensílios e equipamentos diversos</w:t>
            </w:r>
          </w:p>
        </w:tc>
        <w:tc>
          <w:tcPr>
            <w:tcW w:w="1950" w:type="dxa"/>
            <w:tcBorders>
              <w:top w:val="nil"/>
              <w:left w:val="nil"/>
              <w:bottom w:val="nil"/>
              <w:right w:val="nil"/>
            </w:tcBorders>
            <w:shd w:val="clear" w:color="D9D9D9" w:fill="D9D9D9"/>
            <w:noWrap/>
            <w:vAlign w:val="bottom"/>
            <w:hideMark/>
          </w:tcPr>
          <w:p w:rsidR="0041147E" w:rsidRPr="001A0BCE" w:rsidRDefault="0041147E" w:rsidP="008F4251">
            <w:pPr>
              <w:jc w:val="right"/>
              <w:rPr>
                <w:rFonts w:eastAsia="Times New Roman" w:cs="Arial"/>
                <w:color w:val="000000"/>
                <w:szCs w:val="20"/>
                <w:lang w:eastAsia="pt-BR"/>
              </w:rPr>
            </w:pPr>
            <w:r w:rsidRPr="001A0BCE">
              <w:rPr>
                <w:rFonts w:eastAsia="Times New Roman" w:cs="Arial"/>
                <w:color w:val="000000"/>
                <w:szCs w:val="20"/>
                <w:lang w:eastAsia="pt-BR"/>
              </w:rPr>
              <w:t>10</w:t>
            </w:r>
          </w:p>
        </w:tc>
        <w:tc>
          <w:tcPr>
            <w:tcW w:w="2257" w:type="dxa"/>
            <w:tcBorders>
              <w:top w:val="nil"/>
              <w:left w:val="nil"/>
              <w:bottom w:val="nil"/>
              <w:right w:val="nil"/>
            </w:tcBorders>
            <w:shd w:val="clear" w:color="D9D9D9" w:fill="D9D9D9"/>
            <w:noWrap/>
            <w:vAlign w:val="bottom"/>
            <w:hideMark/>
          </w:tcPr>
          <w:p w:rsidR="0041147E" w:rsidRPr="001A0BCE" w:rsidRDefault="0041147E" w:rsidP="008F4251">
            <w:pPr>
              <w:jc w:val="right"/>
              <w:rPr>
                <w:rFonts w:eastAsia="Times New Roman" w:cs="Arial"/>
                <w:color w:val="000000"/>
                <w:szCs w:val="20"/>
                <w:lang w:eastAsia="pt-BR"/>
              </w:rPr>
            </w:pPr>
            <w:r w:rsidRPr="001A0BCE">
              <w:rPr>
                <w:rFonts w:eastAsia="Times New Roman" w:cs="Arial"/>
                <w:color w:val="000000"/>
                <w:szCs w:val="20"/>
                <w:lang w:eastAsia="pt-BR"/>
              </w:rPr>
              <w:t>10</w:t>
            </w:r>
          </w:p>
        </w:tc>
      </w:tr>
      <w:tr w:rsidR="0041147E" w:rsidRPr="001A0BCE" w:rsidTr="008F4251">
        <w:trPr>
          <w:trHeight w:val="258"/>
        </w:trPr>
        <w:tc>
          <w:tcPr>
            <w:tcW w:w="4888" w:type="dxa"/>
            <w:tcBorders>
              <w:top w:val="nil"/>
              <w:left w:val="nil"/>
              <w:bottom w:val="nil"/>
              <w:right w:val="nil"/>
            </w:tcBorders>
            <w:shd w:val="clear" w:color="auto" w:fill="auto"/>
            <w:vAlign w:val="center"/>
            <w:hideMark/>
          </w:tcPr>
          <w:p w:rsidR="0041147E" w:rsidRPr="001A0BCE" w:rsidRDefault="0041147E" w:rsidP="008F4251">
            <w:pPr>
              <w:jc w:val="left"/>
              <w:rPr>
                <w:rFonts w:eastAsia="Times New Roman" w:cs="Arial"/>
                <w:color w:val="000000"/>
                <w:szCs w:val="20"/>
                <w:lang w:eastAsia="pt-BR"/>
              </w:rPr>
            </w:pPr>
            <w:r w:rsidRPr="001A0BCE">
              <w:rPr>
                <w:rFonts w:eastAsia="Times New Roman" w:cs="Arial"/>
                <w:color w:val="000000"/>
                <w:szCs w:val="20"/>
                <w:lang w:eastAsia="pt-BR"/>
              </w:rPr>
              <w:t>Equipamentos de processamento de dados</w:t>
            </w:r>
          </w:p>
        </w:tc>
        <w:tc>
          <w:tcPr>
            <w:tcW w:w="1950" w:type="dxa"/>
            <w:tcBorders>
              <w:top w:val="nil"/>
              <w:left w:val="nil"/>
              <w:bottom w:val="nil"/>
              <w:right w:val="nil"/>
            </w:tcBorders>
            <w:shd w:val="clear" w:color="auto" w:fill="auto"/>
            <w:noWrap/>
            <w:vAlign w:val="bottom"/>
            <w:hideMark/>
          </w:tcPr>
          <w:p w:rsidR="0041147E" w:rsidRPr="001A0BCE" w:rsidRDefault="0041147E" w:rsidP="008F4251">
            <w:pPr>
              <w:jc w:val="right"/>
              <w:rPr>
                <w:rFonts w:eastAsia="Times New Roman" w:cs="Arial"/>
                <w:color w:val="000000"/>
                <w:szCs w:val="20"/>
                <w:lang w:eastAsia="pt-BR"/>
              </w:rPr>
            </w:pPr>
            <w:r w:rsidRPr="001A0BCE">
              <w:rPr>
                <w:rFonts w:eastAsia="Times New Roman" w:cs="Arial"/>
                <w:color w:val="000000"/>
                <w:szCs w:val="20"/>
                <w:lang w:eastAsia="pt-BR"/>
              </w:rPr>
              <w:t>5</w:t>
            </w:r>
          </w:p>
        </w:tc>
        <w:tc>
          <w:tcPr>
            <w:tcW w:w="2257" w:type="dxa"/>
            <w:tcBorders>
              <w:top w:val="nil"/>
              <w:left w:val="nil"/>
              <w:bottom w:val="nil"/>
              <w:right w:val="nil"/>
            </w:tcBorders>
            <w:shd w:val="clear" w:color="auto" w:fill="auto"/>
            <w:noWrap/>
            <w:vAlign w:val="bottom"/>
            <w:hideMark/>
          </w:tcPr>
          <w:p w:rsidR="0041147E" w:rsidRPr="001A0BCE" w:rsidRDefault="0041147E" w:rsidP="008F4251">
            <w:pPr>
              <w:jc w:val="right"/>
              <w:rPr>
                <w:rFonts w:eastAsia="Times New Roman" w:cs="Arial"/>
                <w:color w:val="000000"/>
                <w:szCs w:val="20"/>
                <w:lang w:eastAsia="pt-BR"/>
              </w:rPr>
            </w:pPr>
            <w:r w:rsidRPr="001A0BCE">
              <w:rPr>
                <w:rFonts w:eastAsia="Times New Roman" w:cs="Arial"/>
                <w:color w:val="000000"/>
                <w:szCs w:val="20"/>
                <w:lang w:eastAsia="pt-BR"/>
              </w:rPr>
              <w:t>10</w:t>
            </w:r>
          </w:p>
        </w:tc>
      </w:tr>
      <w:tr w:rsidR="0041147E" w:rsidRPr="001A0BCE" w:rsidTr="008F4251">
        <w:trPr>
          <w:trHeight w:val="258"/>
        </w:trPr>
        <w:tc>
          <w:tcPr>
            <w:tcW w:w="4888" w:type="dxa"/>
            <w:tcBorders>
              <w:top w:val="nil"/>
              <w:left w:val="nil"/>
              <w:bottom w:val="nil"/>
              <w:right w:val="nil"/>
            </w:tcBorders>
            <w:shd w:val="clear" w:color="000000" w:fill="D9D9D9"/>
            <w:vAlign w:val="center"/>
            <w:hideMark/>
          </w:tcPr>
          <w:p w:rsidR="0041147E" w:rsidRPr="001A0BCE" w:rsidRDefault="0041147E" w:rsidP="008F4251">
            <w:pPr>
              <w:jc w:val="left"/>
              <w:rPr>
                <w:rFonts w:eastAsia="Times New Roman" w:cs="Arial"/>
                <w:color w:val="000000"/>
                <w:szCs w:val="20"/>
                <w:lang w:eastAsia="pt-BR"/>
              </w:rPr>
            </w:pPr>
            <w:r w:rsidRPr="001A0BCE">
              <w:rPr>
                <w:rFonts w:eastAsia="Times New Roman" w:cs="Arial"/>
                <w:color w:val="000000"/>
                <w:szCs w:val="20"/>
                <w:lang w:eastAsia="pt-BR"/>
              </w:rPr>
              <w:t>Aparelhos e utensílios domésticos</w:t>
            </w:r>
          </w:p>
        </w:tc>
        <w:tc>
          <w:tcPr>
            <w:tcW w:w="1950" w:type="dxa"/>
            <w:tcBorders>
              <w:top w:val="nil"/>
              <w:left w:val="nil"/>
              <w:bottom w:val="nil"/>
              <w:right w:val="nil"/>
            </w:tcBorders>
            <w:shd w:val="clear" w:color="D9D9D9" w:fill="D9D9D9"/>
            <w:noWrap/>
            <w:vAlign w:val="bottom"/>
            <w:hideMark/>
          </w:tcPr>
          <w:p w:rsidR="0041147E" w:rsidRPr="001A0BCE" w:rsidRDefault="0041147E" w:rsidP="008F4251">
            <w:pPr>
              <w:jc w:val="right"/>
              <w:rPr>
                <w:rFonts w:eastAsia="Times New Roman" w:cs="Arial"/>
                <w:color w:val="000000"/>
                <w:szCs w:val="20"/>
                <w:lang w:eastAsia="pt-BR"/>
              </w:rPr>
            </w:pPr>
            <w:r w:rsidRPr="001A0BCE">
              <w:rPr>
                <w:rFonts w:eastAsia="Times New Roman" w:cs="Arial"/>
                <w:color w:val="000000"/>
                <w:szCs w:val="20"/>
                <w:lang w:eastAsia="pt-BR"/>
              </w:rPr>
              <w:t>10</w:t>
            </w:r>
          </w:p>
        </w:tc>
        <w:tc>
          <w:tcPr>
            <w:tcW w:w="2257" w:type="dxa"/>
            <w:tcBorders>
              <w:top w:val="nil"/>
              <w:left w:val="nil"/>
              <w:bottom w:val="nil"/>
              <w:right w:val="nil"/>
            </w:tcBorders>
            <w:shd w:val="clear" w:color="D9D9D9" w:fill="D9D9D9"/>
            <w:noWrap/>
            <w:vAlign w:val="bottom"/>
            <w:hideMark/>
          </w:tcPr>
          <w:p w:rsidR="0041147E" w:rsidRPr="001A0BCE" w:rsidRDefault="0041147E" w:rsidP="008F4251">
            <w:pPr>
              <w:jc w:val="right"/>
              <w:rPr>
                <w:rFonts w:eastAsia="Times New Roman" w:cs="Arial"/>
                <w:color w:val="000000"/>
                <w:szCs w:val="20"/>
                <w:lang w:eastAsia="pt-BR"/>
              </w:rPr>
            </w:pPr>
            <w:r w:rsidRPr="001A0BCE">
              <w:rPr>
                <w:rFonts w:eastAsia="Times New Roman" w:cs="Arial"/>
                <w:color w:val="000000"/>
                <w:szCs w:val="20"/>
                <w:lang w:eastAsia="pt-BR"/>
              </w:rPr>
              <w:t>10</w:t>
            </w:r>
          </w:p>
        </w:tc>
      </w:tr>
      <w:tr w:rsidR="0041147E" w:rsidRPr="001A0BCE" w:rsidTr="008F4251">
        <w:trPr>
          <w:trHeight w:val="258"/>
        </w:trPr>
        <w:tc>
          <w:tcPr>
            <w:tcW w:w="4888" w:type="dxa"/>
            <w:tcBorders>
              <w:top w:val="nil"/>
              <w:left w:val="nil"/>
              <w:bottom w:val="nil"/>
              <w:right w:val="nil"/>
            </w:tcBorders>
            <w:shd w:val="clear" w:color="auto" w:fill="auto"/>
            <w:vAlign w:val="center"/>
            <w:hideMark/>
          </w:tcPr>
          <w:p w:rsidR="0041147E" w:rsidRPr="001A0BCE" w:rsidRDefault="0041147E" w:rsidP="008F4251">
            <w:pPr>
              <w:jc w:val="left"/>
              <w:rPr>
                <w:rFonts w:eastAsia="Times New Roman" w:cs="Arial"/>
                <w:color w:val="000000"/>
                <w:szCs w:val="20"/>
                <w:lang w:eastAsia="pt-BR"/>
              </w:rPr>
            </w:pPr>
            <w:r w:rsidRPr="001A0BCE">
              <w:rPr>
                <w:rFonts w:eastAsia="Times New Roman" w:cs="Arial"/>
                <w:color w:val="000000"/>
                <w:szCs w:val="20"/>
                <w:lang w:eastAsia="pt-BR"/>
              </w:rPr>
              <w:t>Maquinas e utensílios de escritório</w:t>
            </w:r>
          </w:p>
        </w:tc>
        <w:tc>
          <w:tcPr>
            <w:tcW w:w="1950" w:type="dxa"/>
            <w:tcBorders>
              <w:top w:val="nil"/>
              <w:left w:val="nil"/>
              <w:bottom w:val="nil"/>
              <w:right w:val="nil"/>
            </w:tcBorders>
            <w:shd w:val="clear" w:color="auto" w:fill="auto"/>
            <w:noWrap/>
            <w:vAlign w:val="bottom"/>
            <w:hideMark/>
          </w:tcPr>
          <w:p w:rsidR="0041147E" w:rsidRPr="001A0BCE" w:rsidRDefault="0041147E" w:rsidP="008F4251">
            <w:pPr>
              <w:jc w:val="right"/>
              <w:rPr>
                <w:rFonts w:eastAsia="Times New Roman" w:cs="Arial"/>
                <w:color w:val="000000"/>
                <w:szCs w:val="20"/>
                <w:lang w:eastAsia="pt-BR"/>
              </w:rPr>
            </w:pPr>
            <w:r w:rsidRPr="001A0BCE">
              <w:rPr>
                <w:rFonts w:eastAsia="Times New Roman" w:cs="Arial"/>
                <w:color w:val="000000"/>
                <w:szCs w:val="20"/>
                <w:lang w:eastAsia="pt-BR"/>
              </w:rPr>
              <w:t>10</w:t>
            </w:r>
          </w:p>
        </w:tc>
        <w:tc>
          <w:tcPr>
            <w:tcW w:w="2257" w:type="dxa"/>
            <w:tcBorders>
              <w:top w:val="nil"/>
              <w:left w:val="nil"/>
              <w:bottom w:val="nil"/>
              <w:right w:val="nil"/>
            </w:tcBorders>
            <w:shd w:val="clear" w:color="auto" w:fill="auto"/>
            <w:noWrap/>
            <w:vAlign w:val="bottom"/>
            <w:hideMark/>
          </w:tcPr>
          <w:p w:rsidR="0041147E" w:rsidRPr="001A0BCE" w:rsidRDefault="0041147E" w:rsidP="008F4251">
            <w:pPr>
              <w:jc w:val="right"/>
              <w:rPr>
                <w:rFonts w:eastAsia="Times New Roman" w:cs="Arial"/>
                <w:color w:val="000000"/>
                <w:szCs w:val="20"/>
                <w:lang w:eastAsia="pt-BR"/>
              </w:rPr>
            </w:pPr>
            <w:r w:rsidRPr="001A0BCE">
              <w:rPr>
                <w:rFonts w:eastAsia="Times New Roman" w:cs="Arial"/>
                <w:color w:val="000000"/>
                <w:szCs w:val="20"/>
                <w:lang w:eastAsia="pt-BR"/>
              </w:rPr>
              <w:t>10</w:t>
            </w:r>
          </w:p>
        </w:tc>
      </w:tr>
      <w:tr w:rsidR="0041147E" w:rsidRPr="001A0BCE" w:rsidTr="008F4251">
        <w:trPr>
          <w:trHeight w:val="258"/>
        </w:trPr>
        <w:tc>
          <w:tcPr>
            <w:tcW w:w="4888" w:type="dxa"/>
            <w:tcBorders>
              <w:top w:val="nil"/>
              <w:left w:val="nil"/>
              <w:bottom w:val="nil"/>
              <w:right w:val="nil"/>
            </w:tcBorders>
            <w:shd w:val="clear" w:color="000000" w:fill="D9D9D9"/>
            <w:vAlign w:val="center"/>
            <w:hideMark/>
          </w:tcPr>
          <w:p w:rsidR="0041147E" w:rsidRPr="001A0BCE" w:rsidRDefault="0041147E" w:rsidP="008F4251">
            <w:pPr>
              <w:jc w:val="left"/>
              <w:rPr>
                <w:rFonts w:eastAsia="Times New Roman" w:cs="Arial"/>
                <w:color w:val="000000"/>
                <w:szCs w:val="20"/>
                <w:lang w:eastAsia="pt-BR"/>
              </w:rPr>
            </w:pPr>
            <w:r w:rsidRPr="001A0BCE">
              <w:rPr>
                <w:rFonts w:eastAsia="Times New Roman" w:cs="Arial"/>
                <w:color w:val="000000"/>
                <w:szCs w:val="20"/>
                <w:lang w:eastAsia="pt-BR"/>
              </w:rPr>
              <w:t>Mobiliário em geral</w:t>
            </w:r>
          </w:p>
        </w:tc>
        <w:tc>
          <w:tcPr>
            <w:tcW w:w="1950" w:type="dxa"/>
            <w:tcBorders>
              <w:top w:val="nil"/>
              <w:left w:val="nil"/>
              <w:bottom w:val="nil"/>
              <w:right w:val="nil"/>
            </w:tcBorders>
            <w:shd w:val="clear" w:color="D9D9D9" w:fill="D9D9D9"/>
            <w:noWrap/>
            <w:vAlign w:val="bottom"/>
            <w:hideMark/>
          </w:tcPr>
          <w:p w:rsidR="0041147E" w:rsidRPr="001A0BCE" w:rsidRDefault="0041147E" w:rsidP="008F4251">
            <w:pPr>
              <w:jc w:val="right"/>
              <w:rPr>
                <w:rFonts w:eastAsia="Times New Roman" w:cs="Arial"/>
                <w:color w:val="000000"/>
                <w:szCs w:val="20"/>
                <w:lang w:eastAsia="pt-BR"/>
              </w:rPr>
            </w:pPr>
            <w:r w:rsidRPr="001A0BCE">
              <w:rPr>
                <w:rFonts w:eastAsia="Times New Roman" w:cs="Arial"/>
                <w:color w:val="000000"/>
                <w:szCs w:val="20"/>
                <w:lang w:eastAsia="pt-BR"/>
              </w:rPr>
              <w:t>10</w:t>
            </w:r>
          </w:p>
        </w:tc>
        <w:tc>
          <w:tcPr>
            <w:tcW w:w="2257" w:type="dxa"/>
            <w:tcBorders>
              <w:top w:val="nil"/>
              <w:left w:val="nil"/>
              <w:bottom w:val="nil"/>
              <w:right w:val="nil"/>
            </w:tcBorders>
            <w:shd w:val="clear" w:color="D9D9D9" w:fill="D9D9D9"/>
            <w:noWrap/>
            <w:vAlign w:val="bottom"/>
            <w:hideMark/>
          </w:tcPr>
          <w:p w:rsidR="0041147E" w:rsidRPr="001A0BCE" w:rsidRDefault="0041147E" w:rsidP="008F4251">
            <w:pPr>
              <w:jc w:val="right"/>
              <w:rPr>
                <w:rFonts w:eastAsia="Times New Roman" w:cs="Arial"/>
                <w:color w:val="000000"/>
                <w:szCs w:val="20"/>
                <w:lang w:eastAsia="pt-BR"/>
              </w:rPr>
            </w:pPr>
            <w:r w:rsidRPr="001A0BCE">
              <w:rPr>
                <w:rFonts w:eastAsia="Times New Roman" w:cs="Arial"/>
                <w:color w:val="000000"/>
                <w:szCs w:val="20"/>
                <w:lang w:eastAsia="pt-BR"/>
              </w:rPr>
              <w:t>10</w:t>
            </w:r>
          </w:p>
        </w:tc>
      </w:tr>
      <w:tr w:rsidR="0041147E" w:rsidRPr="001A0BCE" w:rsidTr="008F4251">
        <w:trPr>
          <w:trHeight w:val="258"/>
        </w:trPr>
        <w:tc>
          <w:tcPr>
            <w:tcW w:w="4888" w:type="dxa"/>
            <w:tcBorders>
              <w:top w:val="nil"/>
              <w:left w:val="nil"/>
              <w:bottom w:val="nil"/>
              <w:right w:val="nil"/>
            </w:tcBorders>
            <w:shd w:val="clear" w:color="auto" w:fill="auto"/>
            <w:vAlign w:val="center"/>
            <w:hideMark/>
          </w:tcPr>
          <w:p w:rsidR="0041147E" w:rsidRPr="001A0BCE" w:rsidRDefault="0041147E" w:rsidP="008F4251">
            <w:pPr>
              <w:jc w:val="left"/>
              <w:rPr>
                <w:rFonts w:eastAsia="Times New Roman" w:cs="Arial"/>
                <w:color w:val="000000"/>
                <w:szCs w:val="20"/>
                <w:lang w:eastAsia="pt-BR"/>
              </w:rPr>
            </w:pPr>
            <w:r w:rsidRPr="001A0BCE">
              <w:rPr>
                <w:rFonts w:eastAsia="Times New Roman" w:cs="Arial"/>
                <w:color w:val="000000"/>
                <w:szCs w:val="20"/>
                <w:lang w:eastAsia="pt-BR"/>
              </w:rPr>
              <w:t>Coleções e materiais bibliográficos</w:t>
            </w:r>
          </w:p>
        </w:tc>
        <w:tc>
          <w:tcPr>
            <w:tcW w:w="1950" w:type="dxa"/>
            <w:tcBorders>
              <w:top w:val="nil"/>
              <w:left w:val="nil"/>
              <w:bottom w:val="nil"/>
              <w:right w:val="nil"/>
            </w:tcBorders>
            <w:shd w:val="clear" w:color="auto" w:fill="auto"/>
            <w:noWrap/>
            <w:vAlign w:val="bottom"/>
            <w:hideMark/>
          </w:tcPr>
          <w:p w:rsidR="0041147E" w:rsidRPr="001A0BCE" w:rsidRDefault="0041147E" w:rsidP="008F4251">
            <w:pPr>
              <w:jc w:val="right"/>
              <w:rPr>
                <w:rFonts w:eastAsia="Times New Roman" w:cs="Arial"/>
                <w:color w:val="000000"/>
                <w:szCs w:val="20"/>
                <w:lang w:eastAsia="pt-BR"/>
              </w:rPr>
            </w:pPr>
            <w:r w:rsidRPr="001A0BCE">
              <w:rPr>
                <w:rFonts w:eastAsia="Times New Roman" w:cs="Arial"/>
                <w:color w:val="000000"/>
                <w:szCs w:val="20"/>
                <w:lang w:eastAsia="pt-BR"/>
              </w:rPr>
              <w:t>10</w:t>
            </w:r>
          </w:p>
        </w:tc>
        <w:tc>
          <w:tcPr>
            <w:tcW w:w="2257" w:type="dxa"/>
            <w:tcBorders>
              <w:top w:val="nil"/>
              <w:left w:val="nil"/>
              <w:bottom w:val="nil"/>
              <w:right w:val="nil"/>
            </w:tcBorders>
            <w:shd w:val="clear" w:color="auto" w:fill="auto"/>
            <w:noWrap/>
            <w:vAlign w:val="bottom"/>
            <w:hideMark/>
          </w:tcPr>
          <w:p w:rsidR="0041147E" w:rsidRPr="001A0BCE" w:rsidRDefault="0041147E" w:rsidP="008F4251">
            <w:pPr>
              <w:jc w:val="right"/>
              <w:rPr>
                <w:rFonts w:eastAsia="Times New Roman" w:cs="Arial"/>
                <w:color w:val="000000"/>
                <w:szCs w:val="20"/>
                <w:lang w:eastAsia="pt-BR"/>
              </w:rPr>
            </w:pPr>
            <w:r w:rsidRPr="001A0BCE">
              <w:rPr>
                <w:rFonts w:eastAsia="Times New Roman" w:cs="Arial"/>
                <w:color w:val="000000"/>
                <w:szCs w:val="20"/>
                <w:lang w:eastAsia="pt-BR"/>
              </w:rPr>
              <w:t>0</w:t>
            </w:r>
          </w:p>
        </w:tc>
      </w:tr>
      <w:tr w:rsidR="0041147E" w:rsidRPr="001A0BCE" w:rsidTr="008F4251">
        <w:trPr>
          <w:trHeight w:val="258"/>
        </w:trPr>
        <w:tc>
          <w:tcPr>
            <w:tcW w:w="4888" w:type="dxa"/>
            <w:tcBorders>
              <w:top w:val="nil"/>
              <w:left w:val="nil"/>
              <w:bottom w:val="nil"/>
              <w:right w:val="nil"/>
            </w:tcBorders>
            <w:shd w:val="clear" w:color="000000" w:fill="D9D9D9"/>
            <w:vAlign w:val="center"/>
            <w:hideMark/>
          </w:tcPr>
          <w:p w:rsidR="0041147E" w:rsidRPr="001A0BCE" w:rsidRDefault="0041147E" w:rsidP="008F4251">
            <w:pPr>
              <w:jc w:val="left"/>
              <w:rPr>
                <w:rFonts w:eastAsia="Times New Roman" w:cs="Arial"/>
                <w:color w:val="000000"/>
                <w:szCs w:val="20"/>
                <w:lang w:eastAsia="pt-BR"/>
              </w:rPr>
            </w:pPr>
            <w:r w:rsidRPr="001A0BCE">
              <w:rPr>
                <w:rFonts w:eastAsia="Times New Roman" w:cs="Arial"/>
                <w:color w:val="000000"/>
                <w:szCs w:val="20"/>
                <w:lang w:eastAsia="pt-BR"/>
              </w:rPr>
              <w:t>Equipamentos para áudio, vídeo e foto</w:t>
            </w:r>
          </w:p>
        </w:tc>
        <w:tc>
          <w:tcPr>
            <w:tcW w:w="1950" w:type="dxa"/>
            <w:tcBorders>
              <w:top w:val="nil"/>
              <w:left w:val="nil"/>
              <w:bottom w:val="nil"/>
              <w:right w:val="nil"/>
            </w:tcBorders>
            <w:shd w:val="clear" w:color="D9D9D9" w:fill="D9D9D9"/>
            <w:noWrap/>
            <w:vAlign w:val="bottom"/>
            <w:hideMark/>
          </w:tcPr>
          <w:p w:rsidR="0041147E" w:rsidRPr="001A0BCE" w:rsidRDefault="0041147E" w:rsidP="008F4251">
            <w:pPr>
              <w:jc w:val="right"/>
              <w:rPr>
                <w:rFonts w:eastAsia="Times New Roman" w:cs="Arial"/>
                <w:color w:val="000000"/>
                <w:szCs w:val="20"/>
                <w:lang w:eastAsia="pt-BR"/>
              </w:rPr>
            </w:pPr>
            <w:r w:rsidRPr="001A0BCE">
              <w:rPr>
                <w:rFonts w:eastAsia="Times New Roman" w:cs="Arial"/>
                <w:color w:val="000000"/>
                <w:szCs w:val="20"/>
                <w:lang w:eastAsia="pt-BR"/>
              </w:rPr>
              <w:t>10</w:t>
            </w:r>
          </w:p>
        </w:tc>
        <w:tc>
          <w:tcPr>
            <w:tcW w:w="2257" w:type="dxa"/>
            <w:tcBorders>
              <w:top w:val="nil"/>
              <w:left w:val="nil"/>
              <w:bottom w:val="nil"/>
              <w:right w:val="nil"/>
            </w:tcBorders>
            <w:shd w:val="clear" w:color="D9D9D9" w:fill="D9D9D9"/>
            <w:noWrap/>
            <w:vAlign w:val="bottom"/>
            <w:hideMark/>
          </w:tcPr>
          <w:p w:rsidR="0041147E" w:rsidRPr="001A0BCE" w:rsidRDefault="0041147E" w:rsidP="008F4251">
            <w:pPr>
              <w:jc w:val="right"/>
              <w:rPr>
                <w:rFonts w:eastAsia="Times New Roman" w:cs="Arial"/>
                <w:color w:val="000000"/>
                <w:szCs w:val="20"/>
                <w:lang w:eastAsia="pt-BR"/>
              </w:rPr>
            </w:pPr>
            <w:r w:rsidRPr="001A0BCE">
              <w:rPr>
                <w:rFonts w:eastAsia="Times New Roman" w:cs="Arial"/>
                <w:color w:val="000000"/>
                <w:szCs w:val="20"/>
                <w:lang w:eastAsia="pt-BR"/>
              </w:rPr>
              <w:t>10</w:t>
            </w:r>
          </w:p>
        </w:tc>
      </w:tr>
      <w:tr w:rsidR="0041147E" w:rsidRPr="001A0BCE" w:rsidTr="008F4251">
        <w:trPr>
          <w:trHeight w:val="258"/>
        </w:trPr>
        <w:tc>
          <w:tcPr>
            <w:tcW w:w="4888" w:type="dxa"/>
            <w:tcBorders>
              <w:top w:val="nil"/>
              <w:left w:val="nil"/>
              <w:bottom w:val="nil"/>
              <w:right w:val="nil"/>
            </w:tcBorders>
            <w:shd w:val="clear" w:color="auto" w:fill="auto"/>
            <w:vAlign w:val="center"/>
            <w:hideMark/>
          </w:tcPr>
          <w:p w:rsidR="0041147E" w:rsidRPr="001A0BCE" w:rsidRDefault="0041147E" w:rsidP="008F4251">
            <w:pPr>
              <w:jc w:val="left"/>
              <w:rPr>
                <w:rFonts w:eastAsia="Times New Roman" w:cs="Arial"/>
                <w:color w:val="000000"/>
                <w:szCs w:val="20"/>
                <w:lang w:eastAsia="pt-BR"/>
              </w:rPr>
            </w:pPr>
            <w:r w:rsidRPr="001A0BCE">
              <w:rPr>
                <w:rFonts w:eastAsia="Times New Roman" w:cs="Arial"/>
                <w:color w:val="000000"/>
                <w:szCs w:val="20"/>
                <w:lang w:eastAsia="pt-BR"/>
              </w:rPr>
              <w:t>Obras de arte e peças para exposição</w:t>
            </w:r>
          </w:p>
        </w:tc>
        <w:tc>
          <w:tcPr>
            <w:tcW w:w="1950" w:type="dxa"/>
            <w:tcBorders>
              <w:top w:val="nil"/>
              <w:left w:val="nil"/>
              <w:bottom w:val="nil"/>
              <w:right w:val="nil"/>
            </w:tcBorders>
            <w:shd w:val="clear" w:color="auto" w:fill="auto"/>
            <w:noWrap/>
            <w:vAlign w:val="bottom"/>
            <w:hideMark/>
          </w:tcPr>
          <w:p w:rsidR="0041147E" w:rsidRPr="001A0BCE" w:rsidRDefault="0041147E" w:rsidP="008F4251">
            <w:pPr>
              <w:jc w:val="right"/>
              <w:rPr>
                <w:rFonts w:eastAsia="Times New Roman" w:cs="Arial"/>
                <w:color w:val="000000"/>
                <w:szCs w:val="20"/>
                <w:lang w:eastAsia="pt-BR"/>
              </w:rPr>
            </w:pPr>
            <w:r w:rsidRPr="001A0BCE">
              <w:rPr>
                <w:rFonts w:eastAsia="Times New Roman" w:cs="Arial"/>
                <w:color w:val="000000"/>
                <w:szCs w:val="20"/>
                <w:lang w:eastAsia="pt-BR"/>
              </w:rPr>
              <w:t>Não se aplica</w:t>
            </w:r>
          </w:p>
        </w:tc>
        <w:tc>
          <w:tcPr>
            <w:tcW w:w="2257" w:type="dxa"/>
            <w:tcBorders>
              <w:top w:val="nil"/>
              <w:left w:val="nil"/>
              <w:bottom w:val="nil"/>
              <w:right w:val="nil"/>
            </w:tcBorders>
            <w:shd w:val="clear" w:color="auto" w:fill="auto"/>
            <w:noWrap/>
            <w:vAlign w:val="bottom"/>
            <w:hideMark/>
          </w:tcPr>
          <w:p w:rsidR="0041147E" w:rsidRPr="001A0BCE" w:rsidRDefault="0041147E" w:rsidP="008F4251">
            <w:pPr>
              <w:jc w:val="right"/>
              <w:rPr>
                <w:rFonts w:eastAsia="Times New Roman" w:cs="Arial"/>
                <w:color w:val="000000"/>
                <w:szCs w:val="20"/>
                <w:lang w:eastAsia="pt-BR"/>
              </w:rPr>
            </w:pPr>
            <w:r w:rsidRPr="001A0BCE">
              <w:rPr>
                <w:rFonts w:eastAsia="Times New Roman" w:cs="Arial"/>
                <w:color w:val="000000"/>
                <w:szCs w:val="20"/>
                <w:lang w:eastAsia="pt-BR"/>
              </w:rPr>
              <w:t>Não se aplica</w:t>
            </w:r>
          </w:p>
        </w:tc>
      </w:tr>
      <w:tr w:rsidR="0041147E" w:rsidRPr="001A0BCE" w:rsidTr="008F4251">
        <w:trPr>
          <w:trHeight w:val="258"/>
        </w:trPr>
        <w:tc>
          <w:tcPr>
            <w:tcW w:w="4888" w:type="dxa"/>
            <w:tcBorders>
              <w:top w:val="nil"/>
              <w:left w:val="nil"/>
              <w:bottom w:val="nil"/>
              <w:right w:val="nil"/>
            </w:tcBorders>
            <w:shd w:val="clear" w:color="000000" w:fill="D9D9D9"/>
            <w:vAlign w:val="center"/>
            <w:hideMark/>
          </w:tcPr>
          <w:p w:rsidR="0041147E" w:rsidRPr="001A0BCE" w:rsidRDefault="0041147E" w:rsidP="008F4251">
            <w:pPr>
              <w:jc w:val="left"/>
              <w:rPr>
                <w:rFonts w:eastAsia="Times New Roman" w:cs="Arial"/>
                <w:color w:val="000000"/>
                <w:szCs w:val="20"/>
                <w:lang w:eastAsia="pt-BR"/>
              </w:rPr>
            </w:pPr>
            <w:r w:rsidRPr="001A0BCE">
              <w:rPr>
                <w:rFonts w:eastAsia="Times New Roman" w:cs="Arial"/>
                <w:color w:val="000000"/>
                <w:szCs w:val="20"/>
                <w:lang w:eastAsia="pt-BR"/>
              </w:rPr>
              <w:t>Veículos em geral</w:t>
            </w:r>
          </w:p>
        </w:tc>
        <w:tc>
          <w:tcPr>
            <w:tcW w:w="1950" w:type="dxa"/>
            <w:tcBorders>
              <w:top w:val="nil"/>
              <w:left w:val="nil"/>
              <w:bottom w:val="nil"/>
              <w:right w:val="nil"/>
            </w:tcBorders>
            <w:shd w:val="clear" w:color="D9D9D9" w:fill="D9D9D9"/>
            <w:noWrap/>
            <w:vAlign w:val="bottom"/>
            <w:hideMark/>
          </w:tcPr>
          <w:p w:rsidR="0041147E" w:rsidRPr="001A0BCE" w:rsidRDefault="0041147E" w:rsidP="008F4251">
            <w:pPr>
              <w:jc w:val="right"/>
              <w:rPr>
                <w:rFonts w:eastAsia="Times New Roman" w:cs="Arial"/>
                <w:color w:val="000000"/>
                <w:szCs w:val="20"/>
                <w:lang w:eastAsia="pt-BR"/>
              </w:rPr>
            </w:pPr>
            <w:r w:rsidRPr="001A0BCE">
              <w:rPr>
                <w:rFonts w:eastAsia="Times New Roman" w:cs="Arial"/>
                <w:color w:val="000000"/>
                <w:szCs w:val="20"/>
                <w:lang w:eastAsia="pt-BR"/>
              </w:rPr>
              <w:t>15</w:t>
            </w:r>
          </w:p>
        </w:tc>
        <w:tc>
          <w:tcPr>
            <w:tcW w:w="2257" w:type="dxa"/>
            <w:tcBorders>
              <w:top w:val="nil"/>
              <w:left w:val="nil"/>
              <w:bottom w:val="nil"/>
              <w:right w:val="nil"/>
            </w:tcBorders>
            <w:shd w:val="clear" w:color="D9D9D9" w:fill="D9D9D9"/>
            <w:noWrap/>
            <w:vAlign w:val="bottom"/>
            <w:hideMark/>
          </w:tcPr>
          <w:p w:rsidR="0041147E" w:rsidRPr="001A0BCE" w:rsidRDefault="0041147E" w:rsidP="008F4251">
            <w:pPr>
              <w:jc w:val="right"/>
              <w:rPr>
                <w:rFonts w:eastAsia="Times New Roman" w:cs="Arial"/>
                <w:color w:val="000000"/>
                <w:szCs w:val="20"/>
                <w:lang w:eastAsia="pt-BR"/>
              </w:rPr>
            </w:pPr>
            <w:r w:rsidRPr="001A0BCE">
              <w:rPr>
                <w:rFonts w:eastAsia="Times New Roman" w:cs="Arial"/>
                <w:color w:val="000000"/>
                <w:szCs w:val="20"/>
                <w:lang w:eastAsia="pt-BR"/>
              </w:rPr>
              <w:t>10</w:t>
            </w:r>
          </w:p>
        </w:tc>
      </w:tr>
      <w:tr w:rsidR="0041147E" w:rsidRPr="001A0BCE" w:rsidTr="008F4251">
        <w:trPr>
          <w:trHeight w:val="258"/>
        </w:trPr>
        <w:tc>
          <w:tcPr>
            <w:tcW w:w="4888" w:type="dxa"/>
            <w:tcBorders>
              <w:top w:val="nil"/>
              <w:left w:val="nil"/>
              <w:bottom w:val="nil"/>
              <w:right w:val="nil"/>
            </w:tcBorders>
            <w:shd w:val="clear" w:color="auto" w:fill="auto"/>
            <w:vAlign w:val="center"/>
            <w:hideMark/>
          </w:tcPr>
          <w:p w:rsidR="0041147E" w:rsidRPr="001A0BCE" w:rsidRDefault="0041147E" w:rsidP="008F4251">
            <w:pPr>
              <w:jc w:val="left"/>
              <w:rPr>
                <w:rFonts w:eastAsia="Times New Roman" w:cs="Arial"/>
                <w:color w:val="000000"/>
                <w:szCs w:val="20"/>
                <w:lang w:eastAsia="pt-BR"/>
              </w:rPr>
            </w:pPr>
            <w:r w:rsidRPr="001A0BCE">
              <w:rPr>
                <w:rFonts w:eastAsia="Times New Roman" w:cs="Arial"/>
                <w:color w:val="000000"/>
                <w:szCs w:val="20"/>
                <w:lang w:eastAsia="pt-BR"/>
              </w:rPr>
              <w:t>Veículos de tração mecânica</w:t>
            </w:r>
          </w:p>
        </w:tc>
        <w:tc>
          <w:tcPr>
            <w:tcW w:w="1950" w:type="dxa"/>
            <w:tcBorders>
              <w:top w:val="nil"/>
              <w:left w:val="nil"/>
              <w:bottom w:val="nil"/>
              <w:right w:val="nil"/>
            </w:tcBorders>
            <w:shd w:val="clear" w:color="auto" w:fill="auto"/>
            <w:noWrap/>
            <w:vAlign w:val="bottom"/>
            <w:hideMark/>
          </w:tcPr>
          <w:p w:rsidR="0041147E" w:rsidRPr="001A0BCE" w:rsidRDefault="0041147E" w:rsidP="008F4251">
            <w:pPr>
              <w:jc w:val="right"/>
              <w:rPr>
                <w:rFonts w:eastAsia="Times New Roman" w:cs="Arial"/>
                <w:color w:val="000000"/>
                <w:szCs w:val="20"/>
                <w:lang w:eastAsia="pt-BR"/>
              </w:rPr>
            </w:pPr>
            <w:r w:rsidRPr="001A0BCE">
              <w:rPr>
                <w:rFonts w:eastAsia="Times New Roman" w:cs="Arial"/>
                <w:color w:val="000000"/>
                <w:szCs w:val="20"/>
                <w:lang w:eastAsia="pt-BR"/>
              </w:rPr>
              <w:t>15</w:t>
            </w:r>
          </w:p>
        </w:tc>
        <w:tc>
          <w:tcPr>
            <w:tcW w:w="2257" w:type="dxa"/>
            <w:tcBorders>
              <w:top w:val="nil"/>
              <w:left w:val="nil"/>
              <w:bottom w:val="nil"/>
              <w:right w:val="nil"/>
            </w:tcBorders>
            <w:shd w:val="clear" w:color="auto" w:fill="auto"/>
            <w:noWrap/>
            <w:vAlign w:val="bottom"/>
            <w:hideMark/>
          </w:tcPr>
          <w:p w:rsidR="0041147E" w:rsidRPr="001A0BCE" w:rsidRDefault="0041147E" w:rsidP="008F4251">
            <w:pPr>
              <w:jc w:val="right"/>
              <w:rPr>
                <w:rFonts w:eastAsia="Times New Roman" w:cs="Arial"/>
                <w:color w:val="000000"/>
                <w:szCs w:val="20"/>
                <w:lang w:eastAsia="pt-BR"/>
              </w:rPr>
            </w:pPr>
            <w:r w:rsidRPr="001A0BCE">
              <w:rPr>
                <w:rFonts w:eastAsia="Times New Roman" w:cs="Arial"/>
                <w:color w:val="000000"/>
                <w:szCs w:val="20"/>
                <w:lang w:eastAsia="pt-BR"/>
              </w:rPr>
              <w:t>10</w:t>
            </w:r>
          </w:p>
        </w:tc>
      </w:tr>
      <w:tr w:rsidR="0041147E" w:rsidRPr="001A0BCE" w:rsidTr="008F4251">
        <w:trPr>
          <w:trHeight w:val="258"/>
        </w:trPr>
        <w:tc>
          <w:tcPr>
            <w:tcW w:w="4888" w:type="dxa"/>
            <w:tcBorders>
              <w:top w:val="nil"/>
              <w:left w:val="nil"/>
              <w:bottom w:val="nil"/>
              <w:right w:val="nil"/>
            </w:tcBorders>
            <w:shd w:val="clear" w:color="000000" w:fill="D9D9D9"/>
            <w:vAlign w:val="center"/>
            <w:hideMark/>
          </w:tcPr>
          <w:p w:rsidR="0041147E" w:rsidRPr="001A0BCE" w:rsidRDefault="0041147E" w:rsidP="008F4251">
            <w:pPr>
              <w:jc w:val="left"/>
              <w:rPr>
                <w:rFonts w:eastAsia="Times New Roman" w:cs="Arial"/>
                <w:color w:val="000000"/>
                <w:szCs w:val="20"/>
                <w:lang w:eastAsia="pt-BR"/>
              </w:rPr>
            </w:pPr>
            <w:r w:rsidRPr="001A0BCE">
              <w:rPr>
                <w:rFonts w:eastAsia="Times New Roman" w:cs="Arial"/>
                <w:color w:val="000000"/>
                <w:szCs w:val="20"/>
                <w:lang w:eastAsia="pt-BR"/>
              </w:rPr>
              <w:t>Aeronaves</w:t>
            </w:r>
          </w:p>
        </w:tc>
        <w:tc>
          <w:tcPr>
            <w:tcW w:w="1950" w:type="dxa"/>
            <w:tcBorders>
              <w:top w:val="nil"/>
              <w:left w:val="nil"/>
              <w:bottom w:val="nil"/>
              <w:right w:val="nil"/>
            </w:tcBorders>
            <w:shd w:val="clear" w:color="D9D9D9" w:fill="D9D9D9"/>
            <w:noWrap/>
            <w:vAlign w:val="bottom"/>
            <w:hideMark/>
          </w:tcPr>
          <w:p w:rsidR="0041147E" w:rsidRPr="001A0BCE" w:rsidRDefault="0041147E" w:rsidP="008F4251">
            <w:pPr>
              <w:jc w:val="right"/>
              <w:rPr>
                <w:rFonts w:eastAsia="Times New Roman" w:cs="Arial"/>
                <w:color w:val="000000"/>
                <w:szCs w:val="20"/>
                <w:lang w:eastAsia="pt-BR"/>
              </w:rPr>
            </w:pPr>
            <w:r w:rsidRPr="001A0BCE">
              <w:rPr>
                <w:rFonts w:eastAsia="Times New Roman" w:cs="Arial"/>
                <w:color w:val="000000"/>
                <w:szCs w:val="20"/>
                <w:lang w:eastAsia="pt-BR"/>
              </w:rPr>
              <w:t>10</w:t>
            </w:r>
          </w:p>
        </w:tc>
        <w:tc>
          <w:tcPr>
            <w:tcW w:w="2257" w:type="dxa"/>
            <w:tcBorders>
              <w:top w:val="nil"/>
              <w:left w:val="nil"/>
              <w:bottom w:val="nil"/>
              <w:right w:val="nil"/>
            </w:tcBorders>
            <w:shd w:val="clear" w:color="D9D9D9" w:fill="D9D9D9"/>
            <w:noWrap/>
            <w:vAlign w:val="bottom"/>
            <w:hideMark/>
          </w:tcPr>
          <w:p w:rsidR="0041147E" w:rsidRPr="001A0BCE" w:rsidRDefault="0041147E" w:rsidP="008F4251">
            <w:pPr>
              <w:jc w:val="right"/>
              <w:rPr>
                <w:rFonts w:eastAsia="Times New Roman" w:cs="Arial"/>
                <w:color w:val="000000"/>
                <w:szCs w:val="20"/>
                <w:lang w:eastAsia="pt-BR"/>
              </w:rPr>
            </w:pPr>
            <w:r w:rsidRPr="001A0BCE">
              <w:rPr>
                <w:rFonts w:eastAsia="Times New Roman" w:cs="Arial"/>
                <w:color w:val="000000"/>
                <w:szCs w:val="20"/>
                <w:lang w:eastAsia="pt-BR"/>
              </w:rPr>
              <w:t>10</w:t>
            </w:r>
          </w:p>
        </w:tc>
      </w:tr>
      <w:tr w:rsidR="0041147E" w:rsidRPr="001A0BCE" w:rsidTr="008F4251">
        <w:trPr>
          <w:trHeight w:val="258"/>
        </w:trPr>
        <w:tc>
          <w:tcPr>
            <w:tcW w:w="4888" w:type="dxa"/>
            <w:tcBorders>
              <w:top w:val="nil"/>
              <w:left w:val="nil"/>
              <w:bottom w:val="nil"/>
              <w:right w:val="nil"/>
            </w:tcBorders>
            <w:shd w:val="clear" w:color="auto" w:fill="auto"/>
            <w:vAlign w:val="center"/>
            <w:hideMark/>
          </w:tcPr>
          <w:p w:rsidR="0041147E" w:rsidRPr="001A0BCE" w:rsidRDefault="0041147E" w:rsidP="008F4251">
            <w:pPr>
              <w:jc w:val="left"/>
              <w:rPr>
                <w:rFonts w:eastAsia="Times New Roman" w:cs="Arial"/>
                <w:color w:val="000000"/>
                <w:szCs w:val="20"/>
                <w:lang w:eastAsia="pt-BR"/>
              </w:rPr>
            </w:pPr>
            <w:r w:rsidRPr="001A0BCE">
              <w:rPr>
                <w:rFonts w:eastAsia="Times New Roman" w:cs="Arial"/>
                <w:color w:val="000000"/>
                <w:szCs w:val="20"/>
                <w:lang w:eastAsia="pt-BR"/>
              </w:rPr>
              <w:t>Pecas não incorporáveis a imóveis</w:t>
            </w:r>
          </w:p>
        </w:tc>
        <w:tc>
          <w:tcPr>
            <w:tcW w:w="1950" w:type="dxa"/>
            <w:tcBorders>
              <w:top w:val="nil"/>
              <w:left w:val="nil"/>
              <w:bottom w:val="nil"/>
              <w:right w:val="nil"/>
            </w:tcBorders>
            <w:shd w:val="clear" w:color="auto" w:fill="auto"/>
            <w:noWrap/>
            <w:vAlign w:val="bottom"/>
            <w:hideMark/>
          </w:tcPr>
          <w:p w:rsidR="0041147E" w:rsidRPr="001A0BCE" w:rsidRDefault="0041147E" w:rsidP="008F4251">
            <w:pPr>
              <w:jc w:val="right"/>
              <w:rPr>
                <w:rFonts w:eastAsia="Times New Roman" w:cs="Arial"/>
                <w:color w:val="000000"/>
                <w:szCs w:val="20"/>
                <w:lang w:eastAsia="pt-BR"/>
              </w:rPr>
            </w:pPr>
            <w:r w:rsidRPr="001A0BCE">
              <w:rPr>
                <w:rFonts w:eastAsia="Times New Roman" w:cs="Arial"/>
                <w:color w:val="000000"/>
                <w:szCs w:val="20"/>
                <w:lang w:eastAsia="pt-BR"/>
              </w:rPr>
              <w:t>10</w:t>
            </w:r>
          </w:p>
        </w:tc>
        <w:tc>
          <w:tcPr>
            <w:tcW w:w="2257" w:type="dxa"/>
            <w:tcBorders>
              <w:top w:val="nil"/>
              <w:left w:val="nil"/>
              <w:bottom w:val="nil"/>
              <w:right w:val="nil"/>
            </w:tcBorders>
            <w:shd w:val="clear" w:color="auto" w:fill="auto"/>
            <w:noWrap/>
            <w:vAlign w:val="bottom"/>
            <w:hideMark/>
          </w:tcPr>
          <w:p w:rsidR="0041147E" w:rsidRPr="001A0BCE" w:rsidRDefault="0041147E" w:rsidP="008F4251">
            <w:pPr>
              <w:jc w:val="right"/>
              <w:rPr>
                <w:rFonts w:eastAsia="Times New Roman" w:cs="Arial"/>
                <w:color w:val="000000"/>
                <w:szCs w:val="20"/>
                <w:lang w:eastAsia="pt-BR"/>
              </w:rPr>
            </w:pPr>
            <w:r w:rsidRPr="001A0BCE">
              <w:rPr>
                <w:rFonts w:eastAsia="Times New Roman" w:cs="Arial"/>
                <w:color w:val="000000"/>
                <w:szCs w:val="20"/>
                <w:lang w:eastAsia="pt-BR"/>
              </w:rPr>
              <w:t>10</w:t>
            </w:r>
          </w:p>
        </w:tc>
      </w:tr>
      <w:tr w:rsidR="0041147E" w:rsidRPr="001A0BCE" w:rsidTr="008F4251">
        <w:trPr>
          <w:trHeight w:val="258"/>
        </w:trPr>
        <w:tc>
          <w:tcPr>
            <w:tcW w:w="4888" w:type="dxa"/>
            <w:tcBorders>
              <w:top w:val="nil"/>
              <w:left w:val="nil"/>
              <w:bottom w:val="single" w:sz="4" w:space="0" w:color="000000"/>
              <w:right w:val="nil"/>
            </w:tcBorders>
            <w:shd w:val="clear" w:color="000000" w:fill="D9D9D9"/>
            <w:vAlign w:val="center"/>
            <w:hideMark/>
          </w:tcPr>
          <w:p w:rsidR="0041147E" w:rsidRPr="001A0BCE" w:rsidRDefault="0041147E" w:rsidP="008F4251">
            <w:pPr>
              <w:jc w:val="left"/>
              <w:rPr>
                <w:rFonts w:eastAsia="Times New Roman" w:cs="Arial"/>
                <w:color w:val="000000"/>
                <w:szCs w:val="20"/>
                <w:lang w:eastAsia="pt-BR"/>
              </w:rPr>
            </w:pPr>
            <w:r w:rsidRPr="001A0BCE">
              <w:rPr>
                <w:rFonts w:eastAsia="Times New Roman" w:cs="Arial"/>
                <w:color w:val="000000"/>
                <w:szCs w:val="20"/>
                <w:lang w:eastAsia="pt-BR"/>
              </w:rPr>
              <w:t>Material de uso duradouro</w:t>
            </w:r>
          </w:p>
        </w:tc>
        <w:tc>
          <w:tcPr>
            <w:tcW w:w="1950" w:type="dxa"/>
            <w:tcBorders>
              <w:top w:val="nil"/>
              <w:left w:val="nil"/>
              <w:bottom w:val="single" w:sz="4" w:space="0" w:color="000000"/>
              <w:right w:val="nil"/>
            </w:tcBorders>
            <w:shd w:val="clear" w:color="D9D9D9" w:fill="D9D9D9"/>
            <w:noWrap/>
            <w:vAlign w:val="bottom"/>
            <w:hideMark/>
          </w:tcPr>
          <w:p w:rsidR="0041147E" w:rsidRPr="001A0BCE" w:rsidRDefault="0041147E" w:rsidP="008F4251">
            <w:pPr>
              <w:jc w:val="right"/>
              <w:rPr>
                <w:rFonts w:eastAsia="Times New Roman" w:cs="Arial"/>
                <w:color w:val="000000"/>
                <w:szCs w:val="20"/>
                <w:lang w:eastAsia="pt-BR"/>
              </w:rPr>
            </w:pPr>
            <w:r w:rsidRPr="001A0BCE">
              <w:rPr>
                <w:rFonts w:eastAsia="Times New Roman" w:cs="Arial"/>
                <w:color w:val="000000"/>
                <w:szCs w:val="20"/>
                <w:lang w:eastAsia="pt-BR"/>
              </w:rPr>
              <w:t>Não se aplica</w:t>
            </w:r>
          </w:p>
        </w:tc>
        <w:tc>
          <w:tcPr>
            <w:tcW w:w="2257" w:type="dxa"/>
            <w:tcBorders>
              <w:top w:val="nil"/>
              <w:left w:val="nil"/>
              <w:bottom w:val="single" w:sz="4" w:space="0" w:color="000000"/>
              <w:right w:val="nil"/>
            </w:tcBorders>
            <w:shd w:val="clear" w:color="D9D9D9" w:fill="D9D9D9"/>
            <w:noWrap/>
            <w:vAlign w:val="bottom"/>
            <w:hideMark/>
          </w:tcPr>
          <w:p w:rsidR="0041147E" w:rsidRPr="001A0BCE" w:rsidRDefault="0041147E" w:rsidP="008F4251">
            <w:pPr>
              <w:jc w:val="right"/>
              <w:rPr>
                <w:rFonts w:eastAsia="Times New Roman" w:cs="Arial"/>
                <w:color w:val="000000"/>
                <w:szCs w:val="20"/>
                <w:lang w:eastAsia="pt-BR"/>
              </w:rPr>
            </w:pPr>
            <w:r w:rsidRPr="001A0BCE">
              <w:rPr>
                <w:rFonts w:eastAsia="Times New Roman" w:cs="Arial"/>
                <w:color w:val="000000"/>
                <w:szCs w:val="20"/>
                <w:lang w:eastAsia="pt-BR"/>
              </w:rPr>
              <w:t>Não se aplica</w:t>
            </w:r>
          </w:p>
        </w:tc>
      </w:tr>
    </w:tbl>
    <w:p w:rsidR="0041147E" w:rsidRPr="001A0BCE" w:rsidRDefault="0041147E" w:rsidP="0041147E">
      <w:pPr>
        <w:rPr>
          <w:rFonts w:cs="Arial"/>
          <w:i/>
          <w:szCs w:val="20"/>
        </w:rPr>
      </w:pPr>
      <w:r w:rsidRPr="001A0BCE">
        <w:rPr>
          <w:rFonts w:cs="Arial"/>
          <w:i/>
          <w:szCs w:val="20"/>
        </w:rPr>
        <w:t xml:space="preserve">Fonte: </w:t>
      </w:r>
      <w:r>
        <w:rPr>
          <w:rFonts w:cs="Arial"/>
          <w:i/>
          <w:szCs w:val="20"/>
        </w:rPr>
        <w:t>Manual SIAFI</w:t>
      </w:r>
      <w:r w:rsidRPr="001A0BCE">
        <w:rPr>
          <w:rFonts w:cs="Arial"/>
          <w:i/>
          <w:szCs w:val="20"/>
        </w:rPr>
        <w:t>.</w:t>
      </w:r>
    </w:p>
    <w:p w:rsidR="0041147E" w:rsidRPr="00DE7449" w:rsidRDefault="0041147E" w:rsidP="0041147E">
      <w:pPr>
        <w:rPr>
          <w:rFonts w:cs="Arial"/>
          <w:sz w:val="22"/>
        </w:rPr>
      </w:pPr>
    </w:p>
    <w:p w:rsidR="0041147E" w:rsidRDefault="0041147E" w:rsidP="0041147E">
      <w:pPr>
        <w:rPr>
          <w:rFonts w:cs="Arial"/>
          <w:sz w:val="22"/>
        </w:rPr>
      </w:pPr>
      <w:r>
        <w:rPr>
          <w:rFonts w:cs="Arial"/>
          <w:sz w:val="22"/>
        </w:rPr>
        <w:t>No ano de 2019, envidamos esforços para corrigir as falhas no RMB da UG 323031, c</w:t>
      </w:r>
      <w:r w:rsidRPr="00DE7449">
        <w:rPr>
          <w:rFonts w:cs="Arial"/>
          <w:sz w:val="22"/>
        </w:rPr>
        <w:t xml:space="preserve">ontudo, algumas falhas </w:t>
      </w:r>
      <w:r>
        <w:rPr>
          <w:rFonts w:cs="Arial"/>
          <w:sz w:val="22"/>
        </w:rPr>
        <w:t>ainda persistem no fechamento d</w:t>
      </w:r>
      <w:r w:rsidRPr="00DE7449">
        <w:rPr>
          <w:rFonts w:cs="Arial"/>
          <w:sz w:val="22"/>
        </w:rPr>
        <w:t>e 201</w:t>
      </w:r>
      <w:r>
        <w:rPr>
          <w:rFonts w:cs="Arial"/>
          <w:sz w:val="22"/>
        </w:rPr>
        <w:t>9. Com isso</w:t>
      </w:r>
      <w:r w:rsidRPr="00DE7449">
        <w:rPr>
          <w:rFonts w:cs="Arial"/>
          <w:sz w:val="22"/>
        </w:rPr>
        <w:t>, e</w:t>
      </w:r>
      <w:r>
        <w:rPr>
          <w:rFonts w:cs="Arial"/>
          <w:sz w:val="22"/>
        </w:rPr>
        <w:t>m conjunto com o setor de Patrimônio, e</w:t>
      </w:r>
      <w:r w:rsidRPr="00DE7449">
        <w:rPr>
          <w:rFonts w:cs="Arial"/>
          <w:sz w:val="22"/>
        </w:rPr>
        <w:t xml:space="preserve">stamos </w:t>
      </w:r>
      <w:r>
        <w:rPr>
          <w:rFonts w:cs="Arial"/>
          <w:sz w:val="22"/>
        </w:rPr>
        <w:t>f</w:t>
      </w:r>
      <w:r w:rsidRPr="00DE7449">
        <w:rPr>
          <w:rFonts w:cs="Arial"/>
          <w:sz w:val="22"/>
        </w:rPr>
        <w:t xml:space="preserve">azendo </w:t>
      </w:r>
      <w:r>
        <w:rPr>
          <w:rFonts w:cs="Arial"/>
          <w:sz w:val="22"/>
        </w:rPr>
        <w:t xml:space="preserve">os ajustes de </w:t>
      </w:r>
      <w:r w:rsidRPr="000E0EFA">
        <w:rPr>
          <w:rFonts w:cs="Arial"/>
          <w:sz w:val="22"/>
        </w:rPr>
        <w:t xml:space="preserve">algumas contas contábeis </w:t>
      </w:r>
      <w:r>
        <w:rPr>
          <w:rFonts w:cs="Arial"/>
          <w:sz w:val="22"/>
        </w:rPr>
        <w:t>p</w:t>
      </w:r>
      <w:r w:rsidRPr="00DE7449">
        <w:rPr>
          <w:rFonts w:cs="Arial"/>
          <w:sz w:val="22"/>
        </w:rPr>
        <w:t xml:space="preserve">ara corrigir </w:t>
      </w:r>
      <w:r>
        <w:rPr>
          <w:rFonts w:cs="Arial"/>
          <w:sz w:val="22"/>
        </w:rPr>
        <w:t xml:space="preserve">os itens em desacordo e </w:t>
      </w:r>
      <w:r w:rsidRPr="00DE7449">
        <w:rPr>
          <w:rFonts w:cs="Arial"/>
          <w:sz w:val="22"/>
        </w:rPr>
        <w:t>alguns valores que se apresentam distorcidos, seja</w:t>
      </w:r>
      <w:r>
        <w:rPr>
          <w:rFonts w:cs="Arial"/>
          <w:sz w:val="22"/>
        </w:rPr>
        <w:t>m</w:t>
      </w:r>
      <w:r w:rsidRPr="00DE7449">
        <w:rPr>
          <w:rFonts w:cs="Arial"/>
          <w:sz w:val="22"/>
        </w:rPr>
        <w:t xml:space="preserve"> por falta de registro, sejam por critério contábil utilizado de forma diversa</w:t>
      </w:r>
      <w:r>
        <w:rPr>
          <w:rFonts w:cs="Arial"/>
          <w:sz w:val="22"/>
        </w:rPr>
        <w:t xml:space="preserve"> da norma</w:t>
      </w:r>
      <w:r w:rsidRPr="00DE7449">
        <w:rPr>
          <w:rFonts w:cs="Arial"/>
          <w:sz w:val="22"/>
        </w:rPr>
        <w:t xml:space="preserve">. </w:t>
      </w:r>
    </w:p>
    <w:p w:rsidR="0041147E" w:rsidRDefault="0041147E" w:rsidP="0041147E">
      <w:pPr>
        <w:rPr>
          <w:rFonts w:cs="Arial"/>
          <w:sz w:val="22"/>
        </w:rPr>
      </w:pPr>
    </w:p>
    <w:p w:rsidR="0041147E" w:rsidRPr="00DE7449" w:rsidRDefault="0041147E" w:rsidP="0041147E">
      <w:pPr>
        <w:rPr>
          <w:rFonts w:cs="Arial"/>
          <w:sz w:val="22"/>
        </w:rPr>
      </w:pPr>
      <w:r w:rsidRPr="00DE7449">
        <w:rPr>
          <w:rFonts w:cs="Arial"/>
          <w:sz w:val="22"/>
        </w:rPr>
        <w:t>Outo fato relevante é que os bens adquiridos anteriormente ao ano de 2010 não estão sendo depreciados e os bens que já se encontram totalmente depreciados ou registrados por valor simbólico devido ao feito monetário do plano real</w:t>
      </w:r>
      <w:r>
        <w:rPr>
          <w:rFonts w:cs="Arial"/>
          <w:sz w:val="22"/>
        </w:rPr>
        <w:t xml:space="preserve"> (1994), ainda não foram reavaliados o que, ao serem acertados no futuro, poderão gerar impactos significativos nas contas de bens móveis. </w:t>
      </w:r>
    </w:p>
    <w:p w:rsidR="0041147E" w:rsidRDefault="0041147E" w:rsidP="0041147E">
      <w:pPr>
        <w:rPr>
          <w:rFonts w:cs="Arial"/>
          <w:b/>
          <w:sz w:val="22"/>
        </w:rPr>
      </w:pPr>
    </w:p>
    <w:p w:rsidR="0041147E" w:rsidRDefault="0041147E" w:rsidP="0041147E">
      <w:pPr>
        <w:spacing w:after="160" w:line="259" w:lineRule="auto"/>
        <w:jc w:val="left"/>
        <w:rPr>
          <w:rFonts w:cs="Arial"/>
          <w:b/>
          <w:sz w:val="22"/>
        </w:rPr>
      </w:pPr>
      <w:r>
        <w:rPr>
          <w:rFonts w:cs="Arial"/>
          <w:b/>
          <w:sz w:val="22"/>
        </w:rPr>
        <w:br w:type="page"/>
      </w:r>
    </w:p>
    <w:p w:rsidR="0041147E" w:rsidRPr="0037110A" w:rsidRDefault="0041147E" w:rsidP="0041147E">
      <w:pPr>
        <w:rPr>
          <w:rFonts w:cs="Arial"/>
          <w:b/>
          <w:sz w:val="22"/>
        </w:rPr>
      </w:pPr>
      <w:r w:rsidRPr="0037110A">
        <w:rPr>
          <w:rFonts w:cs="Arial"/>
          <w:b/>
          <w:sz w:val="22"/>
        </w:rPr>
        <w:lastRenderedPageBreak/>
        <w:t>Bens Imóveis</w:t>
      </w:r>
    </w:p>
    <w:p w:rsidR="0041147E" w:rsidRPr="0037110A" w:rsidRDefault="0041147E" w:rsidP="0041147E">
      <w:pPr>
        <w:rPr>
          <w:rFonts w:cs="Arial"/>
          <w:sz w:val="22"/>
        </w:rPr>
      </w:pPr>
    </w:p>
    <w:p w:rsidR="0041147E" w:rsidRPr="0037110A" w:rsidRDefault="0041147E" w:rsidP="0041147E">
      <w:pPr>
        <w:rPr>
          <w:rFonts w:cs="Arial"/>
          <w:sz w:val="22"/>
        </w:rPr>
      </w:pPr>
      <w:r w:rsidRPr="0037110A">
        <w:rPr>
          <w:rFonts w:cs="Arial"/>
          <w:sz w:val="22"/>
        </w:rPr>
        <w:t>Os Bens Imóveis da AN</w:t>
      </w:r>
      <w:r>
        <w:rPr>
          <w:rFonts w:cs="Arial"/>
          <w:sz w:val="22"/>
        </w:rPr>
        <w:t>P</w:t>
      </w:r>
      <w:r w:rsidRPr="0037110A">
        <w:rPr>
          <w:rFonts w:cs="Arial"/>
          <w:sz w:val="22"/>
        </w:rPr>
        <w:t xml:space="preserve"> em 3</w:t>
      </w:r>
      <w:r>
        <w:rPr>
          <w:rFonts w:cs="Arial"/>
          <w:sz w:val="22"/>
        </w:rPr>
        <w:t>1</w:t>
      </w:r>
      <w:r w:rsidRPr="0037110A">
        <w:rPr>
          <w:rFonts w:cs="Arial"/>
          <w:sz w:val="22"/>
        </w:rPr>
        <w:t>/</w:t>
      </w:r>
      <w:r>
        <w:rPr>
          <w:rFonts w:cs="Arial"/>
          <w:sz w:val="22"/>
        </w:rPr>
        <w:t>12</w:t>
      </w:r>
      <w:r w:rsidRPr="0037110A">
        <w:rPr>
          <w:rFonts w:cs="Arial"/>
          <w:sz w:val="22"/>
        </w:rPr>
        <w:t>/201</w:t>
      </w:r>
      <w:r>
        <w:rPr>
          <w:rFonts w:cs="Arial"/>
          <w:sz w:val="22"/>
        </w:rPr>
        <w:t>9</w:t>
      </w:r>
      <w:r w:rsidRPr="0037110A">
        <w:rPr>
          <w:rFonts w:cs="Arial"/>
          <w:sz w:val="22"/>
        </w:rPr>
        <w:t xml:space="preserve"> totalizavam </w:t>
      </w:r>
      <w:r>
        <w:rPr>
          <w:rFonts w:cs="Arial"/>
          <w:sz w:val="22"/>
        </w:rPr>
        <w:t xml:space="preserve">pouco mais de </w:t>
      </w:r>
      <w:r w:rsidRPr="0037110A">
        <w:rPr>
          <w:rFonts w:cs="Arial"/>
          <w:sz w:val="22"/>
        </w:rPr>
        <w:t xml:space="preserve">R$ </w:t>
      </w:r>
      <w:r>
        <w:rPr>
          <w:rFonts w:cs="Arial"/>
          <w:sz w:val="22"/>
        </w:rPr>
        <w:t xml:space="preserve">123 milhões e </w:t>
      </w:r>
      <w:r w:rsidRPr="0037110A">
        <w:rPr>
          <w:rFonts w:cs="Arial"/>
          <w:sz w:val="22"/>
        </w:rPr>
        <w:t>estão distribuídos nas contas contábeis demonstradas na tabela a seguir.</w:t>
      </w:r>
    </w:p>
    <w:p w:rsidR="0041147E" w:rsidRPr="0037110A" w:rsidRDefault="0041147E" w:rsidP="0041147E">
      <w:pPr>
        <w:rPr>
          <w:rFonts w:cs="Arial"/>
          <w:b/>
          <w:sz w:val="22"/>
        </w:rPr>
      </w:pPr>
    </w:p>
    <w:p w:rsidR="0041147E" w:rsidRDefault="0041147E" w:rsidP="0041147E">
      <w:pPr>
        <w:rPr>
          <w:rFonts w:cs="Arial"/>
          <w:b/>
          <w:sz w:val="22"/>
        </w:rPr>
      </w:pPr>
      <w:r w:rsidRPr="00E65DFE">
        <w:rPr>
          <w:rFonts w:cs="Arial"/>
          <w:b/>
          <w:sz w:val="22"/>
        </w:rPr>
        <w:t xml:space="preserve">Tabela </w:t>
      </w:r>
      <w:r>
        <w:rPr>
          <w:rFonts w:cs="Arial"/>
          <w:b/>
          <w:sz w:val="22"/>
        </w:rPr>
        <w:t xml:space="preserve">8 </w:t>
      </w:r>
      <w:r w:rsidRPr="0037110A">
        <w:rPr>
          <w:rFonts w:cs="Arial"/>
          <w:b/>
          <w:sz w:val="22"/>
        </w:rPr>
        <w:t xml:space="preserve">– Bens Imóveis </w:t>
      </w:r>
      <w:r>
        <w:rPr>
          <w:rFonts w:cs="Arial"/>
          <w:b/>
          <w:sz w:val="22"/>
        </w:rPr>
        <w:t>–</w:t>
      </w:r>
      <w:r w:rsidRPr="0037110A">
        <w:rPr>
          <w:rFonts w:cs="Arial"/>
          <w:b/>
          <w:sz w:val="22"/>
        </w:rPr>
        <w:t xml:space="preserve"> Composição</w:t>
      </w:r>
      <w:r>
        <w:rPr>
          <w:rFonts w:cs="Arial"/>
          <w:b/>
          <w:sz w:val="22"/>
        </w:rPr>
        <w:t>.</w:t>
      </w:r>
    </w:p>
    <w:p w:rsidR="0041147E" w:rsidRDefault="0041147E" w:rsidP="0041147E">
      <w:pPr>
        <w:rPr>
          <w:rFonts w:cs="Arial"/>
          <w:sz w:val="22"/>
        </w:rPr>
      </w:pPr>
      <w:r>
        <w:rPr>
          <w:rFonts w:cs="Arial"/>
          <w:sz w:val="22"/>
        </w:rPr>
        <w:t xml:space="preserve">                                                                                                                                          </w:t>
      </w:r>
      <w:r w:rsidRPr="001C614B">
        <w:rPr>
          <w:rFonts w:cs="Arial"/>
          <w:sz w:val="22"/>
        </w:rPr>
        <w:t>R$</w:t>
      </w:r>
    </w:p>
    <w:tbl>
      <w:tblPr>
        <w:tblW w:w="9123" w:type="dxa"/>
        <w:tblCellMar>
          <w:left w:w="70" w:type="dxa"/>
          <w:right w:w="70" w:type="dxa"/>
        </w:tblCellMar>
        <w:tblLook w:val="04A0" w:firstRow="1" w:lastRow="0" w:firstColumn="1" w:lastColumn="0" w:noHBand="0" w:noVBand="1"/>
      </w:tblPr>
      <w:tblGrid>
        <w:gridCol w:w="4981"/>
        <w:gridCol w:w="1531"/>
        <w:gridCol w:w="1531"/>
        <w:gridCol w:w="1112"/>
      </w:tblGrid>
      <w:tr w:rsidR="0041147E" w:rsidRPr="009E71B9" w:rsidTr="008F4251">
        <w:trPr>
          <w:trHeight w:val="269"/>
        </w:trPr>
        <w:tc>
          <w:tcPr>
            <w:tcW w:w="4981" w:type="dxa"/>
            <w:tcBorders>
              <w:top w:val="single" w:sz="4" w:space="0" w:color="000000"/>
              <w:left w:val="nil"/>
              <w:bottom w:val="single" w:sz="4" w:space="0" w:color="000000"/>
              <w:right w:val="nil"/>
            </w:tcBorders>
            <w:shd w:val="clear" w:color="auto" w:fill="auto"/>
            <w:noWrap/>
            <w:vAlign w:val="bottom"/>
            <w:hideMark/>
          </w:tcPr>
          <w:p w:rsidR="0041147E" w:rsidRPr="009E71B9" w:rsidRDefault="0041147E" w:rsidP="008F4251">
            <w:pPr>
              <w:jc w:val="left"/>
              <w:rPr>
                <w:rFonts w:eastAsia="Times New Roman" w:cs="Arial"/>
                <w:b/>
                <w:bCs/>
                <w:color w:val="FFFFFF"/>
                <w:szCs w:val="20"/>
                <w:lang w:eastAsia="pt-BR"/>
              </w:rPr>
            </w:pPr>
            <w:r w:rsidRPr="009E71B9">
              <w:rPr>
                <w:rFonts w:eastAsia="Times New Roman" w:cs="Arial"/>
                <w:b/>
                <w:bCs/>
                <w:color w:val="FFFFFF"/>
                <w:szCs w:val="20"/>
                <w:lang w:eastAsia="pt-BR"/>
              </w:rPr>
              <w:t>Colunas1</w:t>
            </w:r>
          </w:p>
        </w:tc>
        <w:tc>
          <w:tcPr>
            <w:tcW w:w="1515" w:type="dxa"/>
            <w:tcBorders>
              <w:top w:val="single" w:sz="4" w:space="0" w:color="000000"/>
              <w:left w:val="nil"/>
              <w:bottom w:val="single" w:sz="4" w:space="0" w:color="000000"/>
              <w:right w:val="nil"/>
            </w:tcBorders>
            <w:shd w:val="clear" w:color="auto" w:fill="auto"/>
            <w:noWrap/>
            <w:vAlign w:val="bottom"/>
            <w:hideMark/>
          </w:tcPr>
          <w:p w:rsidR="0041147E" w:rsidRPr="009E71B9" w:rsidRDefault="0041147E" w:rsidP="008F4251">
            <w:pPr>
              <w:jc w:val="right"/>
              <w:rPr>
                <w:rFonts w:eastAsia="Times New Roman" w:cs="Arial"/>
                <w:b/>
                <w:bCs/>
                <w:color w:val="000000"/>
                <w:szCs w:val="20"/>
                <w:lang w:eastAsia="pt-BR"/>
              </w:rPr>
            </w:pPr>
            <w:r w:rsidRPr="009E71B9">
              <w:rPr>
                <w:rFonts w:eastAsia="Times New Roman" w:cs="Arial"/>
                <w:b/>
                <w:bCs/>
                <w:color w:val="000000"/>
                <w:szCs w:val="20"/>
                <w:lang w:eastAsia="pt-BR"/>
              </w:rPr>
              <w:t>3</w:t>
            </w:r>
            <w:r>
              <w:rPr>
                <w:rFonts w:eastAsia="Times New Roman" w:cs="Arial"/>
                <w:b/>
                <w:bCs/>
                <w:color w:val="000000"/>
                <w:szCs w:val="20"/>
                <w:lang w:eastAsia="pt-BR"/>
              </w:rPr>
              <w:t>1</w:t>
            </w:r>
            <w:r w:rsidRPr="009E71B9">
              <w:rPr>
                <w:rFonts w:eastAsia="Times New Roman" w:cs="Arial"/>
                <w:b/>
                <w:bCs/>
                <w:color w:val="000000"/>
                <w:szCs w:val="20"/>
                <w:lang w:eastAsia="pt-BR"/>
              </w:rPr>
              <w:t>/</w:t>
            </w:r>
            <w:r>
              <w:rPr>
                <w:rFonts w:eastAsia="Times New Roman" w:cs="Arial"/>
                <w:b/>
                <w:bCs/>
                <w:color w:val="000000"/>
                <w:szCs w:val="20"/>
                <w:lang w:eastAsia="pt-BR"/>
              </w:rPr>
              <w:t>12</w:t>
            </w:r>
            <w:r w:rsidRPr="009E71B9">
              <w:rPr>
                <w:rFonts w:eastAsia="Times New Roman" w:cs="Arial"/>
                <w:b/>
                <w:bCs/>
                <w:color w:val="000000"/>
                <w:szCs w:val="20"/>
                <w:lang w:eastAsia="pt-BR"/>
              </w:rPr>
              <w:t>/201</w:t>
            </w:r>
            <w:r>
              <w:rPr>
                <w:rFonts w:eastAsia="Times New Roman" w:cs="Arial"/>
                <w:b/>
                <w:bCs/>
                <w:color w:val="000000"/>
                <w:szCs w:val="20"/>
                <w:lang w:eastAsia="pt-BR"/>
              </w:rPr>
              <w:t>9</w:t>
            </w:r>
          </w:p>
        </w:tc>
        <w:tc>
          <w:tcPr>
            <w:tcW w:w="1515" w:type="dxa"/>
            <w:tcBorders>
              <w:top w:val="single" w:sz="4" w:space="0" w:color="000000"/>
              <w:left w:val="nil"/>
              <w:bottom w:val="single" w:sz="4" w:space="0" w:color="000000"/>
              <w:right w:val="nil"/>
            </w:tcBorders>
            <w:shd w:val="clear" w:color="auto" w:fill="auto"/>
            <w:noWrap/>
            <w:vAlign w:val="bottom"/>
            <w:hideMark/>
          </w:tcPr>
          <w:p w:rsidR="0041147E" w:rsidRPr="009E71B9" w:rsidRDefault="0041147E" w:rsidP="008F4251">
            <w:pPr>
              <w:jc w:val="right"/>
              <w:rPr>
                <w:rFonts w:eastAsia="Times New Roman" w:cs="Arial"/>
                <w:b/>
                <w:bCs/>
                <w:color w:val="000000"/>
                <w:szCs w:val="20"/>
                <w:lang w:eastAsia="pt-BR"/>
              </w:rPr>
            </w:pPr>
            <w:r w:rsidRPr="009E71B9">
              <w:rPr>
                <w:rFonts w:eastAsia="Times New Roman" w:cs="Arial"/>
                <w:b/>
                <w:bCs/>
                <w:color w:val="000000"/>
                <w:szCs w:val="20"/>
                <w:lang w:eastAsia="pt-BR"/>
              </w:rPr>
              <w:t>31/12/201</w:t>
            </w:r>
            <w:r>
              <w:rPr>
                <w:rFonts w:eastAsia="Times New Roman" w:cs="Arial"/>
                <w:b/>
                <w:bCs/>
                <w:color w:val="000000"/>
                <w:szCs w:val="20"/>
                <w:lang w:eastAsia="pt-BR"/>
              </w:rPr>
              <w:t>8</w:t>
            </w:r>
          </w:p>
        </w:tc>
        <w:tc>
          <w:tcPr>
            <w:tcW w:w="1112" w:type="dxa"/>
            <w:tcBorders>
              <w:top w:val="single" w:sz="4" w:space="0" w:color="000000"/>
              <w:left w:val="nil"/>
              <w:bottom w:val="single" w:sz="4" w:space="0" w:color="000000"/>
              <w:right w:val="nil"/>
            </w:tcBorders>
            <w:shd w:val="clear" w:color="auto" w:fill="auto"/>
            <w:noWrap/>
            <w:vAlign w:val="bottom"/>
            <w:hideMark/>
          </w:tcPr>
          <w:p w:rsidR="0041147E" w:rsidRPr="009E71B9" w:rsidRDefault="0041147E" w:rsidP="008F4251">
            <w:pPr>
              <w:jc w:val="right"/>
              <w:rPr>
                <w:rFonts w:eastAsia="Times New Roman" w:cs="Arial"/>
                <w:b/>
                <w:bCs/>
                <w:color w:val="000000"/>
                <w:szCs w:val="20"/>
                <w:lang w:eastAsia="pt-BR"/>
              </w:rPr>
            </w:pPr>
            <w:r w:rsidRPr="009E71B9">
              <w:rPr>
                <w:rFonts w:eastAsia="Times New Roman" w:cs="Arial"/>
                <w:b/>
                <w:bCs/>
                <w:color w:val="000000"/>
                <w:szCs w:val="20"/>
                <w:lang w:eastAsia="pt-BR"/>
              </w:rPr>
              <w:t>AH (%)</w:t>
            </w:r>
          </w:p>
        </w:tc>
      </w:tr>
      <w:tr w:rsidR="0041147E" w:rsidRPr="009E71B9" w:rsidTr="008F4251">
        <w:trPr>
          <w:trHeight w:val="269"/>
        </w:trPr>
        <w:tc>
          <w:tcPr>
            <w:tcW w:w="4981" w:type="dxa"/>
            <w:tcBorders>
              <w:top w:val="nil"/>
              <w:left w:val="nil"/>
              <w:bottom w:val="nil"/>
              <w:right w:val="nil"/>
            </w:tcBorders>
            <w:shd w:val="clear" w:color="000000" w:fill="D9D9D9"/>
            <w:vAlign w:val="center"/>
            <w:hideMark/>
          </w:tcPr>
          <w:p w:rsidR="0041147E" w:rsidRPr="009E71B9" w:rsidRDefault="0041147E" w:rsidP="008F4251">
            <w:pPr>
              <w:jc w:val="left"/>
              <w:rPr>
                <w:rFonts w:eastAsia="Times New Roman" w:cs="Arial"/>
                <w:color w:val="000000"/>
                <w:szCs w:val="20"/>
                <w:lang w:eastAsia="pt-BR"/>
              </w:rPr>
            </w:pPr>
            <w:r w:rsidRPr="009E71B9">
              <w:rPr>
                <w:rFonts w:eastAsia="Times New Roman" w:cs="Arial"/>
                <w:color w:val="000000"/>
                <w:szCs w:val="20"/>
                <w:lang w:eastAsia="pt-BR"/>
              </w:rPr>
              <w:t xml:space="preserve">Bens </w:t>
            </w:r>
            <w:r>
              <w:rPr>
                <w:rFonts w:eastAsia="Times New Roman" w:cs="Arial"/>
                <w:color w:val="000000"/>
                <w:szCs w:val="20"/>
                <w:lang w:eastAsia="pt-BR"/>
              </w:rPr>
              <w:t>d</w:t>
            </w:r>
            <w:r w:rsidRPr="009E71B9">
              <w:rPr>
                <w:rFonts w:eastAsia="Times New Roman" w:cs="Arial"/>
                <w:color w:val="000000"/>
                <w:szCs w:val="20"/>
                <w:lang w:eastAsia="pt-BR"/>
              </w:rPr>
              <w:t xml:space="preserve">e </w:t>
            </w:r>
            <w:r>
              <w:rPr>
                <w:rFonts w:eastAsia="Times New Roman" w:cs="Arial"/>
                <w:color w:val="000000"/>
                <w:szCs w:val="20"/>
                <w:lang w:eastAsia="pt-BR"/>
              </w:rPr>
              <w:t>U</w:t>
            </w:r>
            <w:r w:rsidRPr="009E71B9">
              <w:rPr>
                <w:rFonts w:eastAsia="Times New Roman" w:cs="Arial"/>
                <w:color w:val="000000"/>
                <w:szCs w:val="20"/>
                <w:lang w:eastAsia="pt-BR"/>
              </w:rPr>
              <w:t xml:space="preserve">so Especial Registrados </w:t>
            </w:r>
            <w:r>
              <w:rPr>
                <w:rFonts w:eastAsia="Times New Roman" w:cs="Arial"/>
                <w:color w:val="000000"/>
                <w:szCs w:val="20"/>
                <w:lang w:eastAsia="pt-BR"/>
              </w:rPr>
              <w:t>n</w:t>
            </w:r>
            <w:r w:rsidRPr="009E71B9">
              <w:rPr>
                <w:rFonts w:eastAsia="Times New Roman" w:cs="Arial"/>
                <w:color w:val="000000"/>
                <w:szCs w:val="20"/>
                <w:lang w:eastAsia="pt-BR"/>
              </w:rPr>
              <w:t xml:space="preserve">o </w:t>
            </w:r>
            <w:proofErr w:type="spellStart"/>
            <w:r w:rsidRPr="009E71B9">
              <w:rPr>
                <w:rFonts w:eastAsia="Times New Roman" w:cs="Arial"/>
                <w:color w:val="000000"/>
                <w:szCs w:val="20"/>
                <w:lang w:eastAsia="pt-BR"/>
              </w:rPr>
              <w:t>Spiunet</w:t>
            </w:r>
            <w:proofErr w:type="spellEnd"/>
          </w:p>
        </w:tc>
        <w:tc>
          <w:tcPr>
            <w:tcW w:w="1515" w:type="dxa"/>
            <w:tcBorders>
              <w:top w:val="nil"/>
              <w:left w:val="nil"/>
              <w:bottom w:val="nil"/>
              <w:right w:val="nil"/>
            </w:tcBorders>
            <w:shd w:val="clear" w:color="D9D9D9" w:fill="D9D9D9"/>
            <w:noWrap/>
            <w:vAlign w:val="bottom"/>
          </w:tcPr>
          <w:p w:rsidR="0041147E" w:rsidRPr="009E71B9" w:rsidRDefault="0041147E" w:rsidP="008F4251">
            <w:pPr>
              <w:jc w:val="right"/>
              <w:rPr>
                <w:rFonts w:eastAsia="Times New Roman" w:cs="Arial"/>
                <w:color w:val="000000"/>
                <w:szCs w:val="20"/>
                <w:lang w:eastAsia="pt-BR"/>
              </w:rPr>
            </w:pPr>
            <w:r w:rsidRPr="00BD7B77">
              <w:rPr>
                <w:rFonts w:eastAsia="Times New Roman" w:cs="Arial"/>
                <w:color w:val="000000"/>
                <w:szCs w:val="20"/>
                <w:lang w:eastAsia="pt-BR"/>
              </w:rPr>
              <w:t>124</w:t>
            </w:r>
            <w:r>
              <w:rPr>
                <w:rFonts w:eastAsia="Times New Roman" w:cs="Arial"/>
                <w:color w:val="000000"/>
                <w:szCs w:val="20"/>
                <w:lang w:eastAsia="pt-BR"/>
              </w:rPr>
              <w:t>.</w:t>
            </w:r>
            <w:r w:rsidRPr="00BD7B77">
              <w:rPr>
                <w:rFonts w:eastAsia="Times New Roman" w:cs="Arial"/>
                <w:color w:val="000000"/>
                <w:szCs w:val="20"/>
                <w:lang w:eastAsia="pt-BR"/>
              </w:rPr>
              <w:t>884</w:t>
            </w:r>
            <w:r>
              <w:rPr>
                <w:rFonts w:eastAsia="Times New Roman" w:cs="Arial"/>
                <w:color w:val="000000"/>
                <w:szCs w:val="20"/>
                <w:lang w:eastAsia="pt-BR"/>
              </w:rPr>
              <w:t>.</w:t>
            </w:r>
            <w:r w:rsidRPr="00BD7B77">
              <w:rPr>
                <w:rFonts w:eastAsia="Times New Roman" w:cs="Arial"/>
                <w:color w:val="000000"/>
                <w:szCs w:val="20"/>
                <w:lang w:eastAsia="pt-BR"/>
              </w:rPr>
              <w:t>860,23</w:t>
            </w:r>
          </w:p>
        </w:tc>
        <w:tc>
          <w:tcPr>
            <w:tcW w:w="1515" w:type="dxa"/>
            <w:tcBorders>
              <w:top w:val="nil"/>
              <w:left w:val="nil"/>
              <w:bottom w:val="nil"/>
              <w:right w:val="nil"/>
            </w:tcBorders>
            <w:shd w:val="clear" w:color="D9D9D9" w:fill="D9D9D9"/>
            <w:noWrap/>
            <w:vAlign w:val="bottom"/>
          </w:tcPr>
          <w:p w:rsidR="0041147E" w:rsidRPr="009E71B9" w:rsidRDefault="0041147E" w:rsidP="008F4251">
            <w:pPr>
              <w:jc w:val="right"/>
              <w:rPr>
                <w:rFonts w:eastAsia="Times New Roman" w:cs="Arial"/>
                <w:color w:val="000000"/>
                <w:szCs w:val="20"/>
                <w:lang w:eastAsia="pt-BR"/>
              </w:rPr>
            </w:pPr>
            <w:r w:rsidRPr="00384B49">
              <w:rPr>
                <w:rFonts w:eastAsia="Times New Roman" w:cs="Arial"/>
                <w:color w:val="000000"/>
                <w:szCs w:val="20"/>
                <w:lang w:eastAsia="pt-BR"/>
              </w:rPr>
              <w:t>108</w:t>
            </w:r>
            <w:r>
              <w:rPr>
                <w:rFonts w:eastAsia="Times New Roman" w:cs="Arial"/>
                <w:color w:val="000000"/>
                <w:szCs w:val="20"/>
                <w:lang w:eastAsia="pt-BR"/>
              </w:rPr>
              <w:t>.</w:t>
            </w:r>
            <w:r w:rsidRPr="00384B49">
              <w:rPr>
                <w:rFonts w:eastAsia="Times New Roman" w:cs="Arial"/>
                <w:color w:val="000000"/>
                <w:szCs w:val="20"/>
                <w:lang w:eastAsia="pt-BR"/>
              </w:rPr>
              <w:t>365</w:t>
            </w:r>
            <w:r>
              <w:rPr>
                <w:rFonts w:eastAsia="Times New Roman" w:cs="Arial"/>
                <w:color w:val="000000"/>
                <w:szCs w:val="20"/>
                <w:lang w:eastAsia="pt-BR"/>
              </w:rPr>
              <w:t>.</w:t>
            </w:r>
            <w:r w:rsidRPr="00384B49">
              <w:rPr>
                <w:rFonts w:eastAsia="Times New Roman" w:cs="Arial"/>
                <w:color w:val="000000"/>
                <w:szCs w:val="20"/>
                <w:lang w:eastAsia="pt-BR"/>
              </w:rPr>
              <w:t>914,54</w:t>
            </w:r>
          </w:p>
        </w:tc>
        <w:tc>
          <w:tcPr>
            <w:tcW w:w="1112" w:type="dxa"/>
            <w:tcBorders>
              <w:top w:val="nil"/>
              <w:left w:val="nil"/>
              <w:bottom w:val="nil"/>
              <w:right w:val="nil"/>
            </w:tcBorders>
            <w:shd w:val="clear" w:color="D9D9D9" w:fill="D9D9D9"/>
            <w:noWrap/>
            <w:vAlign w:val="bottom"/>
            <w:hideMark/>
          </w:tcPr>
          <w:p w:rsidR="0041147E" w:rsidRPr="009E71B9" w:rsidRDefault="0041147E" w:rsidP="008F4251">
            <w:pPr>
              <w:jc w:val="right"/>
              <w:rPr>
                <w:rFonts w:eastAsia="Times New Roman" w:cs="Arial"/>
                <w:color w:val="000000"/>
                <w:szCs w:val="20"/>
                <w:lang w:eastAsia="pt-BR"/>
              </w:rPr>
            </w:pPr>
            <w:r>
              <w:rPr>
                <w:rFonts w:eastAsia="Times New Roman" w:cs="Arial"/>
                <w:color w:val="000000"/>
                <w:szCs w:val="20"/>
                <w:lang w:eastAsia="pt-BR"/>
              </w:rPr>
              <w:t>15</w:t>
            </w:r>
            <w:r w:rsidRPr="009E71B9">
              <w:rPr>
                <w:rFonts w:eastAsia="Times New Roman" w:cs="Arial"/>
                <w:color w:val="000000"/>
                <w:szCs w:val="20"/>
                <w:lang w:eastAsia="pt-BR"/>
              </w:rPr>
              <w:t>,</w:t>
            </w:r>
            <w:r>
              <w:rPr>
                <w:rFonts w:eastAsia="Times New Roman" w:cs="Arial"/>
                <w:color w:val="000000"/>
                <w:szCs w:val="20"/>
                <w:lang w:eastAsia="pt-BR"/>
              </w:rPr>
              <w:t>24</w:t>
            </w:r>
          </w:p>
        </w:tc>
      </w:tr>
      <w:tr w:rsidR="0041147E" w:rsidRPr="009E71B9" w:rsidTr="008F4251">
        <w:trPr>
          <w:trHeight w:val="269"/>
        </w:trPr>
        <w:tc>
          <w:tcPr>
            <w:tcW w:w="4981" w:type="dxa"/>
            <w:tcBorders>
              <w:top w:val="nil"/>
              <w:left w:val="nil"/>
              <w:bottom w:val="nil"/>
              <w:right w:val="nil"/>
            </w:tcBorders>
            <w:shd w:val="clear" w:color="auto" w:fill="auto"/>
            <w:vAlign w:val="center"/>
          </w:tcPr>
          <w:p w:rsidR="0041147E" w:rsidRPr="009E71B9" w:rsidRDefault="0041147E" w:rsidP="008F4251">
            <w:pPr>
              <w:jc w:val="left"/>
              <w:rPr>
                <w:rFonts w:eastAsia="Times New Roman" w:cs="Arial"/>
                <w:color w:val="000000"/>
                <w:szCs w:val="20"/>
                <w:lang w:eastAsia="pt-BR"/>
              </w:rPr>
            </w:pPr>
            <w:r>
              <w:rPr>
                <w:rFonts w:eastAsia="Times New Roman" w:cs="Arial"/>
                <w:color w:val="000000"/>
                <w:szCs w:val="20"/>
                <w:lang w:eastAsia="pt-BR"/>
              </w:rPr>
              <w:t>Bens Imóveis em Andamento</w:t>
            </w:r>
          </w:p>
        </w:tc>
        <w:tc>
          <w:tcPr>
            <w:tcW w:w="1515" w:type="dxa"/>
            <w:tcBorders>
              <w:top w:val="nil"/>
              <w:left w:val="nil"/>
              <w:bottom w:val="nil"/>
              <w:right w:val="nil"/>
            </w:tcBorders>
            <w:shd w:val="clear" w:color="auto" w:fill="auto"/>
            <w:noWrap/>
            <w:vAlign w:val="bottom"/>
          </w:tcPr>
          <w:p w:rsidR="0041147E" w:rsidRPr="009E71B9" w:rsidRDefault="0041147E" w:rsidP="008F4251">
            <w:pPr>
              <w:jc w:val="right"/>
              <w:rPr>
                <w:rFonts w:eastAsia="Times New Roman" w:cs="Arial"/>
                <w:color w:val="000000"/>
                <w:szCs w:val="20"/>
                <w:lang w:eastAsia="pt-BR"/>
              </w:rPr>
            </w:pPr>
            <w:r>
              <w:rPr>
                <w:rFonts w:eastAsia="Times New Roman" w:cs="Arial"/>
                <w:color w:val="000000"/>
                <w:szCs w:val="20"/>
                <w:lang w:eastAsia="pt-BR"/>
              </w:rPr>
              <w:t>0</w:t>
            </w:r>
          </w:p>
        </w:tc>
        <w:tc>
          <w:tcPr>
            <w:tcW w:w="1515" w:type="dxa"/>
            <w:tcBorders>
              <w:top w:val="nil"/>
              <w:left w:val="nil"/>
              <w:bottom w:val="nil"/>
              <w:right w:val="nil"/>
            </w:tcBorders>
            <w:shd w:val="clear" w:color="auto" w:fill="auto"/>
            <w:noWrap/>
            <w:vAlign w:val="bottom"/>
          </w:tcPr>
          <w:p w:rsidR="0041147E" w:rsidRPr="009E71B9" w:rsidRDefault="0041147E" w:rsidP="008F4251">
            <w:pPr>
              <w:jc w:val="right"/>
              <w:rPr>
                <w:rFonts w:eastAsia="Times New Roman" w:cs="Arial"/>
                <w:color w:val="000000"/>
                <w:szCs w:val="20"/>
                <w:lang w:eastAsia="pt-BR"/>
              </w:rPr>
            </w:pPr>
            <w:r w:rsidRPr="00384B49">
              <w:rPr>
                <w:rFonts w:eastAsia="Times New Roman" w:cs="Arial"/>
                <w:color w:val="000000"/>
                <w:szCs w:val="20"/>
                <w:lang w:eastAsia="pt-BR"/>
              </w:rPr>
              <w:t>16</w:t>
            </w:r>
            <w:r>
              <w:rPr>
                <w:rFonts w:eastAsia="Times New Roman" w:cs="Arial"/>
                <w:color w:val="000000"/>
                <w:szCs w:val="20"/>
                <w:lang w:eastAsia="pt-BR"/>
              </w:rPr>
              <w:t>.</w:t>
            </w:r>
            <w:r w:rsidRPr="00384B49">
              <w:rPr>
                <w:rFonts w:eastAsia="Times New Roman" w:cs="Arial"/>
                <w:color w:val="000000"/>
                <w:szCs w:val="20"/>
                <w:lang w:eastAsia="pt-BR"/>
              </w:rPr>
              <w:t>557</w:t>
            </w:r>
            <w:r>
              <w:rPr>
                <w:rFonts w:eastAsia="Times New Roman" w:cs="Arial"/>
                <w:color w:val="000000"/>
                <w:szCs w:val="20"/>
                <w:lang w:eastAsia="pt-BR"/>
              </w:rPr>
              <w:t>.</w:t>
            </w:r>
            <w:r w:rsidRPr="00384B49">
              <w:rPr>
                <w:rFonts w:eastAsia="Times New Roman" w:cs="Arial"/>
                <w:color w:val="000000"/>
                <w:szCs w:val="20"/>
                <w:lang w:eastAsia="pt-BR"/>
              </w:rPr>
              <w:t>751,44</w:t>
            </w:r>
          </w:p>
        </w:tc>
        <w:tc>
          <w:tcPr>
            <w:tcW w:w="1112" w:type="dxa"/>
            <w:tcBorders>
              <w:top w:val="nil"/>
              <w:left w:val="nil"/>
              <w:bottom w:val="nil"/>
              <w:right w:val="nil"/>
            </w:tcBorders>
            <w:shd w:val="clear" w:color="auto" w:fill="auto"/>
            <w:noWrap/>
            <w:vAlign w:val="bottom"/>
          </w:tcPr>
          <w:p w:rsidR="0041147E" w:rsidRPr="009E71B9" w:rsidRDefault="0041147E" w:rsidP="008F4251">
            <w:pPr>
              <w:jc w:val="right"/>
              <w:rPr>
                <w:rFonts w:eastAsia="Times New Roman" w:cs="Arial"/>
                <w:color w:val="000000"/>
                <w:szCs w:val="20"/>
                <w:lang w:eastAsia="pt-BR"/>
              </w:rPr>
            </w:pPr>
            <w:r>
              <w:rPr>
                <w:rFonts w:eastAsia="Times New Roman" w:cs="Arial"/>
                <w:color w:val="000000"/>
                <w:szCs w:val="20"/>
                <w:lang w:eastAsia="pt-BR"/>
              </w:rPr>
              <w:t>0,00</w:t>
            </w:r>
          </w:p>
        </w:tc>
      </w:tr>
      <w:tr w:rsidR="0041147E" w:rsidRPr="009E71B9" w:rsidTr="008F4251">
        <w:trPr>
          <w:trHeight w:val="269"/>
        </w:trPr>
        <w:tc>
          <w:tcPr>
            <w:tcW w:w="4981" w:type="dxa"/>
            <w:tcBorders>
              <w:top w:val="nil"/>
              <w:left w:val="nil"/>
              <w:bottom w:val="nil"/>
              <w:right w:val="nil"/>
            </w:tcBorders>
            <w:shd w:val="clear" w:color="auto" w:fill="auto"/>
            <w:vAlign w:val="center"/>
            <w:hideMark/>
          </w:tcPr>
          <w:p w:rsidR="0041147E" w:rsidRPr="009E71B9" w:rsidRDefault="0041147E" w:rsidP="008F4251">
            <w:pPr>
              <w:jc w:val="left"/>
              <w:rPr>
                <w:rFonts w:eastAsia="Times New Roman" w:cs="Arial"/>
                <w:color w:val="000000"/>
                <w:szCs w:val="20"/>
                <w:lang w:eastAsia="pt-BR"/>
              </w:rPr>
            </w:pPr>
            <w:r w:rsidRPr="009E71B9">
              <w:rPr>
                <w:rFonts w:eastAsia="Times New Roman" w:cs="Arial"/>
                <w:color w:val="000000"/>
                <w:szCs w:val="20"/>
                <w:lang w:eastAsia="pt-BR"/>
              </w:rPr>
              <w:t xml:space="preserve">Benfeitorias </w:t>
            </w:r>
            <w:r>
              <w:rPr>
                <w:rFonts w:eastAsia="Times New Roman" w:cs="Arial"/>
                <w:color w:val="000000"/>
                <w:szCs w:val="20"/>
                <w:lang w:eastAsia="pt-BR"/>
              </w:rPr>
              <w:t>e</w:t>
            </w:r>
            <w:r w:rsidRPr="009E71B9">
              <w:rPr>
                <w:rFonts w:eastAsia="Times New Roman" w:cs="Arial"/>
                <w:color w:val="000000"/>
                <w:szCs w:val="20"/>
                <w:lang w:eastAsia="pt-BR"/>
              </w:rPr>
              <w:t xml:space="preserve">m Propriedade </w:t>
            </w:r>
            <w:r>
              <w:rPr>
                <w:rFonts w:eastAsia="Times New Roman" w:cs="Arial"/>
                <w:color w:val="000000"/>
                <w:szCs w:val="20"/>
                <w:lang w:eastAsia="pt-BR"/>
              </w:rPr>
              <w:t>d</w:t>
            </w:r>
            <w:r w:rsidRPr="009E71B9">
              <w:rPr>
                <w:rFonts w:eastAsia="Times New Roman" w:cs="Arial"/>
                <w:color w:val="000000"/>
                <w:szCs w:val="20"/>
                <w:lang w:eastAsia="pt-BR"/>
              </w:rPr>
              <w:t>e Terceiros</w:t>
            </w:r>
          </w:p>
        </w:tc>
        <w:tc>
          <w:tcPr>
            <w:tcW w:w="1515" w:type="dxa"/>
            <w:tcBorders>
              <w:top w:val="nil"/>
              <w:left w:val="nil"/>
              <w:bottom w:val="nil"/>
              <w:right w:val="nil"/>
            </w:tcBorders>
            <w:shd w:val="clear" w:color="auto" w:fill="auto"/>
            <w:noWrap/>
            <w:vAlign w:val="bottom"/>
          </w:tcPr>
          <w:p w:rsidR="0041147E" w:rsidRPr="009E71B9" w:rsidRDefault="0041147E" w:rsidP="008F4251">
            <w:pPr>
              <w:jc w:val="right"/>
              <w:rPr>
                <w:rFonts w:eastAsia="Times New Roman" w:cs="Arial"/>
                <w:color w:val="000000"/>
                <w:szCs w:val="20"/>
                <w:lang w:eastAsia="pt-BR"/>
              </w:rPr>
            </w:pPr>
            <w:r>
              <w:rPr>
                <w:rFonts w:eastAsia="Times New Roman" w:cs="Arial"/>
                <w:color w:val="000000"/>
                <w:szCs w:val="20"/>
                <w:lang w:eastAsia="pt-BR"/>
              </w:rPr>
              <w:t>24.000,00</w:t>
            </w:r>
          </w:p>
        </w:tc>
        <w:tc>
          <w:tcPr>
            <w:tcW w:w="1515" w:type="dxa"/>
            <w:tcBorders>
              <w:top w:val="nil"/>
              <w:left w:val="nil"/>
              <w:bottom w:val="nil"/>
              <w:right w:val="nil"/>
            </w:tcBorders>
            <w:shd w:val="clear" w:color="auto" w:fill="auto"/>
            <w:noWrap/>
            <w:vAlign w:val="bottom"/>
          </w:tcPr>
          <w:p w:rsidR="0041147E" w:rsidRPr="009E71B9" w:rsidRDefault="0041147E" w:rsidP="008F4251">
            <w:pPr>
              <w:jc w:val="right"/>
              <w:rPr>
                <w:rFonts w:eastAsia="Times New Roman" w:cs="Arial"/>
                <w:color w:val="000000"/>
                <w:szCs w:val="20"/>
                <w:lang w:eastAsia="pt-BR"/>
              </w:rPr>
            </w:pPr>
            <w:r w:rsidRPr="00CE3560">
              <w:rPr>
                <w:rFonts w:eastAsia="Times New Roman" w:cs="Arial"/>
                <w:color w:val="000000"/>
                <w:szCs w:val="20"/>
                <w:lang w:eastAsia="pt-BR"/>
              </w:rPr>
              <w:t>901</w:t>
            </w:r>
            <w:r>
              <w:rPr>
                <w:rFonts w:eastAsia="Times New Roman" w:cs="Arial"/>
                <w:color w:val="000000"/>
                <w:szCs w:val="20"/>
                <w:lang w:eastAsia="pt-BR"/>
              </w:rPr>
              <w:t>.</w:t>
            </w:r>
            <w:r w:rsidRPr="00CE3560">
              <w:rPr>
                <w:rFonts w:eastAsia="Times New Roman" w:cs="Arial"/>
                <w:color w:val="000000"/>
                <w:szCs w:val="20"/>
                <w:lang w:eastAsia="pt-BR"/>
              </w:rPr>
              <w:t>514,83</w:t>
            </w:r>
          </w:p>
        </w:tc>
        <w:tc>
          <w:tcPr>
            <w:tcW w:w="1112" w:type="dxa"/>
            <w:tcBorders>
              <w:top w:val="nil"/>
              <w:left w:val="nil"/>
              <w:bottom w:val="nil"/>
              <w:right w:val="nil"/>
            </w:tcBorders>
            <w:shd w:val="clear" w:color="auto" w:fill="auto"/>
            <w:noWrap/>
            <w:vAlign w:val="bottom"/>
            <w:hideMark/>
          </w:tcPr>
          <w:p w:rsidR="0041147E" w:rsidRPr="009E71B9" w:rsidRDefault="0041147E" w:rsidP="008F4251">
            <w:pPr>
              <w:jc w:val="right"/>
              <w:rPr>
                <w:rFonts w:eastAsia="Times New Roman" w:cs="Arial"/>
                <w:color w:val="000000"/>
                <w:szCs w:val="20"/>
                <w:lang w:eastAsia="pt-BR"/>
              </w:rPr>
            </w:pPr>
            <w:r>
              <w:rPr>
                <w:rFonts w:eastAsia="Times New Roman" w:cs="Arial"/>
                <w:color w:val="000000"/>
                <w:szCs w:val="20"/>
                <w:lang w:eastAsia="pt-BR"/>
              </w:rPr>
              <w:t>-97,34</w:t>
            </w:r>
          </w:p>
        </w:tc>
      </w:tr>
      <w:tr w:rsidR="0041147E" w:rsidRPr="009E71B9" w:rsidTr="008F4251">
        <w:trPr>
          <w:trHeight w:val="269"/>
        </w:trPr>
        <w:tc>
          <w:tcPr>
            <w:tcW w:w="4981" w:type="dxa"/>
            <w:tcBorders>
              <w:top w:val="nil"/>
              <w:left w:val="nil"/>
              <w:bottom w:val="nil"/>
              <w:right w:val="nil"/>
            </w:tcBorders>
            <w:shd w:val="clear" w:color="D9D9D9" w:fill="D9D9D9"/>
            <w:vAlign w:val="center"/>
            <w:hideMark/>
          </w:tcPr>
          <w:p w:rsidR="0041147E" w:rsidRPr="009E71B9" w:rsidRDefault="0041147E" w:rsidP="008F4251">
            <w:pPr>
              <w:jc w:val="left"/>
              <w:rPr>
                <w:rFonts w:eastAsia="Times New Roman" w:cs="Arial"/>
                <w:color w:val="000000"/>
                <w:szCs w:val="20"/>
                <w:lang w:eastAsia="pt-BR"/>
              </w:rPr>
            </w:pPr>
            <w:r w:rsidRPr="009E71B9">
              <w:rPr>
                <w:rFonts w:eastAsia="Times New Roman" w:cs="Arial"/>
                <w:color w:val="000000"/>
                <w:szCs w:val="20"/>
                <w:lang w:eastAsia="pt-BR"/>
              </w:rPr>
              <w:t>Depreciação Acumulada - Bens Imóveis</w:t>
            </w:r>
          </w:p>
        </w:tc>
        <w:tc>
          <w:tcPr>
            <w:tcW w:w="1515" w:type="dxa"/>
            <w:tcBorders>
              <w:top w:val="nil"/>
              <w:left w:val="nil"/>
              <w:bottom w:val="nil"/>
              <w:right w:val="nil"/>
            </w:tcBorders>
            <w:shd w:val="clear" w:color="D9D9D9" w:fill="D9D9D9"/>
            <w:noWrap/>
            <w:vAlign w:val="bottom"/>
          </w:tcPr>
          <w:p w:rsidR="0041147E" w:rsidRPr="009E71B9" w:rsidRDefault="0041147E" w:rsidP="008F4251">
            <w:pPr>
              <w:jc w:val="right"/>
              <w:rPr>
                <w:rFonts w:eastAsia="Times New Roman" w:cs="Arial"/>
                <w:color w:val="000000"/>
                <w:szCs w:val="20"/>
                <w:lang w:eastAsia="pt-BR"/>
              </w:rPr>
            </w:pPr>
            <w:r>
              <w:rPr>
                <w:rFonts w:eastAsia="Times New Roman" w:cs="Arial"/>
                <w:color w:val="000000"/>
                <w:szCs w:val="20"/>
                <w:lang w:eastAsia="pt-BR"/>
              </w:rPr>
              <w:t>-1.311.491</w:t>
            </w:r>
            <w:r w:rsidRPr="00384B49">
              <w:rPr>
                <w:rFonts w:eastAsia="Times New Roman" w:cs="Arial"/>
                <w:color w:val="000000"/>
                <w:szCs w:val="20"/>
                <w:lang w:eastAsia="pt-BR"/>
              </w:rPr>
              <w:t>,</w:t>
            </w:r>
            <w:r>
              <w:rPr>
                <w:rFonts w:eastAsia="Times New Roman" w:cs="Arial"/>
                <w:color w:val="000000"/>
                <w:szCs w:val="20"/>
                <w:lang w:eastAsia="pt-BR"/>
              </w:rPr>
              <w:t>74</w:t>
            </w:r>
          </w:p>
        </w:tc>
        <w:tc>
          <w:tcPr>
            <w:tcW w:w="1515" w:type="dxa"/>
            <w:tcBorders>
              <w:top w:val="nil"/>
              <w:left w:val="nil"/>
              <w:bottom w:val="nil"/>
              <w:right w:val="nil"/>
            </w:tcBorders>
            <w:shd w:val="clear" w:color="D9D9D9" w:fill="D9D9D9"/>
            <w:noWrap/>
            <w:vAlign w:val="bottom"/>
          </w:tcPr>
          <w:p w:rsidR="0041147E" w:rsidRPr="009E71B9" w:rsidRDefault="0041147E" w:rsidP="008F4251">
            <w:pPr>
              <w:jc w:val="right"/>
              <w:rPr>
                <w:rFonts w:eastAsia="Times New Roman" w:cs="Arial"/>
                <w:color w:val="000000"/>
                <w:szCs w:val="20"/>
                <w:lang w:eastAsia="pt-BR"/>
              </w:rPr>
            </w:pPr>
            <w:r>
              <w:rPr>
                <w:rFonts w:eastAsia="Times New Roman" w:cs="Arial"/>
                <w:color w:val="000000"/>
                <w:szCs w:val="20"/>
                <w:lang w:eastAsia="pt-BR"/>
              </w:rPr>
              <w:t>-</w:t>
            </w:r>
            <w:r w:rsidRPr="00384B49">
              <w:rPr>
                <w:rFonts w:eastAsia="Times New Roman" w:cs="Arial"/>
                <w:color w:val="000000"/>
                <w:szCs w:val="20"/>
                <w:lang w:eastAsia="pt-BR"/>
              </w:rPr>
              <w:t>885</w:t>
            </w:r>
            <w:r>
              <w:rPr>
                <w:rFonts w:eastAsia="Times New Roman" w:cs="Arial"/>
                <w:color w:val="000000"/>
                <w:szCs w:val="20"/>
                <w:lang w:eastAsia="pt-BR"/>
              </w:rPr>
              <w:t>.</w:t>
            </w:r>
            <w:r w:rsidRPr="00384B49">
              <w:rPr>
                <w:rFonts w:eastAsia="Times New Roman" w:cs="Arial"/>
                <w:color w:val="000000"/>
                <w:szCs w:val="20"/>
                <w:lang w:eastAsia="pt-BR"/>
              </w:rPr>
              <w:t>965,67</w:t>
            </w:r>
          </w:p>
        </w:tc>
        <w:tc>
          <w:tcPr>
            <w:tcW w:w="1112" w:type="dxa"/>
            <w:tcBorders>
              <w:top w:val="nil"/>
              <w:left w:val="nil"/>
              <w:bottom w:val="nil"/>
              <w:right w:val="nil"/>
            </w:tcBorders>
            <w:shd w:val="clear" w:color="D9D9D9" w:fill="D9D9D9"/>
            <w:noWrap/>
            <w:vAlign w:val="bottom"/>
            <w:hideMark/>
          </w:tcPr>
          <w:p w:rsidR="0041147E" w:rsidRPr="009E71B9" w:rsidRDefault="0041147E" w:rsidP="008F4251">
            <w:pPr>
              <w:jc w:val="right"/>
              <w:rPr>
                <w:rFonts w:eastAsia="Times New Roman" w:cs="Arial"/>
                <w:color w:val="000000"/>
                <w:szCs w:val="20"/>
                <w:lang w:eastAsia="pt-BR"/>
              </w:rPr>
            </w:pPr>
            <w:r>
              <w:rPr>
                <w:rFonts w:eastAsia="Times New Roman" w:cs="Arial"/>
                <w:color w:val="000000"/>
                <w:szCs w:val="20"/>
                <w:lang w:eastAsia="pt-BR"/>
              </w:rPr>
              <w:t>48,03</w:t>
            </w:r>
          </w:p>
        </w:tc>
      </w:tr>
      <w:tr w:rsidR="0041147E" w:rsidRPr="009E71B9" w:rsidTr="008F4251">
        <w:trPr>
          <w:trHeight w:val="269"/>
        </w:trPr>
        <w:tc>
          <w:tcPr>
            <w:tcW w:w="4981" w:type="dxa"/>
            <w:tcBorders>
              <w:top w:val="nil"/>
              <w:left w:val="nil"/>
              <w:bottom w:val="nil"/>
              <w:right w:val="nil"/>
            </w:tcBorders>
            <w:shd w:val="clear" w:color="auto" w:fill="auto"/>
            <w:vAlign w:val="center"/>
            <w:hideMark/>
          </w:tcPr>
          <w:p w:rsidR="0041147E" w:rsidRPr="009E71B9" w:rsidRDefault="0041147E" w:rsidP="008F4251">
            <w:pPr>
              <w:jc w:val="left"/>
              <w:rPr>
                <w:rFonts w:eastAsia="Times New Roman" w:cs="Arial"/>
                <w:color w:val="000000"/>
                <w:szCs w:val="20"/>
                <w:lang w:eastAsia="pt-BR"/>
              </w:rPr>
            </w:pPr>
            <w:r w:rsidRPr="009E71B9">
              <w:rPr>
                <w:rFonts w:eastAsia="Times New Roman" w:cs="Arial"/>
                <w:color w:val="000000"/>
                <w:szCs w:val="20"/>
                <w:lang w:eastAsia="pt-BR"/>
              </w:rPr>
              <w:t>Amortização Acumulada - Bens Imóveis</w:t>
            </w:r>
          </w:p>
        </w:tc>
        <w:tc>
          <w:tcPr>
            <w:tcW w:w="1515" w:type="dxa"/>
            <w:tcBorders>
              <w:top w:val="nil"/>
              <w:left w:val="nil"/>
              <w:bottom w:val="nil"/>
              <w:right w:val="nil"/>
            </w:tcBorders>
            <w:shd w:val="clear" w:color="auto" w:fill="auto"/>
            <w:noWrap/>
            <w:vAlign w:val="bottom"/>
          </w:tcPr>
          <w:p w:rsidR="0041147E" w:rsidRPr="009E71B9" w:rsidRDefault="0041147E" w:rsidP="008F4251">
            <w:pPr>
              <w:jc w:val="right"/>
              <w:rPr>
                <w:rFonts w:eastAsia="Times New Roman" w:cs="Arial"/>
                <w:color w:val="000000"/>
                <w:szCs w:val="20"/>
                <w:lang w:eastAsia="pt-BR"/>
              </w:rPr>
            </w:pPr>
            <w:r>
              <w:rPr>
                <w:rFonts w:eastAsia="Times New Roman" w:cs="Arial"/>
                <w:color w:val="000000"/>
                <w:szCs w:val="20"/>
                <w:lang w:eastAsia="pt-BR"/>
              </w:rPr>
              <w:t>0</w:t>
            </w:r>
          </w:p>
        </w:tc>
        <w:tc>
          <w:tcPr>
            <w:tcW w:w="1515" w:type="dxa"/>
            <w:tcBorders>
              <w:top w:val="nil"/>
              <w:left w:val="nil"/>
              <w:bottom w:val="nil"/>
              <w:right w:val="nil"/>
            </w:tcBorders>
            <w:shd w:val="clear" w:color="auto" w:fill="auto"/>
            <w:noWrap/>
            <w:vAlign w:val="bottom"/>
          </w:tcPr>
          <w:p w:rsidR="0041147E" w:rsidRPr="009E71B9" w:rsidRDefault="0041147E" w:rsidP="008F4251">
            <w:pPr>
              <w:jc w:val="right"/>
              <w:rPr>
                <w:rFonts w:eastAsia="Times New Roman" w:cs="Arial"/>
                <w:color w:val="000000"/>
                <w:szCs w:val="20"/>
                <w:lang w:eastAsia="pt-BR"/>
              </w:rPr>
            </w:pPr>
            <w:r>
              <w:rPr>
                <w:rFonts w:eastAsia="Times New Roman" w:cs="Arial"/>
                <w:color w:val="000000"/>
                <w:szCs w:val="20"/>
                <w:lang w:eastAsia="pt-BR"/>
              </w:rPr>
              <w:t>-</w:t>
            </w:r>
            <w:r w:rsidRPr="00B770D7">
              <w:rPr>
                <w:rFonts w:eastAsia="Times New Roman" w:cs="Arial"/>
                <w:color w:val="000000"/>
                <w:szCs w:val="20"/>
                <w:lang w:eastAsia="pt-BR"/>
              </w:rPr>
              <w:t>901</w:t>
            </w:r>
            <w:r>
              <w:rPr>
                <w:rFonts w:eastAsia="Times New Roman" w:cs="Arial"/>
                <w:color w:val="000000"/>
                <w:szCs w:val="20"/>
                <w:lang w:eastAsia="pt-BR"/>
              </w:rPr>
              <w:t>.</w:t>
            </w:r>
            <w:r w:rsidRPr="00B770D7">
              <w:rPr>
                <w:rFonts w:eastAsia="Times New Roman" w:cs="Arial"/>
                <w:color w:val="000000"/>
                <w:szCs w:val="20"/>
                <w:lang w:eastAsia="pt-BR"/>
              </w:rPr>
              <w:t>514,83</w:t>
            </w:r>
          </w:p>
        </w:tc>
        <w:tc>
          <w:tcPr>
            <w:tcW w:w="1112" w:type="dxa"/>
            <w:tcBorders>
              <w:top w:val="nil"/>
              <w:left w:val="nil"/>
              <w:bottom w:val="nil"/>
              <w:right w:val="nil"/>
            </w:tcBorders>
            <w:shd w:val="clear" w:color="auto" w:fill="auto"/>
            <w:noWrap/>
            <w:vAlign w:val="bottom"/>
            <w:hideMark/>
          </w:tcPr>
          <w:p w:rsidR="0041147E" w:rsidRPr="009E71B9" w:rsidRDefault="0041147E" w:rsidP="008F4251">
            <w:pPr>
              <w:jc w:val="right"/>
              <w:rPr>
                <w:rFonts w:eastAsia="Times New Roman" w:cs="Arial"/>
                <w:color w:val="000000"/>
                <w:szCs w:val="20"/>
                <w:lang w:eastAsia="pt-BR"/>
              </w:rPr>
            </w:pPr>
          </w:p>
        </w:tc>
      </w:tr>
      <w:tr w:rsidR="0041147E" w:rsidRPr="00384B49" w:rsidTr="008F4251">
        <w:trPr>
          <w:trHeight w:val="269"/>
        </w:trPr>
        <w:tc>
          <w:tcPr>
            <w:tcW w:w="4981" w:type="dxa"/>
            <w:tcBorders>
              <w:top w:val="nil"/>
              <w:left w:val="nil"/>
              <w:bottom w:val="single" w:sz="4" w:space="0" w:color="000000"/>
              <w:right w:val="nil"/>
            </w:tcBorders>
            <w:shd w:val="clear" w:color="D9D9D9" w:fill="D9D9D9"/>
            <w:noWrap/>
            <w:vAlign w:val="bottom"/>
            <w:hideMark/>
          </w:tcPr>
          <w:p w:rsidR="0041147E" w:rsidRPr="00384B49" w:rsidRDefault="0041147E" w:rsidP="008F4251">
            <w:pPr>
              <w:jc w:val="left"/>
              <w:rPr>
                <w:rFonts w:eastAsia="Times New Roman" w:cs="Arial"/>
                <w:b/>
                <w:bCs/>
                <w:color w:val="000000"/>
                <w:szCs w:val="20"/>
                <w:lang w:eastAsia="pt-BR"/>
              </w:rPr>
            </w:pPr>
            <w:r w:rsidRPr="00384B49">
              <w:rPr>
                <w:rFonts w:eastAsia="Times New Roman" w:cs="Arial"/>
                <w:b/>
                <w:bCs/>
                <w:color w:val="000000"/>
                <w:szCs w:val="20"/>
                <w:lang w:eastAsia="pt-BR"/>
              </w:rPr>
              <w:t>Total</w:t>
            </w:r>
          </w:p>
        </w:tc>
        <w:tc>
          <w:tcPr>
            <w:tcW w:w="1515" w:type="dxa"/>
            <w:tcBorders>
              <w:top w:val="nil"/>
              <w:left w:val="nil"/>
              <w:bottom w:val="single" w:sz="4" w:space="0" w:color="000000"/>
              <w:right w:val="nil"/>
            </w:tcBorders>
            <w:shd w:val="clear" w:color="D9D9D9" w:fill="D9D9D9"/>
            <w:noWrap/>
            <w:vAlign w:val="bottom"/>
          </w:tcPr>
          <w:p w:rsidR="0041147E" w:rsidRPr="00384B49" w:rsidRDefault="0041147E" w:rsidP="008F4251">
            <w:pPr>
              <w:jc w:val="right"/>
              <w:rPr>
                <w:rFonts w:cs="Arial"/>
                <w:b/>
                <w:color w:val="000000"/>
                <w:szCs w:val="20"/>
              </w:rPr>
            </w:pPr>
            <w:r w:rsidRPr="00384B49">
              <w:rPr>
                <w:rFonts w:cs="Arial"/>
                <w:b/>
                <w:color w:val="000000"/>
                <w:szCs w:val="20"/>
              </w:rPr>
              <w:t>1</w:t>
            </w:r>
            <w:r>
              <w:rPr>
                <w:rFonts w:cs="Arial"/>
                <w:b/>
                <w:color w:val="000000"/>
                <w:szCs w:val="20"/>
              </w:rPr>
              <w:t>23</w:t>
            </w:r>
            <w:r w:rsidRPr="00384B49">
              <w:rPr>
                <w:rFonts w:cs="Arial"/>
                <w:b/>
                <w:color w:val="000000"/>
                <w:szCs w:val="20"/>
              </w:rPr>
              <w:t>.</w:t>
            </w:r>
            <w:r>
              <w:rPr>
                <w:rFonts w:cs="Arial"/>
                <w:b/>
                <w:color w:val="000000"/>
                <w:szCs w:val="20"/>
              </w:rPr>
              <w:t>597</w:t>
            </w:r>
            <w:r w:rsidRPr="00384B49">
              <w:rPr>
                <w:rFonts w:cs="Arial"/>
                <w:b/>
                <w:color w:val="000000"/>
                <w:szCs w:val="20"/>
              </w:rPr>
              <w:t>.</w:t>
            </w:r>
            <w:r>
              <w:rPr>
                <w:rFonts w:cs="Arial"/>
                <w:b/>
                <w:color w:val="000000"/>
                <w:szCs w:val="20"/>
              </w:rPr>
              <w:t>368</w:t>
            </w:r>
            <w:r w:rsidRPr="00384B49">
              <w:rPr>
                <w:rFonts w:cs="Arial"/>
                <w:b/>
                <w:color w:val="000000"/>
                <w:szCs w:val="20"/>
              </w:rPr>
              <w:t>,</w:t>
            </w:r>
            <w:r>
              <w:rPr>
                <w:rFonts w:cs="Arial"/>
                <w:b/>
                <w:color w:val="000000"/>
                <w:szCs w:val="20"/>
              </w:rPr>
              <w:t>49</w:t>
            </w:r>
          </w:p>
          <w:p w:rsidR="0041147E" w:rsidRPr="00384B49" w:rsidRDefault="0041147E" w:rsidP="008F4251">
            <w:pPr>
              <w:jc w:val="right"/>
              <w:rPr>
                <w:rFonts w:eastAsia="Times New Roman" w:cs="Arial"/>
                <w:b/>
                <w:bCs/>
                <w:color w:val="000000"/>
                <w:szCs w:val="20"/>
                <w:lang w:eastAsia="pt-BR"/>
              </w:rPr>
            </w:pPr>
          </w:p>
        </w:tc>
        <w:tc>
          <w:tcPr>
            <w:tcW w:w="1515" w:type="dxa"/>
            <w:tcBorders>
              <w:top w:val="nil"/>
              <w:left w:val="nil"/>
              <w:bottom w:val="single" w:sz="4" w:space="0" w:color="000000"/>
              <w:right w:val="nil"/>
            </w:tcBorders>
            <w:shd w:val="clear" w:color="D9D9D9" w:fill="D9D9D9"/>
            <w:noWrap/>
            <w:vAlign w:val="bottom"/>
          </w:tcPr>
          <w:p w:rsidR="0041147E" w:rsidRPr="00384B49" w:rsidRDefault="0041147E" w:rsidP="008F4251">
            <w:pPr>
              <w:jc w:val="right"/>
              <w:rPr>
                <w:rFonts w:cs="Arial"/>
                <w:b/>
                <w:color w:val="000000"/>
                <w:szCs w:val="20"/>
              </w:rPr>
            </w:pPr>
            <w:r w:rsidRPr="00384B49">
              <w:rPr>
                <w:rFonts w:cs="Arial"/>
                <w:b/>
                <w:color w:val="000000"/>
                <w:szCs w:val="20"/>
              </w:rPr>
              <w:t>1</w:t>
            </w:r>
            <w:r>
              <w:rPr>
                <w:rFonts w:cs="Arial"/>
                <w:b/>
                <w:color w:val="000000"/>
                <w:szCs w:val="20"/>
              </w:rPr>
              <w:t>24</w:t>
            </w:r>
            <w:r w:rsidRPr="00384B49">
              <w:rPr>
                <w:rFonts w:cs="Arial"/>
                <w:b/>
                <w:color w:val="000000"/>
                <w:szCs w:val="20"/>
              </w:rPr>
              <w:t>.</w:t>
            </w:r>
            <w:r>
              <w:rPr>
                <w:rFonts w:cs="Arial"/>
                <w:b/>
                <w:color w:val="000000"/>
                <w:szCs w:val="20"/>
              </w:rPr>
              <w:t>037</w:t>
            </w:r>
            <w:r w:rsidRPr="00384B49">
              <w:rPr>
                <w:rFonts w:cs="Arial"/>
                <w:b/>
                <w:color w:val="000000"/>
                <w:szCs w:val="20"/>
              </w:rPr>
              <w:t>.</w:t>
            </w:r>
            <w:r>
              <w:rPr>
                <w:rFonts w:cs="Arial"/>
                <w:b/>
                <w:color w:val="000000"/>
                <w:szCs w:val="20"/>
              </w:rPr>
              <w:t>700</w:t>
            </w:r>
            <w:r w:rsidRPr="00384B49">
              <w:rPr>
                <w:rFonts w:cs="Arial"/>
                <w:b/>
                <w:color w:val="000000"/>
                <w:szCs w:val="20"/>
              </w:rPr>
              <w:t>,</w:t>
            </w:r>
            <w:r>
              <w:rPr>
                <w:rFonts w:cs="Arial"/>
                <w:b/>
                <w:color w:val="000000"/>
                <w:szCs w:val="20"/>
              </w:rPr>
              <w:t>31</w:t>
            </w:r>
          </w:p>
          <w:p w:rsidR="0041147E" w:rsidRPr="00384B49" w:rsidRDefault="0041147E" w:rsidP="008F4251">
            <w:pPr>
              <w:jc w:val="right"/>
              <w:rPr>
                <w:rFonts w:eastAsia="Times New Roman" w:cs="Arial"/>
                <w:b/>
                <w:bCs/>
                <w:color w:val="000000"/>
                <w:szCs w:val="20"/>
                <w:lang w:eastAsia="pt-BR"/>
              </w:rPr>
            </w:pPr>
          </w:p>
        </w:tc>
        <w:tc>
          <w:tcPr>
            <w:tcW w:w="1112" w:type="dxa"/>
            <w:tcBorders>
              <w:top w:val="nil"/>
              <w:left w:val="nil"/>
              <w:bottom w:val="single" w:sz="4" w:space="0" w:color="000000"/>
              <w:right w:val="nil"/>
            </w:tcBorders>
            <w:shd w:val="clear" w:color="D9D9D9" w:fill="D9D9D9"/>
            <w:noWrap/>
            <w:vAlign w:val="bottom"/>
          </w:tcPr>
          <w:p w:rsidR="0041147E" w:rsidRPr="00384B49" w:rsidRDefault="0041147E" w:rsidP="008F4251">
            <w:pPr>
              <w:jc w:val="right"/>
              <w:rPr>
                <w:rFonts w:eastAsia="Times New Roman" w:cs="Arial"/>
                <w:b/>
                <w:bCs/>
                <w:color w:val="000000"/>
                <w:szCs w:val="20"/>
                <w:lang w:eastAsia="pt-BR"/>
              </w:rPr>
            </w:pPr>
            <w:r>
              <w:rPr>
                <w:rFonts w:eastAsia="Times New Roman" w:cs="Arial"/>
                <w:b/>
                <w:bCs/>
                <w:color w:val="000000"/>
                <w:szCs w:val="20"/>
                <w:lang w:eastAsia="pt-BR"/>
              </w:rPr>
              <w:t>-0,35</w:t>
            </w:r>
          </w:p>
        </w:tc>
      </w:tr>
    </w:tbl>
    <w:p w:rsidR="0041147E" w:rsidRPr="009E71B9" w:rsidRDefault="0041147E" w:rsidP="0041147E">
      <w:pPr>
        <w:rPr>
          <w:rFonts w:cs="Arial"/>
          <w:i/>
          <w:szCs w:val="20"/>
        </w:rPr>
      </w:pPr>
      <w:r w:rsidRPr="009E71B9">
        <w:rPr>
          <w:rFonts w:cs="Arial"/>
          <w:i/>
          <w:szCs w:val="20"/>
        </w:rPr>
        <w:t>Fonte: SIAFI, 201</w:t>
      </w:r>
      <w:r>
        <w:rPr>
          <w:rFonts w:cs="Arial"/>
          <w:i/>
          <w:szCs w:val="20"/>
        </w:rPr>
        <w:t>9</w:t>
      </w:r>
      <w:r w:rsidRPr="009E71B9">
        <w:rPr>
          <w:rFonts w:cs="Arial"/>
          <w:i/>
          <w:szCs w:val="20"/>
        </w:rPr>
        <w:t xml:space="preserve"> e 201</w:t>
      </w:r>
      <w:r>
        <w:rPr>
          <w:rFonts w:cs="Arial"/>
          <w:i/>
          <w:szCs w:val="20"/>
        </w:rPr>
        <w:t>8</w:t>
      </w:r>
      <w:r w:rsidRPr="009E71B9">
        <w:rPr>
          <w:rFonts w:cs="Arial"/>
          <w:i/>
          <w:szCs w:val="20"/>
        </w:rPr>
        <w:t>.</w:t>
      </w:r>
    </w:p>
    <w:p w:rsidR="0041147E" w:rsidRPr="0037110A" w:rsidRDefault="0041147E" w:rsidP="0041147E">
      <w:pPr>
        <w:rPr>
          <w:rFonts w:cs="Arial"/>
          <w:sz w:val="22"/>
        </w:rPr>
      </w:pPr>
    </w:p>
    <w:p w:rsidR="0041147E" w:rsidRDefault="0041147E" w:rsidP="0041147E">
      <w:pPr>
        <w:rPr>
          <w:rFonts w:cs="Arial"/>
          <w:sz w:val="22"/>
        </w:rPr>
      </w:pPr>
      <w:r w:rsidRPr="0037110A">
        <w:rPr>
          <w:rFonts w:cs="Arial"/>
          <w:sz w:val="22"/>
        </w:rPr>
        <w:t>A depreciação dos Bens Imóveis é apurada utilizando-se o método descrito na Portaria Conjunta STN/SPU N. 03, de 10 de dezembro de 2014, cujos valores são apropriados pela S</w:t>
      </w:r>
      <w:r>
        <w:rPr>
          <w:rFonts w:cs="Arial"/>
          <w:sz w:val="22"/>
        </w:rPr>
        <w:t xml:space="preserve">ecretaria do Tesouro Nacional </w:t>
      </w:r>
      <w:r w:rsidRPr="0037110A">
        <w:rPr>
          <w:rFonts w:cs="Arial"/>
          <w:sz w:val="22"/>
        </w:rPr>
        <w:t>com base em informações prestadas pela Secretaria de Patrimônio da União.</w:t>
      </w:r>
    </w:p>
    <w:p w:rsidR="0041147E" w:rsidRDefault="0041147E" w:rsidP="0041147E">
      <w:pPr>
        <w:rPr>
          <w:rFonts w:cs="Arial"/>
          <w:sz w:val="22"/>
        </w:rPr>
      </w:pPr>
    </w:p>
    <w:p w:rsidR="0041147E" w:rsidRDefault="0041147E" w:rsidP="0041147E">
      <w:pPr>
        <w:rPr>
          <w:rFonts w:cs="Arial"/>
          <w:b/>
          <w:sz w:val="22"/>
        </w:rPr>
      </w:pPr>
      <w:r>
        <w:rPr>
          <w:rFonts w:cs="Arial"/>
          <w:sz w:val="22"/>
        </w:rPr>
        <w:t xml:space="preserve">O método de depreciação previsto na referida norma conjunta é a Parábola de </w:t>
      </w:r>
      <w:proofErr w:type="spellStart"/>
      <w:r>
        <w:rPr>
          <w:rFonts w:cs="Arial"/>
          <w:sz w:val="22"/>
        </w:rPr>
        <w:t>Kuntzle</w:t>
      </w:r>
      <w:proofErr w:type="spellEnd"/>
      <w:r>
        <w:rPr>
          <w:rFonts w:cs="Arial"/>
          <w:sz w:val="22"/>
        </w:rPr>
        <w:t xml:space="preserve">, expressa pela seguinte fórmula: </w:t>
      </w:r>
      <w:proofErr w:type="spellStart"/>
      <w:r w:rsidRPr="00384B49">
        <w:rPr>
          <w:rFonts w:cs="Arial"/>
          <w:b/>
          <w:sz w:val="22"/>
        </w:rPr>
        <w:t>Kd</w:t>
      </w:r>
      <w:proofErr w:type="spellEnd"/>
      <w:r w:rsidRPr="00384B49">
        <w:rPr>
          <w:rFonts w:cs="Arial"/>
          <w:b/>
          <w:sz w:val="22"/>
        </w:rPr>
        <w:t xml:space="preserve"> = (n² - x²) / n², onde:</w:t>
      </w:r>
    </w:p>
    <w:p w:rsidR="0041147E" w:rsidRPr="00384B49" w:rsidRDefault="0041147E" w:rsidP="0041147E">
      <w:pPr>
        <w:rPr>
          <w:rFonts w:cs="Arial"/>
          <w:b/>
          <w:sz w:val="22"/>
        </w:rPr>
      </w:pPr>
    </w:p>
    <w:p w:rsidR="0041147E" w:rsidRDefault="0041147E" w:rsidP="0041147E">
      <w:pPr>
        <w:autoSpaceDE w:val="0"/>
        <w:autoSpaceDN w:val="0"/>
        <w:adjustRightInd w:val="0"/>
        <w:jc w:val="left"/>
        <w:rPr>
          <w:rFonts w:cs="Arial"/>
          <w:sz w:val="22"/>
        </w:rPr>
      </w:pPr>
      <w:proofErr w:type="spellStart"/>
      <w:r w:rsidRPr="00384B49">
        <w:rPr>
          <w:rFonts w:cs="Arial"/>
          <w:b/>
          <w:sz w:val="22"/>
        </w:rPr>
        <w:t>Kd</w:t>
      </w:r>
      <w:proofErr w:type="spellEnd"/>
      <w:r w:rsidRPr="009E71B9">
        <w:rPr>
          <w:rFonts w:cs="Arial"/>
          <w:sz w:val="22"/>
        </w:rPr>
        <w:t xml:space="preserve"> = coeficiente de depreciação</w:t>
      </w:r>
      <w:r>
        <w:rPr>
          <w:rFonts w:cs="Arial"/>
          <w:sz w:val="22"/>
        </w:rPr>
        <w:t xml:space="preserve"> </w:t>
      </w:r>
      <w:r w:rsidRPr="00384B49">
        <w:rPr>
          <w:rFonts w:cs="Arial"/>
          <w:b/>
          <w:sz w:val="22"/>
        </w:rPr>
        <w:t>n</w:t>
      </w:r>
      <w:r w:rsidRPr="009E71B9">
        <w:rPr>
          <w:rFonts w:cs="Arial"/>
          <w:sz w:val="22"/>
        </w:rPr>
        <w:t xml:space="preserve"> = vida útil da acessão</w:t>
      </w:r>
      <w:r>
        <w:rPr>
          <w:rFonts w:cs="Arial"/>
          <w:sz w:val="22"/>
        </w:rPr>
        <w:t xml:space="preserve"> </w:t>
      </w:r>
      <w:r w:rsidRPr="00384B49">
        <w:rPr>
          <w:rFonts w:cs="Arial"/>
          <w:b/>
          <w:sz w:val="22"/>
        </w:rPr>
        <w:t>x</w:t>
      </w:r>
      <w:r w:rsidRPr="009E71B9">
        <w:rPr>
          <w:rFonts w:cs="Arial"/>
          <w:sz w:val="22"/>
        </w:rPr>
        <w:t xml:space="preserve"> = vida útil transcorrida da acessão</w:t>
      </w:r>
    </w:p>
    <w:p w:rsidR="0041147E" w:rsidRDefault="0041147E" w:rsidP="0041147E">
      <w:pPr>
        <w:rPr>
          <w:rFonts w:cs="Arial"/>
          <w:sz w:val="22"/>
        </w:rPr>
      </w:pPr>
    </w:p>
    <w:p w:rsidR="0041147E" w:rsidRPr="009E71B9" w:rsidRDefault="0041147E" w:rsidP="0041147E">
      <w:pPr>
        <w:rPr>
          <w:rFonts w:cs="Arial"/>
          <w:sz w:val="22"/>
        </w:rPr>
      </w:pPr>
      <w:r w:rsidRPr="000B400B">
        <w:rPr>
          <w:rFonts w:cs="Arial"/>
          <w:sz w:val="22"/>
        </w:rPr>
        <w:t>A significativa variação de 14,06% nos bens registrados se deu por conta da reavaliação que deve ocorrer segundo a portaria 703/2014 da SPU</w:t>
      </w:r>
      <w:r>
        <w:rPr>
          <w:rFonts w:cs="Arial"/>
          <w:sz w:val="22"/>
        </w:rPr>
        <w:t>/STN</w:t>
      </w:r>
      <w:r w:rsidRPr="000B400B">
        <w:rPr>
          <w:rFonts w:cs="Arial"/>
          <w:sz w:val="22"/>
        </w:rPr>
        <w:t>.</w:t>
      </w:r>
    </w:p>
    <w:p w:rsidR="0041147E" w:rsidRDefault="0041147E" w:rsidP="0041147E">
      <w:pPr>
        <w:rPr>
          <w:rFonts w:cs="Arial"/>
          <w:sz w:val="22"/>
        </w:rPr>
      </w:pPr>
    </w:p>
    <w:p w:rsidR="0041147E" w:rsidRPr="0037110A" w:rsidRDefault="0041147E" w:rsidP="0041147E">
      <w:pPr>
        <w:rPr>
          <w:rFonts w:cs="Arial"/>
          <w:sz w:val="22"/>
        </w:rPr>
      </w:pPr>
      <w:r w:rsidRPr="0037110A">
        <w:rPr>
          <w:rFonts w:cs="Arial"/>
          <w:sz w:val="22"/>
        </w:rPr>
        <w:t>As Benfeitorias em Imóveis de Terceiros</w:t>
      </w:r>
      <w:r>
        <w:rPr>
          <w:rFonts w:cs="Arial"/>
          <w:sz w:val="22"/>
        </w:rPr>
        <w:t xml:space="preserve"> (123210800)</w:t>
      </w:r>
      <w:r w:rsidRPr="0037110A">
        <w:rPr>
          <w:rFonts w:cs="Arial"/>
          <w:sz w:val="22"/>
        </w:rPr>
        <w:t xml:space="preserve"> </w:t>
      </w:r>
      <w:r>
        <w:rPr>
          <w:rFonts w:cs="Arial"/>
          <w:sz w:val="22"/>
        </w:rPr>
        <w:t>estão sendo</w:t>
      </w:r>
      <w:r w:rsidRPr="0037110A">
        <w:rPr>
          <w:rFonts w:cs="Arial"/>
          <w:sz w:val="22"/>
        </w:rPr>
        <w:t xml:space="preserve"> executadas em imóveis locados</w:t>
      </w:r>
      <w:r>
        <w:rPr>
          <w:rFonts w:cs="Arial"/>
          <w:sz w:val="22"/>
        </w:rPr>
        <w:t xml:space="preserve"> ou por comodato</w:t>
      </w:r>
      <w:r w:rsidRPr="0037110A">
        <w:rPr>
          <w:rFonts w:cs="Arial"/>
          <w:sz w:val="22"/>
        </w:rPr>
        <w:t xml:space="preserve"> pela AN</w:t>
      </w:r>
      <w:r>
        <w:rPr>
          <w:rFonts w:cs="Arial"/>
          <w:sz w:val="22"/>
        </w:rPr>
        <w:t>P</w:t>
      </w:r>
      <w:r w:rsidRPr="0037110A">
        <w:rPr>
          <w:rFonts w:cs="Arial"/>
          <w:sz w:val="22"/>
        </w:rPr>
        <w:t xml:space="preserve"> e a amortização se d</w:t>
      </w:r>
      <w:r>
        <w:rPr>
          <w:rFonts w:cs="Arial"/>
          <w:sz w:val="22"/>
        </w:rPr>
        <w:t>ará</w:t>
      </w:r>
      <w:r w:rsidRPr="0037110A">
        <w:rPr>
          <w:rFonts w:cs="Arial"/>
          <w:sz w:val="22"/>
        </w:rPr>
        <w:t xml:space="preserve"> pelo prazo da vigência dos contratos</w:t>
      </w:r>
      <w:r>
        <w:rPr>
          <w:rFonts w:cs="Arial"/>
          <w:sz w:val="22"/>
        </w:rPr>
        <w:t>.</w:t>
      </w:r>
    </w:p>
    <w:p w:rsidR="0041147E" w:rsidRPr="0037110A" w:rsidRDefault="0041147E" w:rsidP="0041147E">
      <w:pPr>
        <w:rPr>
          <w:rFonts w:cs="Arial"/>
          <w:sz w:val="22"/>
        </w:rPr>
      </w:pPr>
    </w:p>
    <w:p w:rsidR="0041147E" w:rsidRDefault="0041147E" w:rsidP="0041147E">
      <w:pPr>
        <w:rPr>
          <w:rFonts w:cs="Arial"/>
          <w:sz w:val="22"/>
        </w:rPr>
      </w:pPr>
      <w:r>
        <w:rPr>
          <w:rFonts w:cs="Arial"/>
          <w:sz w:val="22"/>
        </w:rPr>
        <w:t>Segue a lista de bens Imóveis da ANP:</w:t>
      </w:r>
    </w:p>
    <w:p w:rsidR="0041147E" w:rsidRPr="0037110A" w:rsidRDefault="0041147E" w:rsidP="0041147E">
      <w:pPr>
        <w:rPr>
          <w:rFonts w:cs="Arial"/>
          <w:sz w:val="22"/>
        </w:rPr>
      </w:pPr>
    </w:p>
    <w:p w:rsidR="0041147E" w:rsidRPr="00E65DFE" w:rsidRDefault="0041147E" w:rsidP="0041147E">
      <w:pPr>
        <w:rPr>
          <w:rFonts w:cs="Arial"/>
          <w:b/>
          <w:sz w:val="22"/>
        </w:rPr>
      </w:pPr>
      <w:r w:rsidRPr="00DC2695">
        <w:rPr>
          <w:rFonts w:cs="Arial"/>
          <w:b/>
          <w:sz w:val="22"/>
        </w:rPr>
        <w:t xml:space="preserve">Tabela </w:t>
      </w:r>
      <w:r>
        <w:rPr>
          <w:rFonts w:cs="Arial"/>
          <w:b/>
          <w:sz w:val="22"/>
        </w:rPr>
        <w:t xml:space="preserve">9 </w:t>
      </w:r>
      <w:proofErr w:type="gramStart"/>
      <w:r w:rsidRPr="00DC2695">
        <w:rPr>
          <w:rFonts w:cs="Arial"/>
          <w:b/>
          <w:sz w:val="22"/>
        </w:rPr>
        <w:t xml:space="preserve">-  </w:t>
      </w:r>
      <w:r>
        <w:rPr>
          <w:rFonts w:cs="Arial"/>
          <w:b/>
          <w:sz w:val="22"/>
        </w:rPr>
        <w:t>Lista</w:t>
      </w:r>
      <w:proofErr w:type="gramEnd"/>
      <w:r>
        <w:rPr>
          <w:rFonts w:cs="Arial"/>
          <w:b/>
          <w:sz w:val="22"/>
        </w:rPr>
        <w:t xml:space="preserve"> de </w:t>
      </w:r>
      <w:r w:rsidRPr="00DC2695">
        <w:rPr>
          <w:rFonts w:cs="Arial"/>
          <w:b/>
          <w:sz w:val="22"/>
        </w:rPr>
        <w:t>Bens Imóveis – Identificação e Localização.</w:t>
      </w:r>
    </w:p>
    <w:p w:rsidR="0041147E" w:rsidRDefault="0041147E" w:rsidP="0041147E">
      <w:pPr>
        <w:rPr>
          <w:rFonts w:cs="Arial"/>
          <w:sz w:val="22"/>
        </w:rPr>
      </w:pPr>
    </w:p>
    <w:tbl>
      <w:tblPr>
        <w:tblW w:w="7700" w:type="dxa"/>
        <w:tblInd w:w="-10" w:type="dxa"/>
        <w:tblCellMar>
          <w:left w:w="70" w:type="dxa"/>
          <w:right w:w="70" w:type="dxa"/>
        </w:tblCellMar>
        <w:tblLook w:val="04A0" w:firstRow="1" w:lastRow="0" w:firstColumn="1" w:lastColumn="0" w:noHBand="0" w:noVBand="1"/>
      </w:tblPr>
      <w:tblGrid>
        <w:gridCol w:w="1885"/>
        <w:gridCol w:w="3438"/>
        <w:gridCol w:w="2377"/>
      </w:tblGrid>
      <w:tr w:rsidR="0041147E" w:rsidRPr="00833F42" w:rsidTr="008F4251">
        <w:trPr>
          <w:trHeight w:val="320"/>
        </w:trPr>
        <w:tc>
          <w:tcPr>
            <w:tcW w:w="1885" w:type="dxa"/>
            <w:tcBorders>
              <w:top w:val="single" w:sz="8" w:space="0" w:color="000000"/>
              <w:left w:val="single" w:sz="8" w:space="0" w:color="000000"/>
              <w:bottom w:val="single" w:sz="8" w:space="0" w:color="000000"/>
              <w:right w:val="single" w:sz="8" w:space="0" w:color="auto"/>
            </w:tcBorders>
            <w:shd w:val="clear" w:color="auto" w:fill="auto"/>
            <w:vAlign w:val="center"/>
            <w:hideMark/>
          </w:tcPr>
          <w:p w:rsidR="0041147E" w:rsidRPr="00833F42" w:rsidRDefault="0041147E" w:rsidP="008F4251">
            <w:pPr>
              <w:jc w:val="center"/>
              <w:rPr>
                <w:rFonts w:eastAsia="Times New Roman" w:cs="Arial"/>
                <w:b/>
                <w:bCs/>
                <w:color w:val="000000"/>
                <w:szCs w:val="20"/>
                <w:lang w:eastAsia="pt-BR"/>
              </w:rPr>
            </w:pPr>
            <w:r w:rsidRPr="00833F42">
              <w:rPr>
                <w:rFonts w:eastAsia="Times New Roman" w:cs="Arial"/>
                <w:b/>
                <w:bCs/>
                <w:color w:val="000000"/>
                <w:szCs w:val="20"/>
                <w:lang w:eastAsia="pt-BR"/>
              </w:rPr>
              <w:t>Unidade Gestora</w:t>
            </w:r>
          </w:p>
        </w:tc>
        <w:tc>
          <w:tcPr>
            <w:tcW w:w="3438" w:type="dxa"/>
            <w:tcBorders>
              <w:top w:val="single" w:sz="8" w:space="0" w:color="000000"/>
              <w:left w:val="nil"/>
              <w:bottom w:val="single" w:sz="8" w:space="0" w:color="auto"/>
              <w:right w:val="single" w:sz="8" w:space="0" w:color="auto"/>
            </w:tcBorders>
            <w:shd w:val="clear" w:color="auto" w:fill="auto"/>
            <w:vAlign w:val="center"/>
            <w:hideMark/>
          </w:tcPr>
          <w:p w:rsidR="0041147E" w:rsidRPr="00833F42" w:rsidRDefault="0041147E" w:rsidP="008F4251">
            <w:pPr>
              <w:jc w:val="center"/>
              <w:rPr>
                <w:rFonts w:eastAsia="Times New Roman" w:cs="Arial"/>
                <w:b/>
                <w:bCs/>
                <w:color w:val="000000"/>
                <w:szCs w:val="20"/>
                <w:lang w:eastAsia="pt-BR"/>
              </w:rPr>
            </w:pPr>
            <w:r w:rsidRPr="00833F42">
              <w:rPr>
                <w:rFonts w:eastAsia="Times New Roman" w:cs="Arial"/>
                <w:b/>
                <w:bCs/>
                <w:color w:val="000000"/>
                <w:szCs w:val="20"/>
                <w:lang w:eastAsia="pt-BR"/>
              </w:rPr>
              <w:t>Endereço</w:t>
            </w:r>
          </w:p>
        </w:tc>
        <w:tc>
          <w:tcPr>
            <w:tcW w:w="2377" w:type="dxa"/>
            <w:tcBorders>
              <w:top w:val="single" w:sz="8" w:space="0" w:color="000000"/>
              <w:left w:val="nil"/>
              <w:bottom w:val="single" w:sz="8" w:space="0" w:color="auto"/>
              <w:right w:val="single" w:sz="8" w:space="0" w:color="auto"/>
            </w:tcBorders>
            <w:shd w:val="clear" w:color="auto" w:fill="auto"/>
            <w:vAlign w:val="center"/>
            <w:hideMark/>
          </w:tcPr>
          <w:p w:rsidR="0041147E" w:rsidRPr="00833F42" w:rsidRDefault="0041147E" w:rsidP="008F4251">
            <w:pPr>
              <w:jc w:val="center"/>
              <w:rPr>
                <w:rFonts w:eastAsia="Times New Roman" w:cs="Arial"/>
                <w:b/>
                <w:bCs/>
                <w:color w:val="000000"/>
                <w:szCs w:val="20"/>
                <w:lang w:eastAsia="pt-BR"/>
              </w:rPr>
            </w:pPr>
            <w:r w:rsidRPr="00833F42">
              <w:rPr>
                <w:rFonts w:eastAsia="Times New Roman" w:cs="Arial"/>
                <w:b/>
                <w:bCs/>
                <w:color w:val="000000"/>
                <w:szCs w:val="20"/>
                <w:lang w:eastAsia="pt-BR"/>
              </w:rPr>
              <w:t>RIP</w:t>
            </w:r>
          </w:p>
        </w:tc>
      </w:tr>
      <w:tr w:rsidR="0041147E" w:rsidRPr="00833F42" w:rsidTr="008F4251">
        <w:trPr>
          <w:trHeight w:val="533"/>
        </w:trPr>
        <w:tc>
          <w:tcPr>
            <w:tcW w:w="1885" w:type="dxa"/>
            <w:tcBorders>
              <w:top w:val="nil"/>
              <w:left w:val="single" w:sz="8" w:space="0" w:color="000000"/>
              <w:bottom w:val="single" w:sz="8" w:space="0" w:color="auto"/>
              <w:right w:val="single" w:sz="8" w:space="0" w:color="auto"/>
            </w:tcBorders>
            <w:shd w:val="clear" w:color="000000" w:fill="D9D9D9"/>
            <w:vAlign w:val="center"/>
            <w:hideMark/>
          </w:tcPr>
          <w:p w:rsidR="0041147E" w:rsidRPr="00833F42" w:rsidRDefault="0041147E" w:rsidP="008F4251">
            <w:pPr>
              <w:jc w:val="center"/>
              <w:rPr>
                <w:rFonts w:eastAsia="Times New Roman" w:cs="Arial"/>
                <w:color w:val="000000"/>
                <w:szCs w:val="20"/>
                <w:lang w:eastAsia="pt-BR"/>
              </w:rPr>
            </w:pPr>
            <w:r>
              <w:rPr>
                <w:rFonts w:eastAsia="Times New Roman" w:cs="Arial"/>
                <w:color w:val="000000"/>
                <w:szCs w:val="20"/>
                <w:lang w:eastAsia="pt-BR"/>
              </w:rPr>
              <w:t>323030</w:t>
            </w:r>
          </w:p>
        </w:tc>
        <w:tc>
          <w:tcPr>
            <w:tcW w:w="3438" w:type="dxa"/>
            <w:tcBorders>
              <w:top w:val="nil"/>
              <w:left w:val="nil"/>
              <w:bottom w:val="single" w:sz="8" w:space="0" w:color="auto"/>
              <w:right w:val="single" w:sz="8" w:space="0" w:color="auto"/>
            </w:tcBorders>
            <w:shd w:val="clear" w:color="000000" w:fill="D9D9D9"/>
            <w:vAlign w:val="center"/>
            <w:hideMark/>
          </w:tcPr>
          <w:p w:rsidR="0041147E" w:rsidRPr="00833F42" w:rsidRDefault="0041147E" w:rsidP="008F4251">
            <w:pPr>
              <w:rPr>
                <w:rFonts w:eastAsia="Times New Roman" w:cs="Arial"/>
                <w:color w:val="000000"/>
                <w:szCs w:val="20"/>
                <w:lang w:eastAsia="pt-BR"/>
              </w:rPr>
            </w:pPr>
            <w:r w:rsidRPr="00E40077">
              <w:rPr>
                <w:rFonts w:eastAsia="Times New Roman" w:cs="Arial"/>
                <w:color w:val="000000"/>
                <w:szCs w:val="20"/>
                <w:lang w:eastAsia="pt-BR"/>
              </w:rPr>
              <w:t>Setor de Grandes Áreas Norte 603 - Asa Norte, Brasília - DF</w:t>
            </w:r>
          </w:p>
        </w:tc>
        <w:tc>
          <w:tcPr>
            <w:tcW w:w="2377" w:type="dxa"/>
            <w:tcBorders>
              <w:top w:val="nil"/>
              <w:left w:val="nil"/>
              <w:bottom w:val="single" w:sz="8" w:space="0" w:color="auto"/>
              <w:right w:val="single" w:sz="8" w:space="0" w:color="auto"/>
            </w:tcBorders>
            <w:shd w:val="clear" w:color="000000" w:fill="D9D9D9"/>
            <w:noWrap/>
            <w:vAlign w:val="center"/>
            <w:hideMark/>
          </w:tcPr>
          <w:p w:rsidR="0041147E" w:rsidRPr="00833F42" w:rsidRDefault="0041147E" w:rsidP="008F4251">
            <w:pPr>
              <w:jc w:val="right"/>
              <w:rPr>
                <w:rFonts w:eastAsia="Times New Roman" w:cs="Arial"/>
                <w:color w:val="000000"/>
                <w:szCs w:val="20"/>
                <w:lang w:eastAsia="pt-BR"/>
              </w:rPr>
            </w:pPr>
            <w:r w:rsidRPr="00DB7F4B">
              <w:rPr>
                <w:rFonts w:eastAsia="Times New Roman" w:cs="Arial"/>
                <w:color w:val="000000"/>
                <w:szCs w:val="20"/>
                <w:lang w:eastAsia="pt-BR"/>
              </w:rPr>
              <w:t>9701001725000</w:t>
            </w:r>
          </w:p>
        </w:tc>
      </w:tr>
      <w:tr w:rsidR="0041147E" w:rsidRPr="00833F42" w:rsidTr="008F4251">
        <w:trPr>
          <w:trHeight w:val="533"/>
        </w:trPr>
        <w:tc>
          <w:tcPr>
            <w:tcW w:w="1885" w:type="dxa"/>
            <w:tcBorders>
              <w:top w:val="nil"/>
              <w:left w:val="single" w:sz="8" w:space="0" w:color="000000"/>
              <w:bottom w:val="single" w:sz="8" w:space="0" w:color="auto"/>
              <w:right w:val="single" w:sz="8" w:space="0" w:color="auto"/>
            </w:tcBorders>
            <w:shd w:val="clear" w:color="000000" w:fill="FFFFFF"/>
            <w:vAlign w:val="center"/>
            <w:hideMark/>
          </w:tcPr>
          <w:p w:rsidR="0041147E" w:rsidRPr="00833F42" w:rsidRDefault="0041147E" w:rsidP="008F4251">
            <w:pPr>
              <w:jc w:val="center"/>
              <w:rPr>
                <w:rFonts w:eastAsia="Times New Roman" w:cs="Arial"/>
                <w:color w:val="000000"/>
                <w:szCs w:val="20"/>
                <w:lang w:eastAsia="pt-BR"/>
              </w:rPr>
            </w:pPr>
            <w:r>
              <w:rPr>
                <w:rFonts w:eastAsia="Times New Roman" w:cs="Arial"/>
                <w:color w:val="000000"/>
                <w:szCs w:val="20"/>
                <w:lang w:eastAsia="pt-BR"/>
              </w:rPr>
              <w:t>323031</w:t>
            </w:r>
          </w:p>
        </w:tc>
        <w:tc>
          <w:tcPr>
            <w:tcW w:w="3438" w:type="dxa"/>
            <w:tcBorders>
              <w:top w:val="nil"/>
              <w:left w:val="nil"/>
              <w:bottom w:val="single" w:sz="8" w:space="0" w:color="auto"/>
              <w:right w:val="single" w:sz="8" w:space="0" w:color="auto"/>
            </w:tcBorders>
            <w:shd w:val="clear" w:color="000000" w:fill="FFFFFF"/>
            <w:vAlign w:val="center"/>
            <w:hideMark/>
          </w:tcPr>
          <w:p w:rsidR="0041147E" w:rsidRPr="00833F42" w:rsidRDefault="0041147E" w:rsidP="008F4251">
            <w:pPr>
              <w:jc w:val="left"/>
              <w:rPr>
                <w:rFonts w:eastAsia="Times New Roman" w:cs="Arial"/>
                <w:color w:val="000000"/>
                <w:szCs w:val="20"/>
                <w:lang w:eastAsia="pt-BR"/>
              </w:rPr>
            </w:pPr>
            <w:proofErr w:type="spellStart"/>
            <w:r w:rsidRPr="00833F42">
              <w:rPr>
                <w:rFonts w:eastAsia="Times New Roman" w:cs="Arial"/>
                <w:color w:val="000000"/>
                <w:szCs w:val="20"/>
                <w:lang w:eastAsia="pt-BR"/>
              </w:rPr>
              <w:t>A</w:t>
            </w:r>
            <w:r>
              <w:rPr>
                <w:rFonts w:eastAsia="Times New Roman" w:cs="Arial"/>
                <w:color w:val="000000"/>
                <w:szCs w:val="20"/>
                <w:lang w:eastAsia="pt-BR"/>
              </w:rPr>
              <w:t>v</w:t>
            </w:r>
            <w:proofErr w:type="spellEnd"/>
            <w:r>
              <w:rPr>
                <w:rFonts w:eastAsia="Times New Roman" w:cs="Arial"/>
                <w:color w:val="000000"/>
                <w:szCs w:val="20"/>
                <w:lang w:eastAsia="pt-BR"/>
              </w:rPr>
              <w:t xml:space="preserve"> Rio Branco 65 – 12 </w:t>
            </w:r>
            <w:proofErr w:type="gramStart"/>
            <w:r>
              <w:rPr>
                <w:rFonts w:eastAsia="Times New Roman" w:cs="Arial"/>
                <w:color w:val="000000"/>
                <w:szCs w:val="20"/>
                <w:lang w:eastAsia="pt-BR"/>
              </w:rPr>
              <w:t>ao 22 andar</w:t>
            </w:r>
            <w:r w:rsidRPr="00833F42">
              <w:rPr>
                <w:rFonts w:eastAsia="Times New Roman" w:cs="Arial"/>
                <w:color w:val="000000"/>
                <w:szCs w:val="20"/>
                <w:lang w:eastAsia="pt-BR"/>
              </w:rPr>
              <w:t>e</w:t>
            </w:r>
            <w:r>
              <w:rPr>
                <w:rFonts w:eastAsia="Times New Roman" w:cs="Arial"/>
                <w:color w:val="000000"/>
                <w:szCs w:val="20"/>
                <w:lang w:eastAsia="pt-BR"/>
              </w:rPr>
              <w:t>s</w:t>
            </w:r>
            <w:proofErr w:type="gramEnd"/>
            <w:r>
              <w:rPr>
                <w:rFonts w:eastAsia="Times New Roman" w:cs="Arial"/>
                <w:color w:val="000000"/>
                <w:szCs w:val="20"/>
                <w:lang w:eastAsia="pt-BR"/>
              </w:rPr>
              <w:t xml:space="preserve"> – Rio de </w:t>
            </w:r>
            <w:r w:rsidRPr="00833F42">
              <w:rPr>
                <w:rFonts w:eastAsia="Times New Roman" w:cs="Arial"/>
                <w:color w:val="000000"/>
                <w:szCs w:val="20"/>
                <w:lang w:eastAsia="pt-BR"/>
              </w:rPr>
              <w:t>Janeiro/RJ</w:t>
            </w:r>
          </w:p>
        </w:tc>
        <w:tc>
          <w:tcPr>
            <w:tcW w:w="2377" w:type="dxa"/>
            <w:tcBorders>
              <w:top w:val="nil"/>
              <w:left w:val="nil"/>
              <w:bottom w:val="single" w:sz="8" w:space="0" w:color="auto"/>
              <w:right w:val="single" w:sz="8" w:space="0" w:color="auto"/>
            </w:tcBorders>
            <w:shd w:val="clear" w:color="000000" w:fill="FFFFFF"/>
            <w:noWrap/>
            <w:vAlign w:val="center"/>
            <w:hideMark/>
          </w:tcPr>
          <w:p w:rsidR="0041147E" w:rsidRPr="00833F42" w:rsidRDefault="0041147E" w:rsidP="008F4251">
            <w:pPr>
              <w:jc w:val="right"/>
              <w:rPr>
                <w:rFonts w:eastAsia="Times New Roman" w:cs="Arial"/>
                <w:color w:val="000000"/>
                <w:szCs w:val="20"/>
                <w:lang w:eastAsia="pt-BR"/>
              </w:rPr>
            </w:pPr>
            <w:r w:rsidRPr="00B770D7">
              <w:rPr>
                <w:rFonts w:eastAsia="Times New Roman" w:cs="Arial"/>
                <w:color w:val="000000"/>
                <w:szCs w:val="20"/>
                <w:lang w:eastAsia="pt-BR"/>
              </w:rPr>
              <w:t>6001028615000</w:t>
            </w:r>
          </w:p>
        </w:tc>
      </w:tr>
    </w:tbl>
    <w:p w:rsidR="0041147E" w:rsidRDefault="0041147E" w:rsidP="0041147E">
      <w:pPr>
        <w:rPr>
          <w:rFonts w:cs="Arial"/>
          <w:i/>
          <w:szCs w:val="20"/>
        </w:rPr>
      </w:pPr>
    </w:p>
    <w:p w:rsidR="0041147E" w:rsidRDefault="0041147E" w:rsidP="0041147E">
      <w:pPr>
        <w:rPr>
          <w:rFonts w:cs="Arial"/>
          <w:i/>
          <w:szCs w:val="20"/>
        </w:rPr>
      </w:pPr>
      <w:r w:rsidRPr="00E40077">
        <w:rPr>
          <w:rFonts w:cs="Arial"/>
          <w:i/>
          <w:szCs w:val="20"/>
        </w:rPr>
        <w:t>Fonte: SPIUNET</w:t>
      </w:r>
      <w:r w:rsidRPr="00E40077">
        <w:rPr>
          <w:rFonts w:cs="Arial"/>
          <w:szCs w:val="20"/>
        </w:rPr>
        <w:t>/</w:t>
      </w:r>
      <w:r w:rsidRPr="00E40077">
        <w:rPr>
          <w:rFonts w:cs="Arial"/>
          <w:i/>
          <w:szCs w:val="20"/>
        </w:rPr>
        <w:t>SIAFI</w:t>
      </w:r>
    </w:p>
    <w:p w:rsidR="0041147E" w:rsidRDefault="0041147E">
      <w:pPr>
        <w:spacing w:after="160" w:line="259" w:lineRule="auto"/>
        <w:jc w:val="left"/>
        <w:rPr>
          <w:rFonts w:cs="Arial"/>
          <w:i/>
          <w:szCs w:val="20"/>
        </w:rPr>
      </w:pPr>
      <w:r>
        <w:rPr>
          <w:rFonts w:cs="Arial"/>
          <w:i/>
          <w:szCs w:val="20"/>
        </w:rPr>
        <w:br w:type="page"/>
      </w:r>
    </w:p>
    <w:p w:rsidR="0041147E" w:rsidRDefault="0041147E" w:rsidP="0041147E">
      <w:pPr>
        <w:rPr>
          <w:rFonts w:cs="Arial"/>
          <w:b/>
          <w:color w:val="FF0000"/>
          <w:sz w:val="22"/>
        </w:rPr>
      </w:pPr>
    </w:p>
    <w:p w:rsidR="00D226EA" w:rsidRDefault="00D226EA" w:rsidP="00D226EA">
      <w:pPr>
        <w:rPr>
          <w:rFonts w:cs="Arial"/>
          <w:b/>
          <w:sz w:val="22"/>
        </w:rPr>
      </w:pPr>
    </w:p>
    <w:p w:rsidR="00D226EA" w:rsidRPr="00C0371B" w:rsidRDefault="00D226EA" w:rsidP="00D226EA">
      <w:pPr>
        <w:rPr>
          <w:rFonts w:cs="Arial"/>
          <w:b/>
          <w:sz w:val="22"/>
        </w:rPr>
      </w:pPr>
      <w:r w:rsidRPr="00C0371B">
        <w:rPr>
          <w:rFonts w:cs="Arial"/>
          <w:b/>
          <w:sz w:val="22"/>
        </w:rPr>
        <w:t>Nota 0</w:t>
      </w:r>
      <w:r>
        <w:rPr>
          <w:rFonts w:cs="Arial"/>
          <w:b/>
          <w:sz w:val="22"/>
        </w:rPr>
        <w:t>4</w:t>
      </w:r>
      <w:r w:rsidRPr="00C0371B">
        <w:rPr>
          <w:rFonts w:cs="Arial"/>
          <w:b/>
          <w:sz w:val="22"/>
        </w:rPr>
        <w:t xml:space="preserve"> – </w:t>
      </w:r>
      <w:r>
        <w:rPr>
          <w:rFonts w:cs="Arial"/>
          <w:b/>
          <w:sz w:val="22"/>
        </w:rPr>
        <w:t>Intangível</w:t>
      </w:r>
    </w:p>
    <w:p w:rsidR="00D226EA" w:rsidRPr="00C0371B" w:rsidRDefault="00D226EA" w:rsidP="00D226EA">
      <w:pPr>
        <w:rPr>
          <w:rFonts w:cs="Arial"/>
          <w:sz w:val="22"/>
        </w:rPr>
      </w:pPr>
    </w:p>
    <w:p w:rsidR="00D226EA" w:rsidRPr="00C0371B" w:rsidRDefault="00D226EA" w:rsidP="00D226EA">
      <w:pPr>
        <w:rPr>
          <w:rFonts w:cs="Arial"/>
          <w:sz w:val="22"/>
        </w:rPr>
      </w:pPr>
      <w:r>
        <w:rPr>
          <w:rFonts w:cs="Arial"/>
          <w:sz w:val="22"/>
        </w:rPr>
        <w:t xml:space="preserve">O Ativo Intangível da ANP, em 31/12/2019, totalizava pouco mais de </w:t>
      </w:r>
      <w:r w:rsidRPr="00643C24">
        <w:rPr>
          <w:rFonts w:cs="Arial"/>
          <w:sz w:val="22"/>
        </w:rPr>
        <w:t xml:space="preserve">R$ </w:t>
      </w:r>
      <w:r>
        <w:rPr>
          <w:rFonts w:cs="Arial"/>
          <w:sz w:val="22"/>
        </w:rPr>
        <w:t>24</w:t>
      </w:r>
      <w:r w:rsidRPr="00643C24">
        <w:rPr>
          <w:rFonts w:cs="Arial"/>
          <w:sz w:val="22"/>
        </w:rPr>
        <w:t xml:space="preserve"> </w:t>
      </w:r>
      <w:r>
        <w:rPr>
          <w:rFonts w:cs="Arial"/>
          <w:sz w:val="22"/>
        </w:rPr>
        <w:t>milhões em Softwares e Marcas e Patentes está distribuído conforme tabela a seguir:</w:t>
      </w:r>
    </w:p>
    <w:p w:rsidR="00D226EA" w:rsidRPr="00C0371B" w:rsidRDefault="00D226EA" w:rsidP="00D226EA">
      <w:pPr>
        <w:rPr>
          <w:rFonts w:cs="Arial"/>
          <w:sz w:val="22"/>
        </w:rPr>
      </w:pPr>
    </w:p>
    <w:p w:rsidR="00D226EA" w:rsidRDefault="00D226EA" w:rsidP="00D226EA">
      <w:pPr>
        <w:rPr>
          <w:rFonts w:cs="Arial"/>
          <w:b/>
          <w:sz w:val="22"/>
        </w:rPr>
      </w:pPr>
      <w:r w:rsidRPr="00C0371B">
        <w:rPr>
          <w:rFonts w:cs="Arial"/>
          <w:b/>
          <w:sz w:val="22"/>
        </w:rPr>
        <w:t>Tabela</w:t>
      </w:r>
      <w:r>
        <w:rPr>
          <w:rFonts w:cs="Arial"/>
          <w:b/>
          <w:sz w:val="22"/>
        </w:rPr>
        <w:t xml:space="preserve"> 10</w:t>
      </w:r>
      <w:r w:rsidRPr="00C0371B">
        <w:rPr>
          <w:rFonts w:cs="Arial"/>
          <w:b/>
          <w:sz w:val="22"/>
        </w:rPr>
        <w:t xml:space="preserve"> – </w:t>
      </w:r>
      <w:r>
        <w:rPr>
          <w:rFonts w:cs="Arial"/>
          <w:b/>
          <w:sz w:val="22"/>
        </w:rPr>
        <w:t>Intangível</w:t>
      </w:r>
      <w:r w:rsidRPr="00C0371B">
        <w:rPr>
          <w:rFonts w:cs="Arial"/>
          <w:b/>
          <w:sz w:val="22"/>
        </w:rPr>
        <w:t xml:space="preserve"> – </w:t>
      </w:r>
      <w:r>
        <w:rPr>
          <w:rFonts w:cs="Arial"/>
          <w:b/>
          <w:sz w:val="22"/>
        </w:rPr>
        <w:t>Composição.</w:t>
      </w:r>
    </w:p>
    <w:p w:rsidR="00D226EA" w:rsidRDefault="00D226EA" w:rsidP="00D226EA">
      <w:pPr>
        <w:jc w:val="center"/>
        <w:rPr>
          <w:rFonts w:cs="Arial"/>
          <w:sz w:val="22"/>
        </w:rPr>
      </w:pPr>
      <w:r>
        <w:rPr>
          <w:rFonts w:cs="Arial"/>
          <w:sz w:val="22"/>
        </w:rPr>
        <w:t xml:space="preserve">                                                                                                                                          </w:t>
      </w:r>
      <w:r w:rsidRPr="00AB7853">
        <w:rPr>
          <w:rFonts w:cs="Arial"/>
          <w:sz w:val="22"/>
        </w:rPr>
        <w:t>R$</w:t>
      </w:r>
    </w:p>
    <w:tbl>
      <w:tblPr>
        <w:tblW w:w="9103" w:type="dxa"/>
        <w:tblCellMar>
          <w:left w:w="70" w:type="dxa"/>
          <w:right w:w="70" w:type="dxa"/>
        </w:tblCellMar>
        <w:tblLook w:val="04A0" w:firstRow="1" w:lastRow="0" w:firstColumn="1" w:lastColumn="0" w:noHBand="0" w:noVBand="1"/>
      </w:tblPr>
      <w:tblGrid>
        <w:gridCol w:w="4895"/>
        <w:gridCol w:w="1605"/>
        <w:gridCol w:w="1605"/>
        <w:gridCol w:w="998"/>
      </w:tblGrid>
      <w:tr w:rsidR="00D226EA" w:rsidRPr="00486631" w:rsidTr="008F4251">
        <w:trPr>
          <w:trHeight w:val="269"/>
        </w:trPr>
        <w:tc>
          <w:tcPr>
            <w:tcW w:w="4895" w:type="dxa"/>
            <w:tcBorders>
              <w:top w:val="single" w:sz="8" w:space="0" w:color="000000"/>
              <w:left w:val="nil"/>
              <w:bottom w:val="single" w:sz="8" w:space="0" w:color="000000"/>
              <w:right w:val="nil"/>
            </w:tcBorders>
            <w:shd w:val="clear" w:color="auto" w:fill="auto"/>
            <w:noWrap/>
            <w:vAlign w:val="center"/>
            <w:hideMark/>
          </w:tcPr>
          <w:p w:rsidR="00D226EA" w:rsidRPr="00486631" w:rsidRDefault="00D226EA" w:rsidP="008F4251">
            <w:pPr>
              <w:jc w:val="left"/>
              <w:rPr>
                <w:rFonts w:eastAsia="Times New Roman" w:cs="Arial"/>
                <w:b/>
                <w:bCs/>
                <w:color w:val="FFFFFF"/>
                <w:szCs w:val="20"/>
                <w:lang w:eastAsia="pt-BR"/>
              </w:rPr>
            </w:pPr>
            <w:r w:rsidRPr="00486631">
              <w:rPr>
                <w:rFonts w:eastAsia="Times New Roman" w:cs="Arial"/>
                <w:b/>
                <w:bCs/>
                <w:color w:val="FFFFFF"/>
                <w:szCs w:val="20"/>
                <w:lang w:eastAsia="pt-BR"/>
              </w:rPr>
              <w:t>Colunas1</w:t>
            </w:r>
          </w:p>
        </w:tc>
        <w:tc>
          <w:tcPr>
            <w:tcW w:w="1605" w:type="dxa"/>
            <w:tcBorders>
              <w:top w:val="single" w:sz="8" w:space="0" w:color="000000"/>
              <w:left w:val="nil"/>
              <w:bottom w:val="single" w:sz="8" w:space="0" w:color="000000"/>
              <w:right w:val="nil"/>
            </w:tcBorders>
            <w:shd w:val="clear" w:color="auto" w:fill="auto"/>
            <w:noWrap/>
            <w:vAlign w:val="center"/>
            <w:hideMark/>
          </w:tcPr>
          <w:p w:rsidR="00D226EA" w:rsidRPr="00486631" w:rsidRDefault="00D226EA" w:rsidP="008F4251">
            <w:pPr>
              <w:jc w:val="right"/>
              <w:rPr>
                <w:rFonts w:eastAsia="Times New Roman" w:cs="Arial"/>
                <w:b/>
                <w:bCs/>
                <w:color w:val="000000"/>
                <w:szCs w:val="20"/>
                <w:lang w:eastAsia="pt-BR"/>
              </w:rPr>
            </w:pPr>
            <w:r w:rsidRPr="00486631">
              <w:rPr>
                <w:rFonts w:eastAsia="Times New Roman" w:cs="Arial"/>
                <w:b/>
                <w:bCs/>
                <w:color w:val="000000"/>
                <w:szCs w:val="20"/>
                <w:lang w:eastAsia="pt-BR"/>
              </w:rPr>
              <w:t>3</w:t>
            </w:r>
            <w:r>
              <w:rPr>
                <w:rFonts w:eastAsia="Times New Roman" w:cs="Arial"/>
                <w:b/>
                <w:bCs/>
                <w:color w:val="000000"/>
                <w:szCs w:val="20"/>
                <w:lang w:eastAsia="pt-BR"/>
              </w:rPr>
              <w:t>1</w:t>
            </w:r>
            <w:r w:rsidRPr="00486631">
              <w:rPr>
                <w:rFonts w:eastAsia="Times New Roman" w:cs="Arial"/>
                <w:b/>
                <w:bCs/>
                <w:color w:val="000000"/>
                <w:szCs w:val="20"/>
                <w:lang w:eastAsia="pt-BR"/>
              </w:rPr>
              <w:t>/</w:t>
            </w:r>
            <w:r>
              <w:rPr>
                <w:rFonts w:eastAsia="Times New Roman" w:cs="Arial"/>
                <w:b/>
                <w:bCs/>
                <w:color w:val="000000"/>
                <w:szCs w:val="20"/>
                <w:lang w:eastAsia="pt-BR"/>
              </w:rPr>
              <w:t>12</w:t>
            </w:r>
            <w:r w:rsidRPr="00486631">
              <w:rPr>
                <w:rFonts w:eastAsia="Times New Roman" w:cs="Arial"/>
                <w:b/>
                <w:bCs/>
                <w:color w:val="000000"/>
                <w:szCs w:val="20"/>
                <w:lang w:eastAsia="pt-BR"/>
              </w:rPr>
              <w:t>/201</w:t>
            </w:r>
            <w:r>
              <w:rPr>
                <w:rFonts w:eastAsia="Times New Roman" w:cs="Arial"/>
                <w:b/>
                <w:bCs/>
                <w:color w:val="000000"/>
                <w:szCs w:val="20"/>
                <w:lang w:eastAsia="pt-BR"/>
              </w:rPr>
              <w:t>9</w:t>
            </w:r>
          </w:p>
        </w:tc>
        <w:tc>
          <w:tcPr>
            <w:tcW w:w="1605" w:type="dxa"/>
            <w:tcBorders>
              <w:top w:val="single" w:sz="8" w:space="0" w:color="000000"/>
              <w:left w:val="nil"/>
              <w:bottom w:val="single" w:sz="8" w:space="0" w:color="000000"/>
              <w:right w:val="nil"/>
            </w:tcBorders>
            <w:shd w:val="clear" w:color="auto" w:fill="auto"/>
            <w:noWrap/>
            <w:vAlign w:val="center"/>
            <w:hideMark/>
          </w:tcPr>
          <w:p w:rsidR="00D226EA" w:rsidRPr="00486631" w:rsidRDefault="00D226EA" w:rsidP="008F4251">
            <w:pPr>
              <w:jc w:val="right"/>
              <w:rPr>
                <w:rFonts w:eastAsia="Times New Roman" w:cs="Arial"/>
                <w:b/>
                <w:bCs/>
                <w:color w:val="000000"/>
                <w:szCs w:val="20"/>
                <w:lang w:eastAsia="pt-BR"/>
              </w:rPr>
            </w:pPr>
            <w:r w:rsidRPr="00486631">
              <w:rPr>
                <w:rFonts w:eastAsia="Times New Roman" w:cs="Arial"/>
                <w:b/>
                <w:bCs/>
                <w:color w:val="000000"/>
                <w:szCs w:val="20"/>
                <w:lang w:eastAsia="pt-BR"/>
              </w:rPr>
              <w:t>31/12/201</w:t>
            </w:r>
            <w:r>
              <w:rPr>
                <w:rFonts w:eastAsia="Times New Roman" w:cs="Arial"/>
                <w:b/>
                <w:bCs/>
                <w:color w:val="000000"/>
                <w:szCs w:val="20"/>
                <w:lang w:eastAsia="pt-BR"/>
              </w:rPr>
              <w:t>8</w:t>
            </w:r>
          </w:p>
        </w:tc>
        <w:tc>
          <w:tcPr>
            <w:tcW w:w="998" w:type="dxa"/>
            <w:tcBorders>
              <w:top w:val="single" w:sz="8" w:space="0" w:color="000000"/>
              <w:left w:val="nil"/>
              <w:bottom w:val="single" w:sz="8" w:space="0" w:color="000000"/>
              <w:right w:val="nil"/>
            </w:tcBorders>
            <w:shd w:val="clear" w:color="auto" w:fill="auto"/>
            <w:noWrap/>
            <w:vAlign w:val="center"/>
            <w:hideMark/>
          </w:tcPr>
          <w:p w:rsidR="00D226EA" w:rsidRPr="00486631" w:rsidRDefault="00D226EA" w:rsidP="008F4251">
            <w:pPr>
              <w:jc w:val="right"/>
              <w:rPr>
                <w:rFonts w:eastAsia="Times New Roman" w:cs="Arial"/>
                <w:b/>
                <w:bCs/>
                <w:color w:val="000000"/>
                <w:szCs w:val="20"/>
                <w:lang w:eastAsia="pt-BR"/>
              </w:rPr>
            </w:pPr>
            <w:r w:rsidRPr="00486631">
              <w:rPr>
                <w:rFonts w:eastAsia="Times New Roman" w:cs="Arial"/>
                <w:b/>
                <w:bCs/>
                <w:color w:val="000000"/>
                <w:szCs w:val="20"/>
                <w:lang w:eastAsia="pt-BR"/>
              </w:rPr>
              <w:t>AH (%)</w:t>
            </w:r>
          </w:p>
        </w:tc>
      </w:tr>
      <w:tr w:rsidR="00D226EA" w:rsidRPr="00486631" w:rsidTr="008F4251">
        <w:trPr>
          <w:trHeight w:val="254"/>
        </w:trPr>
        <w:tc>
          <w:tcPr>
            <w:tcW w:w="4895" w:type="dxa"/>
            <w:tcBorders>
              <w:top w:val="nil"/>
              <w:left w:val="nil"/>
              <w:bottom w:val="nil"/>
              <w:right w:val="nil"/>
            </w:tcBorders>
            <w:shd w:val="clear" w:color="000000" w:fill="D9D9D9"/>
            <w:vAlign w:val="center"/>
            <w:hideMark/>
          </w:tcPr>
          <w:p w:rsidR="00D226EA" w:rsidRPr="00486631" w:rsidRDefault="00D226EA" w:rsidP="008F4251">
            <w:pPr>
              <w:jc w:val="left"/>
              <w:rPr>
                <w:rFonts w:eastAsia="Times New Roman" w:cs="Arial"/>
                <w:color w:val="000000"/>
                <w:szCs w:val="20"/>
                <w:lang w:eastAsia="pt-BR"/>
              </w:rPr>
            </w:pPr>
            <w:r w:rsidRPr="00486631">
              <w:rPr>
                <w:rFonts w:eastAsia="Times New Roman" w:cs="Arial"/>
                <w:color w:val="000000"/>
                <w:szCs w:val="20"/>
                <w:lang w:eastAsia="pt-BR"/>
              </w:rPr>
              <w:t>Softwares com Vida Útil Indefinida</w:t>
            </w:r>
          </w:p>
        </w:tc>
        <w:tc>
          <w:tcPr>
            <w:tcW w:w="1605" w:type="dxa"/>
            <w:tcBorders>
              <w:top w:val="nil"/>
              <w:left w:val="nil"/>
              <w:bottom w:val="nil"/>
              <w:right w:val="nil"/>
            </w:tcBorders>
            <w:shd w:val="clear" w:color="000000" w:fill="D9D9D9"/>
            <w:noWrap/>
            <w:vAlign w:val="center"/>
            <w:hideMark/>
          </w:tcPr>
          <w:p w:rsidR="00D226EA" w:rsidRPr="00486631" w:rsidRDefault="00D226EA" w:rsidP="008F4251">
            <w:pPr>
              <w:jc w:val="right"/>
              <w:rPr>
                <w:rFonts w:eastAsia="Times New Roman" w:cs="Arial"/>
                <w:color w:val="000000"/>
                <w:szCs w:val="20"/>
                <w:lang w:eastAsia="pt-BR"/>
              </w:rPr>
            </w:pPr>
            <w:r w:rsidRPr="00CB7906">
              <w:rPr>
                <w:rFonts w:eastAsia="Times New Roman" w:cs="Arial"/>
                <w:color w:val="000000"/>
                <w:szCs w:val="20"/>
                <w:lang w:eastAsia="pt-BR"/>
              </w:rPr>
              <w:t>23</w:t>
            </w:r>
            <w:r>
              <w:rPr>
                <w:rFonts w:eastAsia="Times New Roman" w:cs="Arial"/>
                <w:color w:val="000000"/>
                <w:szCs w:val="20"/>
                <w:lang w:eastAsia="pt-BR"/>
              </w:rPr>
              <w:t>.</w:t>
            </w:r>
            <w:r w:rsidRPr="00CB7906">
              <w:rPr>
                <w:rFonts w:eastAsia="Times New Roman" w:cs="Arial"/>
                <w:color w:val="000000"/>
                <w:szCs w:val="20"/>
                <w:lang w:eastAsia="pt-BR"/>
              </w:rPr>
              <w:t>709</w:t>
            </w:r>
            <w:r>
              <w:rPr>
                <w:rFonts w:eastAsia="Times New Roman" w:cs="Arial"/>
                <w:color w:val="000000"/>
                <w:szCs w:val="20"/>
                <w:lang w:eastAsia="pt-BR"/>
              </w:rPr>
              <w:t>.</w:t>
            </w:r>
            <w:r w:rsidRPr="00CB7906">
              <w:rPr>
                <w:rFonts w:eastAsia="Times New Roman" w:cs="Arial"/>
                <w:color w:val="000000"/>
                <w:szCs w:val="20"/>
                <w:lang w:eastAsia="pt-BR"/>
              </w:rPr>
              <w:t>230,31</w:t>
            </w:r>
          </w:p>
        </w:tc>
        <w:tc>
          <w:tcPr>
            <w:tcW w:w="1605" w:type="dxa"/>
            <w:tcBorders>
              <w:top w:val="nil"/>
              <w:left w:val="nil"/>
              <w:bottom w:val="nil"/>
              <w:right w:val="nil"/>
            </w:tcBorders>
            <w:shd w:val="clear" w:color="000000" w:fill="D9D9D9"/>
            <w:noWrap/>
            <w:vAlign w:val="center"/>
            <w:hideMark/>
          </w:tcPr>
          <w:p w:rsidR="00D226EA" w:rsidRPr="00486631" w:rsidRDefault="00D226EA" w:rsidP="008F4251">
            <w:pPr>
              <w:jc w:val="right"/>
              <w:rPr>
                <w:rFonts w:eastAsia="Times New Roman" w:cs="Arial"/>
                <w:color w:val="000000"/>
                <w:szCs w:val="20"/>
                <w:lang w:eastAsia="pt-BR"/>
              </w:rPr>
            </w:pPr>
            <w:r>
              <w:rPr>
                <w:rFonts w:eastAsia="Times New Roman" w:cs="Arial"/>
                <w:color w:val="000000"/>
                <w:szCs w:val="20"/>
                <w:lang w:eastAsia="pt-BR"/>
              </w:rPr>
              <w:t>0,00</w:t>
            </w:r>
          </w:p>
        </w:tc>
        <w:tc>
          <w:tcPr>
            <w:tcW w:w="998" w:type="dxa"/>
            <w:tcBorders>
              <w:top w:val="nil"/>
              <w:left w:val="nil"/>
              <w:bottom w:val="nil"/>
              <w:right w:val="nil"/>
            </w:tcBorders>
            <w:shd w:val="clear" w:color="000000" w:fill="D9D9D9"/>
            <w:noWrap/>
            <w:vAlign w:val="center"/>
            <w:hideMark/>
          </w:tcPr>
          <w:p w:rsidR="00D226EA" w:rsidRPr="00486631" w:rsidRDefault="00D226EA" w:rsidP="008F4251">
            <w:pPr>
              <w:jc w:val="right"/>
              <w:rPr>
                <w:rFonts w:eastAsia="Times New Roman" w:cs="Arial"/>
                <w:color w:val="000000"/>
                <w:szCs w:val="20"/>
                <w:lang w:eastAsia="pt-BR"/>
              </w:rPr>
            </w:pPr>
          </w:p>
        </w:tc>
      </w:tr>
      <w:tr w:rsidR="00D226EA" w:rsidRPr="00486631" w:rsidTr="008F4251">
        <w:trPr>
          <w:trHeight w:val="254"/>
        </w:trPr>
        <w:tc>
          <w:tcPr>
            <w:tcW w:w="4895" w:type="dxa"/>
            <w:tcBorders>
              <w:top w:val="nil"/>
              <w:left w:val="nil"/>
              <w:bottom w:val="nil"/>
              <w:right w:val="nil"/>
            </w:tcBorders>
            <w:shd w:val="clear" w:color="000000" w:fill="D9D9D9"/>
            <w:vAlign w:val="center"/>
          </w:tcPr>
          <w:p w:rsidR="00D226EA" w:rsidRPr="00486631" w:rsidRDefault="00D226EA" w:rsidP="008F4251">
            <w:pPr>
              <w:jc w:val="left"/>
              <w:rPr>
                <w:rFonts w:eastAsia="Times New Roman" w:cs="Arial"/>
                <w:color w:val="000000"/>
                <w:szCs w:val="20"/>
                <w:lang w:eastAsia="pt-BR"/>
              </w:rPr>
            </w:pPr>
            <w:r>
              <w:rPr>
                <w:rFonts w:eastAsia="Times New Roman" w:cs="Arial"/>
                <w:color w:val="000000"/>
                <w:szCs w:val="20"/>
                <w:lang w:eastAsia="pt-BR"/>
              </w:rPr>
              <w:t>Softwares em Desenvolvimento</w:t>
            </w:r>
          </w:p>
        </w:tc>
        <w:tc>
          <w:tcPr>
            <w:tcW w:w="1605" w:type="dxa"/>
            <w:tcBorders>
              <w:top w:val="nil"/>
              <w:left w:val="nil"/>
              <w:bottom w:val="nil"/>
              <w:right w:val="nil"/>
            </w:tcBorders>
            <w:shd w:val="clear" w:color="000000" w:fill="D9D9D9"/>
            <w:noWrap/>
            <w:vAlign w:val="center"/>
          </w:tcPr>
          <w:p w:rsidR="00D226EA" w:rsidRDefault="00D226EA" w:rsidP="008F4251">
            <w:pPr>
              <w:jc w:val="right"/>
              <w:rPr>
                <w:rFonts w:eastAsia="Times New Roman" w:cs="Arial"/>
                <w:color w:val="000000"/>
                <w:szCs w:val="20"/>
                <w:lang w:eastAsia="pt-BR"/>
              </w:rPr>
            </w:pPr>
            <w:r w:rsidRPr="00CB7906">
              <w:rPr>
                <w:rFonts w:eastAsia="Times New Roman" w:cs="Arial"/>
                <w:color w:val="000000"/>
                <w:szCs w:val="20"/>
                <w:lang w:eastAsia="pt-BR"/>
              </w:rPr>
              <w:t>116</w:t>
            </w:r>
            <w:r>
              <w:rPr>
                <w:rFonts w:eastAsia="Times New Roman" w:cs="Arial"/>
                <w:color w:val="000000"/>
                <w:szCs w:val="20"/>
                <w:lang w:eastAsia="pt-BR"/>
              </w:rPr>
              <w:t>.</w:t>
            </w:r>
            <w:r w:rsidRPr="00CB7906">
              <w:rPr>
                <w:rFonts w:eastAsia="Times New Roman" w:cs="Arial"/>
                <w:color w:val="000000"/>
                <w:szCs w:val="20"/>
                <w:lang w:eastAsia="pt-BR"/>
              </w:rPr>
              <w:t>321,69</w:t>
            </w:r>
          </w:p>
        </w:tc>
        <w:tc>
          <w:tcPr>
            <w:tcW w:w="1605" w:type="dxa"/>
            <w:tcBorders>
              <w:top w:val="nil"/>
              <w:left w:val="nil"/>
              <w:bottom w:val="nil"/>
              <w:right w:val="nil"/>
            </w:tcBorders>
            <w:shd w:val="clear" w:color="000000" w:fill="D9D9D9"/>
            <w:noWrap/>
            <w:vAlign w:val="center"/>
          </w:tcPr>
          <w:p w:rsidR="00D226EA" w:rsidRDefault="00D226EA" w:rsidP="008F4251">
            <w:pPr>
              <w:jc w:val="right"/>
              <w:rPr>
                <w:rFonts w:eastAsia="Times New Roman" w:cs="Arial"/>
                <w:color w:val="000000"/>
                <w:szCs w:val="20"/>
                <w:lang w:eastAsia="pt-BR"/>
              </w:rPr>
            </w:pPr>
            <w:r>
              <w:rPr>
                <w:rFonts w:eastAsia="Times New Roman" w:cs="Arial"/>
                <w:color w:val="000000"/>
                <w:szCs w:val="20"/>
                <w:lang w:eastAsia="pt-BR"/>
              </w:rPr>
              <w:t>0,00</w:t>
            </w:r>
          </w:p>
        </w:tc>
        <w:tc>
          <w:tcPr>
            <w:tcW w:w="998" w:type="dxa"/>
            <w:tcBorders>
              <w:top w:val="nil"/>
              <w:left w:val="nil"/>
              <w:bottom w:val="nil"/>
              <w:right w:val="nil"/>
            </w:tcBorders>
            <w:shd w:val="clear" w:color="000000" w:fill="D9D9D9"/>
            <w:noWrap/>
            <w:vAlign w:val="center"/>
          </w:tcPr>
          <w:p w:rsidR="00D226EA" w:rsidRDefault="00D226EA" w:rsidP="008F4251">
            <w:pPr>
              <w:jc w:val="right"/>
              <w:rPr>
                <w:rFonts w:eastAsia="Times New Roman" w:cs="Arial"/>
                <w:color w:val="000000"/>
                <w:szCs w:val="20"/>
                <w:lang w:eastAsia="pt-BR"/>
              </w:rPr>
            </w:pPr>
          </w:p>
        </w:tc>
      </w:tr>
      <w:tr w:rsidR="00D226EA" w:rsidRPr="00486631" w:rsidTr="008F4251">
        <w:trPr>
          <w:trHeight w:val="254"/>
        </w:trPr>
        <w:tc>
          <w:tcPr>
            <w:tcW w:w="4895" w:type="dxa"/>
            <w:tcBorders>
              <w:top w:val="nil"/>
              <w:left w:val="nil"/>
              <w:bottom w:val="nil"/>
              <w:right w:val="nil"/>
            </w:tcBorders>
            <w:shd w:val="clear" w:color="auto" w:fill="auto"/>
            <w:vAlign w:val="center"/>
            <w:hideMark/>
          </w:tcPr>
          <w:p w:rsidR="00D226EA" w:rsidRPr="00486631" w:rsidRDefault="00D226EA" w:rsidP="008F4251">
            <w:pPr>
              <w:jc w:val="left"/>
              <w:rPr>
                <w:rFonts w:eastAsia="Times New Roman" w:cs="Arial"/>
                <w:color w:val="000000"/>
                <w:szCs w:val="20"/>
                <w:lang w:eastAsia="pt-BR"/>
              </w:rPr>
            </w:pPr>
            <w:r w:rsidRPr="00486631">
              <w:rPr>
                <w:rFonts w:eastAsia="Times New Roman" w:cs="Arial"/>
                <w:color w:val="000000"/>
                <w:szCs w:val="20"/>
                <w:lang w:eastAsia="pt-BR"/>
              </w:rPr>
              <w:t>Softwares com Vida Útil Definida</w:t>
            </w:r>
          </w:p>
        </w:tc>
        <w:tc>
          <w:tcPr>
            <w:tcW w:w="1605" w:type="dxa"/>
            <w:tcBorders>
              <w:top w:val="nil"/>
              <w:left w:val="nil"/>
              <w:bottom w:val="nil"/>
              <w:right w:val="nil"/>
            </w:tcBorders>
            <w:shd w:val="clear" w:color="auto" w:fill="auto"/>
            <w:noWrap/>
            <w:vAlign w:val="center"/>
            <w:hideMark/>
          </w:tcPr>
          <w:p w:rsidR="00D226EA" w:rsidRPr="00486631" w:rsidRDefault="00D226EA" w:rsidP="008F4251">
            <w:pPr>
              <w:jc w:val="right"/>
              <w:rPr>
                <w:rFonts w:eastAsia="Times New Roman" w:cs="Arial"/>
                <w:color w:val="000000"/>
                <w:szCs w:val="20"/>
                <w:lang w:eastAsia="pt-BR"/>
              </w:rPr>
            </w:pPr>
            <w:r w:rsidRPr="00CB7906">
              <w:rPr>
                <w:rFonts w:eastAsia="Times New Roman" w:cs="Arial"/>
                <w:color w:val="000000"/>
                <w:szCs w:val="20"/>
                <w:lang w:eastAsia="pt-BR"/>
              </w:rPr>
              <w:t>545</w:t>
            </w:r>
            <w:r>
              <w:rPr>
                <w:rFonts w:eastAsia="Times New Roman" w:cs="Arial"/>
                <w:color w:val="000000"/>
                <w:szCs w:val="20"/>
                <w:lang w:eastAsia="pt-BR"/>
              </w:rPr>
              <w:t>.</w:t>
            </w:r>
            <w:r w:rsidRPr="00CB7906">
              <w:rPr>
                <w:rFonts w:eastAsia="Times New Roman" w:cs="Arial"/>
                <w:color w:val="000000"/>
                <w:szCs w:val="20"/>
                <w:lang w:eastAsia="pt-BR"/>
              </w:rPr>
              <w:t>118,85</w:t>
            </w:r>
          </w:p>
        </w:tc>
        <w:tc>
          <w:tcPr>
            <w:tcW w:w="1605" w:type="dxa"/>
            <w:tcBorders>
              <w:top w:val="nil"/>
              <w:left w:val="nil"/>
              <w:bottom w:val="nil"/>
              <w:right w:val="nil"/>
            </w:tcBorders>
            <w:shd w:val="clear" w:color="auto" w:fill="auto"/>
            <w:noWrap/>
            <w:vAlign w:val="center"/>
            <w:hideMark/>
          </w:tcPr>
          <w:p w:rsidR="00D226EA" w:rsidRPr="00440FF1" w:rsidRDefault="00D226EA" w:rsidP="008F4251">
            <w:pPr>
              <w:jc w:val="right"/>
              <w:rPr>
                <w:rFonts w:eastAsia="Times New Roman" w:cs="Arial"/>
                <w:color w:val="000000"/>
                <w:szCs w:val="20"/>
                <w:lang w:eastAsia="pt-BR"/>
              </w:rPr>
            </w:pPr>
            <w:r>
              <w:rPr>
                <w:rFonts w:eastAsia="Times New Roman" w:cs="Arial"/>
                <w:color w:val="000000"/>
                <w:szCs w:val="20"/>
                <w:lang w:eastAsia="pt-BR"/>
              </w:rPr>
              <w:t>24.681.109,13</w:t>
            </w:r>
          </w:p>
        </w:tc>
        <w:tc>
          <w:tcPr>
            <w:tcW w:w="998" w:type="dxa"/>
            <w:tcBorders>
              <w:top w:val="nil"/>
              <w:left w:val="nil"/>
              <w:bottom w:val="nil"/>
              <w:right w:val="nil"/>
            </w:tcBorders>
            <w:shd w:val="clear" w:color="auto" w:fill="auto"/>
            <w:noWrap/>
            <w:vAlign w:val="center"/>
            <w:hideMark/>
          </w:tcPr>
          <w:p w:rsidR="00D226EA" w:rsidRPr="00486631" w:rsidRDefault="00D226EA" w:rsidP="008F4251">
            <w:pPr>
              <w:jc w:val="right"/>
              <w:rPr>
                <w:rFonts w:eastAsia="Times New Roman" w:cs="Arial"/>
                <w:color w:val="000000"/>
                <w:szCs w:val="20"/>
                <w:lang w:eastAsia="pt-BR"/>
              </w:rPr>
            </w:pPr>
            <w:r>
              <w:rPr>
                <w:rFonts w:eastAsia="Times New Roman" w:cs="Arial"/>
                <w:color w:val="000000"/>
                <w:szCs w:val="20"/>
                <w:lang w:eastAsia="pt-BR"/>
              </w:rPr>
              <w:t>-97,79</w:t>
            </w:r>
          </w:p>
        </w:tc>
      </w:tr>
      <w:tr w:rsidR="00D226EA" w:rsidRPr="00486631" w:rsidTr="008F4251">
        <w:trPr>
          <w:trHeight w:val="254"/>
        </w:trPr>
        <w:tc>
          <w:tcPr>
            <w:tcW w:w="4895" w:type="dxa"/>
            <w:tcBorders>
              <w:top w:val="nil"/>
              <w:left w:val="nil"/>
              <w:bottom w:val="nil"/>
              <w:right w:val="nil"/>
            </w:tcBorders>
            <w:shd w:val="clear" w:color="auto" w:fill="auto"/>
            <w:vAlign w:val="center"/>
          </w:tcPr>
          <w:p w:rsidR="00D226EA" w:rsidRPr="00486631" w:rsidRDefault="00D226EA" w:rsidP="008F4251">
            <w:pPr>
              <w:jc w:val="left"/>
              <w:rPr>
                <w:rFonts w:eastAsia="Times New Roman" w:cs="Arial"/>
                <w:color w:val="000000"/>
                <w:szCs w:val="20"/>
                <w:lang w:eastAsia="pt-BR"/>
              </w:rPr>
            </w:pPr>
          </w:p>
        </w:tc>
        <w:tc>
          <w:tcPr>
            <w:tcW w:w="1605" w:type="dxa"/>
            <w:tcBorders>
              <w:top w:val="nil"/>
              <w:left w:val="nil"/>
              <w:bottom w:val="nil"/>
              <w:right w:val="nil"/>
            </w:tcBorders>
            <w:shd w:val="clear" w:color="auto" w:fill="auto"/>
            <w:noWrap/>
            <w:vAlign w:val="center"/>
          </w:tcPr>
          <w:p w:rsidR="00D226EA" w:rsidRPr="00CB7906" w:rsidRDefault="00D226EA" w:rsidP="008F4251">
            <w:pPr>
              <w:jc w:val="right"/>
              <w:rPr>
                <w:rFonts w:eastAsia="Times New Roman" w:cs="Arial"/>
                <w:color w:val="000000"/>
                <w:szCs w:val="20"/>
                <w:lang w:eastAsia="pt-BR"/>
              </w:rPr>
            </w:pPr>
          </w:p>
        </w:tc>
        <w:tc>
          <w:tcPr>
            <w:tcW w:w="1605" w:type="dxa"/>
            <w:tcBorders>
              <w:top w:val="nil"/>
              <w:left w:val="nil"/>
              <w:bottom w:val="nil"/>
              <w:right w:val="nil"/>
            </w:tcBorders>
            <w:shd w:val="clear" w:color="auto" w:fill="auto"/>
            <w:noWrap/>
            <w:vAlign w:val="center"/>
          </w:tcPr>
          <w:p w:rsidR="00D226EA" w:rsidRDefault="00D226EA" w:rsidP="008F4251">
            <w:pPr>
              <w:jc w:val="right"/>
              <w:rPr>
                <w:rFonts w:eastAsia="Times New Roman" w:cs="Arial"/>
                <w:color w:val="000000"/>
                <w:szCs w:val="20"/>
                <w:lang w:eastAsia="pt-BR"/>
              </w:rPr>
            </w:pPr>
          </w:p>
        </w:tc>
        <w:tc>
          <w:tcPr>
            <w:tcW w:w="998" w:type="dxa"/>
            <w:tcBorders>
              <w:top w:val="nil"/>
              <w:left w:val="nil"/>
              <w:bottom w:val="nil"/>
              <w:right w:val="nil"/>
            </w:tcBorders>
            <w:shd w:val="clear" w:color="auto" w:fill="auto"/>
            <w:noWrap/>
            <w:vAlign w:val="center"/>
          </w:tcPr>
          <w:p w:rsidR="00D226EA" w:rsidRDefault="00D226EA" w:rsidP="008F4251">
            <w:pPr>
              <w:jc w:val="right"/>
              <w:rPr>
                <w:rFonts w:eastAsia="Times New Roman" w:cs="Arial"/>
                <w:color w:val="000000"/>
                <w:szCs w:val="20"/>
                <w:lang w:eastAsia="pt-BR"/>
              </w:rPr>
            </w:pPr>
          </w:p>
        </w:tc>
      </w:tr>
      <w:tr w:rsidR="00D226EA" w:rsidRPr="00486631" w:rsidTr="008F4251">
        <w:trPr>
          <w:trHeight w:val="254"/>
        </w:trPr>
        <w:tc>
          <w:tcPr>
            <w:tcW w:w="4895" w:type="dxa"/>
            <w:tcBorders>
              <w:top w:val="nil"/>
              <w:left w:val="nil"/>
              <w:bottom w:val="nil"/>
              <w:right w:val="nil"/>
            </w:tcBorders>
            <w:shd w:val="clear" w:color="000000" w:fill="D9D9D9"/>
            <w:vAlign w:val="center"/>
            <w:hideMark/>
          </w:tcPr>
          <w:p w:rsidR="00D226EA" w:rsidRPr="00486631" w:rsidRDefault="00D226EA" w:rsidP="008F4251">
            <w:pPr>
              <w:jc w:val="left"/>
              <w:rPr>
                <w:rFonts w:eastAsia="Times New Roman" w:cs="Arial"/>
                <w:color w:val="000000"/>
                <w:szCs w:val="20"/>
                <w:lang w:eastAsia="pt-BR"/>
              </w:rPr>
            </w:pPr>
            <w:r w:rsidRPr="00486631">
              <w:rPr>
                <w:rFonts w:eastAsia="Times New Roman" w:cs="Arial"/>
                <w:color w:val="000000"/>
                <w:szCs w:val="20"/>
                <w:lang w:eastAsia="pt-BR"/>
              </w:rPr>
              <w:t>Amortização Acumulada</w:t>
            </w:r>
          </w:p>
        </w:tc>
        <w:tc>
          <w:tcPr>
            <w:tcW w:w="1605" w:type="dxa"/>
            <w:tcBorders>
              <w:top w:val="nil"/>
              <w:left w:val="nil"/>
              <w:bottom w:val="nil"/>
              <w:right w:val="nil"/>
            </w:tcBorders>
            <w:shd w:val="clear" w:color="000000" w:fill="D9D9D9"/>
            <w:noWrap/>
            <w:vAlign w:val="center"/>
            <w:hideMark/>
          </w:tcPr>
          <w:p w:rsidR="00D226EA" w:rsidRPr="00486631" w:rsidRDefault="00D226EA" w:rsidP="008F4251">
            <w:pPr>
              <w:jc w:val="right"/>
              <w:rPr>
                <w:rFonts w:eastAsia="Times New Roman" w:cs="Arial"/>
                <w:color w:val="000000"/>
                <w:szCs w:val="20"/>
                <w:lang w:eastAsia="pt-BR"/>
              </w:rPr>
            </w:pPr>
            <w:r>
              <w:rPr>
                <w:rFonts w:eastAsia="Times New Roman" w:cs="Arial"/>
                <w:color w:val="000000"/>
                <w:szCs w:val="20"/>
                <w:lang w:eastAsia="pt-BR"/>
              </w:rPr>
              <w:t>0,00</w:t>
            </w:r>
          </w:p>
        </w:tc>
        <w:tc>
          <w:tcPr>
            <w:tcW w:w="1605" w:type="dxa"/>
            <w:tcBorders>
              <w:top w:val="nil"/>
              <w:left w:val="nil"/>
              <w:bottom w:val="nil"/>
              <w:right w:val="nil"/>
            </w:tcBorders>
            <w:shd w:val="clear" w:color="000000" w:fill="D9D9D9"/>
            <w:noWrap/>
            <w:vAlign w:val="center"/>
            <w:hideMark/>
          </w:tcPr>
          <w:p w:rsidR="00D226EA" w:rsidRPr="00486631" w:rsidRDefault="00D226EA" w:rsidP="008F4251">
            <w:pPr>
              <w:jc w:val="right"/>
              <w:rPr>
                <w:rFonts w:eastAsia="Times New Roman" w:cs="Arial"/>
                <w:color w:val="000000"/>
                <w:szCs w:val="20"/>
                <w:lang w:eastAsia="pt-BR"/>
              </w:rPr>
            </w:pPr>
            <w:r>
              <w:rPr>
                <w:rFonts w:eastAsia="Times New Roman" w:cs="Arial"/>
                <w:color w:val="000000"/>
                <w:szCs w:val="20"/>
                <w:lang w:eastAsia="pt-BR"/>
              </w:rPr>
              <w:t>0,00</w:t>
            </w:r>
          </w:p>
        </w:tc>
        <w:tc>
          <w:tcPr>
            <w:tcW w:w="998" w:type="dxa"/>
            <w:tcBorders>
              <w:top w:val="nil"/>
              <w:left w:val="nil"/>
              <w:bottom w:val="nil"/>
              <w:right w:val="nil"/>
            </w:tcBorders>
            <w:shd w:val="clear" w:color="000000" w:fill="D9D9D9"/>
            <w:noWrap/>
            <w:vAlign w:val="center"/>
            <w:hideMark/>
          </w:tcPr>
          <w:p w:rsidR="00D226EA" w:rsidRPr="00486631" w:rsidRDefault="00D226EA" w:rsidP="008F4251">
            <w:pPr>
              <w:jc w:val="right"/>
              <w:rPr>
                <w:rFonts w:eastAsia="Times New Roman" w:cs="Arial"/>
                <w:color w:val="000000"/>
                <w:szCs w:val="20"/>
                <w:lang w:eastAsia="pt-BR"/>
              </w:rPr>
            </w:pPr>
            <w:r>
              <w:rPr>
                <w:rFonts w:eastAsia="Times New Roman" w:cs="Arial"/>
                <w:color w:val="000000"/>
                <w:szCs w:val="20"/>
                <w:lang w:eastAsia="pt-BR"/>
              </w:rPr>
              <w:t>0,00</w:t>
            </w:r>
          </w:p>
        </w:tc>
      </w:tr>
      <w:tr w:rsidR="00D226EA" w:rsidRPr="007168B6" w:rsidTr="008F4251">
        <w:trPr>
          <w:trHeight w:val="269"/>
        </w:trPr>
        <w:tc>
          <w:tcPr>
            <w:tcW w:w="4895" w:type="dxa"/>
            <w:tcBorders>
              <w:top w:val="nil"/>
              <w:left w:val="nil"/>
              <w:bottom w:val="single" w:sz="8" w:space="0" w:color="000000"/>
              <w:right w:val="nil"/>
            </w:tcBorders>
            <w:shd w:val="clear" w:color="auto" w:fill="auto"/>
            <w:vAlign w:val="center"/>
          </w:tcPr>
          <w:p w:rsidR="00D226EA" w:rsidRPr="007168B6" w:rsidRDefault="00D226EA" w:rsidP="008F4251">
            <w:pPr>
              <w:jc w:val="left"/>
              <w:rPr>
                <w:rFonts w:eastAsia="Times New Roman" w:cs="Arial"/>
                <w:bCs/>
                <w:color w:val="000000"/>
                <w:szCs w:val="20"/>
                <w:lang w:eastAsia="pt-BR"/>
              </w:rPr>
            </w:pPr>
            <w:r w:rsidRPr="007168B6">
              <w:rPr>
                <w:rFonts w:eastAsia="Times New Roman" w:cs="Arial"/>
                <w:bCs/>
                <w:color w:val="000000"/>
                <w:szCs w:val="20"/>
                <w:lang w:eastAsia="pt-BR"/>
              </w:rPr>
              <w:t>Marcas e patentes</w:t>
            </w:r>
          </w:p>
        </w:tc>
        <w:tc>
          <w:tcPr>
            <w:tcW w:w="1605" w:type="dxa"/>
            <w:tcBorders>
              <w:top w:val="nil"/>
              <w:left w:val="nil"/>
              <w:bottom w:val="single" w:sz="8" w:space="0" w:color="000000"/>
              <w:right w:val="nil"/>
            </w:tcBorders>
            <w:shd w:val="clear" w:color="auto" w:fill="auto"/>
            <w:noWrap/>
            <w:vAlign w:val="center"/>
          </w:tcPr>
          <w:p w:rsidR="00D226EA" w:rsidRPr="007168B6" w:rsidRDefault="00D226EA" w:rsidP="008F4251">
            <w:pPr>
              <w:jc w:val="right"/>
              <w:rPr>
                <w:rFonts w:eastAsia="Times New Roman" w:cs="Arial"/>
                <w:bCs/>
                <w:color w:val="000000"/>
                <w:szCs w:val="20"/>
                <w:lang w:eastAsia="pt-BR"/>
              </w:rPr>
            </w:pPr>
            <w:r>
              <w:rPr>
                <w:rFonts w:eastAsia="Times New Roman" w:cs="Arial"/>
                <w:bCs/>
                <w:color w:val="000000"/>
                <w:szCs w:val="20"/>
                <w:lang w:eastAsia="pt-BR"/>
              </w:rPr>
              <w:t>3.800,00</w:t>
            </w:r>
          </w:p>
        </w:tc>
        <w:tc>
          <w:tcPr>
            <w:tcW w:w="1605" w:type="dxa"/>
            <w:tcBorders>
              <w:top w:val="nil"/>
              <w:left w:val="nil"/>
              <w:bottom w:val="single" w:sz="8" w:space="0" w:color="000000"/>
              <w:right w:val="nil"/>
            </w:tcBorders>
            <w:shd w:val="clear" w:color="auto" w:fill="auto"/>
            <w:noWrap/>
            <w:vAlign w:val="center"/>
          </w:tcPr>
          <w:p w:rsidR="00D226EA" w:rsidRPr="007168B6" w:rsidRDefault="00D226EA" w:rsidP="008F4251">
            <w:pPr>
              <w:jc w:val="right"/>
              <w:rPr>
                <w:rFonts w:eastAsia="Times New Roman" w:cs="Arial"/>
                <w:bCs/>
                <w:color w:val="000000"/>
                <w:szCs w:val="20"/>
                <w:lang w:eastAsia="pt-BR"/>
              </w:rPr>
            </w:pPr>
            <w:r>
              <w:rPr>
                <w:rFonts w:eastAsia="Times New Roman" w:cs="Arial"/>
                <w:bCs/>
                <w:color w:val="000000"/>
                <w:szCs w:val="20"/>
                <w:lang w:eastAsia="pt-BR"/>
              </w:rPr>
              <w:t>3.800,00</w:t>
            </w:r>
          </w:p>
        </w:tc>
        <w:tc>
          <w:tcPr>
            <w:tcW w:w="998" w:type="dxa"/>
            <w:tcBorders>
              <w:top w:val="nil"/>
              <w:left w:val="nil"/>
              <w:bottom w:val="single" w:sz="8" w:space="0" w:color="000000"/>
              <w:right w:val="nil"/>
            </w:tcBorders>
            <w:shd w:val="clear" w:color="auto" w:fill="auto"/>
            <w:noWrap/>
            <w:vAlign w:val="center"/>
          </w:tcPr>
          <w:p w:rsidR="00D226EA" w:rsidRPr="007168B6" w:rsidRDefault="00D226EA" w:rsidP="008F4251">
            <w:pPr>
              <w:jc w:val="right"/>
              <w:rPr>
                <w:rFonts w:eastAsia="Times New Roman" w:cs="Arial"/>
                <w:bCs/>
                <w:color w:val="000000"/>
                <w:szCs w:val="20"/>
                <w:lang w:eastAsia="pt-BR"/>
              </w:rPr>
            </w:pPr>
            <w:r>
              <w:rPr>
                <w:rFonts w:eastAsia="Times New Roman" w:cs="Arial"/>
                <w:bCs/>
                <w:color w:val="000000"/>
                <w:szCs w:val="20"/>
                <w:lang w:eastAsia="pt-BR"/>
              </w:rPr>
              <w:t>0,00</w:t>
            </w:r>
          </w:p>
        </w:tc>
      </w:tr>
      <w:tr w:rsidR="00D226EA" w:rsidRPr="007168B6" w:rsidTr="008F4251">
        <w:trPr>
          <w:trHeight w:val="269"/>
        </w:trPr>
        <w:tc>
          <w:tcPr>
            <w:tcW w:w="4895" w:type="dxa"/>
            <w:tcBorders>
              <w:top w:val="nil"/>
              <w:left w:val="nil"/>
              <w:bottom w:val="single" w:sz="8" w:space="0" w:color="000000"/>
              <w:right w:val="nil"/>
            </w:tcBorders>
            <w:shd w:val="clear" w:color="auto" w:fill="D9D9D9" w:themeFill="background1" w:themeFillShade="D9"/>
            <w:vAlign w:val="center"/>
            <w:hideMark/>
          </w:tcPr>
          <w:p w:rsidR="00D226EA" w:rsidRPr="007168B6" w:rsidRDefault="00D226EA" w:rsidP="008F4251">
            <w:pPr>
              <w:jc w:val="left"/>
              <w:rPr>
                <w:rFonts w:eastAsia="Times New Roman" w:cs="Arial"/>
                <w:b/>
                <w:bCs/>
                <w:color w:val="000000"/>
                <w:szCs w:val="20"/>
                <w:lang w:eastAsia="pt-BR"/>
              </w:rPr>
            </w:pPr>
            <w:r w:rsidRPr="007168B6">
              <w:rPr>
                <w:rFonts w:eastAsia="Times New Roman" w:cs="Arial"/>
                <w:b/>
                <w:bCs/>
                <w:color w:val="000000"/>
                <w:szCs w:val="20"/>
                <w:lang w:eastAsia="pt-BR"/>
              </w:rPr>
              <w:t xml:space="preserve">Total </w:t>
            </w:r>
          </w:p>
        </w:tc>
        <w:tc>
          <w:tcPr>
            <w:tcW w:w="1605" w:type="dxa"/>
            <w:tcBorders>
              <w:top w:val="nil"/>
              <w:left w:val="nil"/>
              <w:bottom w:val="single" w:sz="8" w:space="0" w:color="000000"/>
              <w:right w:val="nil"/>
            </w:tcBorders>
            <w:shd w:val="clear" w:color="auto" w:fill="D9D9D9" w:themeFill="background1" w:themeFillShade="D9"/>
            <w:noWrap/>
            <w:vAlign w:val="center"/>
            <w:hideMark/>
          </w:tcPr>
          <w:p w:rsidR="00D226EA" w:rsidRPr="007168B6" w:rsidRDefault="00D226EA" w:rsidP="008F4251">
            <w:pPr>
              <w:jc w:val="right"/>
              <w:rPr>
                <w:rFonts w:eastAsia="Times New Roman" w:cs="Arial"/>
                <w:b/>
                <w:bCs/>
                <w:color w:val="000000"/>
                <w:szCs w:val="20"/>
                <w:lang w:eastAsia="pt-BR"/>
              </w:rPr>
            </w:pPr>
            <w:r w:rsidRPr="007168B6">
              <w:rPr>
                <w:rFonts w:eastAsia="Times New Roman" w:cs="Arial"/>
                <w:b/>
                <w:color w:val="000000"/>
                <w:szCs w:val="20"/>
                <w:lang w:eastAsia="pt-BR"/>
              </w:rPr>
              <w:t>24.</w:t>
            </w:r>
            <w:r>
              <w:rPr>
                <w:rFonts w:eastAsia="Times New Roman" w:cs="Arial"/>
                <w:b/>
                <w:color w:val="000000"/>
                <w:szCs w:val="20"/>
                <w:lang w:eastAsia="pt-BR"/>
              </w:rPr>
              <w:t>374</w:t>
            </w:r>
            <w:r w:rsidRPr="007168B6">
              <w:rPr>
                <w:rFonts w:eastAsia="Times New Roman" w:cs="Arial"/>
                <w:b/>
                <w:color w:val="000000"/>
                <w:szCs w:val="20"/>
                <w:lang w:eastAsia="pt-BR"/>
              </w:rPr>
              <w:t>.</w:t>
            </w:r>
            <w:r>
              <w:rPr>
                <w:rFonts w:eastAsia="Times New Roman" w:cs="Arial"/>
                <w:b/>
                <w:color w:val="000000"/>
                <w:szCs w:val="20"/>
                <w:lang w:eastAsia="pt-BR"/>
              </w:rPr>
              <w:t>470</w:t>
            </w:r>
            <w:r w:rsidRPr="007168B6">
              <w:rPr>
                <w:rFonts w:eastAsia="Times New Roman" w:cs="Arial"/>
                <w:b/>
                <w:color w:val="000000"/>
                <w:szCs w:val="20"/>
                <w:lang w:eastAsia="pt-BR"/>
              </w:rPr>
              <w:t>,</w:t>
            </w:r>
            <w:r>
              <w:rPr>
                <w:rFonts w:eastAsia="Times New Roman" w:cs="Arial"/>
                <w:b/>
                <w:color w:val="000000"/>
                <w:szCs w:val="20"/>
                <w:lang w:eastAsia="pt-BR"/>
              </w:rPr>
              <w:t>85</w:t>
            </w:r>
          </w:p>
        </w:tc>
        <w:tc>
          <w:tcPr>
            <w:tcW w:w="1605" w:type="dxa"/>
            <w:tcBorders>
              <w:top w:val="nil"/>
              <w:left w:val="nil"/>
              <w:bottom w:val="single" w:sz="8" w:space="0" w:color="000000"/>
              <w:right w:val="nil"/>
            </w:tcBorders>
            <w:shd w:val="clear" w:color="auto" w:fill="D9D9D9" w:themeFill="background1" w:themeFillShade="D9"/>
            <w:noWrap/>
            <w:vAlign w:val="center"/>
            <w:hideMark/>
          </w:tcPr>
          <w:p w:rsidR="00D226EA" w:rsidRPr="007168B6" w:rsidRDefault="00D226EA" w:rsidP="008F4251">
            <w:pPr>
              <w:jc w:val="right"/>
              <w:rPr>
                <w:rFonts w:eastAsia="Times New Roman" w:cs="Arial"/>
                <w:b/>
                <w:bCs/>
                <w:color w:val="000000"/>
                <w:szCs w:val="20"/>
                <w:lang w:eastAsia="pt-BR"/>
              </w:rPr>
            </w:pPr>
            <w:r w:rsidRPr="007168B6">
              <w:rPr>
                <w:rFonts w:eastAsia="Times New Roman" w:cs="Arial"/>
                <w:b/>
                <w:color w:val="000000"/>
                <w:szCs w:val="20"/>
                <w:lang w:eastAsia="pt-BR"/>
              </w:rPr>
              <w:t>24.</w:t>
            </w:r>
            <w:r>
              <w:rPr>
                <w:rFonts w:eastAsia="Times New Roman" w:cs="Arial"/>
                <w:b/>
                <w:color w:val="000000"/>
                <w:szCs w:val="20"/>
                <w:lang w:eastAsia="pt-BR"/>
              </w:rPr>
              <w:t>684</w:t>
            </w:r>
            <w:r w:rsidRPr="007168B6">
              <w:rPr>
                <w:rFonts w:eastAsia="Times New Roman" w:cs="Arial"/>
                <w:b/>
                <w:color w:val="000000"/>
                <w:szCs w:val="20"/>
                <w:lang w:eastAsia="pt-BR"/>
              </w:rPr>
              <w:t>.9</w:t>
            </w:r>
            <w:r>
              <w:rPr>
                <w:rFonts w:eastAsia="Times New Roman" w:cs="Arial"/>
                <w:b/>
                <w:color w:val="000000"/>
                <w:szCs w:val="20"/>
                <w:lang w:eastAsia="pt-BR"/>
              </w:rPr>
              <w:t>09</w:t>
            </w:r>
            <w:r w:rsidRPr="007168B6">
              <w:rPr>
                <w:rFonts w:eastAsia="Times New Roman" w:cs="Arial"/>
                <w:b/>
                <w:color w:val="000000"/>
                <w:szCs w:val="20"/>
                <w:lang w:eastAsia="pt-BR"/>
              </w:rPr>
              <w:t>,1</w:t>
            </w:r>
            <w:r>
              <w:rPr>
                <w:rFonts w:eastAsia="Times New Roman" w:cs="Arial"/>
                <w:b/>
                <w:color w:val="000000"/>
                <w:szCs w:val="20"/>
                <w:lang w:eastAsia="pt-BR"/>
              </w:rPr>
              <w:t>3</w:t>
            </w:r>
          </w:p>
        </w:tc>
        <w:tc>
          <w:tcPr>
            <w:tcW w:w="998" w:type="dxa"/>
            <w:tcBorders>
              <w:top w:val="nil"/>
              <w:left w:val="nil"/>
              <w:bottom w:val="single" w:sz="8" w:space="0" w:color="000000"/>
              <w:right w:val="nil"/>
            </w:tcBorders>
            <w:shd w:val="clear" w:color="auto" w:fill="D9D9D9" w:themeFill="background1" w:themeFillShade="D9"/>
            <w:noWrap/>
            <w:vAlign w:val="center"/>
            <w:hideMark/>
          </w:tcPr>
          <w:p w:rsidR="00D226EA" w:rsidRPr="007168B6" w:rsidRDefault="00D226EA" w:rsidP="008F4251">
            <w:pPr>
              <w:jc w:val="right"/>
              <w:rPr>
                <w:rFonts w:eastAsia="Times New Roman" w:cs="Arial"/>
                <w:b/>
                <w:bCs/>
                <w:color w:val="000000"/>
                <w:szCs w:val="20"/>
                <w:lang w:eastAsia="pt-BR"/>
              </w:rPr>
            </w:pPr>
            <w:r>
              <w:rPr>
                <w:rFonts w:eastAsia="Times New Roman" w:cs="Arial"/>
                <w:b/>
                <w:bCs/>
                <w:color w:val="000000"/>
                <w:szCs w:val="20"/>
                <w:lang w:eastAsia="pt-BR"/>
              </w:rPr>
              <w:t>-1</w:t>
            </w:r>
            <w:r w:rsidRPr="007168B6">
              <w:rPr>
                <w:rFonts w:eastAsia="Times New Roman" w:cs="Arial"/>
                <w:b/>
                <w:bCs/>
                <w:color w:val="000000"/>
                <w:szCs w:val="20"/>
                <w:lang w:eastAsia="pt-BR"/>
              </w:rPr>
              <w:t>,</w:t>
            </w:r>
            <w:r>
              <w:rPr>
                <w:rFonts w:eastAsia="Times New Roman" w:cs="Arial"/>
                <w:b/>
                <w:bCs/>
                <w:color w:val="000000"/>
                <w:szCs w:val="20"/>
                <w:lang w:eastAsia="pt-BR"/>
              </w:rPr>
              <w:t>26</w:t>
            </w:r>
          </w:p>
        </w:tc>
      </w:tr>
    </w:tbl>
    <w:p w:rsidR="00D226EA" w:rsidRPr="006046BF" w:rsidRDefault="00D226EA" w:rsidP="00D226EA">
      <w:pPr>
        <w:rPr>
          <w:rFonts w:cs="Arial"/>
          <w:i/>
          <w:szCs w:val="20"/>
        </w:rPr>
      </w:pPr>
      <w:r w:rsidRPr="006046BF">
        <w:rPr>
          <w:rFonts w:cs="Arial"/>
          <w:i/>
          <w:szCs w:val="20"/>
        </w:rPr>
        <w:t xml:space="preserve">Fonte: SIAFI, </w:t>
      </w:r>
      <w:r>
        <w:rPr>
          <w:rFonts w:cs="Arial"/>
          <w:i/>
          <w:szCs w:val="20"/>
        </w:rPr>
        <w:t xml:space="preserve">2019 e </w:t>
      </w:r>
      <w:r w:rsidRPr="006046BF">
        <w:rPr>
          <w:rFonts w:cs="Arial"/>
          <w:i/>
          <w:szCs w:val="20"/>
        </w:rPr>
        <w:t>201</w:t>
      </w:r>
      <w:r>
        <w:rPr>
          <w:rFonts w:cs="Arial"/>
          <w:i/>
          <w:szCs w:val="20"/>
        </w:rPr>
        <w:t>8</w:t>
      </w:r>
      <w:r w:rsidRPr="006046BF">
        <w:rPr>
          <w:rFonts w:cs="Arial"/>
          <w:i/>
          <w:szCs w:val="20"/>
        </w:rPr>
        <w:t>.</w:t>
      </w:r>
    </w:p>
    <w:p w:rsidR="00D226EA" w:rsidRPr="006046BF" w:rsidRDefault="00D226EA" w:rsidP="00D226EA">
      <w:pPr>
        <w:rPr>
          <w:rFonts w:cs="Arial"/>
          <w:i/>
          <w:szCs w:val="20"/>
        </w:rPr>
      </w:pPr>
    </w:p>
    <w:p w:rsidR="00D226EA" w:rsidRDefault="00D226EA" w:rsidP="00D226EA">
      <w:pPr>
        <w:rPr>
          <w:rFonts w:cs="Arial"/>
          <w:sz w:val="22"/>
        </w:rPr>
      </w:pPr>
      <w:r>
        <w:rPr>
          <w:rFonts w:cs="Arial"/>
          <w:sz w:val="22"/>
        </w:rPr>
        <w:t xml:space="preserve">Os softwares, mensurados pelo seu custo de produção ou aquisição, foram avaliados pelo setor de TI no início de 2019 e desmembrados corretamente em Vida Útil Definida, </w:t>
      </w:r>
      <w:proofErr w:type="gramStart"/>
      <w:r>
        <w:rPr>
          <w:rFonts w:cs="Arial"/>
          <w:sz w:val="22"/>
        </w:rPr>
        <w:t>Em</w:t>
      </w:r>
      <w:proofErr w:type="gramEnd"/>
      <w:r>
        <w:rPr>
          <w:rFonts w:cs="Arial"/>
          <w:sz w:val="22"/>
        </w:rPr>
        <w:t xml:space="preserve"> desenvolvimento e em Vida Útil Indefinida, restando ainda avaliar os saldo restante de cerca de R$ 545 mil, o que ocorrerá no início de 2020. </w:t>
      </w:r>
    </w:p>
    <w:p w:rsidR="00D226EA" w:rsidRDefault="00D226EA" w:rsidP="00D226EA">
      <w:pPr>
        <w:rPr>
          <w:rFonts w:cs="Arial"/>
          <w:sz w:val="22"/>
        </w:rPr>
      </w:pPr>
    </w:p>
    <w:p w:rsidR="00D226EA" w:rsidRDefault="00D226EA" w:rsidP="00D226EA">
      <w:pPr>
        <w:rPr>
          <w:rFonts w:cs="Arial"/>
          <w:sz w:val="22"/>
        </w:rPr>
      </w:pPr>
      <w:r>
        <w:rPr>
          <w:rFonts w:cs="Arial"/>
          <w:sz w:val="22"/>
        </w:rPr>
        <w:t>Os de vida útil indefinida, de acordo com o Manual SIAFI, não devem ser amortizados, uma vez que geram constantes benefícios imediatos e futuros para o órgão.</w:t>
      </w:r>
    </w:p>
    <w:p w:rsidR="00D226EA" w:rsidRDefault="00D226EA" w:rsidP="00D226EA">
      <w:pPr>
        <w:rPr>
          <w:rFonts w:cs="Arial"/>
          <w:sz w:val="22"/>
        </w:rPr>
      </w:pPr>
    </w:p>
    <w:p w:rsidR="00D226EA" w:rsidRDefault="00D226EA" w:rsidP="00D226EA">
      <w:pPr>
        <w:rPr>
          <w:rFonts w:cs="Arial"/>
          <w:sz w:val="22"/>
        </w:rPr>
      </w:pPr>
      <w:r>
        <w:rPr>
          <w:rFonts w:cs="Arial"/>
          <w:sz w:val="22"/>
        </w:rPr>
        <w:t>Especificamente em relação aos sistemas fabricados internamente, os mesmos ainda não possuem procedimentos de mensuração dos benefícios econômicos futuros ou fornecer serviços em potencial, o que faz com que o valor tanto do intangível como o da VPD não reflitam a realidade. Esse estudo levantamento e mensuração de custo está previsto no plano anual de trabalho do setor de contabilidade.</w:t>
      </w:r>
    </w:p>
    <w:p w:rsidR="00D226EA" w:rsidRDefault="00D226EA" w:rsidP="00D226EA">
      <w:pPr>
        <w:rPr>
          <w:rFonts w:cs="Arial"/>
          <w:sz w:val="22"/>
        </w:rPr>
      </w:pPr>
    </w:p>
    <w:p w:rsidR="00D226EA" w:rsidRPr="007168B6" w:rsidRDefault="00D226EA" w:rsidP="00D226EA">
      <w:pPr>
        <w:rPr>
          <w:rFonts w:cs="Arial"/>
          <w:sz w:val="22"/>
        </w:rPr>
      </w:pPr>
      <w:r w:rsidRPr="007168B6">
        <w:rPr>
          <w:rFonts w:cs="Arial"/>
          <w:sz w:val="22"/>
        </w:rPr>
        <w:t xml:space="preserve">Quanto às marcas e patentes, </w:t>
      </w:r>
      <w:r>
        <w:rPr>
          <w:rFonts w:cs="Arial"/>
          <w:sz w:val="22"/>
        </w:rPr>
        <w:t xml:space="preserve">está em andamento um estudo junto às áreas responsáveis, para a definição do </w:t>
      </w:r>
      <w:r w:rsidRPr="007168B6">
        <w:rPr>
          <w:rFonts w:cs="Arial"/>
          <w:sz w:val="22"/>
        </w:rPr>
        <w:t xml:space="preserve">seu real valor de mercado, visto que o registrado em </w:t>
      </w:r>
      <w:r>
        <w:rPr>
          <w:rFonts w:cs="Arial"/>
          <w:sz w:val="22"/>
        </w:rPr>
        <w:t xml:space="preserve">2018 e </w:t>
      </w:r>
      <w:r w:rsidRPr="007168B6">
        <w:rPr>
          <w:rFonts w:cs="Arial"/>
          <w:sz w:val="22"/>
        </w:rPr>
        <w:t>2017 se refere</w:t>
      </w:r>
      <w:r>
        <w:rPr>
          <w:rFonts w:cs="Arial"/>
          <w:sz w:val="22"/>
        </w:rPr>
        <w:t>m</w:t>
      </w:r>
      <w:r w:rsidRPr="007168B6">
        <w:rPr>
          <w:rFonts w:cs="Arial"/>
          <w:sz w:val="22"/>
        </w:rPr>
        <w:t xml:space="preserve"> apenas aos custos de registro no INPI.</w:t>
      </w:r>
      <w:r>
        <w:rPr>
          <w:rFonts w:cs="Arial"/>
          <w:sz w:val="22"/>
        </w:rPr>
        <w:t xml:space="preserve"> </w:t>
      </w:r>
    </w:p>
    <w:p w:rsidR="00D226EA" w:rsidRPr="004015BE" w:rsidRDefault="00D226EA" w:rsidP="00D226EA">
      <w:pPr>
        <w:rPr>
          <w:rFonts w:cs="Arial"/>
          <w:sz w:val="22"/>
        </w:rPr>
      </w:pPr>
    </w:p>
    <w:p w:rsidR="00D226EA" w:rsidRPr="004015BE" w:rsidRDefault="00D226EA" w:rsidP="00D226EA">
      <w:pPr>
        <w:rPr>
          <w:rFonts w:cs="Arial"/>
          <w:sz w:val="22"/>
        </w:rPr>
      </w:pPr>
    </w:p>
    <w:p w:rsidR="00D226EA" w:rsidRDefault="00D226EA">
      <w:pPr>
        <w:spacing w:after="160" w:line="259" w:lineRule="auto"/>
        <w:jc w:val="left"/>
        <w:rPr>
          <w:rFonts w:cs="Arial"/>
          <w:sz w:val="22"/>
        </w:rPr>
      </w:pPr>
      <w:r>
        <w:rPr>
          <w:rFonts w:cs="Arial"/>
          <w:sz w:val="22"/>
        </w:rPr>
        <w:br w:type="page"/>
      </w:r>
    </w:p>
    <w:p w:rsidR="00D226EA" w:rsidRPr="004015BE" w:rsidRDefault="00D226EA" w:rsidP="00D226EA">
      <w:pPr>
        <w:rPr>
          <w:rFonts w:cs="Arial"/>
          <w:sz w:val="22"/>
        </w:rPr>
      </w:pPr>
    </w:p>
    <w:p w:rsidR="00D226EA" w:rsidRDefault="00D226EA" w:rsidP="00D226EA">
      <w:pPr>
        <w:rPr>
          <w:rFonts w:cs="Arial"/>
          <w:b/>
          <w:sz w:val="22"/>
        </w:rPr>
      </w:pPr>
      <w:r w:rsidRPr="00BE0AC8">
        <w:rPr>
          <w:rFonts w:cs="Arial"/>
          <w:b/>
          <w:sz w:val="22"/>
        </w:rPr>
        <w:t xml:space="preserve">Nota 05 – </w:t>
      </w:r>
      <w:r>
        <w:rPr>
          <w:rFonts w:cs="Arial"/>
          <w:b/>
          <w:sz w:val="22"/>
        </w:rPr>
        <w:t>Passivos</w:t>
      </w:r>
    </w:p>
    <w:p w:rsidR="00D226EA" w:rsidRDefault="00D226EA" w:rsidP="00D226EA">
      <w:pPr>
        <w:rPr>
          <w:rFonts w:cs="Arial"/>
          <w:b/>
          <w:sz w:val="22"/>
        </w:rPr>
      </w:pPr>
    </w:p>
    <w:p w:rsidR="00D226EA" w:rsidRPr="00BE0AC8" w:rsidRDefault="00D226EA" w:rsidP="00D226EA">
      <w:pPr>
        <w:rPr>
          <w:rFonts w:cs="Arial"/>
          <w:b/>
          <w:sz w:val="22"/>
        </w:rPr>
      </w:pPr>
      <w:r>
        <w:rPr>
          <w:rFonts w:cs="Arial"/>
          <w:b/>
          <w:sz w:val="22"/>
        </w:rPr>
        <w:t xml:space="preserve">5.1 </w:t>
      </w:r>
      <w:r w:rsidRPr="00BE0AC8">
        <w:rPr>
          <w:rFonts w:cs="Arial"/>
          <w:b/>
          <w:sz w:val="22"/>
        </w:rPr>
        <w:t>Fornecedores e Contas a Pagar</w:t>
      </w:r>
    </w:p>
    <w:p w:rsidR="00D226EA" w:rsidRPr="00BE0AC8" w:rsidRDefault="00D226EA" w:rsidP="00D226EA">
      <w:pPr>
        <w:rPr>
          <w:rFonts w:cs="Arial"/>
          <w:sz w:val="22"/>
        </w:rPr>
      </w:pPr>
    </w:p>
    <w:p w:rsidR="00D226EA" w:rsidRPr="00BE0AC8" w:rsidRDefault="00D226EA" w:rsidP="00D226EA">
      <w:pPr>
        <w:rPr>
          <w:rFonts w:cs="Arial"/>
          <w:sz w:val="22"/>
        </w:rPr>
      </w:pPr>
      <w:r w:rsidRPr="00BE0AC8">
        <w:rPr>
          <w:rFonts w:cs="Arial"/>
          <w:sz w:val="22"/>
        </w:rPr>
        <w:t>Em 3</w:t>
      </w:r>
      <w:r>
        <w:rPr>
          <w:rFonts w:cs="Arial"/>
          <w:sz w:val="22"/>
        </w:rPr>
        <w:t>1</w:t>
      </w:r>
      <w:r w:rsidRPr="00BE0AC8">
        <w:rPr>
          <w:rFonts w:cs="Arial"/>
          <w:sz w:val="22"/>
        </w:rPr>
        <w:t>/</w:t>
      </w:r>
      <w:r>
        <w:rPr>
          <w:rFonts w:cs="Arial"/>
          <w:sz w:val="22"/>
        </w:rPr>
        <w:t>12</w:t>
      </w:r>
      <w:r w:rsidRPr="00BE0AC8">
        <w:rPr>
          <w:rFonts w:cs="Arial"/>
          <w:sz w:val="22"/>
        </w:rPr>
        <w:t>/201</w:t>
      </w:r>
      <w:r>
        <w:rPr>
          <w:rFonts w:cs="Arial"/>
          <w:sz w:val="22"/>
        </w:rPr>
        <w:t>9</w:t>
      </w:r>
      <w:r w:rsidRPr="00BE0AC8">
        <w:rPr>
          <w:rFonts w:cs="Arial"/>
          <w:sz w:val="22"/>
        </w:rPr>
        <w:t>, a A</w:t>
      </w:r>
      <w:r>
        <w:rPr>
          <w:rFonts w:cs="Arial"/>
          <w:sz w:val="22"/>
        </w:rPr>
        <w:t>NP</w:t>
      </w:r>
      <w:r w:rsidRPr="00BE0AC8">
        <w:rPr>
          <w:rFonts w:cs="Arial"/>
          <w:sz w:val="22"/>
        </w:rPr>
        <w:t xml:space="preserve"> possuía um saldo em aberto superior a R$ </w:t>
      </w:r>
      <w:r>
        <w:rPr>
          <w:rFonts w:cs="Arial"/>
          <w:sz w:val="22"/>
        </w:rPr>
        <w:t>2,2 milhões</w:t>
      </w:r>
      <w:r w:rsidRPr="00BE0AC8">
        <w:rPr>
          <w:rFonts w:cs="Arial"/>
          <w:sz w:val="22"/>
        </w:rPr>
        <w:t xml:space="preserve"> relacionados com fornecedores e contas a pagar a curto prazo.</w:t>
      </w:r>
    </w:p>
    <w:p w:rsidR="00D226EA" w:rsidRPr="00BE0AC8" w:rsidRDefault="00D226EA" w:rsidP="00D226EA">
      <w:pPr>
        <w:rPr>
          <w:rFonts w:cs="Arial"/>
          <w:sz w:val="22"/>
        </w:rPr>
      </w:pPr>
    </w:p>
    <w:p w:rsidR="00D226EA" w:rsidRPr="00BE0AC8" w:rsidRDefault="00D226EA" w:rsidP="00D226EA">
      <w:pPr>
        <w:rPr>
          <w:rFonts w:cs="Arial"/>
          <w:sz w:val="22"/>
        </w:rPr>
      </w:pPr>
      <w:r w:rsidRPr="00BE0AC8">
        <w:rPr>
          <w:rFonts w:cs="Arial"/>
          <w:sz w:val="22"/>
        </w:rPr>
        <w:t xml:space="preserve">A seguir, apresenta-se a tabela, relacionando as obrigações com credores nacionais a curto prazo. </w:t>
      </w:r>
    </w:p>
    <w:p w:rsidR="00D226EA" w:rsidRPr="00BE0AC8" w:rsidRDefault="00D226EA" w:rsidP="00D226EA">
      <w:pPr>
        <w:rPr>
          <w:rFonts w:cs="Arial"/>
          <w:sz w:val="22"/>
        </w:rPr>
      </w:pPr>
    </w:p>
    <w:p w:rsidR="00D226EA" w:rsidRDefault="00D226EA" w:rsidP="00D226EA">
      <w:pPr>
        <w:rPr>
          <w:rFonts w:cs="Arial"/>
          <w:b/>
          <w:sz w:val="22"/>
        </w:rPr>
      </w:pPr>
      <w:r w:rsidRPr="00BE0AC8">
        <w:rPr>
          <w:rFonts w:cs="Arial"/>
          <w:b/>
          <w:sz w:val="22"/>
        </w:rPr>
        <w:t>Tabela</w:t>
      </w:r>
      <w:r>
        <w:rPr>
          <w:rFonts w:cs="Arial"/>
          <w:b/>
          <w:sz w:val="22"/>
        </w:rPr>
        <w:t xml:space="preserve"> 11</w:t>
      </w:r>
      <w:r w:rsidRPr="00BE0AC8">
        <w:rPr>
          <w:rFonts w:cs="Arial"/>
          <w:b/>
          <w:sz w:val="22"/>
        </w:rPr>
        <w:t xml:space="preserve"> – Fornecedores e Contas a Pagar – Composição.</w:t>
      </w:r>
    </w:p>
    <w:p w:rsidR="00D226EA" w:rsidRDefault="00D226EA" w:rsidP="00D226EA">
      <w:pPr>
        <w:rPr>
          <w:rFonts w:cs="Arial"/>
          <w:sz w:val="22"/>
        </w:rPr>
      </w:pPr>
    </w:p>
    <w:tbl>
      <w:tblPr>
        <w:tblW w:w="9096" w:type="dxa"/>
        <w:tblCellMar>
          <w:left w:w="70" w:type="dxa"/>
          <w:right w:w="70" w:type="dxa"/>
        </w:tblCellMar>
        <w:tblLook w:val="04A0" w:firstRow="1" w:lastRow="0" w:firstColumn="1" w:lastColumn="0" w:noHBand="0" w:noVBand="1"/>
      </w:tblPr>
      <w:tblGrid>
        <w:gridCol w:w="2212"/>
        <w:gridCol w:w="2528"/>
        <w:gridCol w:w="2641"/>
        <w:gridCol w:w="1715"/>
      </w:tblGrid>
      <w:tr w:rsidR="00D226EA" w:rsidRPr="005B5484" w:rsidTr="008F4251">
        <w:trPr>
          <w:trHeight w:val="264"/>
        </w:trPr>
        <w:tc>
          <w:tcPr>
            <w:tcW w:w="2212" w:type="dxa"/>
            <w:tcBorders>
              <w:top w:val="single" w:sz="4" w:space="0" w:color="000000"/>
              <w:left w:val="nil"/>
              <w:bottom w:val="single" w:sz="4" w:space="0" w:color="000000"/>
              <w:right w:val="nil"/>
            </w:tcBorders>
            <w:shd w:val="clear" w:color="auto" w:fill="auto"/>
            <w:noWrap/>
            <w:vAlign w:val="bottom"/>
            <w:hideMark/>
          </w:tcPr>
          <w:p w:rsidR="00D226EA" w:rsidRPr="005B5484" w:rsidRDefault="00D226EA" w:rsidP="008F4251">
            <w:pPr>
              <w:jc w:val="left"/>
              <w:rPr>
                <w:rFonts w:eastAsia="Times New Roman" w:cs="Arial"/>
                <w:b/>
                <w:bCs/>
                <w:color w:val="FFFFFF"/>
                <w:szCs w:val="20"/>
                <w:lang w:eastAsia="pt-BR"/>
              </w:rPr>
            </w:pPr>
            <w:r w:rsidRPr="005B5484">
              <w:rPr>
                <w:rFonts w:eastAsia="Times New Roman" w:cs="Arial"/>
                <w:b/>
                <w:bCs/>
                <w:color w:val="FFFFFF"/>
                <w:szCs w:val="20"/>
                <w:lang w:eastAsia="pt-BR"/>
              </w:rPr>
              <w:t>Colunas1</w:t>
            </w:r>
          </w:p>
        </w:tc>
        <w:tc>
          <w:tcPr>
            <w:tcW w:w="2528" w:type="dxa"/>
            <w:tcBorders>
              <w:top w:val="single" w:sz="4" w:space="0" w:color="000000"/>
              <w:left w:val="nil"/>
              <w:bottom w:val="single" w:sz="4" w:space="0" w:color="000000"/>
              <w:right w:val="nil"/>
            </w:tcBorders>
            <w:shd w:val="clear" w:color="auto" w:fill="auto"/>
            <w:noWrap/>
            <w:vAlign w:val="bottom"/>
            <w:hideMark/>
          </w:tcPr>
          <w:p w:rsidR="00D226EA" w:rsidRPr="005B5484" w:rsidRDefault="00D226EA" w:rsidP="008F4251">
            <w:pPr>
              <w:jc w:val="right"/>
              <w:rPr>
                <w:rFonts w:eastAsia="Times New Roman" w:cs="Arial"/>
                <w:b/>
                <w:bCs/>
                <w:color w:val="000000"/>
                <w:szCs w:val="20"/>
                <w:lang w:eastAsia="pt-BR"/>
              </w:rPr>
            </w:pPr>
            <w:r w:rsidRPr="005B5484">
              <w:rPr>
                <w:rFonts w:eastAsia="Times New Roman" w:cs="Arial"/>
                <w:b/>
                <w:bCs/>
                <w:color w:val="000000"/>
                <w:szCs w:val="20"/>
                <w:lang w:eastAsia="pt-BR"/>
              </w:rPr>
              <w:t>3</w:t>
            </w:r>
            <w:r>
              <w:rPr>
                <w:rFonts w:eastAsia="Times New Roman" w:cs="Arial"/>
                <w:b/>
                <w:bCs/>
                <w:color w:val="000000"/>
                <w:szCs w:val="20"/>
                <w:lang w:eastAsia="pt-BR"/>
              </w:rPr>
              <w:t>1</w:t>
            </w:r>
            <w:r w:rsidRPr="005B5484">
              <w:rPr>
                <w:rFonts w:eastAsia="Times New Roman" w:cs="Arial"/>
                <w:b/>
                <w:bCs/>
                <w:color w:val="000000"/>
                <w:szCs w:val="20"/>
                <w:lang w:eastAsia="pt-BR"/>
              </w:rPr>
              <w:t>/</w:t>
            </w:r>
            <w:r>
              <w:rPr>
                <w:rFonts w:eastAsia="Times New Roman" w:cs="Arial"/>
                <w:b/>
                <w:bCs/>
                <w:color w:val="000000"/>
                <w:szCs w:val="20"/>
                <w:lang w:eastAsia="pt-BR"/>
              </w:rPr>
              <w:t>12</w:t>
            </w:r>
            <w:r w:rsidRPr="005B5484">
              <w:rPr>
                <w:rFonts w:eastAsia="Times New Roman" w:cs="Arial"/>
                <w:b/>
                <w:bCs/>
                <w:color w:val="000000"/>
                <w:szCs w:val="20"/>
                <w:lang w:eastAsia="pt-BR"/>
              </w:rPr>
              <w:t>/201</w:t>
            </w:r>
            <w:r>
              <w:rPr>
                <w:rFonts w:eastAsia="Times New Roman" w:cs="Arial"/>
                <w:b/>
                <w:bCs/>
                <w:color w:val="000000"/>
                <w:szCs w:val="20"/>
                <w:lang w:eastAsia="pt-BR"/>
              </w:rPr>
              <w:t>9</w:t>
            </w:r>
          </w:p>
        </w:tc>
        <w:tc>
          <w:tcPr>
            <w:tcW w:w="2641" w:type="dxa"/>
            <w:tcBorders>
              <w:top w:val="single" w:sz="4" w:space="0" w:color="000000"/>
              <w:left w:val="nil"/>
              <w:bottom w:val="single" w:sz="4" w:space="0" w:color="000000"/>
              <w:right w:val="nil"/>
            </w:tcBorders>
            <w:shd w:val="clear" w:color="auto" w:fill="auto"/>
            <w:noWrap/>
            <w:vAlign w:val="bottom"/>
            <w:hideMark/>
          </w:tcPr>
          <w:p w:rsidR="00D226EA" w:rsidRPr="005B5484" w:rsidRDefault="00D226EA" w:rsidP="008F4251">
            <w:pPr>
              <w:jc w:val="right"/>
              <w:rPr>
                <w:rFonts w:eastAsia="Times New Roman" w:cs="Arial"/>
                <w:b/>
                <w:bCs/>
                <w:color w:val="000000"/>
                <w:szCs w:val="20"/>
                <w:lang w:eastAsia="pt-BR"/>
              </w:rPr>
            </w:pPr>
            <w:r>
              <w:rPr>
                <w:rFonts w:eastAsia="Times New Roman" w:cs="Arial"/>
                <w:b/>
                <w:bCs/>
                <w:color w:val="000000"/>
                <w:szCs w:val="20"/>
                <w:lang w:eastAsia="pt-BR"/>
              </w:rPr>
              <w:t>31/12/2018</w:t>
            </w:r>
          </w:p>
        </w:tc>
        <w:tc>
          <w:tcPr>
            <w:tcW w:w="1715" w:type="dxa"/>
            <w:tcBorders>
              <w:top w:val="single" w:sz="4" w:space="0" w:color="000000"/>
              <w:left w:val="nil"/>
              <w:bottom w:val="single" w:sz="4" w:space="0" w:color="000000"/>
              <w:right w:val="nil"/>
            </w:tcBorders>
            <w:shd w:val="clear" w:color="auto" w:fill="auto"/>
            <w:noWrap/>
            <w:vAlign w:val="bottom"/>
            <w:hideMark/>
          </w:tcPr>
          <w:p w:rsidR="00D226EA" w:rsidRPr="005B5484" w:rsidRDefault="00D226EA" w:rsidP="008F4251">
            <w:pPr>
              <w:jc w:val="right"/>
              <w:rPr>
                <w:rFonts w:eastAsia="Times New Roman" w:cs="Arial"/>
                <w:b/>
                <w:bCs/>
                <w:color w:val="000000"/>
                <w:szCs w:val="20"/>
                <w:lang w:eastAsia="pt-BR"/>
              </w:rPr>
            </w:pPr>
            <w:r w:rsidRPr="005B5484">
              <w:rPr>
                <w:rFonts w:eastAsia="Times New Roman" w:cs="Arial"/>
                <w:b/>
                <w:bCs/>
                <w:color w:val="000000"/>
                <w:szCs w:val="20"/>
                <w:lang w:eastAsia="pt-BR"/>
              </w:rPr>
              <w:t>AH (%)</w:t>
            </w:r>
          </w:p>
        </w:tc>
      </w:tr>
      <w:tr w:rsidR="00D226EA" w:rsidRPr="005B5484" w:rsidTr="008F4251">
        <w:trPr>
          <w:trHeight w:val="264"/>
        </w:trPr>
        <w:tc>
          <w:tcPr>
            <w:tcW w:w="2212" w:type="dxa"/>
            <w:tcBorders>
              <w:top w:val="nil"/>
              <w:left w:val="nil"/>
              <w:bottom w:val="nil"/>
              <w:right w:val="nil"/>
            </w:tcBorders>
            <w:shd w:val="clear" w:color="D9D9D9" w:fill="D9D9D9"/>
            <w:noWrap/>
            <w:vAlign w:val="bottom"/>
            <w:hideMark/>
          </w:tcPr>
          <w:p w:rsidR="00D226EA" w:rsidRPr="005B5484" w:rsidRDefault="00D226EA" w:rsidP="008F4251">
            <w:pPr>
              <w:jc w:val="left"/>
              <w:rPr>
                <w:rFonts w:eastAsia="Times New Roman" w:cs="Arial"/>
                <w:color w:val="000000"/>
                <w:szCs w:val="20"/>
                <w:lang w:eastAsia="pt-BR"/>
              </w:rPr>
            </w:pPr>
            <w:r w:rsidRPr="005B5484">
              <w:rPr>
                <w:rFonts w:eastAsia="Times New Roman" w:cs="Arial"/>
                <w:color w:val="000000"/>
                <w:szCs w:val="20"/>
                <w:lang w:eastAsia="pt-BR"/>
              </w:rPr>
              <w:t>Nacionais</w:t>
            </w:r>
          </w:p>
        </w:tc>
        <w:tc>
          <w:tcPr>
            <w:tcW w:w="2528" w:type="dxa"/>
            <w:tcBorders>
              <w:top w:val="nil"/>
              <w:left w:val="nil"/>
              <w:bottom w:val="nil"/>
              <w:right w:val="nil"/>
            </w:tcBorders>
            <w:shd w:val="clear" w:color="D9D9D9" w:fill="D9D9D9"/>
            <w:noWrap/>
            <w:vAlign w:val="bottom"/>
            <w:hideMark/>
          </w:tcPr>
          <w:p w:rsidR="00D226EA" w:rsidRPr="005B5484" w:rsidRDefault="00D226EA" w:rsidP="008F4251">
            <w:pPr>
              <w:jc w:val="right"/>
              <w:rPr>
                <w:rFonts w:eastAsia="Times New Roman" w:cs="Arial"/>
                <w:color w:val="000000"/>
                <w:szCs w:val="20"/>
                <w:lang w:eastAsia="pt-BR"/>
              </w:rPr>
            </w:pPr>
            <w:r w:rsidRPr="00CE43C6">
              <w:rPr>
                <w:rFonts w:eastAsia="Times New Roman" w:cs="Arial"/>
                <w:color w:val="000000"/>
                <w:szCs w:val="20"/>
                <w:lang w:eastAsia="pt-BR"/>
              </w:rPr>
              <w:t>2</w:t>
            </w:r>
            <w:r>
              <w:rPr>
                <w:rFonts w:eastAsia="Times New Roman" w:cs="Arial"/>
                <w:color w:val="000000"/>
                <w:szCs w:val="20"/>
                <w:lang w:eastAsia="pt-BR"/>
              </w:rPr>
              <w:t>.</w:t>
            </w:r>
            <w:r w:rsidRPr="00CE43C6">
              <w:rPr>
                <w:rFonts w:eastAsia="Times New Roman" w:cs="Arial"/>
                <w:color w:val="000000"/>
                <w:szCs w:val="20"/>
                <w:lang w:eastAsia="pt-BR"/>
              </w:rPr>
              <w:t>202</w:t>
            </w:r>
            <w:r>
              <w:rPr>
                <w:rFonts w:eastAsia="Times New Roman" w:cs="Arial"/>
                <w:color w:val="000000"/>
                <w:szCs w:val="20"/>
                <w:lang w:eastAsia="pt-BR"/>
              </w:rPr>
              <w:t>.</w:t>
            </w:r>
            <w:r w:rsidRPr="00CE43C6">
              <w:rPr>
                <w:rFonts w:eastAsia="Times New Roman" w:cs="Arial"/>
                <w:color w:val="000000"/>
                <w:szCs w:val="20"/>
                <w:lang w:eastAsia="pt-BR"/>
              </w:rPr>
              <w:t>128,86</w:t>
            </w:r>
          </w:p>
        </w:tc>
        <w:tc>
          <w:tcPr>
            <w:tcW w:w="2641" w:type="dxa"/>
            <w:tcBorders>
              <w:top w:val="nil"/>
              <w:left w:val="nil"/>
              <w:bottom w:val="nil"/>
              <w:right w:val="nil"/>
            </w:tcBorders>
            <w:shd w:val="clear" w:color="D9D9D9" w:fill="D9D9D9"/>
            <w:noWrap/>
            <w:vAlign w:val="bottom"/>
            <w:hideMark/>
          </w:tcPr>
          <w:p w:rsidR="00D226EA" w:rsidRPr="005B5484" w:rsidRDefault="00D226EA" w:rsidP="008F4251">
            <w:pPr>
              <w:jc w:val="right"/>
              <w:rPr>
                <w:rFonts w:eastAsia="Times New Roman" w:cs="Arial"/>
                <w:color w:val="000000"/>
                <w:szCs w:val="20"/>
                <w:lang w:eastAsia="pt-BR"/>
              </w:rPr>
            </w:pPr>
            <w:r>
              <w:rPr>
                <w:rFonts w:eastAsia="Times New Roman" w:cs="Arial"/>
                <w:color w:val="000000"/>
                <w:szCs w:val="20"/>
                <w:lang w:eastAsia="pt-BR"/>
              </w:rPr>
              <w:t>1.217.426</w:t>
            </w:r>
            <w:r w:rsidRPr="0022407A">
              <w:rPr>
                <w:rFonts w:eastAsia="Times New Roman" w:cs="Arial"/>
                <w:color w:val="000000"/>
                <w:szCs w:val="20"/>
                <w:lang w:eastAsia="pt-BR"/>
              </w:rPr>
              <w:t>,</w:t>
            </w:r>
            <w:r>
              <w:rPr>
                <w:rFonts w:eastAsia="Times New Roman" w:cs="Arial"/>
                <w:color w:val="000000"/>
                <w:szCs w:val="20"/>
                <w:lang w:eastAsia="pt-BR"/>
              </w:rPr>
              <w:t>28</w:t>
            </w:r>
          </w:p>
        </w:tc>
        <w:tc>
          <w:tcPr>
            <w:tcW w:w="1715" w:type="dxa"/>
            <w:tcBorders>
              <w:top w:val="nil"/>
              <w:left w:val="nil"/>
              <w:bottom w:val="nil"/>
              <w:right w:val="nil"/>
            </w:tcBorders>
            <w:shd w:val="clear" w:color="D9D9D9" w:fill="D9D9D9"/>
            <w:noWrap/>
            <w:vAlign w:val="bottom"/>
            <w:hideMark/>
          </w:tcPr>
          <w:p w:rsidR="00D226EA" w:rsidRPr="005B5484" w:rsidRDefault="00D226EA" w:rsidP="008F4251">
            <w:pPr>
              <w:jc w:val="right"/>
              <w:rPr>
                <w:rFonts w:eastAsia="Times New Roman" w:cs="Arial"/>
                <w:color w:val="000000"/>
                <w:szCs w:val="20"/>
                <w:lang w:eastAsia="pt-BR"/>
              </w:rPr>
            </w:pPr>
            <w:r>
              <w:rPr>
                <w:rFonts w:eastAsia="Times New Roman" w:cs="Arial"/>
                <w:color w:val="000000"/>
                <w:szCs w:val="20"/>
                <w:lang w:eastAsia="pt-BR"/>
              </w:rPr>
              <w:t>80,88</w:t>
            </w:r>
          </w:p>
        </w:tc>
      </w:tr>
      <w:tr w:rsidR="00D226EA" w:rsidRPr="005B5484" w:rsidTr="008F4251">
        <w:trPr>
          <w:trHeight w:val="264"/>
        </w:trPr>
        <w:tc>
          <w:tcPr>
            <w:tcW w:w="2212" w:type="dxa"/>
            <w:tcBorders>
              <w:top w:val="nil"/>
              <w:left w:val="nil"/>
              <w:bottom w:val="single" w:sz="4" w:space="0" w:color="000000"/>
              <w:right w:val="nil"/>
            </w:tcBorders>
            <w:shd w:val="clear" w:color="auto" w:fill="auto"/>
            <w:noWrap/>
            <w:vAlign w:val="bottom"/>
            <w:hideMark/>
          </w:tcPr>
          <w:p w:rsidR="00D226EA" w:rsidRPr="005B5484" w:rsidRDefault="00D226EA" w:rsidP="008F4251">
            <w:pPr>
              <w:jc w:val="left"/>
              <w:rPr>
                <w:rFonts w:eastAsia="Times New Roman" w:cs="Arial"/>
                <w:b/>
                <w:color w:val="000000"/>
                <w:szCs w:val="20"/>
                <w:lang w:eastAsia="pt-BR"/>
              </w:rPr>
            </w:pPr>
            <w:r w:rsidRPr="005B5484">
              <w:rPr>
                <w:rFonts w:eastAsia="Times New Roman" w:cs="Arial"/>
                <w:b/>
                <w:color w:val="000000"/>
                <w:szCs w:val="20"/>
                <w:lang w:eastAsia="pt-BR"/>
              </w:rPr>
              <w:t>Total</w:t>
            </w:r>
          </w:p>
        </w:tc>
        <w:tc>
          <w:tcPr>
            <w:tcW w:w="2528" w:type="dxa"/>
            <w:tcBorders>
              <w:top w:val="nil"/>
              <w:left w:val="nil"/>
              <w:bottom w:val="single" w:sz="4" w:space="0" w:color="000000"/>
              <w:right w:val="nil"/>
            </w:tcBorders>
            <w:shd w:val="clear" w:color="auto" w:fill="auto"/>
            <w:noWrap/>
            <w:vAlign w:val="bottom"/>
            <w:hideMark/>
          </w:tcPr>
          <w:p w:rsidR="00D226EA" w:rsidRPr="00CE43C6" w:rsidRDefault="00D226EA" w:rsidP="008F4251">
            <w:pPr>
              <w:jc w:val="right"/>
              <w:rPr>
                <w:rFonts w:eastAsia="Times New Roman" w:cs="Arial"/>
                <w:b/>
                <w:color w:val="000000"/>
                <w:szCs w:val="20"/>
                <w:lang w:eastAsia="pt-BR"/>
              </w:rPr>
            </w:pPr>
            <w:r w:rsidRPr="00CE43C6">
              <w:rPr>
                <w:rFonts w:eastAsia="Times New Roman" w:cs="Arial"/>
                <w:b/>
                <w:color w:val="000000"/>
                <w:szCs w:val="20"/>
                <w:lang w:eastAsia="pt-BR"/>
              </w:rPr>
              <w:t>2.202.128,86</w:t>
            </w:r>
          </w:p>
        </w:tc>
        <w:tc>
          <w:tcPr>
            <w:tcW w:w="2641" w:type="dxa"/>
            <w:tcBorders>
              <w:top w:val="nil"/>
              <w:left w:val="nil"/>
              <w:bottom w:val="single" w:sz="4" w:space="0" w:color="000000"/>
              <w:right w:val="nil"/>
            </w:tcBorders>
            <w:shd w:val="clear" w:color="auto" w:fill="auto"/>
            <w:noWrap/>
            <w:vAlign w:val="bottom"/>
            <w:hideMark/>
          </w:tcPr>
          <w:p w:rsidR="00D226EA" w:rsidRPr="0022407A" w:rsidRDefault="00D226EA" w:rsidP="008F4251">
            <w:pPr>
              <w:jc w:val="right"/>
              <w:rPr>
                <w:rFonts w:eastAsia="Times New Roman" w:cs="Arial"/>
                <w:b/>
                <w:color w:val="000000"/>
                <w:szCs w:val="20"/>
                <w:lang w:eastAsia="pt-BR"/>
              </w:rPr>
            </w:pPr>
            <w:r w:rsidRPr="005F792C">
              <w:rPr>
                <w:rFonts w:eastAsia="Times New Roman" w:cs="Arial"/>
                <w:b/>
                <w:color w:val="000000"/>
                <w:szCs w:val="20"/>
                <w:lang w:eastAsia="pt-BR"/>
              </w:rPr>
              <w:t>1.217.426,28</w:t>
            </w:r>
          </w:p>
        </w:tc>
        <w:tc>
          <w:tcPr>
            <w:tcW w:w="1715" w:type="dxa"/>
            <w:tcBorders>
              <w:top w:val="nil"/>
              <w:left w:val="nil"/>
              <w:bottom w:val="single" w:sz="4" w:space="0" w:color="000000"/>
              <w:right w:val="nil"/>
            </w:tcBorders>
            <w:shd w:val="clear" w:color="auto" w:fill="auto"/>
            <w:noWrap/>
            <w:vAlign w:val="bottom"/>
            <w:hideMark/>
          </w:tcPr>
          <w:p w:rsidR="00D226EA" w:rsidRPr="005B5484" w:rsidRDefault="00D226EA" w:rsidP="008F4251">
            <w:pPr>
              <w:jc w:val="right"/>
              <w:rPr>
                <w:rFonts w:eastAsia="Times New Roman" w:cs="Arial"/>
                <w:b/>
                <w:color w:val="000000"/>
                <w:szCs w:val="20"/>
                <w:lang w:eastAsia="pt-BR"/>
              </w:rPr>
            </w:pPr>
            <w:r>
              <w:rPr>
                <w:rFonts w:eastAsia="Times New Roman" w:cs="Arial"/>
                <w:b/>
                <w:color w:val="000000"/>
                <w:szCs w:val="20"/>
                <w:lang w:eastAsia="pt-BR"/>
              </w:rPr>
              <w:t>80,88</w:t>
            </w:r>
          </w:p>
        </w:tc>
      </w:tr>
    </w:tbl>
    <w:p w:rsidR="00D226EA" w:rsidRPr="005B5484" w:rsidRDefault="00D226EA" w:rsidP="00D226EA">
      <w:pPr>
        <w:rPr>
          <w:rFonts w:cs="Arial"/>
          <w:i/>
          <w:szCs w:val="20"/>
        </w:rPr>
      </w:pPr>
      <w:r w:rsidRPr="005B5484">
        <w:rPr>
          <w:rFonts w:cs="Arial"/>
          <w:i/>
          <w:szCs w:val="20"/>
        </w:rPr>
        <w:t>Fonte: SIAFI, 201</w:t>
      </w:r>
      <w:r>
        <w:rPr>
          <w:rFonts w:cs="Arial"/>
          <w:i/>
          <w:szCs w:val="20"/>
        </w:rPr>
        <w:t>9</w:t>
      </w:r>
      <w:r w:rsidRPr="005B5484">
        <w:rPr>
          <w:rFonts w:cs="Arial"/>
          <w:i/>
          <w:szCs w:val="20"/>
        </w:rPr>
        <w:t xml:space="preserve"> e 201</w:t>
      </w:r>
      <w:r>
        <w:rPr>
          <w:rFonts w:cs="Arial"/>
          <w:i/>
          <w:szCs w:val="20"/>
        </w:rPr>
        <w:t>8</w:t>
      </w:r>
      <w:r w:rsidRPr="005B5484">
        <w:rPr>
          <w:rFonts w:cs="Arial"/>
          <w:i/>
          <w:szCs w:val="20"/>
        </w:rPr>
        <w:t>.</w:t>
      </w:r>
    </w:p>
    <w:p w:rsidR="00D226EA" w:rsidRPr="00BE0AC8" w:rsidRDefault="00D226EA" w:rsidP="00D226EA">
      <w:pPr>
        <w:rPr>
          <w:rFonts w:cs="Arial"/>
          <w:sz w:val="22"/>
        </w:rPr>
      </w:pPr>
    </w:p>
    <w:p w:rsidR="00D226EA" w:rsidRDefault="00D226EA" w:rsidP="00D226EA">
      <w:pPr>
        <w:rPr>
          <w:rFonts w:cs="Arial"/>
          <w:sz w:val="22"/>
        </w:rPr>
      </w:pPr>
      <w:r>
        <w:rPr>
          <w:rFonts w:cs="Arial"/>
          <w:sz w:val="22"/>
        </w:rPr>
        <w:t xml:space="preserve">Esse acréscimo de 80,88% baseia-se na implementação gradual cada vez mais efetiva das melhores práticas de reconhecimento do passivo de forma tempestiva, contudo ainda se apresenta muito aquém da realidade, </w:t>
      </w:r>
      <w:r w:rsidRPr="00137ABB">
        <w:rPr>
          <w:rFonts w:cs="Arial"/>
          <w:sz w:val="22"/>
        </w:rPr>
        <w:t>haja visto os valores que se apresentam na inscrição de RP - Restos a Pagar Não Processados (RPNP) inscritos e que poderiam estar Em Liquidação.</w:t>
      </w:r>
      <w:r>
        <w:rPr>
          <w:rFonts w:cs="Arial"/>
          <w:sz w:val="22"/>
        </w:rPr>
        <w:t xml:space="preserve"> Estamos em contínuo trabalho de aperfeiçoamento dessa prática para que os valores reflitam o mais próximo da realidade possível.</w:t>
      </w:r>
    </w:p>
    <w:p w:rsidR="00D226EA" w:rsidRDefault="00D226EA" w:rsidP="00D226EA">
      <w:pPr>
        <w:rPr>
          <w:rFonts w:cs="Arial"/>
          <w:sz w:val="22"/>
        </w:rPr>
      </w:pPr>
    </w:p>
    <w:p w:rsidR="00D226EA" w:rsidRPr="00BE0AC8" w:rsidRDefault="00D226EA" w:rsidP="00D226EA">
      <w:pPr>
        <w:rPr>
          <w:rFonts w:cs="Arial"/>
          <w:sz w:val="22"/>
        </w:rPr>
      </w:pPr>
      <w:r w:rsidRPr="00BE0AC8">
        <w:rPr>
          <w:rFonts w:cs="Arial"/>
          <w:sz w:val="22"/>
        </w:rPr>
        <w:t xml:space="preserve">Na tabela apresentada a seguir, relaciona-se os fornecedores </w:t>
      </w:r>
      <w:r>
        <w:rPr>
          <w:rFonts w:cs="Arial"/>
          <w:sz w:val="22"/>
        </w:rPr>
        <w:t xml:space="preserve">com seus respectivos </w:t>
      </w:r>
      <w:r w:rsidRPr="00BE0AC8">
        <w:rPr>
          <w:rFonts w:cs="Arial"/>
          <w:sz w:val="22"/>
        </w:rPr>
        <w:t>saldo</w:t>
      </w:r>
      <w:r>
        <w:rPr>
          <w:rFonts w:cs="Arial"/>
          <w:sz w:val="22"/>
        </w:rPr>
        <w:t>s</w:t>
      </w:r>
      <w:r w:rsidRPr="00BE0AC8">
        <w:rPr>
          <w:rFonts w:cs="Arial"/>
          <w:sz w:val="22"/>
        </w:rPr>
        <w:t xml:space="preserve"> em aberto na data base de 3</w:t>
      </w:r>
      <w:r>
        <w:rPr>
          <w:rFonts w:cs="Arial"/>
          <w:sz w:val="22"/>
        </w:rPr>
        <w:t>1</w:t>
      </w:r>
      <w:r w:rsidRPr="00BE0AC8">
        <w:rPr>
          <w:rFonts w:cs="Arial"/>
          <w:sz w:val="22"/>
        </w:rPr>
        <w:t>/</w:t>
      </w:r>
      <w:r>
        <w:rPr>
          <w:rFonts w:cs="Arial"/>
          <w:sz w:val="22"/>
        </w:rPr>
        <w:t>12</w:t>
      </w:r>
      <w:r w:rsidRPr="00BE0AC8">
        <w:rPr>
          <w:rFonts w:cs="Arial"/>
          <w:sz w:val="22"/>
        </w:rPr>
        <w:t>/20</w:t>
      </w:r>
      <w:r>
        <w:rPr>
          <w:rFonts w:cs="Arial"/>
          <w:sz w:val="22"/>
        </w:rPr>
        <w:t>19:</w:t>
      </w:r>
    </w:p>
    <w:p w:rsidR="00D226EA" w:rsidRPr="00BE0AC8" w:rsidRDefault="00D226EA" w:rsidP="00D226EA">
      <w:pPr>
        <w:rPr>
          <w:rFonts w:cs="Arial"/>
          <w:b/>
          <w:sz w:val="22"/>
        </w:rPr>
      </w:pPr>
    </w:p>
    <w:p w:rsidR="00D226EA" w:rsidRDefault="00D226EA" w:rsidP="00D226EA">
      <w:pPr>
        <w:rPr>
          <w:rFonts w:cs="Arial"/>
          <w:szCs w:val="20"/>
        </w:rPr>
      </w:pPr>
      <w:r w:rsidRPr="007C242C">
        <w:rPr>
          <w:rFonts w:cs="Arial"/>
          <w:b/>
          <w:sz w:val="22"/>
        </w:rPr>
        <w:t>Tabela</w:t>
      </w:r>
      <w:r>
        <w:rPr>
          <w:rFonts w:cs="Arial"/>
          <w:b/>
          <w:sz w:val="22"/>
        </w:rPr>
        <w:t xml:space="preserve"> 12</w:t>
      </w:r>
      <w:r w:rsidRPr="007C242C">
        <w:rPr>
          <w:rFonts w:cs="Arial"/>
          <w:b/>
          <w:sz w:val="22"/>
        </w:rPr>
        <w:t xml:space="preserve"> – Fornecedores e Contas a Pagar – Por Fornecedor.</w:t>
      </w:r>
      <w:r>
        <w:rPr>
          <w:rFonts w:cs="Arial"/>
          <w:szCs w:val="20"/>
        </w:rPr>
        <w:t xml:space="preserve">                                                                                      </w:t>
      </w:r>
    </w:p>
    <w:p w:rsidR="00D226EA" w:rsidRDefault="00D226EA" w:rsidP="00D226EA">
      <w:pPr>
        <w:jc w:val="center"/>
        <w:rPr>
          <w:rFonts w:cs="Arial"/>
          <w:szCs w:val="20"/>
        </w:rPr>
      </w:pPr>
      <w:r>
        <w:rPr>
          <w:rFonts w:cs="Arial"/>
          <w:szCs w:val="20"/>
        </w:rPr>
        <w:t xml:space="preserve">                                                                                                                                                             R$ </w:t>
      </w:r>
    </w:p>
    <w:tbl>
      <w:tblPr>
        <w:tblW w:w="9113" w:type="dxa"/>
        <w:tblCellMar>
          <w:left w:w="70" w:type="dxa"/>
          <w:right w:w="70" w:type="dxa"/>
        </w:tblCellMar>
        <w:tblLook w:val="04A0" w:firstRow="1" w:lastRow="0" w:firstColumn="1" w:lastColumn="0" w:noHBand="0" w:noVBand="1"/>
      </w:tblPr>
      <w:tblGrid>
        <w:gridCol w:w="3572"/>
        <w:gridCol w:w="2637"/>
        <w:gridCol w:w="2904"/>
      </w:tblGrid>
      <w:tr w:rsidR="00D226EA" w:rsidRPr="00FB54E6" w:rsidTr="008F4251">
        <w:trPr>
          <w:trHeight w:val="249"/>
        </w:trPr>
        <w:tc>
          <w:tcPr>
            <w:tcW w:w="3572" w:type="dxa"/>
            <w:tcBorders>
              <w:top w:val="single" w:sz="4" w:space="0" w:color="000000"/>
              <w:left w:val="nil"/>
              <w:bottom w:val="single" w:sz="4" w:space="0" w:color="000000"/>
              <w:right w:val="nil"/>
            </w:tcBorders>
            <w:shd w:val="clear" w:color="auto" w:fill="auto"/>
            <w:noWrap/>
            <w:vAlign w:val="bottom"/>
            <w:hideMark/>
          </w:tcPr>
          <w:p w:rsidR="00D226EA" w:rsidRPr="00FB54E6" w:rsidRDefault="00D226EA" w:rsidP="008F4251">
            <w:pPr>
              <w:jc w:val="left"/>
              <w:rPr>
                <w:rFonts w:eastAsia="Times New Roman" w:cs="Arial"/>
                <w:b/>
                <w:bCs/>
                <w:color w:val="000000"/>
                <w:szCs w:val="20"/>
                <w:lang w:eastAsia="pt-BR"/>
              </w:rPr>
            </w:pPr>
            <w:r w:rsidRPr="00FB54E6">
              <w:rPr>
                <w:rFonts w:eastAsia="Times New Roman" w:cs="Arial"/>
                <w:b/>
                <w:bCs/>
                <w:color w:val="000000"/>
                <w:szCs w:val="20"/>
                <w:lang w:eastAsia="pt-BR"/>
              </w:rPr>
              <w:t>Fornecedor</w:t>
            </w:r>
          </w:p>
        </w:tc>
        <w:tc>
          <w:tcPr>
            <w:tcW w:w="2637" w:type="dxa"/>
            <w:tcBorders>
              <w:top w:val="single" w:sz="4" w:space="0" w:color="000000"/>
              <w:left w:val="nil"/>
              <w:bottom w:val="single" w:sz="4" w:space="0" w:color="000000"/>
              <w:right w:val="nil"/>
            </w:tcBorders>
            <w:shd w:val="clear" w:color="auto" w:fill="auto"/>
            <w:noWrap/>
            <w:vAlign w:val="bottom"/>
            <w:hideMark/>
          </w:tcPr>
          <w:p w:rsidR="00D226EA" w:rsidRPr="00FB54E6" w:rsidRDefault="00D226EA" w:rsidP="008F4251">
            <w:pPr>
              <w:jc w:val="right"/>
              <w:rPr>
                <w:rFonts w:eastAsia="Times New Roman" w:cs="Arial"/>
                <w:b/>
                <w:bCs/>
                <w:color w:val="000000"/>
                <w:szCs w:val="20"/>
                <w:lang w:eastAsia="pt-BR"/>
              </w:rPr>
            </w:pPr>
            <w:r w:rsidRPr="00FB54E6">
              <w:rPr>
                <w:rFonts w:eastAsia="Times New Roman" w:cs="Arial"/>
                <w:b/>
                <w:bCs/>
                <w:color w:val="000000"/>
                <w:szCs w:val="20"/>
                <w:lang w:eastAsia="pt-BR"/>
              </w:rPr>
              <w:t>3</w:t>
            </w:r>
            <w:r>
              <w:rPr>
                <w:rFonts w:eastAsia="Times New Roman" w:cs="Arial"/>
                <w:b/>
                <w:bCs/>
                <w:color w:val="000000"/>
                <w:szCs w:val="20"/>
                <w:lang w:eastAsia="pt-BR"/>
              </w:rPr>
              <w:t>1</w:t>
            </w:r>
            <w:r w:rsidRPr="00FB54E6">
              <w:rPr>
                <w:rFonts w:eastAsia="Times New Roman" w:cs="Arial"/>
                <w:b/>
                <w:bCs/>
                <w:color w:val="000000"/>
                <w:szCs w:val="20"/>
                <w:lang w:eastAsia="pt-BR"/>
              </w:rPr>
              <w:t>/</w:t>
            </w:r>
            <w:r>
              <w:rPr>
                <w:rFonts w:eastAsia="Times New Roman" w:cs="Arial"/>
                <w:b/>
                <w:bCs/>
                <w:color w:val="000000"/>
                <w:szCs w:val="20"/>
                <w:lang w:eastAsia="pt-BR"/>
              </w:rPr>
              <w:t>12</w:t>
            </w:r>
            <w:r w:rsidRPr="00FB54E6">
              <w:rPr>
                <w:rFonts w:eastAsia="Times New Roman" w:cs="Arial"/>
                <w:b/>
                <w:bCs/>
                <w:color w:val="000000"/>
                <w:szCs w:val="20"/>
                <w:lang w:eastAsia="pt-BR"/>
              </w:rPr>
              <w:t>/201</w:t>
            </w:r>
            <w:r>
              <w:rPr>
                <w:rFonts w:eastAsia="Times New Roman" w:cs="Arial"/>
                <w:b/>
                <w:bCs/>
                <w:color w:val="000000"/>
                <w:szCs w:val="20"/>
                <w:lang w:eastAsia="pt-BR"/>
              </w:rPr>
              <w:t>9</w:t>
            </w:r>
          </w:p>
        </w:tc>
        <w:tc>
          <w:tcPr>
            <w:tcW w:w="2904" w:type="dxa"/>
            <w:tcBorders>
              <w:top w:val="single" w:sz="4" w:space="0" w:color="000000"/>
              <w:left w:val="nil"/>
              <w:bottom w:val="single" w:sz="4" w:space="0" w:color="000000"/>
              <w:right w:val="nil"/>
            </w:tcBorders>
            <w:shd w:val="clear" w:color="auto" w:fill="auto"/>
            <w:noWrap/>
            <w:vAlign w:val="bottom"/>
            <w:hideMark/>
          </w:tcPr>
          <w:p w:rsidR="00D226EA" w:rsidRPr="00FB54E6" w:rsidRDefault="00D226EA" w:rsidP="008F4251">
            <w:pPr>
              <w:jc w:val="right"/>
              <w:rPr>
                <w:rFonts w:eastAsia="Times New Roman" w:cs="Arial"/>
                <w:b/>
                <w:bCs/>
                <w:color w:val="000000"/>
                <w:szCs w:val="20"/>
                <w:lang w:eastAsia="pt-BR"/>
              </w:rPr>
            </w:pPr>
            <w:r w:rsidRPr="00FB54E6">
              <w:rPr>
                <w:rFonts w:eastAsia="Times New Roman" w:cs="Arial"/>
                <w:b/>
                <w:bCs/>
                <w:color w:val="000000"/>
                <w:szCs w:val="20"/>
                <w:lang w:eastAsia="pt-BR"/>
              </w:rPr>
              <w:t>AV (%)</w:t>
            </w:r>
          </w:p>
        </w:tc>
      </w:tr>
      <w:tr w:rsidR="00D226EA" w:rsidRPr="00FB54E6" w:rsidTr="008F4251">
        <w:trPr>
          <w:trHeight w:val="249"/>
        </w:trPr>
        <w:tc>
          <w:tcPr>
            <w:tcW w:w="3572" w:type="dxa"/>
            <w:tcBorders>
              <w:top w:val="nil"/>
              <w:left w:val="nil"/>
              <w:bottom w:val="nil"/>
              <w:right w:val="nil"/>
            </w:tcBorders>
            <w:shd w:val="clear" w:color="D9D9D9" w:fill="D9D9D9"/>
            <w:noWrap/>
            <w:vAlign w:val="bottom"/>
            <w:hideMark/>
          </w:tcPr>
          <w:p w:rsidR="00D226EA" w:rsidRPr="00FB54E6" w:rsidRDefault="00D226EA" w:rsidP="008F4251">
            <w:pPr>
              <w:jc w:val="left"/>
              <w:rPr>
                <w:rFonts w:eastAsia="Times New Roman" w:cs="Arial"/>
                <w:color w:val="000000"/>
                <w:szCs w:val="20"/>
                <w:lang w:eastAsia="pt-BR"/>
              </w:rPr>
            </w:pPr>
            <w:r>
              <w:rPr>
                <w:rFonts w:eastAsia="Times New Roman" w:cs="Arial"/>
                <w:color w:val="000000"/>
                <w:szCs w:val="20"/>
                <w:lang w:eastAsia="pt-BR"/>
              </w:rPr>
              <w:t>Universidades / PMQC</w:t>
            </w:r>
          </w:p>
        </w:tc>
        <w:tc>
          <w:tcPr>
            <w:tcW w:w="2637" w:type="dxa"/>
            <w:tcBorders>
              <w:top w:val="nil"/>
              <w:left w:val="nil"/>
              <w:bottom w:val="nil"/>
              <w:right w:val="nil"/>
            </w:tcBorders>
            <w:shd w:val="clear" w:color="D9D9D9" w:fill="D9D9D9"/>
            <w:noWrap/>
            <w:vAlign w:val="bottom"/>
            <w:hideMark/>
          </w:tcPr>
          <w:p w:rsidR="00D226EA" w:rsidRPr="00FB54E6" w:rsidRDefault="00D226EA" w:rsidP="008F4251">
            <w:pPr>
              <w:jc w:val="right"/>
              <w:rPr>
                <w:rFonts w:eastAsia="Times New Roman" w:cs="Arial"/>
                <w:color w:val="000000"/>
                <w:szCs w:val="20"/>
                <w:lang w:eastAsia="pt-BR"/>
              </w:rPr>
            </w:pPr>
            <w:r w:rsidRPr="00887176">
              <w:rPr>
                <w:rFonts w:eastAsia="Times New Roman" w:cs="Arial"/>
                <w:color w:val="000000"/>
                <w:szCs w:val="20"/>
                <w:lang w:eastAsia="pt-BR"/>
              </w:rPr>
              <w:t>1.635.718,28</w:t>
            </w:r>
          </w:p>
        </w:tc>
        <w:tc>
          <w:tcPr>
            <w:tcW w:w="2904" w:type="dxa"/>
            <w:tcBorders>
              <w:top w:val="nil"/>
              <w:left w:val="nil"/>
              <w:bottom w:val="nil"/>
              <w:right w:val="nil"/>
            </w:tcBorders>
            <w:shd w:val="clear" w:color="D9D9D9" w:fill="D9D9D9"/>
            <w:noWrap/>
            <w:vAlign w:val="bottom"/>
            <w:hideMark/>
          </w:tcPr>
          <w:p w:rsidR="00D226EA" w:rsidRPr="00FB54E6" w:rsidRDefault="00D226EA" w:rsidP="008F4251">
            <w:pPr>
              <w:jc w:val="right"/>
              <w:rPr>
                <w:rFonts w:eastAsia="Times New Roman" w:cs="Arial"/>
                <w:color w:val="000000"/>
                <w:szCs w:val="20"/>
                <w:lang w:eastAsia="pt-BR"/>
              </w:rPr>
            </w:pPr>
            <w:r>
              <w:rPr>
                <w:rFonts w:eastAsia="Times New Roman" w:cs="Arial"/>
                <w:color w:val="000000"/>
                <w:szCs w:val="20"/>
                <w:lang w:eastAsia="pt-BR"/>
              </w:rPr>
              <w:t>74,28</w:t>
            </w:r>
          </w:p>
        </w:tc>
      </w:tr>
      <w:tr w:rsidR="00D226EA" w:rsidRPr="00FB54E6" w:rsidTr="008F4251">
        <w:trPr>
          <w:trHeight w:val="249"/>
        </w:trPr>
        <w:tc>
          <w:tcPr>
            <w:tcW w:w="3572" w:type="dxa"/>
            <w:tcBorders>
              <w:top w:val="nil"/>
              <w:left w:val="nil"/>
              <w:bottom w:val="nil"/>
              <w:right w:val="nil"/>
            </w:tcBorders>
            <w:shd w:val="clear" w:color="auto" w:fill="auto"/>
            <w:noWrap/>
            <w:vAlign w:val="bottom"/>
            <w:hideMark/>
          </w:tcPr>
          <w:p w:rsidR="00D226EA" w:rsidRPr="00FB54E6" w:rsidRDefault="00D226EA" w:rsidP="008F4251">
            <w:pPr>
              <w:jc w:val="left"/>
              <w:rPr>
                <w:rFonts w:eastAsia="Times New Roman" w:cs="Arial"/>
                <w:color w:val="000000"/>
                <w:szCs w:val="20"/>
                <w:lang w:eastAsia="pt-BR"/>
              </w:rPr>
            </w:pPr>
            <w:r>
              <w:rPr>
                <w:rFonts w:eastAsia="Times New Roman" w:cs="Arial"/>
                <w:color w:val="000000"/>
                <w:szCs w:val="20"/>
                <w:lang w:eastAsia="pt-BR"/>
              </w:rPr>
              <w:t>VR Transportes</w:t>
            </w:r>
          </w:p>
        </w:tc>
        <w:tc>
          <w:tcPr>
            <w:tcW w:w="2637" w:type="dxa"/>
            <w:tcBorders>
              <w:top w:val="nil"/>
              <w:left w:val="nil"/>
              <w:bottom w:val="nil"/>
              <w:right w:val="nil"/>
            </w:tcBorders>
            <w:shd w:val="clear" w:color="auto" w:fill="auto"/>
            <w:noWrap/>
            <w:vAlign w:val="bottom"/>
            <w:hideMark/>
          </w:tcPr>
          <w:p w:rsidR="00D226EA" w:rsidRPr="00FB54E6" w:rsidRDefault="00D226EA" w:rsidP="008F4251">
            <w:pPr>
              <w:jc w:val="right"/>
              <w:rPr>
                <w:rFonts w:eastAsia="Times New Roman" w:cs="Arial"/>
                <w:color w:val="000000"/>
                <w:szCs w:val="20"/>
                <w:lang w:eastAsia="pt-BR"/>
              </w:rPr>
            </w:pPr>
            <w:r>
              <w:rPr>
                <w:rFonts w:eastAsia="Times New Roman" w:cs="Arial"/>
                <w:color w:val="000000"/>
                <w:szCs w:val="20"/>
                <w:lang w:eastAsia="pt-BR"/>
              </w:rPr>
              <w:t>138.605,31</w:t>
            </w:r>
          </w:p>
        </w:tc>
        <w:tc>
          <w:tcPr>
            <w:tcW w:w="2904" w:type="dxa"/>
            <w:tcBorders>
              <w:top w:val="nil"/>
              <w:left w:val="nil"/>
              <w:bottom w:val="nil"/>
              <w:right w:val="nil"/>
            </w:tcBorders>
            <w:shd w:val="clear" w:color="auto" w:fill="auto"/>
            <w:noWrap/>
            <w:vAlign w:val="bottom"/>
            <w:hideMark/>
          </w:tcPr>
          <w:p w:rsidR="00D226EA" w:rsidRPr="00FB54E6" w:rsidRDefault="00D226EA" w:rsidP="008F4251">
            <w:pPr>
              <w:jc w:val="right"/>
              <w:rPr>
                <w:rFonts w:eastAsia="Times New Roman" w:cs="Arial"/>
                <w:color w:val="000000"/>
                <w:szCs w:val="20"/>
                <w:lang w:eastAsia="pt-BR"/>
              </w:rPr>
            </w:pPr>
            <w:r>
              <w:rPr>
                <w:rFonts w:eastAsia="Times New Roman" w:cs="Arial"/>
                <w:color w:val="000000"/>
                <w:szCs w:val="20"/>
                <w:lang w:eastAsia="pt-BR"/>
              </w:rPr>
              <w:t>6,29</w:t>
            </w:r>
          </w:p>
        </w:tc>
      </w:tr>
      <w:tr w:rsidR="00D226EA" w:rsidRPr="00FB54E6" w:rsidTr="008F4251">
        <w:trPr>
          <w:trHeight w:val="249"/>
        </w:trPr>
        <w:tc>
          <w:tcPr>
            <w:tcW w:w="3572" w:type="dxa"/>
            <w:tcBorders>
              <w:top w:val="nil"/>
              <w:left w:val="nil"/>
              <w:bottom w:val="nil"/>
              <w:right w:val="nil"/>
            </w:tcBorders>
            <w:shd w:val="clear" w:color="D9D9D9" w:fill="D9D9D9"/>
            <w:noWrap/>
            <w:vAlign w:val="bottom"/>
            <w:hideMark/>
          </w:tcPr>
          <w:p w:rsidR="00D226EA" w:rsidRPr="00FB54E6" w:rsidRDefault="00D226EA" w:rsidP="008F4251">
            <w:pPr>
              <w:jc w:val="left"/>
              <w:rPr>
                <w:rFonts w:eastAsia="Times New Roman" w:cs="Arial"/>
                <w:color w:val="000000"/>
                <w:szCs w:val="20"/>
                <w:lang w:eastAsia="pt-BR"/>
              </w:rPr>
            </w:pPr>
            <w:r>
              <w:rPr>
                <w:rFonts w:eastAsia="Times New Roman" w:cs="Arial"/>
                <w:color w:val="000000"/>
                <w:szCs w:val="20"/>
                <w:lang w:eastAsia="pt-BR"/>
              </w:rPr>
              <w:t>EMTEL</w:t>
            </w:r>
          </w:p>
        </w:tc>
        <w:tc>
          <w:tcPr>
            <w:tcW w:w="2637" w:type="dxa"/>
            <w:tcBorders>
              <w:top w:val="nil"/>
              <w:left w:val="nil"/>
              <w:bottom w:val="nil"/>
              <w:right w:val="nil"/>
            </w:tcBorders>
            <w:shd w:val="clear" w:color="D9D9D9" w:fill="D9D9D9"/>
            <w:noWrap/>
            <w:vAlign w:val="bottom"/>
            <w:hideMark/>
          </w:tcPr>
          <w:p w:rsidR="00D226EA" w:rsidRPr="00FB54E6" w:rsidRDefault="00D226EA" w:rsidP="008F4251">
            <w:pPr>
              <w:jc w:val="right"/>
              <w:rPr>
                <w:rFonts w:eastAsia="Times New Roman" w:cs="Arial"/>
                <w:color w:val="000000"/>
                <w:szCs w:val="20"/>
                <w:lang w:eastAsia="pt-BR"/>
              </w:rPr>
            </w:pPr>
            <w:r>
              <w:rPr>
                <w:rFonts w:eastAsia="Times New Roman" w:cs="Arial"/>
                <w:color w:val="000000"/>
                <w:szCs w:val="20"/>
                <w:lang w:eastAsia="pt-BR"/>
              </w:rPr>
              <w:t>160.069,29</w:t>
            </w:r>
          </w:p>
        </w:tc>
        <w:tc>
          <w:tcPr>
            <w:tcW w:w="2904" w:type="dxa"/>
            <w:tcBorders>
              <w:top w:val="nil"/>
              <w:left w:val="nil"/>
              <w:bottom w:val="nil"/>
              <w:right w:val="nil"/>
            </w:tcBorders>
            <w:shd w:val="clear" w:color="D9D9D9" w:fill="D9D9D9"/>
            <w:noWrap/>
            <w:vAlign w:val="bottom"/>
            <w:hideMark/>
          </w:tcPr>
          <w:p w:rsidR="00D226EA" w:rsidRPr="00FB54E6" w:rsidRDefault="00D226EA" w:rsidP="008F4251">
            <w:pPr>
              <w:jc w:val="right"/>
              <w:rPr>
                <w:rFonts w:eastAsia="Times New Roman" w:cs="Arial"/>
                <w:color w:val="000000"/>
                <w:szCs w:val="20"/>
                <w:lang w:eastAsia="pt-BR"/>
              </w:rPr>
            </w:pPr>
            <w:r>
              <w:rPr>
                <w:rFonts w:eastAsia="Times New Roman" w:cs="Arial"/>
                <w:color w:val="000000"/>
                <w:szCs w:val="20"/>
                <w:lang w:eastAsia="pt-BR"/>
              </w:rPr>
              <w:t>7,27</w:t>
            </w:r>
          </w:p>
        </w:tc>
      </w:tr>
      <w:tr w:rsidR="00D226EA" w:rsidRPr="00FB54E6" w:rsidTr="008F4251">
        <w:trPr>
          <w:trHeight w:val="249"/>
        </w:trPr>
        <w:tc>
          <w:tcPr>
            <w:tcW w:w="3572" w:type="dxa"/>
            <w:tcBorders>
              <w:top w:val="nil"/>
              <w:left w:val="nil"/>
              <w:bottom w:val="single" w:sz="4" w:space="0" w:color="000000"/>
              <w:right w:val="nil"/>
            </w:tcBorders>
            <w:shd w:val="clear" w:color="auto" w:fill="auto"/>
            <w:noWrap/>
            <w:vAlign w:val="bottom"/>
            <w:hideMark/>
          </w:tcPr>
          <w:p w:rsidR="00D226EA" w:rsidRPr="00FB54E6" w:rsidRDefault="00D226EA" w:rsidP="008F4251">
            <w:pPr>
              <w:jc w:val="left"/>
              <w:rPr>
                <w:rFonts w:eastAsia="Times New Roman" w:cs="Arial"/>
                <w:color w:val="000000"/>
                <w:szCs w:val="20"/>
                <w:lang w:eastAsia="pt-BR"/>
              </w:rPr>
            </w:pPr>
            <w:r w:rsidRPr="00FB54E6">
              <w:rPr>
                <w:rFonts w:eastAsia="Times New Roman" w:cs="Arial"/>
                <w:color w:val="000000"/>
                <w:szCs w:val="20"/>
                <w:lang w:eastAsia="pt-BR"/>
              </w:rPr>
              <w:t>Demais</w:t>
            </w:r>
            <w:r>
              <w:rPr>
                <w:rFonts w:eastAsia="Times New Roman" w:cs="Arial"/>
                <w:color w:val="000000"/>
                <w:szCs w:val="20"/>
                <w:lang w:eastAsia="pt-BR"/>
              </w:rPr>
              <w:t xml:space="preserve"> fornecedores</w:t>
            </w:r>
          </w:p>
        </w:tc>
        <w:tc>
          <w:tcPr>
            <w:tcW w:w="2637" w:type="dxa"/>
            <w:tcBorders>
              <w:top w:val="nil"/>
              <w:left w:val="nil"/>
              <w:bottom w:val="single" w:sz="4" w:space="0" w:color="000000"/>
              <w:right w:val="nil"/>
            </w:tcBorders>
            <w:shd w:val="clear" w:color="auto" w:fill="auto"/>
            <w:noWrap/>
            <w:vAlign w:val="bottom"/>
            <w:hideMark/>
          </w:tcPr>
          <w:p w:rsidR="00D226EA" w:rsidRPr="00FB54E6" w:rsidRDefault="00D226EA" w:rsidP="008F4251">
            <w:pPr>
              <w:jc w:val="right"/>
              <w:rPr>
                <w:rFonts w:eastAsia="Times New Roman" w:cs="Arial"/>
                <w:color w:val="000000"/>
                <w:szCs w:val="20"/>
                <w:lang w:eastAsia="pt-BR"/>
              </w:rPr>
            </w:pPr>
            <w:r>
              <w:rPr>
                <w:rFonts w:eastAsia="Times New Roman" w:cs="Arial"/>
                <w:color w:val="000000"/>
                <w:szCs w:val="20"/>
                <w:lang w:eastAsia="pt-BR"/>
              </w:rPr>
              <w:t>267.735,98</w:t>
            </w:r>
          </w:p>
        </w:tc>
        <w:tc>
          <w:tcPr>
            <w:tcW w:w="2904" w:type="dxa"/>
            <w:tcBorders>
              <w:top w:val="nil"/>
              <w:left w:val="nil"/>
              <w:bottom w:val="nil"/>
              <w:right w:val="nil"/>
            </w:tcBorders>
            <w:shd w:val="clear" w:color="auto" w:fill="auto"/>
            <w:noWrap/>
            <w:vAlign w:val="bottom"/>
            <w:hideMark/>
          </w:tcPr>
          <w:p w:rsidR="00D226EA" w:rsidRPr="00FB54E6" w:rsidRDefault="00D226EA" w:rsidP="008F4251">
            <w:pPr>
              <w:jc w:val="right"/>
              <w:rPr>
                <w:rFonts w:eastAsia="Times New Roman" w:cs="Arial"/>
                <w:color w:val="000000"/>
                <w:szCs w:val="20"/>
                <w:lang w:eastAsia="pt-BR"/>
              </w:rPr>
            </w:pPr>
            <w:r>
              <w:rPr>
                <w:rFonts w:eastAsia="Times New Roman" w:cs="Arial"/>
                <w:color w:val="000000"/>
                <w:szCs w:val="20"/>
                <w:lang w:eastAsia="pt-BR"/>
              </w:rPr>
              <w:t>12,16</w:t>
            </w:r>
          </w:p>
        </w:tc>
      </w:tr>
      <w:tr w:rsidR="00D226EA" w:rsidRPr="00FB54E6" w:rsidTr="008F4251">
        <w:trPr>
          <w:trHeight w:val="249"/>
        </w:trPr>
        <w:tc>
          <w:tcPr>
            <w:tcW w:w="3572" w:type="dxa"/>
            <w:tcBorders>
              <w:top w:val="nil"/>
              <w:left w:val="nil"/>
              <w:bottom w:val="single" w:sz="4" w:space="0" w:color="auto"/>
              <w:right w:val="nil"/>
            </w:tcBorders>
            <w:shd w:val="clear" w:color="D9D9D9" w:fill="D9D9D9"/>
            <w:noWrap/>
            <w:vAlign w:val="bottom"/>
            <w:hideMark/>
          </w:tcPr>
          <w:p w:rsidR="00D226EA" w:rsidRPr="00FB54E6" w:rsidRDefault="00D226EA" w:rsidP="008F4251">
            <w:pPr>
              <w:jc w:val="left"/>
              <w:rPr>
                <w:rFonts w:eastAsia="Times New Roman" w:cs="Arial"/>
                <w:b/>
                <w:bCs/>
                <w:color w:val="000000"/>
                <w:szCs w:val="20"/>
                <w:lang w:eastAsia="pt-BR"/>
              </w:rPr>
            </w:pPr>
            <w:r w:rsidRPr="00FB54E6">
              <w:rPr>
                <w:rFonts w:eastAsia="Times New Roman" w:cs="Arial"/>
                <w:b/>
                <w:bCs/>
                <w:color w:val="000000"/>
                <w:szCs w:val="20"/>
                <w:lang w:eastAsia="pt-BR"/>
              </w:rPr>
              <w:t>Total</w:t>
            </w:r>
          </w:p>
        </w:tc>
        <w:tc>
          <w:tcPr>
            <w:tcW w:w="2637" w:type="dxa"/>
            <w:tcBorders>
              <w:top w:val="nil"/>
              <w:left w:val="nil"/>
              <w:bottom w:val="single" w:sz="4" w:space="0" w:color="auto"/>
              <w:right w:val="nil"/>
            </w:tcBorders>
            <w:shd w:val="clear" w:color="D9D9D9" w:fill="D9D9D9"/>
            <w:noWrap/>
            <w:vAlign w:val="bottom"/>
            <w:hideMark/>
          </w:tcPr>
          <w:p w:rsidR="00D226EA" w:rsidRPr="00FB54E6" w:rsidRDefault="00D226EA" w:rsidP="008F4251">
            <w:pPr>
              <w:jc w:val="right"/>
              <w:rPr>
                <w:rFonts w:eastAsia="Times New Roman" w:cs="Arial"/>
                <w:b/>
                <w:bCs/>
                <w:color w:val="000000"/>
                <w:szCs w:val="20"/>
                <w:lang w:eastAsia="pt-BR"/>
              </w:rPr>
            </w:pPr>
            <w:r w:rsidRPr="00FB54E6">
              <w:rPr>
                <w:rFonts w:eastAsia="Times New Roman" w:cs="Arial"/>
                <w:b/>
                <w:bCs/>
                <w:color w:val="000000"/>
                <w:szCs w:val="20"/>
                <w:lang w:eastAsia="pt-BR"/>
              </w:rPr>
              <w:t xml:space="preserve">     </w:t>
            </w:r>
            <w:r w:rsidRPr="00887176">
              <w:rPr>
                <w:rFonts w:eastAsia="Times New Roman" w:cs="Arial"/>
                <w:b/>
                <w:color w:val="000000"/>
                <w:szCs w:val="20"/>
                <w:lang w:eastAsia="pt-BR"/>
              </w:rPr>
              <w:t>2</w:t>
            </w:r>
            <w:r>
              <w:rPr>
                <w:rFonts w:eastAsia="Times New Roman" w:cs="Arial"/>
                <w:b/>
                <w:color w:val="000000"/>
                <w:szCs w:val="20"/>
                <w:lang w:eastAsia="pt-BR"/>
              </w:rPr>
              <w:t>.</w:t>
            </w:r>
            <w:r w:rsidRPr="00887176">
              <w:rPr>
                <w:rFonts w:eastAsia="Times New Roman" w:cs="Arial"/>
                <w:b/>
                <w:color w:val="000000"/>
                <w:szCs w:val="20"/>
                <w:lang w:eastAsia="pt-BR"/>
              </w:rPr>
              <w:t>202</w:t>
            </w:r>
            <w:r>
              <w:rPr>
                <w:rFonts w:eastAsia="Times New Roman" w:cs="Arial"/>
                <w:b/>
                <w:color w:val="000000"/>
                <w:szCs w:val="20"/>
                <w:lang w:eastAsia="pt-BR"/>
              </w:rPr>
              <w:t>.</w:t>
            </w:r>
            <w:r w:rsidRPr="00887176">
              <w:rPr>
                <w:rFonts w:eastAsia="Times New Roman" w:cs="Arial"/>
                <w:b/>
                <w:color w:val="000000"/>
                <w:szCs w:val="20"/>
                <w:lang w:eastAsia="pt-BR"/>
              </w:rPr>
              <w:t>128,86</w:t>
            </w:r>
          </w:p>
        </w:tc>
        <w:tc>
          <w:tcPr>
            <w:tcW w:w="2904" w:type="dxa"/>
            <w:tcBorders>
              <w:top w:val="single" w:sz="4" w:space="0" w:color="000000"/>
              <w:left w:val="nil"/>
              <w:bottom w:val="single" w:sz="4" w:space="0" w:color="auto"/>
              <w:right w:val="nil"/>
            </w:tcBorders>
            <w:shd w:val="clear" w:color="D9D9D9" w:fill="D9D9D9"/>
            <w:noWrap/>
            <w:vAlign w:val="bottom"/>
            <w:hideMark/>
          </w:tcPr>
          <w:p w:rsidR="00D226EA" w:rsidRPr="00FB54E6" w:rsidRDefault="00D226EA" w:rsidP="008F4251">
            <w:pPr>
              <w:jc w:val="right"/>
              <w:rPr>
                <w:rFonts w:eastAsia="Times New Roman" w:cs="Arial"/>
                <w:b/>
                <w:bCs/>
                <w:color w:val="000000"/>
                <w:szCs w:val="20"/>
                <w:lang w:eastAsia="pt-BR"/>
              </w:rPr>
            </w:pPr>
            <w:r w:rsidRPr="00FB54E6">
              <w:rPr>
                <w:rFonts w:eastAsia="Times New Roman" w:cs="Arial"/>
                <w:b/>
                <w:bCs/>
                <w:color w:val="000000"/>
                <w:szCs w:val="20"/>
                <w:lang w:eastAsia="pt-BR"/>
              </w:rPr>
              <w:t xml:space="preserve">                 100,00 </w:t>
            </w:r>
          </w:p>
        </w:tc>
      </w:tr>
    </w:tbl>
    <w:p w:rsidR="00D226EA" w:rsidRPr="00F43675" w:rsidRDefault="00D226EA" w:rsidP="00D226EA">
      <w:pPr>
        <w:jc w:val="left"/>
        <w:rPr>
          <w:rFonts w:cs="Arial"/>
          <w:i/>
          <w:szCs w:val="20"/>
        </w:rPr>
      </w:pPr>
      <w:r w:rsidRPr="00F43675">
        <w:rPr>
          <w:rFonts w:cs="Arial"/>
          <w:i/>
          <w:szCs w:val="20"/>
        </w:rPr>
        <w:t xml:space="preserve"> Fonte: SIAFI, 201</w:t>
      </w:r>
      <w:r>
        <w:rPr>
          <w:rFonts w:cs="Arial"/>
          <w:i/>
          <w:szCs w:val="20"/>
        </w:rPr>
        <w:t>9</w:t>
      </w:r>
      <w:r w:rsidRPr="00F43675">
        <w:rPr>
          <w:rFonts w:cs="Arial"/>
          <w:i/>
          <w:szCs w:val="20"/>
        </w:rPr>
        <w:t>.</w:t>
      </w:r>
    </w:p>
    <w:p w:rsidR="00D226EA" w:rsidRDefault="00D226EA" w:rsidP="00D226EA">
      <w:pPr>
        <w:rPr>
          <w:rFonts w:cs="Arial"/>
          <w:szCs w:val="20"/>
        </w:rPr>
      </w:pPr>
    </w:p>
    <w:p w:rsidR="00D226EA" w:rsidRDefault="00D226EA" w:rsidP="00D226EA">
      <w:pPr>
        <w:tabs>
          <w:tab w:val="left" w:pos="3735"/>
        </w:tabs>
        <w:rPr>
          <w:rFonts w:cs="Arial"/>
          <w:szCs w:val="20"/>
        </w:rPr>
      </w:pPr>
      <w:r>
        <w:rPr>
          <w:rFonts w:cs="Arial"/>
          <w:szCs w:val="20"/>
        </w:rPr>
        <w:tab/>
      </w:r>
    </w:p>
    <w:p w:rsidR="00D226EA" w:rsidRPr="00A3085B" w:rsidRDefault="00D226EA" w:rsidP="00D226EA">
      <w:pPr>
        <w:rPr>
          <w:rFonts w:cs="Arial"/>
          <w:b/>
          <w:sz w:val="22"/>
        </w:rPr>
      </w:pPr>
      <w:r w:rsidRPr="00A3085B">
        <w:rPr>
          <w:rFonts w:cs="Arial"/>
          <w:b/>
          <w:sz w:val="22"/>
        </w:rPr>
        <w:t>5.2 Demais Obrigações de Curto Prazo</w:t>
      </w:r>
    </w:p>
    <w:p w:rsidR="00D226EA" w:rsidRPr="00A3085B" w:rsidRDefault="00D226EA" w:rsidP="00D226EA">
      <w:pPr>
        <w:rPr>
          <w:rFonts w:cs="Arial"/>
          <w:b/>
          <w:sz w:val="22"/>
        </w:rPr>
      </w:pPr>
    </w:p>
    <w:p w:rsidR="00D226EA" w:rsidRPr="00A3085B" w:rsidRDefault="00D226EA" w:rsidP="00D226EA">
      <w:pPr>
        <w:rPr>
          <w:rFonts w:cs="Arial"/>
          <w:sz w:val="22"/>
        </w:rPr>
      </w:pPr>
      <w:r w:rsidRPr="00A3085B">
        <w:rPr>
          <w:rFonts w:cs="Arial"/>
          <w:sz w:val="22"/>
        </w:rPr>
        <w:t xml:space="preserve">Valores se referem à impostos e contribuições retidos a serem recolhidos ao tesouro, Retenções da folha de pagamentos (Empréstimos, consignações, pensão alimentícia, Funpresp), garantias recebidas e depositadas na Caixa Econômica Federal (conforme </w:t>
      </w:r>
      <w:r w:rsidRPr="00A3085B">
        <w:rPr>
          <w:rFonts w:cs="Arial"/>
          <w:b/>
          <w:sz w:val="22"/>
        </w:rPr>
        <w:t xml:space="preserve">Nota Explicativa 01, Tabela 2) </w:t>
      </w:r>
      <w:r w:rsidRPr="00A3085B">
        <w:rPr>
          <w:rFonts w:cs="Arial"/>
          <w:sz w:val="22"/>
        </w:rPr>
        <w:t>e precatórios de curto prazo.</w:t>
      </w:r>
    </w:p>
    <w:p w:rsidR="00D226EA" w:rsidRDefault="00D226EA" w:rsidP="00D226EA">
      <w:pPr>
        <w:rPr>
          <w:rFonts w:cs="Arial"/>
          <w:b/>
          <w:sz w:val="22"/>
        </w:rPr>
      </w:pPr>
      <w:r>
        <w:rPr>
          <w:rFonts w:cs="Arial"/>
          <w:b/>
          <w:sz w:val="22"/>
        </w:rPr>
        <w:t xml:space="preserve"> </w:t>
      </w:r>
    </w:p>
    <w:p w:rsidR="00D226EA" w:rsidRDefault="00D226EA" w:rsidP="00D226EA">
      <w:pPr>
        <w:rPr>
          <w:rFonts w:cs="Arial"/>
          <w:b/>
          <w:sz w:val="22"/>
        </w:rPr>
      </w:pPr>
      <w:r>
        <w:rPr>
          <w:rFonts w:cs="Arial"/>
          <w:b/>
          <w:sz w:val="22"/>
        </w:rPr>
        <w:t>5.3 Precatórios</w:t>
      </w:r>
    </w:p>
    <w:p w:rsidR="00D226EA" w:rsidRDefault="00D226EA" w:rsidP="00D226EA">
      <w:pPr>
        <w:rPr>
          <w:rFonts w:cs="Arial"/>
          <w:b/>
          <w:sz w:val="22"/>
        </w:rPr>
      </w:pPr>
    </w:p>
    <w:p w:rsidR="00D226EA" w:rsidRPr="004A6E25" w:rsidRDefault="00D226EA" w:rsidP="00D226EA">
      <w:pPr>
        <w:autoSpaceDE w:val="0"/>
        <w:autoSpaceDN w:val="0"/>
        <w:adjustRightInd w:val="0"/>
        <w:rPr>
          <w:rFonts w:cs="Arial"/>
          <w:sz w:val="22"/>
        </w:rPr>
      </w:pPr>
      <w:r w:rsidRPr="004A6E25">
        <w:rPr>
          <w:rFonts w:cs="Arial"/>
          <w:sz w:val="22"/>
        </w:rPr>
        <w:t xml:space="preserve">Conforme ofício da Justiça Federal, em cumprimento ao acórdão do TCU 2455/2017 que trata da contabilização de Precatórios e RPV relativos ao FRGPS, a Secretaria de Planejamento e Orçamento - SPO, na qualidade de setorial contábil, editou a Nota Técnica SPO/CJF n. </w:t>
      </w:r>
      <w:r w:rsidRPr="004A6E25">
        <w:rPr>
          <w:rFonts w:cs="Arial"/>
          <w:sz w:val="22"/>
        </w:rPr>
        <w:lastRenderedPageBreak/>
        <w:t>002/2018, em anexo,</w:t>
      </w:r>
      <w:r>
        <w:rPr>
          <w:rFonts w:cs="Arial"/>
          <w:sz w:val="22"/>
        </w:rPr>
        <w:t xml:space="preserve"> </w:t>
      </w:r>
      <w:r w:rsidRPr="004A6E25">
        <w:rPr>
          <w:rFonts w:cs="Arial"/>
          <w:sz w:val="22"/>
        </w:rPr>
        <w:t xml:space="preserve">a qual uniformiza procedimentos de </w:t>
      </w:r>
      <w:r w:rsidRPr="004A6E25">
        <w:rPr>
          <w:rFonts w:cs="Arial"/>
          <w:b/>
          <w:sz w:val="22"/>
        </w:rPr>
        <w:t>Registro da obrigação de Precatórios e RPV com reflexos no patrimônio da(s) Entidade(s) Devedora(s)</w:t>
      </w:r>
      <w:r w:rsidRPr="004A6E25">
        <w:rPr>
          <w:rFonts w:cs="Arial"/>
          <w:sz w:val="22"/>
        </w:rPr>
        <w:t>.</w:t>
      </w:r>
    </w:p>
    <w:p w:rsidR="00D226EA" w:rsidRDefault="00D226EA" w:rsidP="00D226EA">
      <w:pPr>
        <w:autoSpaceDE w:val="0"/>
        <w:autoSpaceDN w:val="0"/>
        <w:adjustRightInd w:val="0"/>
        <w:jc w:val="left"/>
        <w:rPr>
          <w:rFonts w:cs="Arial"/>
          <w:szCs w:val="20"/>
        </w:rPr>
      </w:pPr>
    </w:p>
    <w:p w:rsidR="00D226EA" w:rsidRDefault="00D226EA" w:rsidP="00D226EA">
      <w:pPr>
        <w:autoSpaceDE w:val="0"/>
        <w:autoSpaceDN w:val="0"/>
        <w:adjustRightInd w:val="0"/>
        <w:jc w:val="left"/>
        <w:rPr>
          <w:rFonts w:cs="Arial"/>
          <w:szCs w:val="20"/>
        </w:rPr>
      </w:pPr>
      <w:r>
        <w:rPr>
          <w:rFonts w:cs="Arial"/>
          <w:szCs w:val="20"/>
        </w:rPr>
        <w:t xml:space="preserve">Com isso, foram realizados os devidos registros, tanto de Curto Prazo quanto de Longo Prazo, que seguem: </w:t>
      </w:r>
    </w:p>
    <w:p w:rsidR="00D226EA" w:rsidRPr="004A6E25" w:rsidRDefault="00D226EA" w:rsidP="00D226EA">
      <w:pPr>
        <w:autoSpaceDE w:val="0"/>
        <w:autoSpaceDN w:val="0"/>
        <w:adjustRightInd w:val="0"/>
        <w:jc w:val="left"/>
        <w:rPr>
          <w:rFonts w:cs="Arial"/>
          <w:szCs w:val="20"/>
        </w:rPr>
      </w:pPr>
    </w:p>
    <w:p w:rsidR="00D226EA" w:rsidRDefault="00D226EA" w:rsidP="00D226EA">
      <w:pPr>
        <w:rPr>
          <w:rFonts w:cs="Arial"/>
          <w:szCs w:val="20"/>
        </w:rPr>
      </w:pPr>
      <w:r w:rsidRPr="004A210B">
        <w:rPr>
          <w:rFonts w:cs="Arial"/>
          <w:b/>
          <w:sz w:val="22"/>
        </w:rPr>
        <w:t>Tabela</w:t>
      </w:r>
      <w:r>
        <w:rPr>
          <w:rFonts w:cs="Arial"/>
          <w:b/>
          <w:sz w:val="22"/>
        </w:rPr>
        <w:t xml:space="preserve"> 13</w:t>
      </w:r>
      <w:r w:rsidRPr="004A210B">
        <w:rPr>
          <w:rFonts w:cs="Arial"/>
          <w:b/>
          <w:sz w:val="22"/>
        </w:rPr>
        <w:t xml:space="preserve"> – Precatórios CP e LP</w:t>
      </w:r>
      <w:r>
        <w:rPr>
          <w:rFonts w:cs="Arial"/>
          <w:szCs w:val="20"/>
        </w:rPr>
        <w:t xml:space="preserve">                                                                                      </w:t>
      </w:r>
    </w:p>
    <w:p w:rsidR="00D226EA" w:rsidRDefault="00D226EA" w:rsidP="00D226EA">
      <w:pPr>
        <w:jc w:val="center"/>
        <w:rPr>
          <w:rFonts w:cs="Arial"/>
          <w:szCs w:val="20"/>
        </w:rPr>
      </w:pPr>
      <w:r>
        <w:rPr>
          <w:rFonts w:cs="Arial"/>
          <w:szCs w:val="20"/>
        </w:rPr>
        <w:t xml:space="preserve">                                                                                                                                                             R$ </w:t>
      </w:r>
    </w:p>
    <w:tbl>
      <w:tblPr>
        <w:tblW w:w="9142" w:type="dxa"/>
        <w:tblCellMar>
          <w:left w:w="70" w:type="dxa"/>
          <w:right w:w="70" w:type="dxa"/>
        </w:tblCellMar>
        <w:tblLook w:val="04A0" w:firstRow="1" w:lastRow="0" w:firstColumn="1" w:lastColumn="0" w:noHBand="0" w:noVBand="1"/>
      </w:tblPr>
      <w:tblGrid>
        <w:gridCol w:w="3189"/>
        <w:gridCol w:w="2410"/>
        <w:gridCol w:w="1559"/>
        <w:gridCol w:w="1984"/>
      </w:tblGrid>
      <w:tr w:rsidR="00D226EA" w:rsidRPr="00FB54E6" w:rsidTr="008F4251">
        <w:trPr>
          <w:trHeight w:val="249"/>
        </w:trPr>
        <w:tc>
          <w:tcPr>
            <w:tcW w:w="3189" w:type="dxa"/>
            <w:tcBorders>
              <w:top w:val="single" w:sz="4" w:space="0" w:color="000000"/>
              <w:left w:val="nil"/>
              <w:bottom w:val="single" w:sz="4" w:space="0" w:color="000000"/>
              <w:right w:val="nil"/>
            </w:tcBorders>
            <w:shd w:val="clear" w:color="auto" w:fill="auto"/>
            <w:noWrap/>
            <w:vAlign w:val="bottom"/>
            <w:hideMark/>
          </w:tcPr>
          <w:p w:rsidR="00D226EA" w:rsidRPr="00FB54E6" w:rsidRDefault="00D226EA" w:rsidP="008F4251">
            <w:pPr>
              <w:jc w:val="left"/>
              <w:rPr>
                <w:rFonts w:eastAsia="Times New Roman" w:cs="Arial"/>
                <w:b/>
                <w:bCs/>
                <w:color w:val="000000"/>
                <w:szCs w:val="20"/>
                <w:lang w:eastAsia="pt-BR"/>
              </w:rPr>
            </w:pPr>
            <w:r>
              <w:rPr>
                <w:rFonts w:cs="Arial"/>
                <w:b/>
                <w:sz w:val="22"/>
              </w:rPr>
              <w:t>Precatórios</w:t>
            </w:r>
          </w:p>
        </w:tc>
        <w:tc>
          <w:tcPr>
            <w:tcW w:w="2410" w:type="dxa"/>
            <w:tcBorders>
              <w:top w:val="single" w:sz="4" w:space="0" w:color="000000"/>
              <w:left w:val="nil"/>
              <w:bottom w:val="single" w:sz="4" w:space="0" w:color="000000"/>
              <w:right w:val="nil"/>
            </w:tcBorders>
            <w:shd w:val="clear" w:color="auto" w:fill="auto"/>
            <w:noWrap/>
            <w:vAlign w:val="bottom"/>
            <w:hideMark/>
          </w:tcPr>
          <w:p w:rsidR="00D226EA" w:rsidRPr="00FB54E6" w:rsidRDefault="00D226EA" w:rsidP="008F4251">
            <w:pPr>
              <w:jc w:val="right"/>
              <w:rPr>
                <w:rFonts w:eastAsia="Times New Roman" w:cs="Arial"/>
                <w:b/>
                <w:bCs/>
                <w:color w:val="000000"/>
                <w:szCs w:val="20"/>
                <w:lang w:eastAsia="pt-BR"/>
              </w:rPr>
            </w:pPr>
            <w:r w:rsidRPr="00FB54E6">
              <w:rPr>
                <w:rFonts w:eastAsia="Times New Roman" w:cs="Arial"/>
                <w:b/>
                <w:bCs/>
                <w:color w:val="000000"/>
                <w:szCs w:val="20"/>
                <w:lang w:eastAsia="pt-BR"/>
              </w:rPr>
              <w:t>3</w:t>
            </w:r>
            <w:r>
              <w:rPr>
                <w:rFonts w:eastAsia="Times New Roman" w:cs="Arial"/>
                <w:b/>
                <w:bCs/>
                <w:color w:val="000000"/>
                <w:szCs w:val="20"/>
                <w:lang w:eastAsia="pt-BR"/>
              </w:rPr>
              <w:t>1</w:t>
            </w:r>
            <w:r w:rsidRPr="00FB54E6">
              <w:rPr>
                <w:rFonts w:eastAsia="Times New Roman" w:cs="Arial"/>
                <w:b/>
                <w:bCs/>
                <w:color w:val="000000"/>
                <w:szCs w:val="20"/>
                <w:lang w:eastAsia="pt-BR"/>
              </w:rPr>
              <w:t>/</w:t>
            </w:r>
            <w:r>
              <w:rPr>
                <w:rFonts w:eastAsia="Times New Roman" w:cs="Arial"/>
                <w:b/>
                <w:bCs/>
                <w:color w:val="000000"/>
                <w:szCs w:val="20"/>
                <w:lang w:eastAsia="pt-BR"/>
              </w:rPr>
              <w:t>12</w:t>
            </w:r>
            <w:r w:rsidRPr="00FB54E6">
              <w:rPr>
                <w:rFonts w:eastAsia="Times New Roman" w:cs="Arial"/>
                <w:b/>
                <w:bCs/>
                <w:color w:val="000000"/>
                <w:szCs w:val="20"/>
                <w:lang w:eastAsia="pt-BR"/>
              </w:rPr>
              <w:t>/201</w:t>
            </w:r>
            <w:r>
              <w:rPr>
                <w:rFonts w:eastAsia="Times New Roman" w:cs="Arial"/>
                <w:b/>
                <w:bCs/>
                <w:color w:val="000000"/>
                <w:szCs w:val="20"/>
                <w:lang w:eastAsia="pt-BR"/>
              </w:rPr>
              <w:t>9</w:t>
            </w:r>
          </w:p>
        </w:tc>
        <w:tc>
          <w:tcPr>
            <w:tcW w:w="1559" w:type="dxa"/>
            <w:tcBorders>
              <w:top w:val="single" w:sz="4" w:space="0" w:color="000000"/>
              <w:left w:val="nil"/>
              <w:bottom w:val="single" w:sz="4" w:space="0" w:color="000000"/>
              <w:right w:val="nil"/>
            </w:tcBorders>
            <w:vAlign w:val="bottom"/>
          </w:tcPr>
          <w:p w:rsidR="00D226EA" w:rsidRPr="00FB54E6" w:rsidRDefault="00D226EA" w:rsidP="008F4251">
            <w:pPr>
              <w:jc w:val="right"/>
              <w:rPr>
                <w:rFonts w:eastAsia="Times New Roman" w:cs="Arial"/>
                <w:b/>
                <w:bCs/>
                <w:color w:val="000000"/>
                <w:szCs w:val="20"/>
                <w:lang w:eastAsia="pt-BR"/>
              </w:rPr>
            </w:pPr>
            <w:r w:rsidRPr="00FB54E6">
              <w:rPr>
                <w:rFonts w:eastAsia="Times New Roman" w:cs="Arial"/>
                <w:b/>
                <w:bCs/>
                <w:color w:val="000000"/>
                <w:szCs w:val="20"/>
                <w:lang w:eastAsia="pt-BR"/>
              </w:rPr>
              <w:t>3</w:t>
            </w:r>
            <w:r>
              <w:rPr>
                <w:rFonts w:eastAsia="Times New Roman" w:cs="Arial"/>
                <w:b/>
                <w:bCs/>
                <w:color w:val="000000"/>
                <w:szCs w:val="20"/>
                <w:lang w:eastAsia="pt-BR"/>
              </w:rPr>
              <w:t>1</w:t>
            </w:r>
            <w:r w:rsidRPr="00FB54E6">
              <w:rPr>
                <w:rFonts w:eastAsia="Times New Roman" w:cs="Arial"/>
                <w:b/>
                <w:bCs/>
                <w:color w:val="000000"/>
                <w:szCs w:val="20"/>
                <w:lang w:eastAsia="pt-BR"/>
              </w:rPr>
              <w:t>/</w:t>
            </w:r>
            <w:r>
              <w:rPr>
                <w:rFonts w:eastAsia="Times New Roman" w:cs="Arial"/>
                <w:b/>
                <w:bCs/>
                <w:color w:val="000000"/>
                <w:szCs w:val="20"/>
                <w:lang w:eastAsia="pt-BR"/>
              </w:rPr>
              <w:t>12</w:t>
            </w:r>
            <w:r w:rsidRPr="00FB54E6">
              <w:rPr>
                <w:rFonts w:eastAsia="Times New Roman" w:cs="Arial"/>
                <w:b/>
                <w:bCs/>
                <w:color w:val="000000"/>
                <w:szCs w:val="20"/>
                <w:lang w:eastAsia="pt-BR"/>
              </w:rPr>
              <w:t>/201</w:t>
            </w:r>
            <w:r>
              <w:rPr>
                <w:rFonts w:eastAsia="Times New Roman" w:cs="Arial"/>
                <w:b/>
                <w:bCs/>
                <w:color w:val="000000"/>
                <w:szCs w:val="20"/>
                <w:lang w:eastAsia="pt-BR"/>
              </w:rPr>
              <w:t>8</w:t>
            </w:r>
          </w:p>
        </w:tc>
        <w:tc>
          <w:tcPr>
            <w:tcW w:w="1984" w:type="dxa"/>
            <w:tcBorders>
              <w:top w:val="single" w:sz="4" w:space="0" w:color="000000"/>
              <w:left w:val="nil"/>
              <w:bottom w:val="single" w:sz="4" w:space="0" w:color="000000"/>
              <w:right w:val="nil"/>
            </w:tcBorders>
            <w:shd w:val="clear" w:color="auto" w:fill="auto"/>
            <w:noWrap/>
            <w:vAlign w:val="bottom"/>
            <w:hideMark/>
          </w:tcPr>
          <w:p w:rsidR="00D226EA" w:rsidRPr="00FB54E6" w:rsidRDefault="00D226EA" w:rsidP="008F4251">
            <w:pPr>
              <w:jc w:val="right"/>
              <w:rPr>
                <w:rFonts w:eastAsia="Times New Roman" w:cs="Arial"/>
                <w:b/>
                <w:bCs/>
                <w:color w:val="000000"/>
                <w:szCs w:val="20"/>
                <w:lang w:eastAsia="pt-BR"/>
              </w:rPr>
            </w:pPr>
            <w:r w:rsidRPr="00FB54E6">
              <w:rPr>
                <w:rFonts w:eastAsia="Times New Roman" w:cs="Arial"/>
                <w:b/>
                <w:bCs/>
                <w:color w:val="000000"/>
                <w:szCs w:val="20"/>
                <w:lang w:eastAsia="pt-BR"/>
              </w:rPr>
              <w:t>A</w:t>
            </w:r>
            <w:r>
              <w:rPr>
                <w:rFonts w:eastAsia="Times New Roman" w:cs="Arial"/>
                <w:b/>
                <w:bCs/>
                <w:color w:val="000000"/>
                <w:szCs w:val="20"/>
                <w:lang w:eastAsia="pt-BR"/>
              </w:rPr>
              <w:t>H</w:t>
            </w:r>
            <w:r w:rsidRPr="00FB54E6">
              <w:rPr>
                <w:rFonts w:eastAsia="Times New Roman" w:cs="Arial"/>
                <w:b/>
                <w:bCs/>
                <w:color w:val="000000"/>
                <w:szCs w:val="20"/>
                <w:lang w:eastAsia="pt-BR"/>
              </w:rPr>
              <w:t xml:space="preserve"> (%)</w:t>
            </w:r>
          </w:p>
        </w:tc>
      </w:tr>
      <w:tr w:rsidR="00D226EA" w:rsidRPr="00FB54E6" w:rsidTr="008F4251">
        <w:trPr>
          <w:trHeight w:val="249"/>
        </w:trPr>
        <w:tc>
          <w:tcPr>
            <w:tcW w:w="3189" w:type="dxa"/>
            <w:tcBorders>
              <w:top w:val="nil"/>
              <w:left w:val="nil"/>
              <w:bottom w:val="nil"/>
              <w:right w:val="nil"/>
            </w:tcBorders>
            <w:shd w:val="clear" w:color="D9D9D9" w:fill="D9D9D9"/>
            <w:noWrap/>
            <w:vAlign w:val="bottom"/>
            <w:hideMark/>
          </w:tcPr>
          <w:p w:rsidR="00D226EA" w:rsidRPr="00FB54E6" w:rsidRDefault="00D226EA" w:rsidP="008F4251">
            <w:pPr>
              <w:jc w:val="left"/>
              <w:rPr>
                <w:rFonts w:eastAsia="Times New Roman" w:cs="Arial"/>
                <w:color w:val="000000"/>
                <w:szCs w:val="20"/>
                <w:lang w:eastAsia="pt-BR"/>
              </w:rPr>
            </w:pPr>
            <w:r>
              <w:rPr>
                <w:rFonts w:eastAsia="Times New Roman" w:cs="Arial"/>
                <w:color w:val="000000"/>
                <w:szCs w:val="20"/>
                <w:lang w:eastAsia="pt-BR"/>
              </w:rPr>
              <w:t xml:space="preserve">Precatórios de Terceiros CP </w:t>
            </w:r>
          </w:p>
        </w:tc>
        <w:tc>
          <w:tcPr>
            <w:tcW w:w="2410" w:type="dxa"/>
            <w:tcBorders>
              <w:top w:val="nil"/>
              <w:left w:val="nil"/>
              <w:bottom w:val="nil"/>
              <w:right w:val="nil"/>
            </w:tcBorders>
            <w:shd w:val="clear" w:color="D9D9D9" w:fill="D9D9D9"/>
            <w:noWrap/>
            <w:vAlign w:val="bottom"/>
            <w:hideMark/>
          </w:tcPr>
          <w:p w:rsidR="00D226EA" w:rsidRPr="00FB54E6" w:rsidRDefault="00D226EA" w:rsidP="008F4251">
            <w:pPr>
              <w:jc w:val="right"/>
              <w:rPr>
                <w:rFonts w:eastAsia="Times New Roman" w:cs="Arial"/>
                <w:color w:val="000000"/>
                <w:szCs w:val="20"/>
                <w:lang w:eastAsia="pt-BR"/>
              </w:rPr>
            </w:pPr>
            <w:r w:rsidRPr="00A3085B">
              <w:rPr>
                <w:rFonts w:eastAsia="Times New Roman" w:cs="Arial"/>
                <w:color w:val="000000"/>
                <w:szCs w:val="20"/>
                <w:lang w:eastAsia="pt-BR"/>
              </w:rPr>
              <w:t>102</w:t>
            </w:r>
            <w:r>
              <w:rPr>
                <w:rFonts w:eastAsia="Times New Roman" w:cs="Arial"/>
                <w:color w:val="000000"/>
                <w:szCs w:val="20"/>
                <w:lang w:eastAsia="pt-BR"/>
              </w:rPr>
              <w:t>.</w:t>
            </w:r>
            <w:r w:rsidRPr="00A3085B">
              <w:rPr>
                <w:rFonts w:eastAsia="Times New Roman" w:cs="Arial"/>
                <w:color w:val="000000"/>
                <w:szCs w:val="20"/>
                <w:lang w:eastAsia="pt-BR"/>
              </w:rPr>
              <w:t>228,65</w:t>
            </w:r>
          </w:p>
        </w:tc>
        <w:tc>
          <w:tcPr>
            <w:tcW w:w="1559" w:type="dxa"/>
            <w:tcBorders>
              <w:top w:val="nil"/>
              <w:left w:val="nil"/>
              <w:bottom w:val="nil"/>
              <w:right w:val="nil"/>
            </w:tcBorders>
            <w:shd w:val="clear" w:color="D9D9D9" w:fill="D9D9D9"/>
            <w:vAlign w:val="bottom"/>
          </w:tcPr>
          <w:p w:rsidR="00D226EA" w:rsidRPr="00FB54E6" w:rsidRDefault="00D226EA" w:rsidP="008F4251">
            <w:pPr>
              <w:jc w:val="right"/>
              <w:rPr>
                <w:rFonts w:eastAsia="Times New Roman" w:cs="Arial"/>
                <w:color w:val="000000"/>
                <w:szCs w:val="20"/>
                <w:lang w:eastAsia="pt-BR"/>
              </w:rPr>
            </w:pPr>
            <w:r w:rsidRPr="0026793E">
              <w:rPr>
                <w:rFonts w:eastAsia="Times New Roman" w:cs="Arial"/>
                <w:color w:val="000000"/>
                <w:szCs w:val="20"/>
                <w:lang w:eastAsia="pt-BR"/>
              </w:rPr>
              <w:t>451</w:t>
            </w:r>
            <w:r>
              <w:rPr>
                <w:rFonts w:eastAsia="Times New Roman" w:cs="Arial"/>
                <w:color w:val="000000"/>
                <w:szCs w:val="20"/>
                <w:lang w:eastAsia="pt-BR"/>
              </w:rPr>
              <w:t>.</w:t>
            </w:r>
            <w:r w:rsidRPr="0026793E">
              <w:rPr>
                <w:rFonts w:eastAsia="Times New Roman" w:cs="Arial"/>
                <w:color w:val="000000"/>
                <w:szCs w:val="20"/>
                <w:lang w:eastAsia="pt-BR"/>
              </w:rPr>
              <w:t>485,26</w:t>
            </w:r>
          </w:p>
        </w:tc>
        <w:tc>
          <w:tcPr>
            <w:tcW w:w="1984" w:type="dxa"/>
            <w:tcBorders>
              <w:top w:val="nil"/>
              <w:left w:val="nil"/>
              <w:bottom w:val="nil"/>
              <w:right w:val="nil"/>
            </w:tcBorders>
            <w:shd w:val="clear" w:color="D9D9D9" w:fill="D9D9D9"/>
            <w:noWrap/>
            <w:vAlign w:val="bottom"/>
            <w:hideMark/>
          </w:tcPr>
          <w:p w:rsidR="00D226EA" w:rsidRPr="00FB54E6" w:rsidRDefault="00D226EA" w:rsidP="008F4251">
            <w:pPr>
              <w:jc w:val="right"/>
              <w:rPr>
                <w:rFonts w:eastAsia="Times New Roman" w:cs="Arial"/>
                <w:color w:val="000000"/>
                <w:szCs w:val="20"/>
                <w:lang w:eastAsia="pt-BR"/>
              </w:rPr>
            </w:pPr>
            <w:r>
              <w:rPr>
                <w:rFonts w:eastAsia="Times New Roman" w:cs="Arial"/>
                <w:color w:val="000000"/>
                <w:szCs w:val="20"/>
                <w:lang w:eastAsia="pt-BR"/>
              </w:rPr>
              <w:t>-77,36</w:t>
            </w:r>
          </w:p>
        </w:tc>
      </w:tr>
      <w:tr w:rsidR="00D226EA" w:rsidRPr="00FB54E6" w:rsidTr="008F4251">
        <w:trPr>
          <w:trHeight w:val="249"/>
        </w:trPr>
        <w:tc>
          <w:tcPr>
            <w:tcW w:w="3189" w:type="dxa"/>
            <w:tcBorders>
              <w:top w:val="nil"/>
              <w:left w:val="nil"/>
              <w:bottom w:val="nil"/>
              <w:right w:val="nil"/>
            </w:tcBorders>
            <w:shd w:val="clear" w:color="auto" w:fill="auto"/>
            <w:noWrap/>
            <w:vAlign w:val="bottom"/>
            <w:hideMark/>
          </w:tcPr>
          <w:p w:rsidR="00D226EA" w:rsidRPr="00FB54E6" w:rsidRDefault="00D226EA" w:rsidP="008F4251">
            <w:pPr>
              <w:jc w:val="left"/>
              <w:rPr>
                <w:rFonts w:eastAsia="Times New Roman" w:cs="Arial"/>
                <w:color w:val="000000"/>
                <w:szCs w:val="20"/>
                <w:lang w:eastAsia="pt-BR"/>
              </w:rPr>
            </w:pPr>
            <w:r>
              <w:rPr>
                <w:rFonts w:eastAsia="Times New Roman" w:cs="Arial"/>
                <w:color w:val="000000"/>
                <w:szCs w:val="20"/>
                <w:lang w:eastAsia="pt-BR"/>
              </w:rPr>
              <w:t>Precatórios de Benefícios Previdenciários CP</w:t>
            </w:r>
          </w:p>
        </w:tc>
        <w:tc>
          <w:tcPr>
            <w:tcW w:w="2410" w:type="dxa"/>
            <w:tcBorders>
              <w:top w:val="nil"/>
              <w:left w:val="nil"/>
              <w:bottom w:val="nil"/>
              <w:right w:val="nil"/>
            </w:tcBorders>
            <w:shd w:val="clear" w:color="auto" w:fill="auto"/>
            <w:noWrap/>
            <w:vAlign w:val="bottom"/>
            <w:hideMark/>
          </w:tcPr>
          <w:p w:rsidR="00D226EA" w:rsidRPr="00FB54E6" w:rsidRDefault="00D226EA" w:rsidP="008F4251">
            <w:pPr>
              <w:jc w:val="right"/>
              <w:rPr>
                <w:rFonts w:eastAsia="Times New Roman" w:cs="Arial"/>
                <w:color w:val="000000"/>
                <w:szCs w:val="20"/>
                <w:lang w:eastAsia="pt-BR"/>
              </w:rPr>
            </w:pPr>
            <w:r>
              <w:rPr>
                <w:rFonts w:eastAsia="Times New Roman" w:cs="Arial"/>
                <w:color w:val="000000"/>
                <w:szCs w:val="20"/>
                <w:lang w:eastAsia="pt-BR"/>
              </w:rPr>
              <w:t>0,00</w:t>
            </w:r>
          </w:p>
        </w:tc>
        <w:tc>
          <w:tcPr>
            <w:tcW w:w="1559" w:type="dxa"/>
            <w:tcBorders>
              <w:top w:val="nil"/>
              <w:left w:val="nil"/>
              <w:bottom w:val="nil"/>
              <w:right w:val="nil"/>
            </w:tcBorders>
            <w:vAlign w:val="bottom"/>
          </w:tcPr>
          <w:p w:rsidR="00D226EA" w:rsidRPr="00FB54E6" w:rsidRDefault="00D226EA" w:rsidP="008F4251">
            <w:pPr>
              <w:jc w:val="right"/>
              <w:rPr>
                <w:rFonts w:eastAsia="Times New Roman" w:cs="Arial"/>
                <w:color w:val="000000"/>
                <w:szCs w:val="20"/>
                <w:lang w:eastAsia="pt-BR"/>
              </w:rPr>
            </w:pPr>
            <w:r w:rsidRPr="0026793E">
              <w:rPr>
                <w:rFonts w:eastAsia="Times New Roman" w:cs="Arial"/>
                <w:color w:val="000000"/>
                <w:szCs w:val="20"/>
                <w:lang w:eastAsia="pt-BR"/>
              </w:rPr>
              <w:t>257</w:t>
            </w:r>
            <w:r>
              <w:rPr>
                <w:rFonts w:eastAsia="Times New Roman" w:cs="Arial"/>
                <w:color w:val="000000"/>
                <w:szCs w:val="20"/>
                <w:lang w:eastAsia="pt-BR"/>
              </w:rPr>
              <w:t>.</w:t>
            </w:r>
            <w:r w:rsidRPr="0026793E">
              <w:rPr>
                <w:rFonts w:eastAsia="Times New Roman" w:cs="Arial"/>
                <w:color w:val="000000"/>
                <w:szCs w:val="20"/>
                <w:lang w:eastAsia="pt-BR"/>
              </w:rPr>
              <w:t>974,24</w:t>
            </w:r>
          </w:p>
        </w:tc>
        <w:tc>
          <w:tcPr>
            <w:tcW w:w="1984" w:type="dxa"/>
            <w:tcBorders>
              <w:top w:val="nil"/>
              <w:left w:val="nil"/>
              <w:bottom w:val="nil"/>
              <w:right w:val="nil"/>
            </w:tcBorders>
            <w:shd w:val="clear" w:color="auto" w:fill="auto"/>
            <w:noWrap/>
            <w:vAlign w:val="bottom"/>
            <w:hideMark/>
          </w:tcPr>
          <w:p w:rsidR="00D226EA" w:rsidRPr="00FB54E6" w:rsidRDefault="00D226EA" w:rsidP="008F4251">
            <w:pPr>
              <w:jc w:val="right"/>
              <w:rPr>
                <w:rFonts w:eastAsia="Times New Roman" w:cs="Arial"/>
                <w:color w:val="000000"/>
                <w:szCs w:val="20"/>
                <w:lang w:eastAsia="pt-BR"/>
              </w:rPr>
            </w:pPr>
            <w:r>
              <w:rPr>
                <w:rFonts w:eastAsia="Times New Roman" w:cs="Arial"/>
                <w:color w:val="000000"/>
                <w:szCs w:val="20"/>
                <w:lang w:eastAsia="pt-BR"/>
              </w:rPr>
              <w:t>100,00</w:t>
            </w:r>
          </w:p>
        </w:tc>
      </w:tr>
      <w:tr w:rsidR="00D226EA" w:rsidRPr="00FB54E6" w:rsidTr="008F4251">
        <w:trPr>
          <w:trHeight w:val="249"/>
        </w:trPr>
        <w:tc>
          <w:tcPr>
            <w:tcW w:w="3189" w:type="dxa"/>
            <w:tcBorders>
              <w:top w:val="nil"/>
              <w:left w:val="nil"/>
              <w:bottom w:val="single" w:sz="4" w:space="0" w:color="auto"/>
              <w:right w:val="nil"/>
            </w:tcBorders>
            <w:shd w:val="clear" w:color="D9D9D9" w:fill="D9D9D9"/>
            <w:noWrap/>
            <w:vAlign w:val="bottom"/>
            <w:hideMark/>
          </w:tcPr>
          <w:p w:rsidR="00D226EA" w:rsidRPr="00FB54E6" w:rsidRDefault="00D226EA" w:rsidP="008F4251">
            <w:pPr>
              <w:jc w:val="left"/>
              <w:rPr>
                <w:rFonts w:eastAsia="Times New Roman" w:cs="Arial"/>
                <w:color w:val="000000"/>
                <w:szCs w:val="20"/>
                <w:lang w:eastAsia="pt-BR"/>
              </w:rPr>
            </w:pPr>
            <w:r>
              <w:rPr>
                <w:rFonts w:eastAsia="Times New Roman" w:cs="Arial"/>
                <w:color w:val="000000"/>
                <w:szCs w:val="20"/>
                <w:lang w:eastAsia="pt-BR"/>
              </w:rPr>
              <w:t>Precatórios de Terceiros LP</w:t>
            </w:r>
          </w:p>
        </w:tc>
        <w:tc>
          <w:tcPr>
            <w:tcW w:w="2410" w:type="dxa"/>
            <w:tcBorders>
              <w:top w:val="nil"/>
              <w:left w:val="nil"/>
              <w:bottom w:val="single" w:sz="4" w:space="0" w:color="auto"/>
              <w:right w:val="nil"/>
            </w:tcBorders>
            <w:shd w:val="clear" w:color="D9D9D9" w:fill="D9D9D9"/>
            <w:noWrap/>
            <w:vAlign w:val="bottom"/>
            <w:hideMark/>
          </w:tcPr>
          <w:p w:rsidR="00D226EA" w:rsidRPr="00FB54E6" w:rsidRDefault="00D226EA" w:rsidP="008F4251">
            <w:pPr>
              <w:jc w:val="right"/>
              <w:rPr>
                <w:rFonts w:eastAsia="Times New Roman" w:cs="Arial"/>
                <w:color w:val="000000"/>
                <w:szCs w:val="20"/>
                <w:lang w:eastAsia="pt-BR"/>
              </w:rPr>
            </w:pPr>
            <w:r>
              <w:rPr>
                <w:rFonts w:eastAsia="Times New Roman" w:cs="Arial"/>
                <w:color w:val="000000"/>
                <w:szCs w:val="20"/>
                <w:lang w:eastAsia="pt-BR"/>
              </w:rPr>
              <w:t>0,00</w:t>
            </w:r>
          </w:p>
        </w:tc>
        <w:tc>
          <w:tcPr>
            <w:tcW w:w="1559" w:type="dxa"/>
            <w:tcBorders>
              <w:top w:val="nil"/>
              <w:left w:val="nil"/>
              <w:bottom w:val="single" w:sz="4" w:space="0" w:color="auto"/>
              <w:right w:val="nil"/>
            </w:tcBorders>
            <w:shd w:val="clear" w:color="D9D9D9" w:fill="D9D9D9"/>
            <w:vAlign w:val="bottom"/>
          </w:tcPr>
          <w:p w:rsidR="00D226EA" w:rsidRPr="00FB54E6" w:rsidRDefault="00D226EA" w:rsidP="008F4251">
            <w:pPr>
              <w:jc w:val="right"/>
              <w:rPr>
                <w:rFonts w:eastAsia="Times New Roman" w:cs="Arial"/>
                <w:color w:val="000000"/>
                <w:szCs w:val="20"/>
                <w:lang w:eastAsia="pt-BR"/>
              </w:rPr>
            </w:pPr>
            <w:r w:rsidRPr="0026793E">
              <w:rPr>
                <w:rFonts w:eastAsia="Times New Roman" w:cs="Arial"/>
                <w:color w:val="000000"/>
                <w:szCs w:val="20"/>
                <w:lang w:eastAsia="pt-BR"/>
              </w:rPr>
              <w:t>1</w:t>
            </w:r>
            <w:r>
              <w:rPr>
                <w:rFonts w:eastAsia="Times New Roman" w:cs="Arial"/>
                <w:color w:val="000000"/>
                <w:szCs w:val="20"/>
                <w:lang w:eastAsia="pt-BR"/>
              </w:rPr>
              <w:t>.</w:t>
            </w:r>
            <w:r w:rsidRPr="0026793E">
              <w:rPr>
                <w:rFonts w:eastAsia="Times New Roman" w:cs="Arial"/>
                <w:color w:val="000000"/>
                <w:szCs w:val="20"/>
                <w:lang w:eastAsia="pt-BR"/>
              </w:rPr>
              <w:t>559</w:t>
            </w:r>
            <w:r>
              <w:rPr>
                <w:rFonts w:eastAsia="Times New Roman" w:cs="Arial"/>
                <w:color w:val="000000"/>
                <w:szCs w:val="20"/>
                <w:lang w:eastAsia="pt-BR"/>
              </w:rPr>
              <w:t>.</w:t>
            </w:r>
            <w:r w:rsidRPr="0026793E">
              <w:rPr>
                <w:rFonts w:eastAsia="Times New Roman" w:cs="Arial"/>
                <w:color w:val="000000"/>
                <w:szCs w:val="20"/>
                <w:lang w:eastAsia="pt-BR"/>
              </w:rPr>
              <w:t>026,02</w:t>
            </w:r>
          </w:p>
        </w:tc>
        <w:tc>
          <w:tcPr>
            <w:tcW w:w="1984" w:type="dxa"/>
            <w:tcBorders>
              <w:top w:val="nil"/>
              <w:left w:val="nil"/>
              <w:bottom w:val="single" w:sz="4" w:space="0" w:color="auto"/>
              <w:right w:val="nil"/>
            </w:tcBorders>
            <w:shd w:val="clear" w:color="D9D9D9" w:fill="D9D9D9"/>
            <w:noWrap/>
            <w:vAlign w:val="bottom"/>
            <w:hideMark/>
          </w:tcPr>
          <w:p w:rsidR="00D226EA" w:rsidRPr="00FB54E6" w:rsidRDefault="00D226EA" w:rsidP="008F4251">
            <w:pPr>
              <w:jc w:val="right"/>
              <w:rPr>
                <w:rFonts w:eastAsia="Times New Roman" w:cs="Arial"/>
                <w:color w:val="000000"/>
                <w:szCs w:val="20"/>
                <w:lang w:eastAsia="pt-BR"/>
              </w:rPr>
            </w:pPr>
            <w:r>
              <w:rPr>
                <w:rFonts w:eastAsia="Times New Roman" w:cs="Arial"/>
                <w:color w:val="000000"/>
                <w:szCs w:val="20"/>
                <w:lang w:eastAsia="pt-BR"/>
              </w:rPr>
              <w:t>100,00</w:t>
            </w:r>
          </w:p>
        </w:tc>
      </w:tr>
      <w:tr w:rsidR="00D226EA" w:rsidRPr="00FB54E6" w:rsidTr="008F4251">
        <w:trPr>
          <w:trHeight w:val="249"/>
        </w:trPr>
        <w:tc>
          <w:tcPr>
            <w:tcW w:w="3189" w:type="dxa"/>
            <w:tcBorders>
              <w:top w:val="single" w:sz="4" w:space="0" w:color="auto"/>
              <w:left w:val="nil"/>
              <w:bottom w:val="single" w:sz="4" w:space="0" w:color="auto"/>
              <w:right w:val="nil"/>
            </w:tcBorders>
            <w:shd w:val="clear" w:color="auto" w:fill="auto"/>
            <w:noWrap/>
            <w:vAlign w:val="bottom"/>
            <w:hideMark/>
          </w:tcPr>
          <w:p w:rsidR="00D226EA" w:rsidRPr="00FB54E6" w:rsidRDefault="00D226EA" w:rsidP="008F4251">
            <w:pPr>
              <w:jc w:val="left"/>
              <w:rPr>
                <w:rFonts w:eastAsia="Times New Roman" w:cs="Arial"/>
                <w:b/>
                <w:bCs/>
                <w:color w:val="000000"/>
                <w:szCs w:val="20"/>
                <w:lang w:eastAsia="pt-BR"/>
              </w:rPr>
            </w:pPr>
            <w:r w:rsidRPr="00FB54E6">
              <w:rPr>
                <w:rFonts w:eastAsia="Times New Roman" w:cs="Arial"/>
                <w:b/>
                <w:bCs/>
                <w:color w:val="000000"/>
                <w:szCs w:val="20"/>
                <w:lang w:eastAsia="pt-BR"/>
              </w:rPr>
              <w:t>Total</w:t>
            </w:r>
          </w:p>
        </w:tc>
        <w:tc>
          <w:tcPr>
            <w:tcW w:w="2410" w:type="dxa"/>
            <w:tcBorders>
              <w:top w:val="single" w:sz="4" w:space="0" w:color="auto"/>
              <w:left w:val="nil"/>
              <w:bottom w:val="single" w:sz="4" w:space="0" w:color="auto"/>
              <w:right w:val="nil"/>
            </w:tcBorders>
            <w:shd w:val="clear" w:color="auto" w:fill="auto"/>
            <w:noWrap/>
            <w:vAlign w:val="bottom"/>
            <w:hideMark/>
          </w:tcPr>
          <w:p w:rsidR="00D226EA" w:rsidRPr="00FB54E6" w:rsidRDefault="00D226EA" w:rsidP="008F4251">
            <w:pPr>
              <w:jc w:val="right"/>
              <w:rPr>
                <w:rFonts w:eastAsia="Times New Roman" w:cs="Arial"/>
                <w:b/>
                <w:bCs/>
                <w:color w:val="000000"/>
                <w:szCs w:val="20"/>
                <w:lang w:eastAsia="pt-BR"/>
              </w:rPr>
            </w:pPr>
            <w:r w:rsidRPr="00FB54E6">
              <w:rPr>
                <w:rFonts w:eastAsia="Times New Roman" w:cs="Arial"/>
                <w:b/>
                <w:bCs/>
                <w:color w:val="000000"/>
                <w:szCs w:val="20"/>
                <w:lang w:eastAsia="pt-BR"/>
              </w:rPr>
              <w:t xml:space="preserve">     </w:t>
            </w:r>
            <w:r>
              <w:rPr>
                <w:rFonts w:eastAsia="Times New Roman" w:cs="Arial"/>
                <w:b/>
                <w:color w:val="000000"/>
                <w:szCs w:val="20"/>
                <w:lang w:eastAsia="pt-BR"/>
              </w:rPr>
              <w:t>102.228,65</w:t>
            </w:r>
          </w:p>
        </w:tc>
        <w:tc>
          <w:tcPr>
            <w:tcW w:w="1559" w:type="dxa"/>
            <w:tcBorders>
              <w:top w:val="single" w:sz="4" w:space="0" w:color="auto"/>
              <w:left w:val="nil"/>
              <w:bottom w:val="single" w:sz="4" w:space="0" w:color="auto"/>
              <w:right w:val="nil"/>
            </w:tcBorders>
            <w:shd w:val="clear" w:color="auto" w:fill="auto"/>
            <w:vAlign w:val="bottom"/>
          </w:tcPr>
          <w:p w:rsidR="00D226EA" w:rsidRPr="00FB54E6" w:rsidRDefault="00D226EA" w:rsidP="008F4251">
            <w:pPr>
              <w:jc w:val="right"/>
              <w:rPr>
                <w:rFonts w:eastAsia="Times New Roman" w:cs="Arial"/>
                <w:b/>
                <w:bCs/>
                <w:color w:val="000000"/>
                <w:szCs w:val="20"/>
                <w:lang w:eastAsia="pt-BR"/>
              </w:rPr>
            </w:pPr>
            <w:r w:rsidRPr="00FB54E6">
              <w:rPr>
                <w:rFonts w:eastAsia="Times New Roman" w:cs="Arial"/>
                <w:b/>
                <w:bCs/>
                <w:color w:val="000000"/>
                <w:szCs w:val="20"/>
                <w:lang w:eastAsia="pt-BR"/>
              </w:rPr>
              <w:t xml:space="preserve">    </w:t>
            </w:r>
            <w:r>
              <w:rPr>
                <w:rFonts w:eastAsia="Times New Roman" w:cs="Arial"/>
                <w:b/>
                <w:color w:val="000000"/>
                <w:szCs w:val="20"/>
                <w:lang w:eastAsia="pt-BR"/>
              </w:rPr>
              <w:t>2</w:t>
            </w:r>
            <w:r w:rsidRPr="005F792C">
              <w:rPr>
                <w:rFonts w:eastAsia="Times New Roman" w:cs="Arial"/>
                <w:b/>
                <w:color w:val="000000"/>
                <w:szCs w:val="20"/>
                <w:lang w:eastAsia="pt-BR"/>
              </w:rPr>
              <w:t>.2</w:t>
            </w:r>
            <w:r>
              <w:rPr>
                <w:rFonts w:eastAsia="Times New Roman" w:cs="Arial"/>
                <w:b/>
                <w:color w:val="000000"/>
                <w:szCs w:val="20"/>
                <w:lang w:eastAsia="pt-BR"/>
              </w:rPr>
              <w:t>68</w:t>
            </w:r>
            <w:r w:rsidRPr="005F792C">
              <w:rPr>
                <w:rFonts w:eastAsia="Times New Roman" w:cs="Arial"/>
                <w:b/>
                <w:color w:val="000000"/>
                <w:szCs w:val="20"/>
                <w:lang w:eastAsia="pt-BR"/>
              </w:rPr>
              <w:t>.4</w:t>
            </w:r>
            <w:r>
              <w:rPr>
                <w:rFonts w:eastAsia="Times New Roman" w:cs="Arial"/>
                <w:b/>
                <w:color w:val="000000"/>
                <w:szCs w:val="20"/>
                <w:lang w:eastAsia="pt-BR"/>
              </w:rPr>
              <w:t>85</w:t>
            </w:r>
            <w:r w:rsidRPr="005F792C">
              <w:rPr>
                <w:rFonts w:eastAsia="Times New Roman" w:cs="Arial"/>
                <w:b/>
                <w:color w:val="000000"/>
                <w:szCs w:val="20"/>
                <w:lang w:eastAsia="pt-BR"/>
              </w:rPr>
              <w:t>,</w:t>
            </w:r>
            <w:r>
              <w:rPr>
                <w:rFonts w:eastAsia="Times New Roman" w:cs="Arial"/>
                <w:b/>
                <w:color w:val="000000"/>
                <w:szCs w:val="20"/>
                <w:lang w:eastAsia="pt-BR"/>
              </w:rPr>
              <w:t>5</w:t>
            </w:r>
            <w:r w:rsidRPr="005F792C">
              <w:rPr>
                <w:rFonts w:eastAsia="Times New Roman" w:cs="Arial"/>
                <w:b/>
                <w:color w:val="000000"/>
                <w:szCs w:val="20"/>
                <w:lang w:eastAsia="pt-BR"/>
              </w:rPr>
              <w:t>2</w:t>
            </w:r>
          </w:p>
        </w:tc>
        <w:tc>
          <w:tcPr>
            <w:tcW w:w="1984" w:type="dxa"/>
            <w:tcBorders>
              <w:top w:val="single" w:sz="4" w:space="0" w:color="auto"/>
              <w:left w:val="nil"/>
              <w:bottom w:val="single" w:sz="4" w:space="0" w:color="auto"/>
              <w:right w:val="nil"/>
            </w:tcBorders>
            <w:shd w:val="clear" w:color="auto" w:fill="auto"/>
            <w:noWrap/>
            <w:vAlign w:val="bottom"/>
            <w:hideMark/>
          </w:tcPr>
          <w:p w:rsidR="00D226EA" w:rsidRPr="00FB54E6" w:rsidRDefault="00D226EA" w:rsidP="008F4251">
            <w:pPr>
              <w:jc w:val="right"/>
              <w:rPr>
                <w:rFonts w:eastAsia="Times New Roman" w:cs="Arial"/>
                <w:b/>
                <w:bCs/>
                <w:color w:val="000000"/>
                <w:szCs w:val="20"/>
                <w:lang w:eastAsia="pt-BR"/>
              </w:rPr>
            </w:pPr>
            <w:r w:rsidRPr="00FB54E6">
              <w:rPr>
                <w:rFonts w:eastAsia="Times New Roman" w:cs="Arial"/>
                <w:b/>
                <w:bCs/>
                <w:color w:val="000000"/>
                <w:szCs w:val="20"/>
                <w:lang w:eastAsia="pt-BR"/>
              </w:rPr>
              <w:t xml:space="preserve">                </w:t>
            </w:r>
            <w:r>
              <w:rPr>
                <w:rFonts w:eastAsia="Times New Roman" w:cs="Arial"/>
                <w:b/>
                <w:bCs/>
                <w:color w:val="000000"/>
                <w:szCs w:val="20"/>
                <w:lang w:eastAsia="pt-BR"/>
              </w:rPr>
              <w:t>-95</w:t>
            </w:r>
            <w:r w:rsidRPr="00FB54E6">
              <w:rPr>
                <w:rFonts w:eastAsia="Times New Roman" w:cs="Arial"/>
                <w:b/>
                <w:bCs/>
                <w:color w:val="000000"/>
                <w:szCs w:val="20"/>
                <w:lang w:eastAsia="pt-BR"/>
              </w:rPr>
              <w:t>,</w:t>
            </w:r>
            <w:r>
              <w:rPr>
                <w:rFonts w:eastAsia="Times New Roman" w:cs="Arial"/>
                <w:b/>
                <w:bCs/>
                <w:color w:val="000000"/>
                <w:szCs w:val="20"/>
                <w:lang w:eastAsia="pt-BR"/>
              </w:rPr>
              <w:t>49</w:t>
            </w:r>
            <w:r w:rsidRPr="00FB54E6">
              <w:rPr>
                <w:rFonts w:eastAsia="Times New Roman" w:cs="Arial"/>
                <w:b/>
                <w:bCs/>
                <w:color w:val="000000"/>
                <w:szCs w:val="20"/>
                <w:lang w:eastAsia="pt-BR"/>
              </w:rPr>
              <w:t xml:space="preserve"> </w:t>
            </w:r>
          </w:p>
        </w:tc>
      </w:tr>
    </w:tbl>
    <w:p w:rsidR="00D226EA" w:rsidRPr="00F43675" w:rsidRDefault="00D226EA" w:rsidP="00D226EA">
      <w:pPr>
        <w:jc w:val="left"/>
        <w:rPr>
          <w:rFonts w:cs="Arial"/>
          <w:i/>
          <w:szCs w:val="20"/>
        </w:rPr>
      </w:pPr>
      <w:r w:rsidRPr="00F43675">
        <w:rPr>
          <w:rFonts w:cs="Arial"/>
          <w:i/>
          <w:szCs w:val="20"/>
        </w:rPr>
        <w:t xml:space="preserve"> Fonte: SIAFI, 201</w:t>
      </w:r>
      <w:r>
        <w:rPr>
          <w:rFonts w:cs="Arial"/>
          <w:i/>
          <w:szCs w:val="20"/>
        </w:rPr>
        <w:t>9 e 2018</w:t>
      </w:r>
      <w:r w:rsidRPr="00F43675">
        <w:rPr>
          <w:rFonts w:cs="Arial"/>
          <w:i/>
          <w:szCs w:val="20"/>
        </w:rPr>
        <w:t>.</w:t>
      </w:r>
    </w:p>
    <w:p w:rsidR="00D226EA" w:rsidRDefault="00D226EA" w:rsidP="00D226EA">
      <w:pPr>
        <w:jc w:val="left"/>
        <w:rPr>
          <w:rFonts w:cs="Arial"/>
          <w:szCs w:val="20"/>
        </w:rPr>
      </w:pPr>
    </w:p>
    <w:p w:rsidR="00D226EA" w:rsidRDefault="00D226EA" w:rsidP="00D226EA">
      <w:pPr>
        <w:rPr>
          <w:rFonts w:cs="Arial"/>
          <w:szCs w:val="20"/>
        </w:rPr>
      </w:pPr>
      <w:r w:rsidRPr="00BE0AC8">
        <w:rPr>
          <w:rFonts w:cs="Arial"/>
          <w:b/>
          <w:sz w:val="22"/>
        </w:rPr>
        <w:t>Tabela</w:t>
      </w:r>
      <w:r>
        <w:rPr>
          <w:rFonts w:cs="Arial"/>
          <w:b/>
          <w:sz w:val="22"/>
        </w:rPr>
        <w:t xml:space="preserve"> 14</w:t>
      </w:r>
      <w:r w:rsidRPr="00BE0AC8">
        <w:rPr>
          <w:rFonts w:cs="Arial"/>
          <w:b/>
          <w:sz w:val="22"/>
        </w:rPr>
        <w:t xml:space="preserve"> – </w:t>
      </w:r>
      <w:r>
        <w:rPr>
          <w:rFonts w:cs="Arial"/>
          <w:b/>
          <w:sz w:val="22"/>
        </w:rPr>
        <w:t>Origem dos Processos</w:t>
      </w:r>
      <w:r>
        <w:rPr>
          <w:rFonts w:cs="Arial"/>
          <w:szCs w:val="20"/>
        </w:rPr>
        <w:t xml:space="preserve">                                                                                      </w:t>
      </w:r>
    </w:p>
    <w:p w:rsidR="00D226EA" w:rsidRDefault="00D226EA" w:rsidP="00D226EA">
      <w:pPr>
        <w:jc w:val="left"/>
        <w:rPr>
          <w:rFonts w:cs="Arial"/>
          <w:szCs w:val="20"/>
        </w:rPr>
      </w:pPr>
    </w:p>
    <w:tbl>
      <w:tblPr>
        <w:tblW w:w="9113" w:type="dxa"/>
        <w:tblCellMar>
          <w:left w:w="70" w:type="dxa"/>
          <w:right w:w="70" w:type="dxa"/>
        </w:tblCellMar>
        <w:tblLook w:val="04A0" w:firstRow="1" w:lastRow="0" w:firstColumn="1" w:lastColumn="0" w:noHBand="0" w:noVBand="1"/>
      </w:tblPr>
      <w:tblGrid>
        <w:gridCol w:w="3572"/>
        <w:gridCol w:w="2637"/>
        <w:gridCol w:w="2904"/>
      </w:tblGrid>
      <w:tr w:rsidR="00D226EA" w:rsidRPr="00FB54E6" w:rsidTr="008F4251">
        <w:trPr>
          <w:trHeight w:val="249"/>
        </w:trPr>
        <w:tc>
          <w:tcPr>
            <w:tcW w:w="3572" w:type="dxa"/>
            <w:tcBorders>
              <w:top w:val="single" w:sz="4" w:space="0" w:color="000000"/>
              <w:left w:val="nil"/>
              <w:bottom w:val="single" w:sz="4" w:space="0" w:color="000000"/>
              <w:right w:val="nil"/>
            </w:tcBorders>
            <w:shd w:val="clear" w:color="auto" w:fill="auto"/>
            <w:noWrap/>
            <w:vAlign w:val="bottom"/>
            <w:hideMark/>
          </w:tcPr>
          <w:p w:rsidR="00D226EA" w:rsidRPr="00FB54E6" w:rsidRDefault="00D226EA" w:rsidP="008F4251">
            <w:pPr>
              <w:jc w:val="left"/>
              <w:rPr>
                <w:rFonts w:eastAsia="Times New Roman" w:cs="Arial"/>
                <w:b/>
                <w:bCs/>
                <w:color w:val="000000"/>
                <w:szCs w:val="20"/>
                <w:lang w:eastAsia="pt-BR"/>
              </w:rPr>
            </w:pPr>
            <w:r>
              <w:rPr>
                <w:rFonts w:eastAsia="Times New Roman" w:cs="Arial"/>
                <w:b/>
                <w:bCs/>
                <w:color w:val="000000"/>
                <w:szCs w:val="20"/>
                <w:lang w:eastAsia="pt-BR"/>
              </w:rPr>
              <w:t>Gestor</w:t>
            </w:r>
          </w:p>
        </w:tc>
        <w:tc>
          <w:tcPr>
            <w:tcW w:w="2637" w:type="dxa"/>
            <w:tcBorders>
              <w:top w:val="single" w:sz="4" w:space="0" w:color="000000"/>
              <w:left w:val="nil"/>
              <w:bottom w:val="single" w:sz="4" w:space="0" w:color="000000"/>
              <w:right w:val="nil"/>
            </w:tcBorders>
            <w:shd w:val="clear" w:color="auto" w:fill="auto"/>
            <w:noWrap/>
            <w:vAlign w:val="bottom"/>
            <w:hideMark/>
          </w:tcPr>
          <w:p w:rsidR="00D226EA" w:rsidRPr="00FB54E6" w:rsidRDefault="00D226EA" w:rsidP="008F4251">
            <w:pPr>
              <w:jc w:val="right"/>
              <w:rPr>
                <w:rFonts w:eastAsia="Times New Roman" w:cs="Arial"/>
                <w:b/>
                <w:bCs/>
                <w:color w:val="000000"/>
                <w:szCs w:val="20"/>
                <w:lang w:eastAsia="pt-BR"/>
              </w:rPr>
            </w:pPr>
            <w:r w:rsidRPr="00FB54E6">
              <w:rPr>
                <w:rFonts w:eastAsia="Times New Roman" w:cs="Arial"/>
                <w:b/>
                <w:bCs/>
                <w:color w:val="000000"/>
                <w:szCs w:val="20"/>
                <w:lang w:eastAsia="pt-BR"/>
              </w:rPr>
              <w:t>3</w:t>
            </w:r>
            <w:r>
              <w:rPr>
                <w:rFonts w:eastAsia="Times New Roman" w:cs="Arial"/>
                <w:b/>
                <w:bCs/>
                <w:color w:val="000000"/>
                <w:szCs w:val="20"/>
                <w:lang w:eastAsia="pt-BR"/>
              </w:rPr>
              <w:t>1</w:t>
            </w:r>
            <w:r w:rsidRPr="00FB54E6">
              <w:rPr>
                <w:rFonts w:eastAsia="Times New Roman" w:cs="Arial"/>
                <w:b/>
                <w:bCs/>
                <w:color w:val="000000"/>
                <w:szCs w:val="20"/>
                <w:lang w:eastAsia="pt-BR"/>
              </w:rPr>
              <w:t>/</w:t>
            </w:r>
            <w:r>
              <w:rPr>
                <w:rFonts w:eastAsia="Times New Roman" w:cs="Arial"/>
                <w:b/>
                <w:bCs/>
                <w:color w:val="000000"/>
                <w:szCs w:val="20"/>
                <w:lang w:eastAsia="pt-BR"/>
              </w:rPr>
              <w:t>12</w:t>
            </w:r>
            <w:r w:rsidRPr="00FB54E6">
              <w:rPr>
                <w:rFonts w:eastAsia="Times New Roman" w:cs="Arial"/>
                <w:b/>
                <w:bCs/>
                <w:color w:val="000000"/>
                <w:szCs w:val="20"/>
                <w:lang w:eastAsia="pt-BR"/>
              </w:rPr>
              <w:t>/201</w:t>
            </w:r>
            <w:r>
              <w:rPr>
                <w:rFonts w:eastAsia="Times New Roman" w:cs="Arial"/>
                <w:b/>
                <w:bCs/>
                <w:color w:val="000000"/>
                <w:szCs w:val="20"/>
                <w:lang w:eastAsia="pt-BR"/>
              </w:rPr>
              <w:t>9</w:t>
            </w:r>
          </w:p>
        </w:tc>
        <w:tc>
          <w:tcPr>
            <w:tcW w:w="2904" w:type="dxa"/>
            <w:tcBorders>
              <w:top w:val="single" w:sz="4" w:space="0" w:color="000000"/>
              <w:left w:val="nil"/>
              <w:bottom w:val="single" w:sz="4" w:space="0" w:color="000000"/>
              <w:right w:val="nil"/>
            </w:tcBorders>
            <w:shd w:val="clear" w:color="auto" w:fill="auto"/>
            <w:noWrap/>
            <w:vAlign w:val="bottom"/>
            <w:hideMark/>
          </w:tcPr>
          <w:p w:rsidR="00D226EA" w:rsidRPr="00FB54E6" w:rsidRDefault="00D226EA" w:rsidP="008F4251">
            <w:pPr>
              <w:jc w:val="right"/>
              <w:rPr>
                <w:rFonts w:eastAsia="Times New Roman" w:cs="Arial"/>
                <w:b/>
                <w:bCs/>
                <w:color w:val="000000"/>
                <w:szCs w:val="20"/>
                <w:lang w:eastAsia="pt-BR"/>
              </w:rPr>
            </w:pPr>
            <w:r w:rsidRPr="00FB54E6">
              <w:rPr>
                <w:rFonts w:eastAsia="Times New Roman" w:cs="Arial"/>
                <w:b/>
                <w:bCs/>
                <w:color w:val="000000"/>
                <w:szCs w:val="20"/>
                <w:lang w:eastAsia="pt-BR"/>
              </w:rPr>
              <w:t>AV (%)</w:t>
            </w:r>
          </w:p>
        </w:tc>
      </w:tr>
      <w:tr w:rsidR="00D226EA" w:rsidRPr="00FB54E6" w:rsidTr="008F4251">
        <w:trPr>
          <w:trHeight w:val="249"/>
        </w:trPr>
        <w:tc>
          <w:tcPr>
            <w:tcW w:w="3572" w:type="dxa"/>
            <w:tcBorders>
              <w:top w:val="nil"/>
              <w:left w:val="nil"/>
              <w:bottom w:val="nil"/>
              <w:right w:val="nil"/>
            </w:tcBorders>
            <w:shd w:val="clear" w:color="auto" w:fill="auto"/>
            <w:noWrap/>
            <w:vAlign w:val="bottom"/>
            <w:hideMark/>
          </w:tcPr>
          <w:p w:rsidR="00D226EA" w:rsidRPr="00FB54E6" w:rsidRDefault="00D226EA" w:rsidP="008F4251">
            <w:pPr>
              <w:jc w:val="left"/>
              <w:rPr>
                <w:rFonts w:eastAsia="Times New Roman" w:cs="Arial"/>
                <w:color w:val="000000"/>
                <w:szCs w:val="20"/>
                <w:lang w:eastAsia="pt-BR"/>
              </w:rPr>
            </w:pPr>
            <w:r>
              <w:rPr>
                <w:rFonts w:eastAsia="Times New Roman" w:cs="Arial"/>
                <w:color w:val="000000"/>
                <w:szCs w:val="20"/>
                <w:lang w:eastAsia="pt-BR"/>
              </w:rPr>
              <w:t>TRF 4 Região</w:t>
            </w:r>
          </w:p>
        </w:tc>
        <w:tc>
          <w:tcPr>
            <w:tcW w:w="2637" w:type="dxa"/>
            <w:tcBorders>
              <w:top w:val="nil"/>
              <w:left w:val="nil"/>
              <w:bottom w:val="nil"/>
              <w:right w:val="nil"/>
            </w:tcBorders>
            <w:shd w:val="clear" w:color="auto" w:fill="auto"/>
            <w:noWrap/>
            <w:vAlign w:val="bottom"/>
            <w:hideMark/>
          </w:tcPr>
          <w:p w:rsidR="00D226EA" w:rsidRPr="00FB54E6" w:rsidRDefault="00D226EA" w:rsidP="008F4251">
            <w:pPr>
              <w:jc w:val="right"/>
              <w:rPr>
                <w:rFonts w:eastAsia="Times New Roman" w:cs="Arial"/>
                <w:color w:val="000000"/>
                <w:szCs w:val="20"/>
                <w:lang w:eastAsia="pt-BR"/>
              </w:rPr>
            </w:pPr>
            <w:r w:rsidRPr="00A3085B">
              <w:rPr>
                <w:rFonts w:eastAsia="Times New Roman" w:cs="Arial"/>
                <w:color w:val="000000"/>
                <w:szCs w:val="20"/>
                <w:lang w:eastAsia="pt-BR"/>
              </w:rPr>
              <w:t>102</w:t>
            </w:r>
            <w:r>
              <w:rPr>
                <w:rFonts w:eastAsia="Times New Roman" w:cs="Arial"/>
                <w:color w:val="000000"/>
                <w:szCs w:val="20"/>
                <w:lang w:eastAsia="pt-BR"/>
              </w:rPr>
              <w:t>.</w:t>
            </w:r>
            <w:r w:rsidRPr="00A3085B">
              <w:rPr>
                <w:rFonts w:eastAsia="Times New Roman" w:cs="Arial"/>
                <w:color w:val="000000"/>
                <w:szCs w:val="20"/>
                <w:lang w:eastAsia="pt-BR"/>
              </w:rPr>
              <w:t>228,65</w:t>
            </w:r>
          </w:p>
        </w:tc>
        <w:tc>
          <w:tcPr>
            <w:tcW w:w="2904" w:type="dxa"/>
            <w:tcBorders>
              <w:top w:val="nil"/>
              <w:left w:val="nil"/>
              <w:bottom w:val="nil"/>
              <w:right w:val="nil"/>
            </w:tcBorders>
            <w:shd w:val="clear" w:color="auto" w:fill="auto"/>
            <w:noWrap/>
            <w:vAlign w:val="bottom"/>
            <w:hideMark/>
          </w:tcPr>
          <w:p w:rsidR="00D226EA" w:rsidRPr="00FB54E6" w:rsidRDefault="00D226EA" w:rsidP="008F4251">
            <w:pPr>
              <w:jc w:val="right"/>
              <w:rPr>
                <w:rFonts w:eastAsia="Times New Roman" w:cs="Arial"/>
                <w:color w:val="000000"/>
                <w:szCs w:val="20"/>
                <w:lang w:eastAsia="pt-BR"/>
              </w:rPr>
            </w:pPr>
            <w:r>
              <w:rPr>
                <w:rFonts w:eastAsia="Times New Roman" w:cs="Arial"/>
                <w:color w:val="000000"/>
                <w:szCs w:val="20"/>
                <w:lang w:eastAsia="pt-BR"/>
              </w:rPr>
              <w:t>100,00</w:t>
            </w:r>
          </w:p>
        </w:tc>
      </w:tr>
      <w:tr w:rsidR="00D226EA" w:rsidRPr="00FB54E6" w:rsidTr="008F4251">
        <w:trPr>
          <w:trHeight w:val="249"/>
        </w:trPr>
        <w:tc>
          <w:tcPr>
            <w:tcW w:w="3572" w:type="dxa"/>
            <w:tcBorders>
              <w:top w:val="nil"/>
              <w:left w:val="nil"/>
              <w:bottom w:val="single" w:sz="4" w:space="0" w:color="auto"/>
              <w:right w:val="nil"/>
            </w:tcBorders>
            <w:shd w:val="clear" w:color="D9D9D9" w:fill="D9D9D9"/>
            <w:noWrap/>
            <w:vAlign w:val="bottom"/>
            <w:hideMark/>
          </w:tcPr>
          <w:p w:rsidR="00D226EA" w:rsidRPr="00FB54E6" w:rsidRDefault="00D226EA" w:rsidP="008F4251">
            <w:pPr>
              <w:jc w:val="left"/>
              <w:rPr>
                <w:rFonts w:eastAsia="Times New Roman" w:cs="Arial"/>
                <w:b/>
                <w:bCs/>
                <w:color w:val="000000"/>
                <w:szCs w:val="20"/>
                <w:lang w:eastAsia="pt-BR"/>
              </w:rPr>
            </w:pPr>
            <w:r w:rsidRPr="00FB54E6">
              <w:rPr>
                <w:rFonts w:eastAsia="Times New Roman" w:cs="Arial"/>
                <w:b/>
                <w:bCs/>
                <w:color w:val="000000"/>
                <w:szCs w:val="20"/>
                <w:lang w:eastAsia="pt-BR"/>
              </w:rPr>
              <w:t>Total</w:t>
            </w:r>
          </w:p>
        </w:tc>
        <w:tc>
          <w:tcPr>
            <w:tcW w:w="2637" w:type="dxa"/>
            <w:tcBorders>
              <w:top w:val="nil"/>
              <w:left w:val="nil"/>
              <w:bottom w:val="single" w:sz="4" w:space="0" w:color="auto"/>
              <w:right w:val="nil"/>
            </w:tcBorders>
            <w:shd w:val="clear" w:color="D9D9D9" w:fill="D9D9D9"/>
            <w:noWrap/>
            <w:vAlign w:val="bottom"/>
            <w:hideMark/>
          </w:tcPr>
          <w:p w:rsidR="00D226EA" w:rsidRPr="00FB54E6" w:rsidRDefault="00D226EA" w:rsidP="008F4251">
            <w:pPr>
              <w:jc w:val="right"/>
              <w:rPr>
                <w:rFonts w:eastAsia="Times New Roman" w:cs="Arial"/>
                <w:b/>
                <w:bCs/>
                <w:color w:val="000000"/>
                <w:szCs w:val="20"/>
                <w:lang w:eastAsia="pt-BR"/>
              </w:rPr>
            </w:pPr>
            <w:r w:rsidRPr="00FB54E6">
              <w:rPr>
                <w:rFonts w:eastAsia="Times New Roman" w:cs="Arial"/>
                <w:b/>
                <w:bCs/>
                <w:color w:val="000000"/>
                <w:szCs w:val="20"/>
                <w:lang w:eastAsia="pt-BR"/>
              </w:rPr>
              <w:t xml:space="preserve">     </w:t>
            </w:r>
            <w:r>
              <w:rPr>
                <w:rFonts w:eastAsia="Times New Roman" w:cs="Arial"/>
                <w:b/>
                <w:color w:val="000000"/>
                <w:szCs w:val="20"/>
                <w:lang w:eastAsia="pt-BR"/>
              </w:rPr>
              <w:t>102.228,65</w:t>
            </w:r>
          </w:p>
        </w:tc>
        <w:tc>
          <w:tcPr>
            <w:tcW w:w="2904" w:type="dxa"/>
            <w:tcBorders>
              <w:top w:val="single" w:sz="4" w:space="0" w:color="000000"/>
              <w:left w:val="nil"/>
              <w:bottom w:val="single" w:sz="4" w:space="0" w:color="auto"/>
              <w:right w:val="nil"/>
            </w:tcBorders>
            <w:shd w:val="clear" w:color="D9D9D9" w:fill="D9D9D9"/>
            <w:noWrap/>
            <w:vAlign w:val="bottom"/>
            <w:hideMark/>
          </w:tcPr>
          <w:p w:rsidR="00D226EA" w:rsidRPr="00FB54E6" w:rsidRDefault="00D226EA" w:rsidP="008F4251">
            <w:pPr>
              <w:jc w:val="right"/>
              <w:rPr>
                <w:rFonts w:eastAsia="Times New Roman" w:cs="Arial"/>
                <w:b/>
                <w:bCs/>
                <w:color w:val="000000"/>
                <w:szCs w:val="20"/>
                <w:lang w:eastAsia="pt-BR"/>
              </w:rPr>
            </w:pPr>
            <w:r w:rsidRPr="00FB54E6">
              <w:rPr>
                <w:rFonts w:eastAsia="Times New Roman" w:cs="Arial"/>
                <w:b/>
                <w:bCs/>
                <w:color w:val="000000"/>
                <w:szCs w:val="20"/>
                <w:lang w:eastAsia="pt-BR"/>
              </w:rPr>
              <w:t xml:space="preserve">                 100,00 </w:t>
            </w:r>
          </w:p>
        </w:tc>
      </w:tr>
    </w:tbl>
    <w:p w:rsidR="00C07190" w:rsidRDefault="00D226EA" w:rsidP="00D226EA">
      <w:pPr>
        <w:jc w:val="left"/>
        <w:rPr>
          <w:rFonts w:cs="Arial"/>
          <w:i/>
          <w:szCs w:val="20"/>
        </w:rPr>
      </w:pPr>
      <w:r w:rsidRPr="00F43675">
        <w:rPr>
          <w:rFonts w:cs="Arial"/>
          <w:i/>
          <w:szCs w:val="20"/>
        </w:rPr>
        <w:t xml:space="preserve">Fonte: </w:t>
      </w:r>
      <w:r>
        <w:rPr>
          <w:rFonts w:cs="Arial"/>
          <w:i/>
          <w:szCs w:val="20"/>
        </w:rPr>
        <w:t>Justiça Federal</w:t>
      </w:r>
      <w:r w:rsidRPr="00F43675">
        <w:rPr>
          <w:rFonts w:cs="Arial"/>
          <w:i/>
          <w:szCs w:val="20"/>
        </w:rPr>
        <w:t>, 201</w:t>
      </w:r>
      <w:r>
        <w:rPr>
          <w:rFonts w:cs="Arial"/>
          <w:i/>
          <w:szCs w:val="20"/>
        </w:rPr>
        <w:t>9</w:t>
      </w:r>
      <w:r w:rsidRPr="00F43675">
        <w:rPr>
          <w:rFonts w:cs="Arial"/>
          <w:i/>
          <w:szCs w:val="20"/>
        </w:rPr>
        <w:t>.</w:t>
      </w:r>
    </w:p>
    <w:p w:rsidR="00C07190" w:rsidRDefault="00C07190">
      <w:pPr>
        <w:spacing w:after="160" w:line="259" w:lineRule="auto"/>
        <w:jc w:val="left"/>
        <w:rPr>
          <w:rFonts w:cs="Arial"/>
          <w:i/>
          <w:szCs w:val="20"/>
        </w:rPr>
      </w:pPr>
      <w:r>
        <w:rPr>
          <w:rFonts w:cs="Arial"/>
          <w:i/>
          <w:szCs w:val="20"/>
        </w:rPr>
        <w:br w:type="page"/>
      </w:r>
    </w:p>
    <w:p w:rsidR="00C07190" w:rsidRDefault="00C07190" w:rsidP="00C07190">
      <w:pPr>
        <w:rPr>
          <w:rFonts w:cs="Arial"/>
          <w:b/>
          <w:sz w:val="22"/>
        </w:rPr>
      </w:pPr>
      <w:r w:rsidRPr="00407107">
        <w:rPr>
          <w:rFonts w:cs="Arial"/>
          <w:b/>
          <w:sz w:val="22"/>
        </w:rPr>
        <w:lastRenderedPageBreak/>
        <w:t>Nota 0</w:t>
      </w:r>
      <w:r>
        <w:rPr>
          <w:rFonts w:cs="Arial"/>
          <w:b/>
          <w:sz w:val="22"/>
        </w:rPr>
        <w:t>6</w:t>
      </w:r>
      <w:r w:rsidRPr="00407107">
        <w:rPr>
          <w:rFonts w:cs="Arial"/>
          <w:b/>
          <w:sz w:val="22"/>
        </w:rPr>
        <w:t xml:space="preserve"> – </w:t>
      </w:r>
      <w:r>
        <w:rPr>
          <w:rFonts w:cs="Arial"/>
          <w:b/>
          <w:sz w:val="22"/>
        </w:rPr>
        <w:t>Contas de Controle</w:t>
      </w:r>
    </w:p>
    <w:p w:rsidR="00C07190" w:rsidRDefault="00C07190" w:rsidP="00C07190">
      <w:pPr>
        <w:rPr>
          <w:rFonts w:cs="Arial"/>
          <w:b/>
          <w:sz w:val="22"/>
        </w:rPr>
      </w:pPr>
    </w:p>
    <w:p w:rsidR="00C07190" w:rsidRDefault="00C07190" w:rsidP="00C07190">
      <w:pPr>
        <w:rPr>
          <w:rFonts w:cs="Arial"/>
          <w:b/>
          <w:sz w:val="22"/>
        </w:rPr>
      </w:pPr>
      <w:r>
        <w:rPr>
          <w:rFonts w:cs="Arial"/>
          <w:b/>
          <w:sz w:val="22"/>
        </w:rPr>
        <w:t>6.1 Saldos Contratuais (Compensado)</w:t>
      </w:r>
    </w:p>
    <w:p w:rsidR="00C07190" w:rsidRDefault="00C07190" w:rsidP="00C07190">
      <w:pPr>
        <w:rPr>
          <w:rFonts w:cs="Arial"/>
          <w:b/>
          <w:sz w:val="22"/>
        </w:rPr>
      </w:pPr>
    </w:p>
    <w:p w:rsidR="00C07190" w:rsidRPr="00E00CD2" w:rsidRDefault="00C07190" w:rsidP="00C07190">
      <w:pPr>
        <w:rPr>
          <w:rFonts w:cs="Arial"/>
          <w:sz w:val="22"/>
        </w:rPr>
      </w:pPr>
      <w:r w:rsidRPr="00E00CD2">
        <w:rPr>
          <w:rFonts w:cs="Arial"/>
          <w:sz w:val="22"/>
        </w:rPr>
        <w:t xml:space="preserve">Em 31/12/2019, a ANP possuía um saldo superior </w:t>
      </w:r>
      <w:proofErr w:type="gramStart"/>
      <w:r w:rsidRPr="00E00CD2">
        <w:rPr>
          <w:rFonts w:cs="Arial"/>
          <w:sz w:val="22"/>
        </w:rPr>
        <w:t>à</w:t>
      </w:r>
      <w:proofErr w:type="gramEnd"/>
      <w:r w:rsidRPr="00E00CD2">
        <w:rPr>
          <w:rFonts w:cs="Arial"/>
          <w:sz w:val="22"/>
        </w:rPr>
        <w:t xml:space="preserve"> R$ </w:t>
      </w:r>
      <w:r>
        <w:rPr>
          <w:rFonts w:cs="Arial"/>
          <w:sz w:val="22"/>
        </w:rPr>
        <w:t>235</w:t>
      </w:r>
      <w:r w:rsidRPr="00E00CD2">
        <w:rPr>
          <w:rFonts w:cs="Arial"/>
          <w:sz w:val="22"/>
        </w:rPr>
        <w:t xml:space="preserve"> milhões em obrigações contratuais de aquisições de bens, locações e serviços a serem executados durante o período de vigência dos contratos, conforme quadro:</w:t>
      </w:r>
    </w:p>
    <w:p w:rsidR="00C07190" w:rsidRDefault="00C07190" w:rsidP="00C07190">
      <w:pPr>
        <w:rPr>
          <w:rFonts w:cs="Arial"/>
          <w:sz w:val="22"/>
        </w:rPr>
      </w:pPr>
    </w:p>
    <w:p w:rsidR="00C07190" w:rsidRPr="00407107" w:rsidRDefault="00C07190" w:rsidP="00C07190">
      <w:pPr>
        <w:rPr>
          <w:rFonts w:cs="Arial"/>
          <w:b/>
          <w:sz w:val="22"/>
        </w:rPr>
      </w:pPr>
      <w:r w:rsidRPr="00F976AC">
        <w:rPr>
          <w:rFonts w:cs="Arial"/>
          <w:b/>
          <w:sz w:val="22"/>
        </w:rPr>
        <w:t>Tabela</w:t>
      </w:r>
      <w:r>
        <w:rPr>
          <w:rFonts w:cs="Arial"/>
          <w:b/>
          <w:sz w:val="22"/>
        </w:rPr>
        <w:t xml:space="preserve"> 15</w:t>
      </w:r>
      <w:r w:rsidRPr="00F976AC">
        <w:rPr>
          <w:rFonts w:cs="Arial"/>
          <w:b/>
          <w:sz w:val="22"/>
        </w:rPr>
        <w:t xml:space="preserve"> –</w:t>
      </w:r>
      <w:r w:rsidRPr="00407107">
        <w:rPr>
          <w:rFonts w:cs="Arial"/>
          <w:b/>
          <w:sz w:val="22"/>
        </w:rPr>
        <w:t xml:space="preserve"> </w:t>
      </w:r>
      <w:r>
        <w:rPr>
          <w:rFonts w:cs="Arial"/>
          <w:b/>
          <w:sz w:val="22"/>
        </w:rPr>
        <w:t xml:space="preserve">Obrigações Contratuais a executar </w:t>
      </w:r>
      <w:r w:rsidRPr="00407107">
        <w:rPr>
          <w:rFonts w:cs="Arial"/>
          <w:b/>
          <w:sz w:val="22"/>
        </w:rPr>
        <w:t>– Composição.</w:t>
      </w:r>
    </w:p>
    <w:p w:rsidR="00C07190" w:rsidRDefault="00C07190" w:rsidP="00C07190">
      <w:pPr>
        <w:ind w:left="5664" w:firstLine="708"/>
        <w:jc w:val="center"/>
        <w:rPr>
          <w:rFonts w:cs="Arial"/>
          <w:sz w:val="22"/>
        </w:rPr>
      </w:pPr>
      <w:r>
        <w:rPr>
          <w:rFonts w:cs="Arial"/>
          <w:szCs w:val="20"/>
        </w:rPr>
        <w:t xml:space="preserve">                                              R$</w:t>
      </w:r>
    </w:p>
    <w:tbl>
      <w:tblPr>
        <w:tblW w:w="9191" w:type="dxa"/>
        <w:tblCellMar>
          <w:left w:w="70" w:type="dxa"/>
          <w:right w:w="70" w:type="dxa"/>
        </w:tblCellMar>
        <w:tblLook w:val="04A0" w:firstRow="1" w:lastRow="0" w:firstColumn="1" w:lastColumn="0" w:noHBand="0" w:noVBand="1"/>
      </w:tblPr>
      <w:tblGrid>
        <w:gridCol w:w="2694"/>
        <w:gridCol w:w="1970"/>
        <w:gridCol w:w="1732"/>
        <w:gridCol w:w="1865"/>
        <w:gridCol w:w="930"/>
      </w:tblGrid>
      <w:tr w:rsidR="00C07190" w:rsidRPr="00484C19" w:rsidTr="008F4251">
        <w:trPr>
          <w:trHeight w:val="229"/>
        </w:trPr>
        <w:tc>
          <w:tcPr>
            <w:tcW w:w="2694" w:type="dxa"/>
            <w:tcBorders>
              <w:top w:val="single" w:sz="4" w:space="0" w:color="000000"/>
              <w:left w:val="nil"/>
              <w:bottom w:val="single" w:sz="4" w:space="0" w:color="000000"/>
              <w:right w:val="nil"/>
            </w:tcBorders>
            <w:shd w:val="clear" w:color="auto" w:fill="auto"/>
            <w:noWrap/>
            <w:vAlign w:val="bottom"/>
            <w:hideMark/>
          </w:tcPr>
          <w:p w:rsidR="00C07190" w:rsidRPr="00484C19" w:rsidRDefault="00C07190" w:rsidP="008F4251">
            <w:pPr>
              <w:jc w:val="left"/>
              <w:rPr>
                <w:rFonts w:eastAsia="Times New Roman" w:cs="Arial"/>
                <w:b/>
                <w:bCs/>
                <w:color w:val="FFFFFF"/>
                <w:szCs w:val="20"/>
                <w:lang w:eastAsia="pt-BR"/>
              </w:rPr>
            </w:pPr>
            <w:r w:rsidRPr="00484C19">
              <w:rPr>
                <w:rFonts w:eastAsia="Times New Roman" w:cs="Arial"/>
                <w:b/>
                <w:bCs/>
                <w:color w:val="FFFFFF"/>
                <w:szCs w:val="20"/>
                <w:lang w:eastAsia="pt-BR"/>
              </w:rPr>
              <w:t>Colunas1</w:t>
            </w:r>
          </w:p>
        </w:tc>
        <w:tc>
          <w:tcPr>
            <w:tcW w:w="1970" w:type="dxa"/>
            <w:tcBorders>
              <w:top w:val="single" w:sz="4" w:space="0" w:color="000000"/>
              <w:left w:val="nil"/>
              <w:bottom w:val="single" w:sz="4" w:space="0" w:color="000000"/>
              <w:right w:val="nil"/>
            </w:tcBorders>
            <w:shd w:val="clear" w:color="auto" w:fill="auto"/>
            <w:noWrap/>
            <w:vAlign w:val="bottom"/>
            <w:hideMark/>
          </w:tcPr>
          <w:p w:rsidR="00C07190" w:rsidRPr="00484C19" w:rsidRDefault="00C07190" w:rsidP="008F4251">
            <w:pPr>
              <w:jc w:val="right"/>
              <w:rPr>
                <w:rFonts w:eastAsia="Times New Roman" w:cs="Arial"/>
                <w:b/>
                <w:bCs/>
                <w:color w:val="000000"/>
                <w:szCs w:val="20"/>
                <w:lang w:eastAsia="pt-BR"/>
              </w:rPr>
            </w:pPr>
            <w:r w:rsidRPr="00484C19">
              <w:rPr>
                <w:rFonts w:eastAsia="Times New Roman" w:cs="Arial"/>
                <w:b/>
                <w:bCs/>
                <w:color w:val="000000"/>
                <w:szCs w:val="20"/>
                <w:lang w:eastAsia="pt-BR"/>
              </w:rPr>
              <w:t>3</w:t>
            </w:r>
            <w:r>
              <w:rPr>
                <w:rFonts w:eastAsia="Times New Roman" w:cs="Arial"/>
                <w:b/>
                <w:bCs/>
                <w:color w:val="000000"/>
                <w:szCs w:val="20"/>
                <w:lang w:eastAsia="pt-BR"/>
              </w:rPr>
              <w:t>1</w:t>
            </w:r>
            <w:r w:rsidRPr="00484C19">
              <w:rPr>
                <w:rFonts w:eastAsia="Times New Roman" w:cs="Arial"/>
                <w:b/>
                <w:bCs/>
                <w:color w:val="000000"/>
                <w:szCs w:val="20"/>
                <w:lang w:eastAsia="pt-BR"/>
              </w:rPr>
              <w:t>/</w:t>
            </w:r>
            <w:r>
              <w:rPr>
                <w:rFonts w:eastAsia="Times New Roman" w:cs="Arial"/>
                <w:b/>
                <w:bCs/>
                <w:color w:val="000000"/>
                <w:szCs w:val="20"/>
                <w:lang w:eastAsia="pt-BR"/>
              </w:rPr>
              <w:t>12</w:t>
            </w:r>
            <w:r w:rsidRPr="00484C19">
              <w:rPr>
                <w:rFonts w:eastAsia="Times New Roman" w:cs="Arial"/>
                <w:b/>
                <w:bCs/>
                <w:color w:val="000000"/>
                <w:szCs w:val="20"/>
                <w:lang w:eastAsia="pt-BR"/>
              </w:rPr>
              <w:t>/201</w:t>
            </w:r>
            <w:r>
              <w:rPr>
                <w:rFonts w:eastAsia="Times New Roman" w:cs="Arial"/>
                <w:b/>
                <w:bCs/>
                <w:color w:val="000000"/>
                <w:szCs w:val="20"/>
                <w:lang w:eastAsia="pt-BR"/>
              </w:rPr>
              <w:t>9</w:t>
            </w:r>
          </w:p>
        </w:tc>
        <w:tc>
          <w:tcPr>
            <w:tcW w:w="1732" w:type="dxa"/>
            <w:tcBorders>
              <w:top w:val="single" w:sz="4" w:space="0" w:color="000000"/>
              <w:left w:val="nil"/>
              <w:bottom w:val="single" w:sz="4" w:space="0" w:color="000000"/>
              <w:right w:val="nil"/>
            </w:tcBorders>
            <w:shd w:val="clear" w:color="auto" w:fill="auto"/>
            <w:noWrap/>
            <w:vAlign w:val="bottom"/>
            <w:hideMark/>
          </w:tcPr>
          <w:p w:rsidR="00C07190" w:rsidRPr="00484C19" w:rsidRDefault="00C07190" w:rsidP="008F4251">
            <w:pPr>
              <w:jc w:val="right"/>
              <w:rPr>
                <w:rFonts w:eastAsia="Times New Roman" w:cs="Arial"/>
                <w:b/>
                <w:bCs/>
                <w:color w:val="000000"/>
                <w:szCs w:val="20"/>
                <w:lang w:eastAsia="pt-BR"/>
              </w:rPr>
            </w:pPr>
            <w:r w:rsidRPr="00484C19">
              <w:rPr>
                <w:rFonts w:eastAsia="Times New Roman" w:cs="Arial"/>
                <w:b/>
                <w:bCs/>
                <w:color w:val="000000"/>
                <w:szCs w:val="20"/>
                <w:lang w:eastAsia="pt-BR"/>
              </w:rPr>
              <w:t>31/12/201</w:t>
            </w:r>
            <w:r>
              <w:rPr>
                <w:rFonts w:eastAsia="Times New Roman" w:cs="Arial"/>
                <w:b/>
                <w:bCs/>
                <w:color w:val="000000"/>
                <w:szCs w:val="20"/>
                <w:lang w:eastAsia="pt-BR"/>
              </w:rPr>
              <w:t>8</w:t>
            </w:r>
          </w:p>
        </w:tc>
        <w:tc>
          <w:tcPr>
            <w:tcW w:w="1865" w:type="dxa"/>
            <w:tcBorders>
              <w:top w:val="single" w:sz="4" w:space="0" w:color="000000"/>
              <w:left w:val="nil"/>
              <w:bottom w:val="single" w:sz="4" w:space="0" w:color="000000"/>
              <w:right w:val="nil"/>
            </w:tcBorders>
            <w:shd w:val="clear" w:color="auto" w:fill="auto"/>
            <w:noWrap/>
            <w:vAlign w:val="bottom"/>
            <w:hideMark/>
          </w:tcPr>
          <w:p w:rsidR="00C07190" w:rsidRPr="00484C19" w:rsidRDefault="00C07190" w:rsidP="008F4251">
            <w:pPr>
              <w:jc w:val="right"/>
              <w:rPr>
                <w:rFonts w:eastAsia="Times New Roman" w:cs="Arial"/>
                <w:b/>
                <w:bCs/>
                <w:color w:val="000000"/>
                <w:szCs w:val="20"/>
                <w:lang w:eastAsia="pt-BR"/>
              </w:rPr>
            </w:pPr>
            <w:r w:rsidRPr="00484C19">
              <w:rPr>
                <w:rFonts w:eastAsia="Times New Roman" w:cs="Arial"/>
                <w:b/>
                <w:bCs/>
                <w:color w:val="000000"/>
                <w:szCs w:val="20"/>
                <w:lang w:eastAsia="pt-BR"/>
              </w:rPr>
              <w:t>AH %</w:t>
            </w:r>
          </w:p>
        </w:tc>
        <w:tc>
          <w:tcPr>
            <w:tcW w:w="930" w:type="dxa"/>
            <w:tcBorders>
              <w:top w:val="single" w:sz="4" w:space="0" w:color="000000"/>
              <w:left w:val="nil"/>
              <w:bottom w:val="single" w:sz="4" w:space="0" w:color="000000"/>
              <w:right w:val="nil"/>
            </w:tcBorders>
            <w:shd w:val="clear" w:color="auto" w:fill="auto"/>
            <w:noWrap/>
            <w:vAlign w:val="bottom"/>
            <w:hideMark/>
          </w:tcPr>
          <w:p w:rsidR="00C07190" w:rsidRPr="00484C19" w:rsidRDefault="00C07190" w:rsidP="008F4251">
            <w:pPr>
              <w:jc w:val="right"/>
              <w:rPr>
                <w:rFonts w:eastAsia="Times New Roman" w:cs="Arial"/>
                <w:b/>
                <w:bCs/>
                <w:color w:val="000000"/>
                <w:szCs w:val="20"/>
                <w:lang w:eastAsia="pt-BR"/>
              </w:rPr>
            </w:pPr>
            <w:r w:rsidRPr="00484C19">
              <w:rPr>
                <w:rFonts w:eastAsia="Times New Roman" w:cs="Arial"/>
                <w:b/>
                <w:bCs/>
                <w:color w:val="000000"/>
                <w:szCs w:val="20"/>
                <w:lang w:eastAsia="pt-BR"/>
              </w:rPr>
              <w:t>AV %</w:t>
            </w:r>
          </w:p>
        </w:tc>
      </w:tr>
      <w:tr w:rsidR="00C07190" w:rsidRPr="00484C19" w:rsidTr="008F4251">
        <w:trPr>
          <w:trHeight w:val="229"/>
        </w:trPr>
        <w:tc>
          <w:tcPr>
            <w:tcW w:w="2694" w:type="dxa"/>
            <w:tcBorders>
              <w:top w:val="nil"/>
              <w:left w:val="nil"/>
              <w:bottom w:val="nil"/>
              <w:right w:val="nil"/>
            </w:tcBorders>
            <w:shd w:val="clear" w:color="D9D9D9" w:fill="D9D9D9"/>
            <w:noWrap/>
            <w:vAlign w:val="bottom"/>
            <w:hideMark/>
          </w:tcPr>
          <w:p w:rsidR="00C07190" w:rsidRPr="00484C19" w:rsidRDefault="00C07190" w:rsidP="008F4251">
            <w:pPr>
              <w:jc w:val="left"/>
              <w:rPr>
                <w:rFonts w:eastAsia="Times New Roman" w:cs="Arial"/>
                <w:color w:val="000000"/>
                <w:szCs w:val="20"/>
                <w:lang w:eastAsia="pt-BR"/>
              </w:rPr>
            </w:pPr>
            <w:r>
              <w:rPr>
                <w:rFonts w:eastAsia="Times New Roman" w:cs="Arial"/>
                <w:color w:val="000000"/>
                <w:szCs w:val="20"/>
                <w:lang w:eastAsia="pt-BR"/>
              </w:rPr>
              <w:t>Serviços</w:t>
            </w:r>
          </w:p>
        </w:tc>
        <w:tc>
          <w:tcPr>
            <w:tcW w:w="1970" w:type="dxa"/>
            <w:tcBorders>
              <w:top w:val="nil"/>
              <w:left w:val="nil"/>
              <w:bottom w:val="nil"/>
              <w:right w:val="nil"/>
            </w:tcBorders>
            <w:shd w:val="clear" w:color="D9D9D9" w:fill="D9D9D9"/>
            <w:noWrap/>
            <w:vAlign w:val="bottom"/>
            <w:hideMark/>
          </w:tcPr>
          <w:p w:rsidR="00C07190" w:rsidRPr="00484C19" w:rsidRDefault="00C07190" w:rsidP="008F4251">
            <w:pPr>
              <w:jc w:val="right"/>
              <w:rPr>
                <w:rFonts w:eastAsia="Times New Roman" w:cs="Arial"/>
                <w:color w:val="000000"/>
                <w:szCs w:val="20"/>
                <w:lang w:eastAsia="pt-BR"/>
              </w:rPr>
            </w:pPr>
            <w:r>
              <w:rPr>
                <w:rFonts w:eastAsia="Times New Roman" w:cs="Arial"/>
                <w:color w:val="000000"/>
                <w:szCs w:val="20"/>
                <w:lang w:eastAsia="pt-BR"/>
              </w:rPr>
              <w:t>215.136.0</w:t>
            </w:r>
            <w:r w:rsidRPr="00095B93">
              <w:rPr>
                <w:rFonts w:eastAsia="Times New Roman" w:cs="Arial"/>
                <w:color w:val="000000"/>
                <w:szCs w:val="20"/>
                <w:lang w:eastAsia="pt-BR"/>
              </w:rPr>
              <w:t>95,</w:t>
            </w:r>
            <w:r>
              <w:rPr>
                <w:rFonts w:eastAsia="Times New Roman" w:cs="Arial"/>
                <w:color w:val="000000"/>
                <w:szCs w:val="20"/>
                <w:lang w:eastAsia="pt-BR"/>
              </w:rPr>
              <w:t>93</w:t>
            </w:r>
          </w:p>
        </w:tc>
        <w:tc>
          <w:tcPr>
            <w:tcW w:w="1732" w:type="dxa"/>
            <w:tcBorders>
              <w:top w:val="nil"/>
              <w:left w:val="nil"/>
              <w:bottom w:val="nil"/>
              <w:right w:val="nil"/>
            </w:tcBorders>
            <w:shd w:val="clear" w:color="D9D9D9" w:fill="D9D9D9"/>
            <w:noWrap/>
            <w:vAlign w:val="bottom"/>
            <w:hideMark/>
          </w:tcPr>
          <w:p w:rsidR="00C07190" w:rsidRPr="00484C19" w:rsidRDefault="00C07190" w:rsidP="008F4251">
            <w:pPr>
              <w:jc w:val="right"/>
              <w:rPr>
                <w:rFonts w:eastAsia="Times New Roman" w:cs="Arial"/>
                <w:color w:val="000000"/>
                <w:szCs w:val="20"/>
                <w:lang w:eastAsia="pt-BR"/>
              </w:rPr>
            </w:pPr>
            <w:r w:rsidRPr="00095B93">
              <w:rPr>
                <w:rFonts w:eastAsia="Times New Roman" w:cs="Arial"/>
                <w:color w:val="000000"/>
                <w:szCs w:val="20"/>
                <w:lang w:eastAsia="pt-BR"/>
              </w:rPr>
              <w:t>164</w:t>
            </w:r>
            <w:r>
              <w:rPr>
                <w:rFonts w:eastAsia="Times New Roman" w:cs="Arial"/>
                <w:color w:val="000000"/>
                <w:szCs w:val="20"/>
                <w:lang w:eastAsia="pt-BR"/>
              </w:rPr>
              <w:t>.</w:t>
            </w:r>
            <w:r w:rsidRPr="00095B93">
              <w:rPr>
                <w:rFonts w:eastAsia="Times New Roman" w:cs="Arial"/>
                <w:color w:val="000000"/>
                <w:szCs w:val="20"/>
                <w:lang w:eastAsia="pt-BR"/>
              </w:rPr>
              <w:t>643</w:t>
            </w:r>
            <w:r>
              <w:rPr>
                <w:rFonts w:eastAsia="Times New Roman" w:cs="Arial"/>
                <w:color w:val="000000"/>
                <w:szCs w:val="20"/>
                <w:lang w:eastAsia="pt-BR"/>
              </w:rPr>
              <w:t>.</w:t>
            </w:r>
            <w:r w:rsidRPr="00095B93">
              <w:rPr>
                <w:rFonts w:eastAsia="Times New Roman" w:cs="Arial"/>
                <w:color w:val="000000"/>
                <w:szCs w:val="20"/>
                <w:lang w:eastAsia="pt-BR"/>
              </w:rPr>
              <w:t>995,54</w:t>
            </w:r>
          </w:p>
        </w:tc>
        <w:tc>
          <w:tcPr>
            <w:tcW w:w="1865" w:type="dxa"/>
            <w:tcBorders>
              <w:top w:val="nil"/>
              <w:left w:val="nil"/>
              <w:bottom w:val="nil"/>
              <w:right w:val="nil"/>
            </w:tcBorders>
            <w:shd w:val="clear" w:color="D9D9D9" w:fill="D9D9D9"/>
            <w:noWrap/>
            <w:vAlign w:val="bottom"/>
            <w:hideMark/>
          </w:tcPr>
          <w:p w:rsidR="00C07190" w:rsidRPr="00484C19" w:rsidRDefault="00C07190" w:rsidP="008F4251">
            <w:pPr>
              <w:jc w:val="right"/>
              <w:rPr>
                <w:rFonts w:eastAsia="Times New Roman" w:cs="Arial"/>
                <w:color w:val="000000"/>
                <w:szCs w:val="20"/>
                <w:lang w:eastAsia="pt-BR"/>
              </w:rPr>
            </w:pPr>
            <w:r>
              <w:rPr>
                <w:rFonts w:eastAsia="Times New Roman" w:cs="Arial"/>
                <w:color w:val="000000"/>
                <w:szCs w:val="20"/>
                <w:lang w:eastAsia="pt-BR"/>
              </w:rPr>
              <w:t>30</w:t>
            </w:r>
            <w:r w:rsidRPr="00484C19">
              <w:rPr>
                <w:rFonts w:eastAsia="Times New Roman" w:cs="Arial"/>
                <w:color w:val="000000"/>
                <w:szCs w:val="20"/>
                <w:lang w:eastAsia="pt-BR"/>
              </w:rPr>
              <w:t>,</w:t>
            </w:r>
            <w:r>
              <w:rPr>
                <w:rFonts w:eastAsia="Times New Roman" w:cs="Arial"/>
                <w:color w:val="000000"/>
                <w:szCs w:val="20"/>
                <w:lang w:eastAsia="pt-BR"/>
              </w:rPr>
              <w:t>67</w:t>
            </w:r>
          </w:p>
        </w:tc>
        <w:tc>
          <w:tcPr>
            <w:tcW w:w="930" w:type="dxa"/>
            <w:tcBorders>
              <w:top w:val="nil"/>
              <w:left w:val="nil"/>
              <w:bottom w:val="nil"/>
              <w:right w:val="nil"/>
            </w:tcBorders>
            <w:shd w:val="clear" w:color="D9D9D9" w:fill="D9D9D9"/>
            <w:noWrap/>
            <w:vAlign w:val="bottom"/>
            <w:hideMark/>
          </w:tcPr>
          <w:p w:rsidR="00C07190" w:rsidRPr="00484C19" w:rsidRDefault="00C07190" w:rsidP="008F4251">
            <w:pPr>
              <w:jc w:val="right"/>
              <w:rPr>
                <w:rFonts w:eastAsia="Times New Roman" w:cs="Arial"/>
                <w:color w:val="000000"/>
                <w:szCs w:val="20"/>
                <w:lang w:eastAsia="pt-BR"/>
              </w:rPr>
            </w:pPr>
            <w:r>
              <w:rPr>
                <w:rFonts w:eastAsia="Times New Roman" w:cs="Arial"/>
                <w:color w:val="000000"/>
                <w:szCs w:val="20"/>
                <w:lang w:eastAsia="pt-BR"/>
              </w:rPr>
              <w:t>91,47</w:t>
            </w:r>
          </w:p>
        </w:tc>
      </w:tr>
      <w:tr w:rsidR="00C07190" w:rsidRPr="00484C19" w:rsidTr="008F4251">
        <w:trPr>
          <w:trHeight w:val="229"/>
        </w:trPr>
        <w:tc>
          <w:tcPr>
            <w:tcW w:w="2694" w:type="dxa"/>
            <w:tcBorders>
              <w:top w:val="nil"/>
              <w:left w:val="nil"/>
              <w:bottom w:val="nil"/>
              <w:right w:val="nil"/>
            </w:tcBorders>
            <w:shd w:val="clear" w:color="auto" w:fill="auto"/>
            <w:noWrap/>
            <w:vAlign w:val="bottom"/>
            <w:hideMark/>
          </w:tcPr>
          <w:p w:rsidR="00C07190" w:rsidRPr="00484C19" w:rsidRDefault="00C07190" w:rsidP="008F4251">
            <w:pPr>
              <w:jc w:val="left"/>
              <w:rPr>
                <w:rFonts w:eastAsia="Times New Roman" w:cs="Arial"/>
                <w:color w:val="000000"/>
                <w:szCs w:val="20"/>
                <w:lang w:eastAsia="pt-BR"/>
              </w:rPr>
            </w:pPr>
            <w:r>
              <w:rPr>
                <w:rFonts w:eastAsia="Times New Roman" w:cs="Arial"/>
                <w:color w:val="000000"/>
                <w:szCs w:val="20"/>
                <w:lang w:eastAsia="pt-BR"/>
              </w:rPr>
              <w:t>Aluguéis</w:t>
            </w:r>
          </w:p>
        </w:tc>
        <w:tc>
          <w:tcPr>
            <w:tcW w:w="1970" w:type="dxa"/>
            <w:tcBorders>
              <w:top w:val="nil"/>
              <w:left w:val="nil"/>
              <w:bottom w:val="nil"/>
              <w:right w:val="nil"/>
            </w:tcBorders>
            <w:shd w:val="clear" w:color="auto" w:fill="auto"/>
            <w:noWrap/>
            <w:vAlign w:val="bottom"/>
            <w:hideMark/>
          </w:tcPr>
          <w:p w:rsidR="00C07190" w:rsidRPr="00484C19" w:rsidRDefault="00C07190" w:rsidP="008F4251">
            <w:pPr>
              <w:jc w:val="right"/>
              <w:rPr>
                <w:rFonts w:eastAsia="Times New Roman" w:cs="Arial"/>
                <w:color w:val="000000"/>
                <w:szCs w:val="20"/>
                <w:lang w:eastAsia="pt-BR"/>
              </w:rPr>
            </w:pPr>
            <w:r>
              <w:rPr>
                <w:rFonts w:eastAsia="Times New Roman" w:cs="Arial"/>
                <w:color w:val="000000"/>
                <w:szCs w:val="20"/>
                <w:lang w:eastAsia="pt-BR"/>
              </w:rPr>
              <w:t>5.577.</w:t>
            </w:r>
            <w:r w:rsidRPr="00095B93">
              <w:rPr>
                <w:rFonts w:eastAsia="Times New Roman" w:cs="Arial"/>
                <w:color w:val="000000"/>
                <w:szCs w:val="20"/>
                <w:lang w:eastAsia="pt-BR"/>
              </w:rPr>
              <w:t>0</w:t>
            </w:r>
            <w:r>
              <w:rPr>
                <w:rFonts w:eastAsia="Times New Roman" w:cs="Arial"/>
                <w:color w:val="000000"/>
                <w:szCs w:val="20"/>
                <w:lang w:eastAsia="pt-BR"/>
              </w:rPr>
              <w:t>57</w:t>
            </w:r>
            <w:r w:rsidRPr="00095B93">
              <w:rPr>
                <w:rFonts w:eastAsia="Times New Roman" w:cs="Arial"/>
                <w:color w:val="000000"/>
                <w:szCs w:val="20"/>
                <w:lang w:eastAsia="pt-BR"/>
              </w:rPr>
              <w:t>,</w:t>
            </w:r>
            <w:r>
              <w:rPr>
                <w:rFonts w:eastAsia="Times New Roman" w:cs="Arial"/>
                <w:color w:val="000000"/>
                <w:szCs w:val="20"/>
                <w:lang w:eastAsia="pt-BR"/>
              </w:rPr>
              <w:t>94</w:t>
            </w:r>
          </w:p>
        </w:tc>
        <w:tc>
          <w:tcPr>
            <w:tcW w:w="1732" w:type="dxa"/>
            <w:tcBorders>
              <w:top w:val="nil"/>
              <w:left w:val="nil"/>
              <w:bottom w:val="nil"/>
              <w:right w:val="nil"/>
            </w:tcBorders>
            <w:shd w:val="clear" w:color="auto" w:fill="auto"/>
            <w:noWrap/>
            <w:vAlign w:val="bottom"/>
            <w:hideMark/>
          </w:tcPr>
          <w:p w:rsidR="00C07190" w:rsidRPr="00484C19" w:rsidRDefault="00C07190" w:rsidP="008F4251">
            <w:pPr>
              <w:jc w:val="right"/>
              <w:rPr>
                <w:rFonts w:eastAsia="Times New Roman" w:cs="Arial"/>
                <w:color w:val="000000"/>
                <w:szCs w:val="20"/>
                <w:lang w:eastAsia="pt-BR"/>
              </w:rPr>
            </w:pPr>
            <w:r w:rsidRPr="00095B93">
              <w:rPr>
                <w:rFonts w:eastAsia="Times New Roman" w:cs="Arial"/>
                <w:color w:val="000000"/>
                <w:szCs w:val="20"/>
                <w:lang w:eastAsia="pt-BR"/>
              </w:rPr>
              <w:t>4</w:t>
            </w:r>
            <w:r>
              <w:rPr>
                <w:rFonts w:eastAsia="Times New Roman" w:cs="Arial"/>
                <w:color w:val="000000"/>
                <w:szCs w:val="20"/>
                <w:lang w:eastAsia="pt-BR"/>
              </w:rPr>
              <w:t>.</w:t>
            </w:r>
            <w:r w:rsidRPr="00095B93">
              <w:rPr>
                <w:rFonts w:eastAsia="Times New Roman" w:cs="Arial"/>
                <w:color w:val="000000"/>
                <w:szCs w:val="20"/>
                <w:lang w:eastAsia="pt-BR"/>
              </w:rPr>
              <w:t>857</w:t>
            </w:r>
            <w:r>
              <w:rPr>
                <w:rFonts w:eastAsia="Times New Roman" w:cs="Arial"/>
                <w:color w:val="000000"/>
                <w:szCs w:val="20"/>
                <w:lang w:eastAsia="pt-BR"/>
              </w:rPr>
              <w:t>.</w:t>
            </w:r>
            <w:r w:rsidRPr="00095B93">
              <w:rPr>
                <w:rFonts w:eastAsia="Times New Roman" w:cs="Arial"/>
                <w:color w:val="000000"/>
                <w:szCs w:val="20"/>
                <w:lang w:eastAsia="pt-BR"/>
              </w:rPr>
              <w:t>041,10</w:t>
            </w:r>
          </w:p>
        </w:tc>
        <w:tc>
          <w:tcPr>
            <w:tcW w:w="1865" w:type="dxa"/>
            <w:tcBorders>
              <w:top w:val="nil"/>
              <w:left w:val="nil"/>
              <w:bottom w:val="nil"/>
              <w:right w:val="nil"/>
            </w:tcBorders>
            <w:shd w:val="clear" w:color="auto" w:fill="auto"/>
            <w:noWrap/>
            <w:vAlign w:val="bottom"/>
            <w:hideMark/>
          </w:tcPr>
          <w:p w:rsidR="00C07190" w:rsidRPr="00484C19" w:rsidRDefault="00C07190" w:rsidP="008F4251">
            <w:pPr>
              <w:jc w:val="right"/>
              <w:rPr>
                <w:rFonts w:eastAsia="Times New Roman" w:cs="Arial"/>
                <w:color w:val="000000"/>
                <w:szCs w:val="20"/>
                <w:lang w:eastAsia="pt-BR"/>
              </w:rPr>
            </w:pPr>
            <w:r>
              <w:rPr>
                <w:rFonts w:eastAsia="Times New Roman" w:cs="Arial"/>
                <w:color w:val="000000"/>
                <w:szCs w:val="20"/>
                <w:lang w:eastAsia="pt-BR"/>
              </w:rPr>
              <w:t>14</w:t>
            </w:r>
            <w:r w:rsidRPr="00484C19">
              <w:rPr>
                <w:rFonts w:eastAsia="Times New Roman" w:cs="Arial"/>
                <w:color w:val="000000"/>
                <w:szCs w:val="20"/>
                <w:lang w:eastAsia="pt-BR"/>
              </w:rPr>
              <w:t>,</w:t>
            </w:r>
            <w:r>
              <w:rPr>
                <w:rFonts w:eastAsia="Times New Roman" w:cs="Arial"/>
                <w:color w:val="000000"/>
                <w:szCs w:val="20"/>
                <w:lang w:eastAsia="pt-BR"/>
              </w:rPr>
              <w:t>82</w:t>
            </w:r>
          </w:p>
        </w:tc>
        <w:tc>
          <w:tcPr>
            <w:tcW w:w="930" w:type="dxa"/>
            <w:tcBorders>
              <w:top w:val="nil"/>
              <w:left w:val="nil"/>
              <w:bottom w:val="nil"/>
              <w:right w:val="nil"/>
            </w:tcBorders>
            <w:shd w:val="clear" w:color="auto" w:fill="auto"/>
            <w:noWrap/>
            <w:vAlign w:val="bottom"/>
            <w:hideMark/>
          </w:tcPr>
          <w:p w:rsidR="00C07190" w:rsidRPr="00484C19" w:rsidRDefault="00C07190" w:rsidP="008F4251">
            <w:pPr>
              <w:jc w:val="right"/>
              <w:rPr>
                <w:rFonts w:eastAsia="Times New Roman" w:cs="Arial"/>
                <w:color w:val="000000"/>
                <w:szCs w:val="20"/>
                <w:lang w:eastAsia="pt-BR"/>
              </w:rPr>
            </w:pPr>
            <w:r>
              <w:rPr>
                <w:rFonts w:eastAsia="Times New Roman" w:cs="Arial"/>
                <w:color w:val="000000"/>
                <w:szCs w:val="20"/>
                <w:lang w:eastAsia="pt-BR"/>
              </w:rPr>
              <w:t>2</w:t>
            </w:r>
            <w:r w:rsidRPr="00484C19">
              <w:rPr>
                <w:rFonts w:eastAsia="Times New Roman" w:cs="Arial"/>
                <w:color w:val="000000"/>
                <w:szCs w:val="20"/>
                <w:lang w:eastAsia="pt-BR"/>
              </w:rPr>
              <w:t>,</w:t>
            </w:r>
            <w:r>
              <w:rPr>
                <w:rFonts w:eastAsia="Times New Roman" w:cs="Arial"/>
                <w:color w:val="000000"/>
                <w:szCs w:val="20"/>
                <w:lang w:eastAsia="pt-BR"/>
              </w:rPr>
              <w:t>37</w:t>
            </w:r>
          </w:p>
        </w:tc>
      </w:tr>
      <w:tr w:rsidR="00C07190" w:rsidRPr="00484C19" w:rsidTr="008F4251">
        <w:trPr>
          <w:trHeight w:val="229"/>
        </w:trPr>
        <w:tc>
          <w:tcPr>
            <w:tcW w:w="2694" w:type="dxa"/>
            <w:tcBorders>
              <w:top w:val="nil"/>
              <w:left w:val="nil"/>
              <w:bottom w:val="nil"/>
              <w:right w:val="nil"/>
            </w:tcBorders>
            <w:shd w:val="clear" w:color="auto" w:fill="D9D9D9" w:themeFill="background1" w:themeFillShade="D9"/>
            <w:noWrap/>
            <w:vAlign w:val="bottom"/>
            <w:hideMark/>
          </w:tcPr>
          <w:p w:rsidR="00C07190" w:rsidRPr="00484C19" w:rsidRDefault="00C07190" w:rsidP="008F4251">
            <w:pPr>
              <w:jc w:val="left"/>
              <w:rPr>
                <w:rFonts w:eastAsia="Times New Roman" w:cs="Arial"/>
                <w:color w:val="000000"/>
                <w:szCs w:val="20"/>
                <w:lang w:eastAsia="pt-BR"/>
              </w:rPr>
            </w:pPr>
            <w:r>
              <w:rPr>
                <w:rFonts w:eastAsia="Times New Roman" w:cs="Arial"/>
                <w:color w:val="000000"/>
                <w:szCs w:val="20"/>
                <w:lang w:eastAsia="pt-BR"/>
              </w:rPr>
              <w:t>Bens</w:t>
            </w:r>
          </w:p>
        </w:tc>
        <w:tc>
          <w:tcPr>
            <w:tcW w:w="1970" w:type="dxa"/>
            <w:tcBorders>
              <w:top w:val="nil"/>
              <w:left w:val="nil"/>
              <w:bottom w:val="nil"/>
              <w:right w:val="nil"/>
            </w:tcBorders>
            <w:shd w:val="clear" w:color="auto" w:fill="D9D9D9" w:themeFill="background1" w:themeFillShade="D9"/>
            <w:noWrap/>
            <w:vAlign w:val="bottom"/>
            <w:hideMark/>
          </w:tcPr>
          <w:p w:rsidR="00C07190" w:rsidRPr="00484C19" w:rsidRDefault="00C07190" w:rsidP="008F4251">
            <w:pPr>
              <w:jc w:val="right"/>
              <w:rPr>
                <w:rFonts w:eastAsia="Times New Roman" w:cs="Arial"/>
                <w:color w:val="000000"/>
                <w:szCs w:val="20"/>
                <w:lang w:eastAsia="pt-BR"/>
              </w:rPr>
            </w:pPr>
            <w:r>
              <w:rPr>
                <w:rFonts w:eastAsia="Times New Roman" w:cs="Arial"/>
                <w:color w:val="000000"/>
                <w:szCs w:val="20"/>
                <w:lang w:eastAsia="pt-BR"/>
              </w:rPr>
              <w:t>1</w:t>
            </w:r>
            <w:r w:rsidRPr="00095B93">
              <w:rPr>
                <w:rFonts w:eastAsia="Times New Roman" w:cs="Arial"/>
                <w:color w:val="000000"/>
                <w:szCs w:val="20"/>
                <w:lang w:eastAsia="pt-BR"/>
              </w:rPr>
              <w:t>4</w:t>
            </w:r>
            <w:r>
              <w:rPr>
                <w:rFonts w:eastAsia="Times New Roman" w:cs="Arial"/>
                <w:color w:val="000000"/>
                <w:szCs w:val="20"/>
                <w:lang w:eastAsia="pt-BR"/>
              </w:rPr>
              <w:t>.</w:t>
            </w:r>
            <w:r w:rsidRPr="00095B93">
              <w:rPr>
                <w:rFonts w:eastAsia="Times New Roman" w:cs="Arial"/>
                <w:color w:val="000000"/>
                <w:szCs w:val="20"/>
                <w:lang w:eastAsia="pt-BR"/>
              </w:rPr>
              <w:t>4</w:t>
            </w:r>
            <w:r>
              <w:rPr>
                <w:rFonts w:eastAsia="Times New Roman" w:cs="Arial"/>
                <w:color w:val="000000"/>
                <w:szCs w:val="20"/>
                <w:lang w:eastAsia="pt-BR"/>
              </w:rPr>
              <w:t>9</w:t>
            </w:r>
            <w:r w:rsidRPr="00095B93">
              <w:rPr>
                <w:rFonts w:eastAsia="Times New Roman" w:cs="Arial"/>
                <w:color w:val="000000"/>
                <w:szCs w:val="20"/>
                <w:lang w:eastAsia="pt-BR"/>
              </w:rPr>
              <w:t>1</w:t>
            </w:r>
            <w:r>
              <w:rPr>
                <w:rFonts w:eastAsia="Times New Roman" w:cs="Arial"/>
                <w:color w:val="000000"/>
                <w:szCs w:val="20"/>
                <w:lang w:eastAsia="pt-BR"/>
              </w:rPr>
              <w:t>.163</w:t>
            </w:r>
            <w:r w:rsidRPr="00095B93">
              <w:rPr>
                <w:rFonts w:eastAsia="Times New Roman" w:cs="Arial"/>
                <w:color w:val="000000"/>
                <w:szCs w:val="20"/>
                <w:lang w:eastAsia="pt-BR"/>
              </w:rPr>
              <w:t>,6</w:t>
            </w:r>
            <w:r>
              <w:rPr>
                <w:rFonts w:eastAsia="Times New Roman" w:cs="Arial"/>
                <w:color w:val="000000"/>
                <w:szCs w:val="20"/>
                <w:lang w:eastAsia="pt-BR"/>
              </w:rPr>
              <w:t>9</w:t>
            </w:r>
          </w:p>
        </w:tc>
        <w:tc>
          <w:tcPr>
            <w:tcW w:w="1732" w:type="dxa"/>
            <w:tcBorders>
              <w:top w:val="nil"/>
              <w:left w:val="nil"/>
              <w:bottom w:val="nil"/>
              <w:right w:val="nil"/>
            </w:tcBorders>
            <w:shd w:val="clear" w:color="auto" w:fill="D9D9D9" w:themeFill="background1" w:themeFillShade="D9"/>
            <w:noWrap/>
            <w:vAlign w:val="bottom"/>
            <w:hideMark/>
          </w:tcPr>
          <w:p w:rsidR="00C07190" w:rsidRPr="00484C19" w:rsidRDefault="00C07190" w:rsidP="008F4251">
            <w:pPr>
              <w:jc w:val="right"/>
              <w:rPr>
                <w:rFonts w:eastAsia="Times New Roman" w:cs="Arial"/>
                <w:color w:val="000000"/>
                <w:szCs w:val="20"/>
                <w:lang w:eastAsia="pt-BR"/>
              </w:rPr>
            </w:pPr>
            <w:r w:rsidRPr="00095B93">
              <w:rPr>
                <w:rFonts w:eastAsia="Times New Roman" w:cs="Arial"/>
                <w:color w:val="000000"/>
                <w:szCs w:val="20"/>
                <w:lang w:eastAsia="pt-BR"/>
              </w:rPr>
              <w:t>4</w:t>
            </w:r>
            <w:r>
              <w:rPr>
                <w:rFonts w:eastAsia="Times New Roman" w:cs="Arial"/>
                <w:color w:val="000000"/>
                <w:szCs w:val="20"/>
                <w:lang w:eastAsia="pt-BR"/>
              </w:rPr>
              <w:t>.</w:t>
            </w:r>
            <w:r w:rsidRPr="00095B93">
              <w:rPr>
                <w:rFonts w:eastAsia="Times New Roman" w:cs="Arial"/>
                <w:color w:val="000000"/>
                <w:szCs w:val="20"/>
                <w:lang w:eastAsia="pt-BR"/>
              </w:rPr>
              <w:t>416</w:t>
            </w:r>
            <w:r>
              <w:rPr>
                <w:rFonts w:eastAsia="Times New Roman" w:cs="Arial"/>
                <w:color w:val="000000"/>
                <w:szCs w:val="20"/>
                <w:lang w:eastAsia="pt-BR"/>
              </w:rPr>
              <w:t>.</w:t>
            </w:r>
            <w:r w:rsidRPr="00095B93">
              <w:rPr>
                <w:rFonts w:eastAsia="Times New Roman" w:cs="Arial"/>
                <w:color w:val="000000"/>
                <w:szCs w:val="20"/>
                <w:lang w:eastAsia="pt-BR"/>
              </w:rPr>
              <w:t>075,56</w:t>
            </w:r>
          </w:p>
        </w:tc>
        <w:tc>
          <w:tcPr>
            <w:tcW w:w="1865" w:type="dxa"/>
            <w:tcBorders>
              <w:top w:val="nil"/>
              <w:left w:val="nil"/>
              <w:bottom w:val="nil"/>
              <w:right w:val="nil"/>
            </w:tcBorders>
            <w:shd w:val="clear" w:color="auto" w:fill="D9D9D9" w:themeFill="background1" w:themeFillShade="D9"/>
            <w:noWrap/>
            <w:vAlign w:val="bottom"/>
            <w:hideMark/>
          </w:tcPr>
          <w:p w:rsidR="00C07190" w:rsidRPr="00484C19" w:rsidRDefault="00C07190" w:rsidP="008F4251">
            <w:pPr>
              <w:jc w:val="right"/>
              <w:rPr>
                <w:rFonts w:eastAsia="Times New Roman" w:cs="Arial"/>
                <w:color w:val="000000"/>
                <w:szCs w:val="20"/>
                <w:lang w:eastAsia="pt-BR"/>
              </w:rPr>
            </w:pPr>
            <w:r>
              <w:rPr>
                <w:rFonts w:eastAsia="Times New Roman" w:cs="Arial"/>
                <w:color w:val="000000"/>
                <w:szCs w:val="20"/>
                <w:lang w:eastAsia="pt-BR"/>
              </w:rPr>
              <w:t>370</w:t>
            </w:r>
            <w:r w:rsidRPr="00484C19">
              <w:rPr>
                <w:rFonts w:eastAsia="Times New Roman" w:cs="Arial"/>
                <w:color w:val="000000"/>
                <w:szCs w:val="20"/>
                <w:lang w:eastAsia="pt-BR"/>
              </w:rPr>
              <w:t>,</w:t>
            </w:r>
            <w:r>
              <w:rPr>
                <w:rFonts w:eastAsia="Times New Roman" w:cs="Arial"/>
                <w:color w:val="000000"/>
                <w:szCs w:val="20"/>
                <w:lang w:eastAsia="pt-BR"/>
              </w:rPr>
              <w:t>76</w:t>
            </w:r>
          </w:p>
        </w:tc>
        <w:tc>
          <w:tcPr>
            <w:tcW w:w="930" w:type="dxa"/>
            <w:tcBorders>
              <w:top w:val="nil"/>
              <w:left w:val="nil"/>
              <w:bottom w:val="nil"/>
              <w:right w:val="nil"/>
            </w:tcBorders>
            <w:shd w:val="clear" w:color="auto" w:fill="D9D9D9" w:themeFill="background1" w:themeFillShade="D9"/>
            <w:noWrap/>
            <w:vAlign w:val="bottom"/>
            <w:hideMark/>
          </w:tcPr>
          <w:p w:rsidR="00C07190" w:rsidRPr="00484C19" w:rsidRDefault="00C07190" w:rsidP="008F4251">
            <w:pPr>
              <w:jc w:val="right"/>
              <w:rPr>
                <w:rFonts w:eastAsia="Times New Roman" w:cs="Arial"/>
                <w:color w:val="000000"/>
                <w:szCs w:val="20"/>
                <w:lang w:eastAsia="pt-BR"/>
              </w:rPr>
            </w:pPr>
            <w:r>
              <w:rPr>
                <w:rFonts w:eastAsia="Times New Roman" w:cs="Arial"/>
                <w:color w:val="000000"/>
                <w:szCs w:val="20"/>
                <w:lang w:eastAsia="pt-BR"/>
              </w:rPr>
              <w:t>6</w:t>
            </w:r>
            <w:r w:rsidRPr="00484C19">
              <w:rPr>
                <w:rFonts w:eastAsia="Times New Roman" w:cs="Arial"/>
                <w:color w:val="000000"/>
                <w:szCs w:val="20"/>
                <w:lang w:eastAsia="pt-BR"/>
              </w:rPr>
              <w:t>,</w:t>
            </w:r>
            <w:r>
              <w:rPr>
                <w:rFonts w:eastAsia="Times New Roman" w:cs="Arial"/>
                <w:color w:val="000000"/>
                <w:szCs w:val="20"/>
                <w:lang w:eastAsia="pt-BR"/>
              </w:rPr>
              <w:t>16</w:t>
            </w:r>
          </w:p>
        </w:tc>
      </w:tr>
      <w:tr w:rsidR="00C07190" w:rsidRPr="00484C19" w:rsidTr="008F4251">
        <w:trPr>
          <w:trHeight w:val="229"/>
        </w:trPr>
        <w:tc>
          <w:tcPr>
            <w:tcW w:w="2694" w:type="dxa"/>
            <w:tcBorders>
              <w:top w:val="nil"/>
              <w:left w:val="nil"/>
              <w:bottom w:val="single" w:sz="4" w:space="0" w:color="000000"/>
              <w:right w:val="nil"/>
            </w:tcBorders>
            <w:shd w:val="clear" w:color="auto" w:fill="auto"/>
            <w:noWrap/>
            <w:vAlign w:val="bottom"/>
            <w:hideMark/>
          </w:tcPr>
          <w:p w:rsidR="00C07190" w:rsidRPr="00484C19" w:rsidRDefault="00C07190" w:rsidP="008F4251">
            <w:pPr>
              <w:jc w:val="left"/>
              <w:rPr>
                <w:rFonts w:eastAsia="Times New Roman" w:cs="Arial"/>
                <w:b/>
                <w:bCs/>
                <w:color w:val="000000"/>
                <w:szCs w:val="20"/>
                <w:lang w:eastAsia="pt-BR"/>
              </w:rPr>
            </w:pPr>
            <w:r w:rsidRPr="00484C19">
              <w:rPr>
                <w:rFonts w:eastAsia="Times New Roman" w:cs="Arial"/>
                <w:b/>
                <w:bCs/>
                <w:color w:val="000000"/>
                <w:szCs w:val="20"/>
                <w:lang w:eastAsia="pt-BR"/>
              </w:rPr>
              <w:t>Total</w:t>
            </w:r>
          </w:p>
        </w:tc>
        <w:tc>
          <w:tcPr>
            <w:tcW w:w="1970" w:type="dxa"/>
            <w:tcBorders>
              <w:top w:val="nil"/>
              <w:left w:val="nil"/>
              <w:bottom w:val="single" w:sz="4" w:space="0" w:color="000000"/>
              <w:right w:val="nil"/>
            </w:tcBorders>
            <w:shd w:val="clear" w:color="auto" w:fill="auto"/>
            <w:noWrap/>
            <w:vAlign w:val="bottom"/>
            <w:hideMark/>
          </w:tcPr>
          <w:p w:rsidR="00C07190" w:rsidRPr="00484C19" w:rsidRDefault="00C07190" w:rsidP="008F4251">
            <w:pPr>
              <w:jc w:val="right"/>
              <w:rPr>
                <w:rFonts w:eastAsia="Times New Roman" w:cs="Arial"/>
                <w:b/>
                <w:bCs/>
                <w:color w:val="000000"/>
                <w:szCs w:val="20"/>
                <w:lang w:eastAsia="pt-BR"/>
              </w:rPr>
            </w:pPr>
            <w:r>
              <w:rPr>
                <w:rFonts w:eastAsia="Times New Roman" w:cs="Arial"/>
                <w:b/>
                <w:bCs/>
                <w:color w:val="000000"/>
                <w:szCs w:val="20"/>
                <w:lang w:eastAsia="pt-BR"/>
              </w:rPr>
              <w:t>235.204.317,56</w:t>
            </w:r>
          </w:p>
        </w:tc>
        <w:tc>
          <w:tcPr>
            <w:tcW w:w="1732" w:type="dxa"/>
            <w:tcBorders>
              <w:top w:val="nil"/>
              <w:left w:val="nil"/>
              <w:bottom w:val="single" w:sz="4" w:space="0" w:color="000000"/>
              <w:right w:val="nil"/>
            </w:tcBorders>
            <w:shd w:val="clear" w:color="auto" w:fill="auto"/>
            <w:noWrap/>
            <w:vAlign w:val="bottom"/>
            <w:hideMark/>
          </w:tcPr>
          <w:p w:rsidR="00C07190" w:rsidRPr="00484C19" w:rsidRDefault="00C07190" w:rsidP="008F4251">
            <w:pPr>
              <w:jc w:val="right"/>
              <w:rPr>
                <w:rFonts w:eastAsia="Times New Roman" w:cs="Arial"/>
                <w:b/>
                <w:bCs/>
                <w:color w:val="000000"/>
                <w:szCs w:val="20"/>
                <w:lang w:eastAsia="pt-BR"/>
              </w:rPr>
            </w:pPr>
            <w:r>
              <w:rPr>
                <w:rFonts w:eastAsia="Times New Roman" w:cs="Arial"/>
                <w:b/>
                <w:bCs/>
                <w:color w:val="000000"/>
                <w:szCs w:val="20"/>
                <w:lang w:eastAsia="pt-BR"/>
              </w:rPr>
              <w:t>173.917.112,20</w:t>
            </w:r>
          </w:p>
        </w:tc>
        <w:tc>
          <w:tcPr>
            <w:tcW w:w="1865" w:type="dxa"/>
            <w:tcBorders>
              <w:top w:val="nil"/>
              <w:left w:val="nil"/>
              <w:bottom w:val="single" w:sz="4" w:space="0" w:color="000000"/>
              <w:right w:val="nil"/>
            </w:tcBorders>
            <w:shd w:val="clear" w:color="auto" w:fill="auto"/>
            <w:noWrap/>
            <w:vAlign w:val="bottom"/>
            <w:hideMark/>
          </w:tcPr>
          <w:p w:rsidR="00C07190" w:rsidRPr="00484C19" w:rsidRDefault="00C07190" w:rsidP="008F4251">
            <w:pPr>
              <w:jc w:val="right"/>
              <w:rPr>
                <w:rFonts w:eastAsia="Times New Roman" w:cs="Arial"/>
                <w:b/>
                <w:bCs/>
                <w:color w:val="000000"/>
                <w:szCs w:val="20"/>
                <w:lang w:eastAsia="pt-BR"/>
              </w:rPr>
            </w:pPr>
            <w:r>
              <w:rPr>
                <w:rFonts w:eastAsia="Times New Roman" w:cs="Arial"/>
                <w:b/>
                <w:bCs/>
                <w:color w:val="000000"/>
                <w:szCs w:val="20"/>
                <w:lang w:eastAsia="pt-BR"/>
              </w:rPr>
              <w:t>36,29</w:t>
            </w:r>
          </w:p>
        </w:tc>
        <w:tc>
          <w:tcPr>
            <w:tcW w:w="930" w:type="dxa"/>
            <w:tcBorders>
              <w:top w:val="nil"/>
              <w:left w:val="nil"/>
              <w:bottom w:val="single" w:sz="4" w:space="0" w:color="000000"/>
              <w:right w:val="nil"/>
            </w:tcBorders>
            <w:shd w:val="clear" w:color="auto" w:fill="auto"/>
            <w:noWrap/>
            <w:vAlign w:val="bottom"/>
            <w:hideMark/>
          </w:tcPr>
          <w:p w:rsidR="00C07190" w:rsidRPr="00484C19" w:rsidRDefault="00C07190" w:rsidP="008F4251">
            <w:pPr>
              <w:jc w:val="right"/>
              <w:rPr>
                <w:rFonts w:eastAsia="Times New Roman" w:cs="Arial"/>
                <w:b/>
                <w:bCs/>
                <w:color w:val="000000"/>
                <w:szCs w:val="20"/>
                <w:lang w:eastAsia="pt-BR"/>
              </w:rPr>
            </w:pPr>
            <w:r>
              <w:rPr>
                <w:rFonts w:eastAsia="Times New Roman" w:cs="Arial"/>
                <w:b/>
                <w:bCs/>
                <w:color w:val="000000"/>
                <w:szCs w:val="20"/>
                <w:lang w:eastAsia="pt-BR"/>
              </w:rPr>
              <w:t>10</w:t>
            </w:r>
            <w:r w:rsidRPr="00484C19">
              <w:rPr>
                <w:rFonts w:eastAsia="Times New Roman" w:cs="Arial"/>
                <w:b/>
                <w:bCs/>
                <w:color w:val="000000"/>
                <w:szCs w:val="20"/>
                <w:lang w:eastAsia="pt-BR"/>
              </w:rPr>
              <w:t>0,</w:t>
            </w:r>
            <w:r>
              <w:rPr>
                <w:rFonts w:eastAsia="Times New Roman" w:cs="Arial"/>
                <w:b/>
                <w:bCs/>
                <w:color w:val="000000"/>
                <w:szCs w:val="20"/>
                <w:lang w:eastAsia="pt-BR"/>
              </w:rPr>
              <w:t>00</w:t>
            </w:r>
          </w:p>
        </w:tc>
      </w:tr>
    </w:tbl>
    <w:p w:rsidR="00C07190" w:rsidRDefault="00C07190" w:rsidP="00C07190">
      <w:pPr>
        <w:rPr>
          <w:rFonts w:cs="Arial"/>
          <w:i/>
          <w:szCs w:val="20"/>
        </w:rPr>
      </w:pPr>
      <w:r w:rsidRPr="00484C19">
        <w:rPr>
          <w:rFonts w:cs="Arial"/>
          <w:i/>
          <w:szCs w:val="20"/>
        </w:rPr>
        <w:t>Fonte: SIAFI, 201</w:t>
      </w:r>
      <w:r>
        <w:rPr>
          <w:rFonts w:cs="Arial"/>
          <w:i/>
          <w:szCs w:val="20"/>
        </w:rPr>
        <w:t>9</w:t>
      </w:r>
      <w:r w:rsidRPr="00484C19">
        <w:rPr>
          <w:rFonts w:cs="Arial"/>
          <w:i/>
          <w:szCs w:val="20"/>
        </w:rPr>
        <w:t xml:space="preserve"> e 201</w:t>
      </w:r>
      <w:r>
        <w:rPr>
          <w:rFonts w:cs="Arial"/>
          <w:i/>
          <w:szCs w:val="20"/>
        </w:rPr>
        <w:t>8</w:t>
      </w:r>
      <w:r w:rsidRPr="00484C19">
        <w:rPr>
          <w:rFonts w:cs="Arial"/>
          <w:i/>
          <w:szCs w:val="20"/>
        </w:rPr>
        <w:t>.</w:t>
      </w:r>
    </w:p>
    <w:p w:rsidR="00C07190" w:rsidRDefault="00C07190" w:rsidP="00C07190">
      <w:pPr>
        <w:rPr>
          <w:rFonts w:cs="Arial"/>
          <w:i/>
          <w:szCs w:val="20"/>
        </w:rPr>
      </w:pPr>
    </w:p>
    <w:p w:rsidR="00C07190" w:rsidRPr="00E00CD2" w:rsidRDefault="00C07190" w:rsidP="00C07190">
      <w:pPr>
        <w:rPr>
          <w:rFonts w:cs="Arial"/>
          <w:sz w:val="22"/>
        </w:rPr>
      </w:pPr>
      <w:r w:rsidRPr="00E00CD2">
        <w:rPr>
          <w:rFonts w:cs="Arial"/>
          <w:sz w:val="22"/>
        </w:rPr>
        <w:t xml:space="preserve">Importante ressaltar que esses valores se encontram um pouco desatualizados, ou seja, superdimensionados, pela falta do envio por parte das áreas gestoras, das baixas dos termos já encerrados. Contudo, para resolver essa questão, essa Contabilidade está migrando os contratos para subdivisão por termo e assim conseguirá demonstrar de forma fidedigna e detalhada os saldos ao final de 2020. </w:t>
      </w:r>
    </w:p>
    <w:p w:rsidR="00C07190" w:rsidRDefault="00C07190" w:rsidP="00C07190">
      <w:pPr>
        <w:rPr>
          <w:rFonts w:cs="Arial"/>
          <w:sz w:val="22"/>
        </w:rPr>
      </w:pPr>
    </w:p>
    <w:p w:rsidR="00C07190" w:rsidRDefault="00C07190" w:rsidP="00C07190">
      <w:pPr>
        <w:rPr>
          <w:rFonts w:cs="Arial"/>
          <w:b/>
          <w:sz w:val="22"/>
        </w:rPr>
      </w:pPr>
      <w:r w:rsidRPr="00F976AC">
        <w:rPr>
          <w:rFonts w:cs="Arial"/>
          <w:b/>
          <w:sz w:val="22"/>
        </w:rPr>
        <w:t>Tabela</w:t>
      </w:r>
      <w:r>
        <w:rPr>
          <w:rFonts w:cs="Arial"/>
          <w:b/>
          <w:sz w:val="22"/>
        </w:rPr>
        <w:t xml:space="preserve"> 16</w:t>
      </w:r>
      <w:r w:rsidRPr="00F976AC">
        <w:rPr>
          <w:rFonts w:cs="Arial"/>
          <w:b/>
          <w:sz w:val="22"/>
        </w:rPr>
        <w:t xml:space="preserve"> –</w:t>
      </w:r>
      <w:r w:rsidRPr="00407107">
        <w:rPr>
          <w:rFonts w:cs="Arial"/>
          <w:b/>
          <w:sz w:val="22"/>
        </w:rPr>
        <w:t xml:space="preserve"> </w:t>
      </w:r>
      <w:r>
        <w:rPr>
          <w:rFonts w:cs="Arial"/>
          <w:b/>
          <w:sz w:val="22"/>
        </w:rPr>
        <w:t xml:space="preserve">Obrigações Contratuais Executadas </w:t>
      </w:r>
      <w:r w:rsidRPr="00407107">
        <w:rPr>
          <w:rFonts w:cs="Arial"/>
          <w:b/>
          <w:sz w:val="22"/>
        </w:rPr>
        <w:t xml:space="preserve">– </w:t>
      </w:r>
      <w:r>
        <w:rPr>
          <w:rFonts w:cs="Arial"/>
          <w:b/>
          <w:sz w:val="22"/>
        </w:rPr>
        <w:t>2019</w:t>
      </w:r>
    </w:p>
    <w:p w:rsidR="00C07190" w:rsidRDefault="00C07190" w:rsidP="00C07190">
      <w:pPr>
        <w:rPr>
          <w:rFonts w:cs="Arial"/>
          <w:b/>
          <w:sz w:val="22"/>
        </w:rPr>
      </w:pPr>
    </w:p>
    <w:tbl>
      <w:tblPr>
        <w:tblW w:w="9191" w:type="dxa"/>
        <w:tblCellMar>
          <w:left w:w="70" w:type="dxa"/>
          <w:right w:w="70" w:type="dxa"/>
        </w:tblCellMar>
        <w:tblLook w:val="04A0" w:firstRow="1" w:lastRow="0" w:firstColumn="1" w:lastColumn="0" w:noHBand="0" w:noVBand="1"/>
      </w:tblPr>
      <w:tblGrid>
        <w:gridCol w:w="2694"/>
        <w:gridCol w:w="1970"/>
        <w:gridCol w:w="1732"/>
        <w:gridCol w:w="1865"/>
        <w:gridCol w:w="930"/>
      </w:tblGrid>
      <w:tr w:rsidR="00C07190" w:rsidRPr="00484C19" w:rsidTr="008F4251">
        <w:trPr>
          <w:trHeight w:val="229"/>
        </w:trPr>
        <w:tc>
          <w:tcPr>
            <w:tcW w:w="2694" w:type="dxa"/>
            <w:tcBorders>
              <w:top w:val="single" w:sz="4" w:space="0" w:color="000000"/>
              <w:left w:val="nil"/>
              <w:bottom w:val="single" w:sz="4" w:space="0" w:color="000000"/>
              <w:right w:val="nil"/>
            </w:tcBorders>
            <w:shd w:val="clear" w:color="auto" w:fill="auto"/>
            <w:noWrap/>
            <w:vAlign w:val="bottom"/>
            <w:hideMark/>
          </w:tcPr>
          <w:p w:rsidR="00C07190" w:rsidRPr="00484C19" w:rsidRDefault="00C07190" w:rsidP="008F4251">
            <w:pPr>
              <w:jc w:val="left"/>
              <w:rPr>
                <w:rFonts w:eastAsia="Times New Roman" w:cs="Arial"/>
                <w:b/>
                <w:bCs/>
                <w:color w:val="FFFFFF"/>
                <w:szCs w:val="20"/>
                <w:lang w:eastAsia="pt-BR"/>
              </w:rPr>
            </w:pPr>
            <w:r w:rsidRPr="00484C19">
              <w:rPr>
                <w:rFonts w:eastAsia="Times New Roman" w:cs="Arial"/>
                <w:b/>
                <w:bCs/>
                <w:color w:val="FFFFFF"/>
                <w:szCs w:val="20"/>
                <w:lang w:eastAsia="pt-BR"/>
              </w:rPr>
              <w:t>Colunas1</w:t>
            </w:r>
          </w:p>
        </w:tc>
        <w:tc>
          <w:tcPr>
            <w:tcW w:w="1970" w:type="dxa"/>
            <w:tcBorders>
              <w:top w:val="single" w:sz="4" w:space="0" w:color="000000"/>
              <w:left w:val="nil"/>
              <w:bottom w:val="single" w:sz="4" w:space="0" w:color="000000"/>
              <w:right w:val="nil"/>
            </w:tcBorders>
            <w:shd w:val="clear" w:color="auto" w:fill="auto"/>
            <w:noWrap/>
            <w:vAlign w:val="bottom"/>
            <w:hideMark/>
          </w:tcPr>
          <w:p w:rsidR="00C07190" w:rsidRPr="00484C19" w:rsidRDefault="00C07190" w:rsidP="008F4251">
            <w:pPr>
              <w:jc w:val="right"/>
              <w:rPr>
                <w:rFonts w:eastAsia="Times New Roman" w:cs="Arial"/>
                <w:b/>
                <w:bCs/>
                <w:color w:val="000000"/>
                <w:szCs w:val="20"/>
                <w:lang w:eastAsia="pt-BR"/>
              </w:rPr>
            </w:pPr>
            <w:r w:rsidRPr="00484C19">
              <w:rPr>
                <w:rFonts w:eastAsia="Times New Roman" w:cs="Arial"/>
                <w:b/>
                <w:bCs/>
                <w:color w:val="000000"/>
                <w:szCs w:val="20"/>
                <w:lang w:eastAsia="pt-BR"/>
              </w:rPr>
              <w:t>3</w:t>
            </w:r>
            <w:r>
              <w:rPr>
                <w:rFonts w:eastAsia="Times New Roman" w:cs="Arial"/>
                <w:b/>
                <w:bCs/>
                <w:color w:val="000000"/>
                <w:szCs w:val="20"/>
                <w:lang w:eastAsia="pt-BR"/>
              </w:rPr>
              <w:t>1</w:t>
            </w:r>
            <w:r w:rsidRPr="00484C19">
              <w:rPr>
                <w:rFonts w:eastAsia="Times New Roman" w:cs="Arial"/>
                <w:b/>
                <w:bCs/>
                <w:color w:val="000000"/>
                <w:szCs w:val="20"/>
                <w:lang w:eastAsia="pt-BR"/>
              </w:rPr>
              <w:t>/</w:t>
            </w:r>
            <w:r>
              <w:rPr>
                <w:rFonts w:eastAsia="Times New Roman" w:cs="Arial"/>
                <w:b/>
                <w:bCs/>
                <w:color w:val="000000"/>
                <w:szCs w:val="20"/>
                <w:lang w:eastAsia="pt-BR"/>
              </w:rPr>
              <w:t>12</w:t>
            </w:r>
            <w:r w:rsidRPr="00484C19">
              <w:rPr>
                <w:rFonts w:eastAsia="Times New Roman" w:cs="Arial"/>
                <w:b/>
                <w:bCs/>
                <w:color w:val="000000"/>
                <w:szCs w:val="20"/>
                <w:lang w:eastAsia="pt-BR"/>
              </w:rPr>
              <w:t>/201</w:t>
            </w:r>
            <w:r>
              <w:rPr>
                <w:rFonts w:eastAsia="Times New Roman" w:cs="Arial"/>
                <w:b/>
                <w:bCs/>
                <w:color w:val="000000"/>
                <w:szCs w:val="20"/>
                <w:lang w:eastAsia="pt-BR"/>
              </w:rPr>
              <w:t>9</w:t>
            </w:r>
          </w:p>
        </w:tc>
        <w:tc>
          <w:tcPr>
            <w:tcW w:w="1732" w:type="dxa"/>
            <w:tcBorders>
              <w:top w:val="single" w:sz="4" w:space="0" w:color="000000"/>
              <w:left w:val="nil"/>
              <w:bottom w:val="single" w:sz="4" w:space="0" w:color="000000"/>
              <w:right w:val="nil"/>
            </w:tcBorders>
            <w:shd w:val="clear" w:color="auto" w:fill="auto"/>
            <w:noWrap/>
            <w:vAlign w:val="bottom"/>
            <w:hideMark/>
          </w:tcPr>
          <w:p w:rsidR="00C07190" w:rsidRPr="00484C19" w:rsidRDefault="00C07190" w:rsidP="008F4251">
            <w:pPr>
              <w:jc w:val="right"/>
              <w:rPr>
                <w:rFonts w:eastAsia="Times New Roman" w:cs="Arial"/>
                <w:b/>
                <w:bCs/>
                <w:color w:val="000000"/>
                <w:szCs w:val="20"/>
                <w:lang w:eastAsia="pt-BR"/>
              </w:rPr>
            </w:pPr>
            <w:r w:rsidRPr="00484C19">
              <w:rPr>
                <w:rFonts w:eastAsia="Times New Roman" w:cs="Arial"/>
                <w:b/>
                <w:bCs/>
                <w:color w:val="000000"/>
                <w:szCs w:val="20"/>
                <w:lang w:eastAsia="pt-BR"/>
              </w:rPr>
              <w:t>31/12/201</w:t>
            </w:r>
            <w:r>
              <w:rPr>
                <w:rFonts w:eastAsia="Times New Roman" w:cs="Arial"/>
                <w:b/>
                <w:bCs/>
                <w:color w:val="000000"/>
                <w:szCs w:val="20"/>
                <w:lang w:eastAsia="pt-BR"/>
              </w:rPr>
              <w:t>8</w:t>
            </w:r>
          </w:p>
        </w:tc>
        <w:tc>
          <w:tcPr>
            <w:tcW w:w="1865" w:type="dxa"/>
            <w:tcBorders>
              <w:top w:val="single" w:sz="4" w:space="0" w:color="000000"/>
              <w:left w:val="nil"/>
              <w:bottom w:val="single" w:sz="4" w:space="0" w:color="000000"/>
              <w:right w:val="nil"/>
            </w:tcBorders>
            <w:shd w:val="clear" w:color="auto" w:fill="auto"/>
            <w:noWrap/>
            <w:vAlign w:val="bottom"/>
            <w:hideMark/>
          </w:tcPr>
          <w:p w:rsidR="00C07190" w:rsidRPr="00484C19" w:rsidRDefault="00C07190" w:rsidP="008F4251">
            <w:pPr>
              <w:jc w:val="right"/>
              <w:rPr>
                <w:rFonts w:eastAsia="Times New Roman" w:cs="Arial"/>
                <w:b/>
                <w:bCs/>
                <w:color w:val="000000"/>
                <w:szCs w:val="20"/>
                <w:lang w:eastAsia="pt-BR"/>
              </w:rPr>
            </w:pPr>
            <w:r w:rsidRPr="00484C19">
              <w:rPr>
                <w:rFonts w:eastAsia="Times New Roman" w:cs="Arial"/>
                <w:b/>
                <w:bCs/>
                <w:color w:val="000000"/>
                <w:szCs w:val="20"/>
                <w:lang w:eastAsia="pt-BR"/>
              </w:rPr>
              <w:t>AH %</w:t>
            </w:r>
          </w:p>
        </w:tc>
        <w:tc>
          <w:tcPr>
            <w:tcW w:w="930" w:type="dxa"/>
            <w:tcBorders>
              <w:top w:val="single" w:sz="4" w:space="0" w:color="000000"/>
              <w:left w:val="nil"/>
              <w:bottom w:val="single" w:sz="4" w:space="0" w:color="000000"/>
              <w:right w:val="nil"/>
            </w:tcBorders>
            <w:shd w:val="clear" w:color="auto" w:fill="auto"/>
            <w:noWrap/>
            <w:vAlign w:val="bottom"/>
            <w:hideMark/>
          </w:tcPr>
          <w:p w:rsidR="00C07190" w:rsidRPr="00484C19" w:rsidRDefault="00C07190" w:rsidP="008F4251">
            <w:pPr>
              <w:jc w:val="right"/>
              <w:rPr>
                <w:rFonts w:eastAsia="Times New Roman" w:cs="Arial"/>
                <w:b/>
                <w:bCs/>
                <w:color w:val="000000"/>
                <w:szCs w:val="20"/>
                <w:lang w:eastAsia="pt-BR"/>
              </w:rPr>
            </w:pPr>
            <w:r w:rsidRPr="00484C19">
              <w:rPr>
                <w:rFonts w:eastAsia="Times New Roman" w:cs="Arial"/>
                <w:b/>
                <w:bCs/>
                <w:color w:val="000000"/>
                <w:szCs w:val="20"/>
                <w:lang w:eastAsia="pt-BR"/>
              </w:rPr>
              <w:t>AV %</w:t>
            </w:r>
          </w:p>
        </w:tc>
      </w:tr>
      <w:tr w:rsidR="00C07190" w:rsidRPr="00484C19" w:rsidTr="008F4251">
        <w:trPr>
          <w:trHeight w:val="229"/>
        </w:trPr>
        <w:tc>
          <w:tcPr>
            <w:tcW w:w="2694" w:type="dxa"/>
            <w:tcBorders>
              <w:top w:val="nil"/>
              <w:left w:val="nil"/>
              <w:bottom w:val="nil"/>
              <w:right w:val="nil"/>
            </w:tcBorders>
            <w:shd w:val="clear" w:color="D9D9D9" w:fill="D9D9D9"/>
            <w:noWrap/>
            <w:vAlign w:val="bottom"/>
            <w:hideMark/>
          </w:tcPr>
          <w:p w:rsidR="00C07190" w:rsidRPr="00484C19" w:rsidRDefault="00C07190" w:rsidP="008F4251">
            <w:pPr>
              <w:jc w:val="left"/>
              <w:rPr>
                <w:rFonts w:eastAsia="Times New Roman" w:cs="Arial"/>
                <w:color w:val="000000"/>
                <w:szCs w:val="20"/>
                <w:lang w:eastAsia="pt-BR"/>
              </w:rPr>
            </w:pPr>
            <w:r>
              <w:rPr>
                <w:rFonts w:eastAsia="Times New Roman" w:cs="Arial"/>
                <w:color w:val="000000"/>
                <w:szCs w:val="20"/>
                <w:lang w:eastAsia="pt-BR"/>
              </w:rPr>
              <w:t>Serviços</w:t>
            </w:r>
          </w:p>
        </w:tc>
        <w:tc>
          <w:tcPr>
            <w:tcW w:w="1970" w:type="dxa"/>
            <w:tcBorders>
              <w:top w:val="nil"/>
              <w:left w:val="nil"/>
              <w:bottom w:val="nil"/>
              <w:right w:val="nil"/>
            </w:tcBorders>
            <w:shd w:val="clear" w:color="D9D9D9" w:fill="D9D9D9"/>
            <w:noWrap/>
            <w:vAlign w:val="bottom"/>
            <w:hideMark/>
          </w:tcPr>
          <w:p w:rsidR="00C07190" w:rsidRPr="00484C19" w:rsidRDefault="00C07190" w:rsidP="008F4251">
            <w:pPr>
              <w:jc w:val="right"/>
              <w:rPr>
                <w:rFonts w:eastAsia="Times New Roman" w:cs="Arial"/>
                <w:color w:val="000000"/>
                <w:szCs w:val="20"/>
                <w:lang w:eastAsia="pt-BR"/>
              </w:rPr>
            </w:pPr>
            <w:r>
              <w:rPr>
                <w:rFonts w:cs="Arial"/>
                <w:szCs w:val="20"/>
              </w:rPr>
              <w:t xml:space="preserve">   115.308.944,31</w:t>
            </w:r>
          </w:p>
        </w:tc>
        <w:tc>
          <w:tcPr>
            <w:tcW w:w="1732" w:type="dxa"/>
            <w:tcBorders>
              <w:top w:val="nil"/>
              <w:left w:val="nil"/>
              <w:bottom w:val="nil"/>
              <w:right w:val="nil"/>
            </w:tcBorders>
            <w:shd w:val="clear" w:color="D9D9D9" w:fill="D9D9D9"/>
            <w:noWrap/>
            <w:vAlign w:val="bottom"/>
            <w:hideMark/>
          </w:tcPr>
          <w:p w:rsidR="00C07190" w:rsidRPr="00484C19" w:rsidRDefault="00C07190" w:rsidP="008F4251">
            <w:pPr>
              <w:jc w:val="right"/>
              <w:rPr>
                <w:rFonts w:eastAsia="Times New Roman" w:cs="Arial"/>
                <w:color w:val="000000"/>
                <w:szCs w:val="20"/>
                <w:lang w:eastAsia="pt-BR"/>
              </w:rPr>
            </w:pPr>
            <w:r w:rsidRPr="00256A92">
              <w:rPr>
                <w:rFonts w:eastAsia="Times New Roman" w:cs="Arial"/>
                <w:color w:val="000000"/>
                <w:szCs w:val="20"/>
                <w:lang w:eastAsia="pt-BR"/>
              </w:rPr>
              <w:t>123</w:t>
            </w:r>
            <w:r>
              <w:rPr>
                <w:rFonts w:eastAsia="Times New Roman" w:cs="Arial"/>
                <w:color w:val="000000"/>
                <w:szCs w:val="20"/>
                <w:lang w:eastAsia="pt-BR"/>
              </w:rPr>
              <w:t>.</w:t>
            </w:r>
            <w:r w:rsidRPr="00256A92">
              <w:rPr>
                <w:rFonts w:eastAsia="Times New Roman" w:cs="Arial"/>
                <w:color w:val="000000"/>
                <w:szCs w:val="20"/>
                <w:lang w:eastAsia="pt-BR"/>
              </w:rPr>
              <w:t>429</w:t>
            </w:r>
            <w:r>
              <w:rPr>
                <w:rFonts w:eastAsia="Times New Roman" w:cs="Arial"/>
                <w:color w:val="000000"/>
                <w:szCs w:val="20"/>
                <w:lang w:eastAsia="pt-BR"/>
              </w:rPr>
              <w:t>.</w:t>
            </w:r>
            <w:r w:rsidRPr="00256A92">
              <w:rPr>
                <w:rFonts w:eastAsia="Times New Roman" w:cs="Arial"/>
                <w:color w:val="000000"/>
                <w:szCs w:val="20"/>
                <w:lang w:eastAsia="pt-BR"/>
              </w:rPr>
              <w:t>651,42</w:t>
            </w:r>
          </w:p>
        </w:tc>
        <w:tc>
          <w:tcPr>
            <w:tcW w:w="1865" w:type="dxa"/>
            <w:tcBorders>
              <w:top w:val="nil"/>
              <w:left w:val="nil"/>
              <w:bottom w:val="nil"/>
              <w:right w:val="nil"/>
            </w:tcBorders>
            <w:shd w:val="clear" w:color="D9D9D9" w:fill="D9D9D9"/>
            <w:noWrap/>
            <w:vAlign w:val="bottom"/>
            <w:hideMark/>
          </w:tcPr>
          <w:p w:rsidR="00C07190" w:rsidRPr="00484C19" w:rsidRDefault="00C07190" w:rsidP="008F4251">
            <w:pPr>
              <w:jc w:val="right"/>
              <w:rPr>
                <w:rFonts w:eastAsia="Times New Roman" w:cs="Arial"/>
                <w:color w:val="000000"/>
                <w:szCs w:val="20"/>
                <w:lang w:eastAsia="pt-BR"/>
              </w:rPr>
            </w:pPr>
            <w:r>
              <w:rPr>
                <w:rFonts w:eastAsia="Times New Roman" w:cs="Arial"/>
                <w:color w:val="000000"/>
                <w:szCs w:val="20"/>
                <w:lang w:eastAsia="pt-BR"/>
              </w:rPr>
              <w:t>-6,58</w:t>
            </w:r>
          </w:p>
        </w:tc>
        <w:tc>
          <w:tcPr>
            <w:tcW w:w="930" w:type="dxa"/>
            <w:tcBorders>
              <w:top w:val="nil"/>
              <w:left w:val="nil"/>
              <w:bottom w:val="nil"/>
              <w:right w:val="nil"/>
            </w:tcBorders>
            <w:shd w:val="clear" w:color="D9D9D9" w:fill="D9D9D9"/>
            <w:noWrap/>
            <w:vAlign w:val="bottom"/>
            <w:hideMark/>
          </w:tcPr>
          <w:p w:rsidR="00C07190" w:rsidRPr="00484C19" w:rsidRDefault="00C07190" w:rsidP="008F4251">
            <w:pPr>
              <w:jc w:val="right"/>
              <w:rPr>
                <w:rFonts w:eastAsia="Times New Roman" w:cs="Arial"/>
                <w:color w:val="000000"/>
                <w:szCs w:val="20"/>
                <w:lang w:eastAsia="pt-BR"/>
              </w:rPr>
            </w:pPr>
            <w:r>
              <w:rPr>
                <w:rFonts w:eastAsia="Times New Roman" w:cs="Arial"/>
                <w:color w:val="000000"/>
                <w:szCs w:val="20"/>
                <w:lang w:eastAsia="pt-BR"/>
              </w:rPr>
              <w:t>90</w:t>
            </w:r>
            <w:r w:rsidRPr="00484C19">
              <w:rPr>
                <w:rFonts w:eastAsia="Times New Roman" w:cs="Arial"/>
                <w:color w:val="000000"/>
                <w:szCs w:val="20"/>
                <w:lang w:eastAsia="pt-BR"/>
              </w:rPr>
              <w:t>,</w:t>
            </w:r>
            <w:r>
              <w:rPr>
                <w:rFonts w:eastAsia="Times New Roman" w:cs="Arial"/>
                <w:color w:val="000000"/>
                <w:szCs w:val="20"/>
                <w:lang w:eastAsia="pt-BR"/>
              </w:rPr>
              <w:t>28</w:t>
            </w:r>
          </w:p>
        </w:tc>
      </w:tr>
      <w:tr w:rsidR="00C07190" w:rsidRPr="00484C19" w:rsidTr="008F4251">
        <w:trPr>
          <w:trHeight w:val="229"/>
        </w:trPr>
        <w:tc>
          <w:tcPr>
            <w:tcW w:w="2694" w:type="dxa"/>
            <w:tcBorders>
              <w:top w:val="nil"/>
              <w:left w:val="nil"/>
              <w:bottom w:val="nil"/>
              <w:right w:val="nil"/>
            </w:tcBorders>
            <w:shd w:val="clear" w:color="auto" w:fill="auto"/>
            <w:noWrap/>
            <w:vAlign w:val="bottom"/>
            <w:hideMark/>
          </w:tcPr>
          <w:p w:rsidR="00C07190" w:rsidRPr="00484C19" w:rsidRDefault="00C07190" w:rsidP="008F4251">
            <w:pPr>
              <w:jc w:val="left"/>
              <w:rPr>
                <w:rFonts w:eastAsia="Times New Roman" w:cs="Arial"/>
                <w:color w:val="000000"/>
                <w:szCs w:val="20"/>
                <w:lang w:eastAsia="pt-BR"/>
              </w:rPr>
            </w:pPr>
            <w:r>
              <w:rPr>
                <w:rFonts w:eastAsia="Times New Roman" w:cs="Arial"/>
                <w:color w:val="000000"/>
                <w:szCs w:val="20"/>
                <w:lang w:eastAsia="pt-BR"/>
              </w:rPr>
              <w:t>Aluguéis</w:t>
            </w:r>
          </w:p>
        </w:tc>
        <w:tc>
          <w:tcPr>
            <w:tcW w:w="1970" w:type="dxa"/>
            <w:tcBorders>
              <w:top w:val="nil"/>
              <w:left w:val="nil"/>
              <w:bottom w:val="nil"/>
              <w:right w:val="nil"/>
            </w:tcBorders>
            <w:shd w:val="clear" w:color="auto" w:fill="auto"/>
            <w:noWrap/>
            <w:vAlign w:val="bottom"/>
            <w:hideMark/>
          </w:tcPr>
          <w:p w:rsidR="00C07190" w:rsidRPr="00484C19" w:rsidRDefault="00C07190" w:rsidP="008F4251">
            <w:pPr>
              <w:jc w:val="right"/>
              <w:rPr>
                <w:rFonts w:eastAsia="Times New Roman" w:cs="Arial"/>
                <w:color w:val="000000"/>
                <w:szCs w:val="20"/>
                <w:lang w:eastAsia="pt-BR"/>
              </w:rPr>
            </w:pPr>
            <w:r>
              <w:rPr>
                <w:rFonts w:cs="Arial"/>
                <w:szCs w:val="20"/>
              </w:rPr>
              <w:t xml:space="preserve">       2.372.276,43</w:t>
            </w:r>
          </w:p>
        </w:tc>
        <w:tc>
          <w:tcPr>
            <w:tcW w:w="1732" w:type="dxa"/>
            <w:tcBorders>
              <w:top w:val="nil"/>
              <w:left w:val="nil"/>
              <w:bottom w:val="nil"/>
              <w:right w:val="nil"/>
            </w:tcBorders>
            <w:shd w:val="clear" w:color="auto" w:fill="auto"/>
            <w:noWrap/>
            <w:vAlign w:val="bottom"/>
            <w:hideMark/>
          </w:tcPr>
          <w:p w:rsidR="00C07190" w:rsidRPr="00484C19" w:rsidRDefault="00C07190" w:rsidP="008F4251">
            <w:pPr>
              <w:jc w:val="right"/>
              <w:rPr>
                <w:rFonts w:eastAsia="Times New Roman" w:cs="Arial"/>
                <w:color w:val="000000"/>
                <w:szCs w:val="20"/>
                <w:lang w:eastAsia="pt-BR"/>
              </w:rPr>
            </w:pPr>
            <w:r w:rsidRPr="00256A92">
              <w:rPr>
                <w:rFonts w:eastAsia="Times New Roman" w:cs="Arial"/>
                <w:color w:val="000000"/>
                <w:szCs w:val="20"/>
                <w:lang w:eastAsia="pt-BR"/>
              </w:rPr>
              <w:t>2</w:t>
            </w:r>
            <w:r>
              <w:rPr>
                <w:rFonts w:eastAsia="Times New Roman" w:cs="Arial"/>
                <w:color w:val="000000"/>
                <w:szCs w:val="20"/>
                <w:lang w:eastAsia="pt-BR"/>
              </w:rPr>
              <w:t>.</w:t>
            </w:r>
            <w:r w:rsidRPr="00256A92">
              <w:rPr>
                <w:rFonts w:eastAsia="Times New Roman" w:cs="Arial"/>
                <w:color w:val="000000"/>
                <w:szCs w:val="20"/>
                <w:lang w:eastAsia="pt-BR"/>
              </w:rPr>
              <w:t>151</w:t>
            </w:r>
            <w:r>
              <w:rPr>
                <w:rFonts w:eastAsia="Times New Roman" w:cs="Arial"/>
                <w:color w:val="000000"/>
                <w:szCs w:val="20"/>
                <w:lang w:eastAsia="pt-BR"/>
              </w:rPr>
              <w:t>.</w:t>
            </w:r>
            <w:r w:rsidRPr="00256A92">
              <w:rPr>
                <w:rFonts w:eastAsia="Times New Roman" w:cs="Arial"/>
                <w:color w:val="000000"/>
                <w:szCs w:val="20"/>
                <w:lang w:eastAsia="pt-BR"/>
              </w:rPr>
              <w:t>574,46</w:t>
            </w:r>
          </w:p>
        </w:tc>
        <w:tc>
          <w:tcPr>
            <w:tcW w:w="1865" w:type="dxa"/>
            <w:tcBorders>
              <w:top w:val="nil"/>
              <w:left w:val="nil"/>
              <w:bottom w:val="nil"/>
              <w:right w:val="nil"/>
            </w:tcBorders>
            <w:shd w:val="clear" w:color="auto" w:fill="auto"/>
            <w:noWrap/>
            <w:vAlign w:val="bottom"/>
            <w:hideMark/>
          </w:tcPr>
          <w:p w:rsidR="00C07190" w:rsidRPr="00484C19" w:rsidRDefault="00C07190" w:rsidP="008F4251">
            <w:pPr>
              <w:jc w:val="right"/>
              <w:rPr>
                <w:rFonts w:eastAsia="Times New Roman" w:cs="Arial"/>
                <w:color w:val="000000"/>
                <w:szCs w:val="20"/>
                <w:lang w:eastAsia="pt-BR"/>
              </w:rPr>
            </w:pPr>
            <w:r>
              <w:rPr>
                <w:rFonts w:eastAsia="Times New Roman" w:cs="Arial"/>
                <w:color w:val="000000"/>
                <w:szCs w:val="20"/>
                <w:lang w:eastAsia="pt-BR"/>
              </w:rPr>
              <w:t>10</w:t>
            </w:r>
            <w:r w:rsidRPr="00484C19">
              <w:rPr>
                <w:rFonts w:eastAsia="Times New Roman" w:cs="Arial"/>
                <w:color w:val="000000"/>
                <w:szCs w:val="20"/>
                <w:lang w:eastAsia="pt-BR"/>
              </w:rPr>
              <w:t>,</w:t>
            </w:r>
            <w:r>
              <w:rPr>
                <w:rFonts w:eastAsia="Times New Roman" w:cs="Arial"/>
                <w:color w:val="000000"/>
                <w:szCs w:val="20"/>
                <w:lang w:eastAsia="pt-BR"/>
              </w:rPr>
              <w:t>26</w:t>
            </w:r>
          </w:p>
        </w:tc>
        <w:tc>
          <w:tcPr>
            <w:tcW w:w="930" w:type="dxa"/>
            <w:tcBorders>
              <w:top w:val="nil"/>
              <w:left w:val="nil"/>
              <w:bottom w:val="nil"/>
              <w:right w:val="nil"/>
            </w:tcBorders>
            <w:shd w:val="clear" w:color="auto" w:fill="auto"/>
            <w:noWrap/>
            <w:vAlign w:val="bottom"/>
            <w:hideMark/>
          </w:tcPr>
          <w:p w:rsidR="00C07190" w:rsidRPr="00484C19" w:rsidRDefault="00C07190" w:rsidP="008F4251">
            <w:pPr>
              <w:jc w:val="right"/>
              <w:rPr>
                <w:rFonts w:eastAsia="Times New Roman" w:cs="Arial"/>
                <w:color w:val="000000"/>
                <w:szCs w:val="20"/>
                <w:lang w:eastAsia="pt-BR"/>
              </w:rPr>
            </w:pPr>
            <w:r>
              <w:rPr>
                <w:rFonts w:eastAsia="Times New Roman" w:cs="Arial"/>
                <w:color w:val="000000"/>
                <w:szCs w:val="20"/>
                <w:lang w:eastAsia="pt-BR"/>
              </w:rPr>
              <w:t>1</w:t>
            </w:r>
            <w:r w:rsidRPr="00484C19">
              <w:rPr>
                <w:rFonts w:eastAsia="Times New Roman" w:cs="Arial"/>
                <w:color w:val="000000"/>
                <w:szCs w:val="20"/>
                <w:lang w:eastAsia="pt-BR"/>
              </w:rPr>
              <w:t>,</w:t>
            </w:r>
            <w:r>
              <w:rPr>
                <w:rFonts w:eastAsia="Times New Roman" w:cs="Arial"/>
                <w:color w:val="000000"/>
                <w:szCs w:val="20"/>
                <w:lang w:eastAsia="pt-BR"/>
              </w:rPr>
              <w:t>86</w:t>
            </w:r>
          </w:p>
        </w:tc>
      </w:tr>
      <w:tr w:rsidR="00C07190" w:rsidRPr="00484C19" w:rsidTr="008F4251">
        <w:trPr>
          <w:trHeight w:val="229"/>
        </w:trPr>
        <w:tc>
          <w:tcPr>
            <w:tcW w:w="2694" w:type="dxa"/>
            <w:tcBorders>
              <w:top w:val="nil"/>
              <w:left w:val="nil"/>
              <w:bottom w:val="nil"/>
              <w:right w:val="nil"/>
            </w:tcBorders>
            <w:shd w:val="clear" w:color="auto" w:fill="D9D9D9" w:themeFill="background1" w:themeFillShade="D9"/>
            <w:noWrap/>
            <w:vAlign w:val="bottom"/>
            <w:hideMark/>
          </w:tcPr>
          <w:p w:rsidR="00C07190" w:rsidRPr="00484C19" w:rsidRDefault="00C07190" w:rsidP="008F4251">
            <w:pPr>
              <w:jc w:val="left"/>
              <w:rPr>
                <w:rFonts w:eastAsia="Times New Roman" w:cs="Arial"/>
                <w:color w:val="000000"/>
                <w:szCs w:val="20"/>
                <w:lang w:eastAsia="pt-BR"/>
              </w:rPr>
            </w:pPr>
            <w:r>
              <w:rPr>
                <w:rFonts w:eastAsia="Times New Roman" w:cs="Arial"/>
                <w:color w:val="000000"/>
                <w:szCs w:val="20"/>
                <w:lang w:eastAsia="pt-BR"/>
              </w:rPr>
              <w:t>Bens</w:t>
            </w:r>
          </w:p>
        </w:tc>
        <w:tc>
          <w:tcPr>
            <w:tcW w:w="1970" w:type="dxa"/>
            <w:tcBorders>
              <w:top w:val="nil"/>
              <w:left w:val="nil"/>
              <w:bottom w:val="nil"/>
              <w:right w:val="nil"/>
            </w:tcBorders>
            <w:shd w:val="clear" w:color="auto" w:fill="D9D9D9" w:themeFill="background1" w:themeFillShade="D9"/>
            <w:noWrap/>
            <w:vAlign w:val="bottom"/>
            <w:hideMark/>
          </w:tcPr>
          <w:p w:rsidR="00C07190" w:rsidRPr="00484C19" w:rsidRDefault="00C07190" w:rsidP="008F4251">
            <w:pPr>
              <w:jc w:val="right"/>
              <w:rPr>
                <w:rFonts w:eastAsia="Times New Roman" w:cs="Arial"/>
                <w:color w:val="000000"/>
                <w:szCs w:val="20"/>
                <w:lang w:eastAsia="pt-BR"/>
              </w:rPr>
            </w:pPr>
            <w:r>
              <w:rPr>
                <w:rFonts w:cs="Arial"/>
                <w:szCs w:val="20"/>
              </w:rPr>
              <w:t xml:space="preserve">     10.042.963,88</w:t>
            </w:r>
          </w:p>
        </w:tc>
        <w:tc>
          <w:tcPr>
            <w:tcW w:w="1732" w:type="dxa"/>
            <w:tcBorders>
              <w:top w:val="nil"/>
              <w:left w:val="nil"/>
              <w:bottom w:val="nil"/>
              <w:right w:val="nil"/>
            </w:tcBorders>
            <w:shd w:val="clear" w:color="auto" w:fill="D9D9D9" w:themeFill="background1" w:themeFillShade="D9"/>
            <w:noWrap/>
            <w:vAlign w:val="bottom"/>
            <w:hideMark/>
          </w:tcPr>
          <w:p w:rsidR="00C07190" w:rsidRPr="00484C19" w:rsidRDefault="00C07190" w:rsidP="008F4251">
            <w:pPr>
              <w:jc w:val="right"/>
              <w:rPr>
                <w:rFonts w:eastAsia="Times New Roman" w:cs="Arial"/>
                <w:color w:val="000000"/>
                <w:szCs w:val="20"/>
                <w:lang w:eastAsia="pt-BR"/>
              </w:rPr>
            </w:pPr>
            <w:r w:rsidRPr="00256A92">
              <w:rPr>
                <w:rFonts w:eastAsia="Times New Roman" w:cs="Arial"/>
                <w:color w:val="000000"/>
                <w:szCs w:val="20"/>
                <w:lang w:eastAsia="pt-BR"/>
              </w:rPr>
              <w:t>1</w:t>
            </w:r>
            <w:r>
              <w:rPr>
                <w:rFonts w:eastAsia="Times New Roman" w:cs="Arial"/>
                <w:color w:val="000000"/>
                <w:szCs w:val="20"/>
                <w:lang w:eastAsia="pt-BR"/>
              </w:rPr>
              <w:t>.</w:t>
            </w:r>
            <w:r w:rsidRPr="00256A92">
              <w:rPr>
                <w:rFonts w:eastAsia="Times New Roman" w:cs="Arial"/>
                <w:color w:val="000000"/>
                <w:szCs w:val="20"/>
                <w:lang w:eastAsia="pt-BR"/>
              </w:rPr>
              <w:t>337</w:t>
            </w:r>
            <w:r>
              <w:rPr>
                <w:rFonts w:eastAsia="Times New Roman" w:cs="Arial"/>
                <w:color w:val="000000"/>
                <w:szCs w:val="20"/>
                <w:lang w:eastAsia="pt-BR"/>
              </w:rPr>
              <w:t>.</w:t>
            </w:r>
            <w:r w:rsidRPr="00256A92">
              <w:rPr>
                <w:rFonts w:eastAsia="Times New Roman" w:cs="Arial"/>
                <w:color w:val="000000"/>
                <w:szCs w:val="20"/>
                <w:lang w:eastAsia="pt-BR"/>
              </w:rPr>
              <w:t>815,32</w:t>
            </w:r>
          </w:p>
        </w:tc>
        <w:tc>
          <w:tcPr>
            <w:tcW w:w="1865" w:type="dxa"/>
            <w:tcBorders>
              <w:top w:val="nil"/>
              <w:left w:val="nil"/>
              <w:bottom w:val="nil"/>
              <w:right w:val="nil"/>
            </w:tcBorders>
            <w:shd w:val="clear" w:color="auto" w:fill="D9D9D9" w:themeFill="background1" w:themeFillShade="D9"/>
            <w:noWrap/>
            <w:vAlign w:val="bottom"/>
            <w:hideMark/>
          </w:tcPr>
          <w:p w:rsidR="00C07190" w:rsidRPr="00484C19" w:rsidRDefault="00C07190" w:rsidP="008F4251">
            <w:pPr>
              <w:jc w:val="right"/>
              <w:rPr>
                <w:rFonts w:eastAsia="Times New Roman" w:cs="Arial"/>
                <w:color w:val="000000"/>
                <w:szCs w:val="20"/>
                <w:lang w:eastAsia="pt-BR"/>
              </w:rPr>
            </w:pPr>
            <w:r>
              <w:rPr>
                <w:rFonts w:eastAsia="Times New Roman" w:cs="Arial"/>
                <w:color w:val="000000"/>
                <w:szCs w:val="20"/>
                <w:lang w:eastAsia="pt-BR"/>
              </w:rPr>
              <w:t>650,70</w:t>
            </w:r>
          </w:p>
        </w:tc>
        <w:tc>
          <w:tcPr>
            <w:tcW w:w="930" w:type="dxa"/>
            <w:tcBorders>
              <w:top w:val="nil"/>
              <w:left w:val="nil"/>
              <w:bottom w:val="nil"/>
              <w:right w:val="nil"/>
            </w:tcBorders>
            <w:shd w:val="clear" w:color="auto" w:fill="D9D9D9" w:themeFill="background1" w:themeFillShade="D9"/>
            <w:noWrap/>
            <w:vAlign w:val="bottom"/>
            <w:hideMark/>
          </w:tcPr>
          <w:p w:rsidR="00C07190" w:rsidRPr="00484C19" w:rsidRDefault="00C07190" w:rsidP="008F4251">
            <w:pPr>
              <w:jc w:val="right"/>
              <w:rPr>
                <w:rFonts w:eastAsia="Times New Roman" w:cs="Arial"/>
                <w:color w:val="000000"/>
                <w:szCs w:val="20"/>
                <w:lang w:eastAsia="pt-BR"/>
              </w:rPr>
            </w:pPr>
            <w:r>
              <w:rPr>
                <w:rFonts w:eastAsia="Times New Roman" w:cs="Arial"/>
                <w:color w:val="000000"/>
                <w:szCs w:val="20"/>
                <w:lang w:eastAsia="pt-BR"/>
              </w:rPr>
              <w:t>7</w:t>
            </w:r>
            <w:r w:rsidRPr="00484C19">
              <w:rPr>
                <w:rFonts w:eastAsia="Times New Roman" w:cs="Arial"/>
                <w:color w:val="000000"/>
                <w:szCs w:val="20"/>
                <w:lang w:eastAsia="pt-BR"/>
              </w:rPr>
              <w:t>,</w:t>
            </w:r>
            <w:r>
              <w:rPr>
                <w:rFonts w:eastAsia="Times New Roman" w:cs="Arial"/>
                <w:color w:val="000000"/>
                <w:szCs w:val="20"/>
                <w:lang w:eastAsia="pt-BR"/>
              </w:rPr>
              <w:t>86</w:t>
            </w:r>
          </w:p>
        </w:tc>
      </w:tr>
      <w:tr w:rsidR="00C07190" w:rsidRPr="00484C19" w:rsidTr="008F4251">
        <w:trPr>
          <w:trHeight w:val="229"/>
        </w:trPr>
        <w:tc>
          <w:tcPr>
            <w:tcW w:w="2694" w:type="dxa"/>
            <w:tcBorders>
              <w:top w:val="nil"/>
              <w:left w:val="nil"/>
              <w:bottom w:val="single" w:sz="4" w:space="0" w:color="000000"/>
              <w:right w:val="nil"/>
            </w:tcBorders>
            <w:shd w:val="clear" w:color="auto" w:fill="auto"/>
            <w:noWrap/>
            <w:vAlign w:val="bottom"/>
            <w:hideMark/>
          </w:tcPr>
          <w:p w:rsidR="00C07190" w:rsidRPr="00484C19" w:rsidRDefault="00C07190" w:rsidP="008F4251">
            <w:pPr>
              <w:jc w:val="left"/>
              <w:rPr>
                <w:rFonts w:eastAsia="Times New Roman" w:cs="Arial"/>
                <w:b/>
                <w:bCs/>
                <w:color w:val="000000"/>
                <w:szCs w:val="20"/>
                <w:lang w:eastAsia="pt-BR"/>
              </w:rPr>
            </w:pPr>
            <w:r w:rsidRPr="00484C19">
              <w:rPr>
                <w:rFonts w:eastAsia="Times New Roman" w:cs="Arial"/>
                <w:b/>
                <w:bCs/>
                <w:color w:val="000000"/>
                <w:szCs w:val="20"/>
                <w:lang w:eastAsia="pt-BR"/>
              </w:rPr>
              <w:t>Total</w:t>
            </w:r>
          </w:p>
        </w:tc>
        <w:tc>
          <w:tcPr>
            <w:tcW w:w="1970" w:type="dxa"/>
            <w:tcBorders>
              <w:top w:val="nil"/>
              <w:left w:val="nil"/>
              <w:bottom w:val="single" w:sz="4" w:space="0" w:color="000000"/>
              <w:right w:val="nil"/>
            </w:tcBorders>
            <w:shd w:val="clear" w:color="auto" w:fill="auto"/>
            <w:noWrap/>
            <w:vAlign w:val="bottom"/>
            <w:hideMark/>
          </w:tcPr>
          <w:p w:rsidR="00C07190" w:rsidRPr="0086397E" w:rsidRDefault="00C07190" w:rsidP="008F4251">
            <w:pPr>
              <w:jc w:val="right"/>
              <w:rPr>
                <w:rFonts w:eastAsia="Times New Roman" w:cs="Arial"/>
                <w:b/>
                <w:bCs/>
                <w:color w:val="000000"/>
                <w:szCs w:val="20"/>
                <w:lang w:eastAsia="pt-BR"/>
              </w:rPr>
            </w:pPr>
            <w:r>
              <w:rPr>
                <w:rFonts w:cs="Arial"/>
                <w:szCs w:val="20"/>
              </w:rPr>
              <w:t xml:space="preserve">   </w:t>
            </w:r>
            <w:r w:rsidRPr="0086397E">
              <w:rPr>
                <w:rFonts w:cs="Arial"/>
                <w:b/>
                <w:szCs w:val="20"/>
              </w:rPr>
              <w:t>127.724.184,62</w:t>
            </w:r>
          </w:p>
        </w:tc>
        <w:tc>
          <w:tcPr>
            <w:tcW w:w="1732" w:type="dxa"/>
            <w:tcBorders>
              <w:top w:val="nil"/>
              <w:left w:val="nil"/>
              <w:bottom w:val="single" w:sz="4" w:space="0" w:color="000000"/>
              <w:right w:val="nil"/>
            </w:tcBorders>
            <w:shd w:val="clear" w:color="auto" w:fill="auto"/>
            <w:noWrap/>
            <w:vAlign w:val="bottom"/>
            <w:hideMark/>
          </w:tcPr>
          <w:p w:rsidR="00C07190" w:rsidRPr="00484C19" w:rsidRDefault="00C07190" w:rsidP="008F4251">
            <w:pPr>
              <w:jc w:val="right"/>
              <w:rPr>
                <w:rFonts w:eastAsia="Times New Roman" w:cs="Arial"/>
                <w:b/>
                <w:bCs/>
                <w:color w:val="000000"/>
                <w:szCs w:val="20"/>
                <w:lang w:eastAsia="pt-BR"/>
              </w:rPr>
            </w:pPr>
            <w:r>
              <w:rPr>
                <w:rFonts w:eastAsia="Times New Roman" w:cs="Arial"/>
                <w:b/>
                <w:bCs/>
                <w:color w:val="000000"/>
                <w:szCs w:val="20"/>
                <w:lang w:eastAsia="pt-BR"/>
              </w:rPr>
              <w:t>126.919.041,20</w:t>
            </w:r>
          </w:p>
        </w:tc>
        <w:tc>
          <w:tcPr>
            <w:tcW w:w="1865" w:type="dxa"/>
            <w:tcBorders>
              <w:top w:val="nil"/>
              <w:left w:val="nil"/>
              <w:bottom w:val="single" w:sz="4" w:space="0" w:color="000000"/>
              <w:right w:val="nil"/>
            </w:tcBorders>
            <w:shd w:val="clear" w:color="auto" w:fill="auto"/>
            <w:noWrap/>
            <w:vAlign w:val="bottom"/>
            <w:hideMark/>
          </w:tcPr>
          <w:p w:rsidR="00C07190" w:rsidRPr="00484C19" w:rsidRDefault="00C07190" w:rsidP="008F4251">
            <w:pPr>
              <w:jc w:val="right"/>
              <w:rPr>
                <w:rFonts w:eastAsia="Times New Roman" w:cs="Arial"/>
                <w:b/>
                <w:bCs/>
                <w:color w:val="000000"/>
                <w:szCs w:val="20"/>
                <w:lang w:eastAsia="pt-BR"/>
              </w:rPr>
            </w:pPr>
            <w:r>
              <w:rPr>
                <w:rFonts w:eastAsia="Times New Roman" w:cs="Arial"/>
                <w:b/>
                <w:bCs/>
                <w:color w:val="000000"/>
                <w:szCs w:val="20"/>
                <w:lang w:eastAsia="pt-BR"/>
              </w:rPr>
              <w:t>0,63</w:t>
            </w:r>
          </w:p>
        </w:tc>
        <w:tc>
          <w:tcPr>
            <w:tcW w:w="930" w:type="dxa"/>
            <w:tcBorders>
              <w:top w:val="nil"/>
              <w:left w:val="nil"/>
              <w:bottom w:val="single" w:sz="4" w:space="0" w:color="000000"/>
              <w:right w:val="nil"/>
            </w:tcBorders>
            <w:shd w:val="clear" w:color="auto" w:fill="auto"/>
            <w:noWrap/>
            <w:vAlign w:val="bottom"/>
            <w:hideMark/>
          </w:tcPr>
          <w:p w:rsidR="00C07190" w:rsidRPr="00484C19" w:rsidRDefault="00C07190" w:rsidP="008F4251">
            <w:pPr>
              <w:jc w:val="right"/>
              <w:rPr>
                <w:rFonts w:eastAsia="Times New Roman" w:cs="Arial"/>
                <w:b/>
                <w:bCs/>
                <w:color w:val="000000"/>
                <w:szCs w:val="20"/>
                <w:lang w:eastAsia="pt-BR"/>
              </w:rPr>
            </w:pPr>
            <w:r>
              <w:rPr>
                <w:rFonts w:eastAsia="Times New Roman" w:cs="Arial"/>
                <w:b/>
                <w:bCs/>
                <w:color w:val="000000"/>
                <w:szCs w:val="20"/>
                <w:lang w:eastAsia="pt-BR"/>
              </w:rPr>
              <w:t>10</w:t>
            </w:r>
            <w:r w:rsidRPr="00484C19">
              <w:rPr>
                <w:rFonts w:eastAsia="Times New Roman" w:cs="Arial"/>
                <w:b/>
                <w:bCs/>
                <w:color w:val="000000"/>
                <w:szCs w:val="20"/>
                <w:lang w:eastAsia="pt-BR"/>
              </w:rPr>
              <w:t>0,</w:t>
            </w:r>
            <w:r>
              <w:rPr>
                <w:rFonts w:eastAsia="Times New Roman" w:cs="Arial"/>
                <w:b/>
                <w:bCs/>
                <w:color w:val="000000"/>
                <w:szCs w:val="20"/>
                <w:lang w:eastAsia="pt-BR"/>
              </w:rPr>
              <w:t>00</w:t>
            </w:r>
          </w:p>
        </w:tc>
      </w:tr>
    </w:tbl>
    <w:p w:rsidR="00C07190" w:rsidRPr="00484C19" w:rsidRDefault="00C07190" w:rsidP="00C07190">
      <w:pPr>
        <w:rPr>
          <w:rFonts w:cs="Arial"/>
          <w:i/>
          <w:szCs w:val="20"/>
        </w:rPr>
      </w:pPr>
      <w:r w:rsidRPr="00484C19">
        <w:rPr>
          <w:rFonts w:cs="Arial"/>
          <w:i/>
          <w:szCs w:val="20"/>
        </w:rPr>
        <w:t>Fonte: SIAFI, 201</w:t>
      </w:r>
      <w:r>
        <w:rPr>
          <w:rFonts w:cs="Arial"/>
          <w:i/>
          <w:szCs w:val="20"/>
        </w:rPr>
        <w:t>9</w:t>
      </w:r>
      <w:r w:rsidRPr="00484C19">
        <w:rPr>
          <w:rFonts w:cs="Arial"/>
          <w:i/>
          <w:szCs w:val="20"/>
        </w:rPr>
        <w:t xml:space="preserve"> e 201</w:t>
      </w:r>
      <w:r>
        <w:rPr>
          <w:rFonts w:cs="Arial"/>
          <w:i/>
          <w:szCs w:val="20"/>
        </w:rPr>
        <w:t>8</w:t>
      </w:r>
      <w:r w:rsidRPr="00484C19">
        <w:rPr>
          <w:rFonts w:cs="Arial"/>
          <w:i/>
          <w:szCs w:val="20"/>
        </w:rPr>
        <w:t>.</w:t>
      </w:r>
    </w:p>
    <w:p w:rsidR="00C07190" w:rsidRDefault="00C07190" w:rsidP="00C07190">
      <w:pPr>
        <w:rPr>
          <w:rFonts w:cs="Arial"/>
          <w:b/>
          <w:sz w:val="22"/>
        </w:rPr>
      </w:pPr>
    </w:p>
    <w:p w:rsidR="00C07190" w:rsidRDefault="00C07190" w:rsidP="00C07190">
      <w:pPr>
        <w:rPr>
          <w:rFonts w:cs="Arial"/>
          <w:b/>
          <w:sz w:val="22"/>
        </w:rPr>
      </w:pPr>
    </w:p>
    <w:p w:rsidR="00C07190" w:rsidRDefault="00C07190" w:rsidP="00C07190">
      <w:pPr>
        <w:rPr>
          <w:rFonts w:cs="Arial"/>
          <w:b/>
          <w:sz w:val="22"/>
        </w:rPr>
      </w:pPr>
      <w:r w:rsidRPr="00F976AC">
        <w:rPr>
          <w:rFonts w:cs="Arial"/>
          <w:b/>
          <w:sz w:val="22"/>
        </w:rPr>
        <w:t>Tabela</w:t>
      </w:r>
      <w:r>
        <w:rPr>
          <w:rFonts w:cs="Arial"/>
          <w:b/>
          <w:sz w:val="22"/>
        </w:rPr>
        <w:t xml:space="preserve"> 17 - Maiores Contratos Executados </w:t>
      </w:r>
      <w:r w:rsidRPr="00407107">
        <w:rPr>
          <w:rFonts w:cs="Arial"/>
          <w:b/>
          <w:sz w:val="22"/>
        </w:rPr>
        <w:t xml:space="preserve">– </w:t>
      </w:r>
      <w:r>
        <w:rPr>
          <w:rFonts w:cs="Arial"/>
          <w:b/>
          <w:sz w:val="22"/>
        </w:rPr>
        <w:t>2019</w:t>
      </w:r>
    </w:p>
    <w:p w:rsidR="00C07190" w:rsidRPr="00407107" w:rsidRDefault="00C07190" w:rsidP="00C07190">
      <w:pPr>
        <w:rPr>
          <w:rFonts w:cs="Arial"/>
          <w:b/>
          <w:sz w:val="22"/>
        </w:rPr>
      </w:pPr>
    </w:p>
    <w:tbl>
      <w:tblPr>
        <w:tblW w:w="9253" w:type="dxa"/>
        <w:tblCellMar>
          <w:left w:w="70" w:type="dxa"/>
          <w:right w:w="70" w:type="dxa"/>
        </w:tblCellMar>
        <w:tblLook w:val="04A0" w:firstRow="1" w:lastRow="0" w:firstColumn="1" w:lastColumn="0" w:noHBand="0" w:noVBand="1"/>
      </w:tblPr>
      <w:tblGrid>
        <w:gridCol w:w="2298"/>
        <w:gridCol w:w="3733"/>
        <w:gridCol w:w="2161"/>
        <w:gridCol w:w="1061"/>
      </w:tblGrid>
      <w:tr w:rsidR="00C07190" w:rsidRPr="00FF5ACF" w:rsidTr="008F4251">
        <w:trPr>
          <w:trHeight w:val="255"/>
        </w:trPr>
        <w:tc>
          <w:tcPr>
            <w:tcW w:w="2298" w:type="dxa"/>
            <w:tcBorders>
              <w:top w:val="single" w:sz="4" w:space="0" w:color="000000"/>
              <w:left w:val="nil"/>
              <w:bottom w:val="single" w:sz="4" w:space="0" w:color="000000"/>
              <w:right w:val="nil"/>
            </w:tcBorders>
            <w:shd w:val="clear" w:color="auto" w:fill="auto"/>
            <w:noWrap/>
            <w:vAlign w:val="bottom"/>
          </w:tcPr>
          <w:p w:rsidR="00C07190" w:rsidRPr="00FF5ACF" w:rsidRDefault="00C07190" w:rsidP="008F4251">
            <w:pPr>
              <w:jc w:val="left"/>
              <w:rPr>
                <w:rFonts w:eastAsia="Times New Roman" w:cs="Arial"/>
                <w:b/>
                <w:bCs/>
                <w:szCs w:val="20"/>
                <w:lang w:eastAsia="pt-BR"/>
              </w:rPr>
            </w:pPr>
            <w:r>
              <w:rPr>
                <w:rFonts w:eastAsia="Times New Roman" w:cs="Arial"/>
                <w:b/>
                <w:bCs/>
                <w:szCs w:val="20"/>
                <w:lang w:eastAsia="pt-BR"/>
              </w:rPr>
              <w:t>TIPO</w:t>
            </w:r>
          </w:p>
        </w:tc>
        <w:tc>
          <w:tcPr>
            <w:tcW w:w="3733" w:type="dxa"/>
            <w:tcBorders>
              <w:top w:val="single" w:sz="4" w:space="0" w:color="000000"/>
              <w:left w:val="nil"/>
              <w:bottom w:val="single" w:sz="4" w:space="0" w:color="000000"/>
              <w:right w:val="nil"/>
            </w:tcBorders>
            <w:shd w:val="clear" w:color="auto" w:fill="auto"/>
            <w:noWrap/>
            <w:vAlign w:val="bottom"/>
          </w:tcPr>
          <w:p w:rsidR="00C07190" w:rsidRPr="00FF5ACF" w:rsidRDefault="00C07190" w:rsidP="008F4251">
            <w:pPr>
              <w:jc w:val="left"/>
              <w:rPr>
                <w:rFonts w:eastAsia="Times New Roman" w:cs="Arial"/>
                <w:b/>
                <w:bCs/>
                <w:szCs w:val="20"/>
                <w:lang w:eastAsia="pt-BR"/>
              </w:rPr>
            </w:pPr>
            <w:r>
              <w:rPr>
                <w:rFonts w:eastAsia="Times New Roman" w:cs="Arial"/>
                <w:b/>
                <w:bCs/>
                <w:szCs w:val="20"/>
                <w:lang w:eastAsia="pt-BR"/>
              </w:rPr>
              <w:t>EMPRESA</w:t>
            </w:r>
          </w:p>
        </w:tc>
        <w:tc>
          <w:tcPr>
            <w:tcW w:w="2161" w:type="dxa"/>
            <w:tcBorders>
              <w:top w:val="single" w:sz="4" w:space="0" w:color="000000"/>
              <w:left w:val="nil"/>
              <w:bottom w:val="single" w:sz="4" w:space="0" w:color="000000"/>
              <w:right w:val="nil"/>
            </w:tcBorders>
            <w:shd w:val="clear" w:color="auto" w:fill="auto"/>
            <w:noWrap/>
            <w:vAlign w:val="bottom"/>
            <w:hideMark/>
          </w:tcPr>
          <w:p w:rsidR="00C07190" w:rsidRPr="00FF5ACF" w:rsidRDefault="00C07190" w:rsidP="008F4251">
            <w:pPr>
              <w:jc w:val="right"/>
              <w:rPr>
                <w:rFonts w:eastAsia="Times New Roman" w:cs="Arial"/>
                <w:b/>
                <w:bCs/>
                <w:color w:val="000000"/>
                <w:szCs w:val="20"/>
                <w:lang w:eastAsia="pt-BR"/>
              </w:rPr>
            </w:pPr>
            <w:r w:rsidRPr="00FF5ACF">
              <w:rPr>
                <w:rFonts w:eastAsia="Times New Roman" w:cs="Arial"/>
                <w:b/>
                <w:bCs/>
                <w:color w:val="000000"/>
                <w:szCs w:val="20"/>
                <w:lang w:eastAsia="pt-BR"/>
              </w:rPr>
              <w:t>3</w:t>
            </w:r>
            <w:r>
              <w:rPr>
                <w:rFonts w:eastAsia="Times New Roman" w:cs="Arial"/>
                <w:b/>
                <w:bCs/>
                <w:color w:val="000000"/>
                <w:szCs w:val="20"/>
                <w:lang w:eastAsia="pt-BR"/>
              </w:rPr>
              <w:t>1</w:t>
            </w:r>
            <w:r w:rsidRPr="00FF5ACF">
              <w:rPr>
                <w:rFonts w:eastAsia="Times New Roman" w:cs="Arial"/>
                <w:b/>
                <w:bCs/>
                <w:color w:val="000000"/>
                <w:szCs w:val="20"/>
                <w:lang w:eastAsia="pt-BR"/>
              </w:rPr>
              <w:t>/</w:t>
            </w:r>
            <w:r>
              <w:rPr>
                <w:rFonts w:eastAsia="Times New Roman" w:cs="Arial"/>
                <w:b/>
                <w:bCs/>
                <w:color w:val="000000"/>
                <w:szCs w:val="20"/>
                <w:lang w:eastAsia="pt-BR"/>
              </w:rPr>
              <w:t>12</w:t>
            </w:r>
            <w:r w:rsidRPr="00FF5ACF">
              <w:rPr>
                <w:rFonts w:eastAsia="Times New Roman" w:cs="Arial"/>
                <w:b/>
                <w:bCs/>
                <w:color w:val="000000"/>
                <w:szCs w:val="20"/>
                <w:lang w:eastAsia="pt-BR"/>
              </w:rPr>
              <w:t>/201</w:t>
            </w:r>
            <w:r>
              <w:rPr>
                <w:rFonts w:eastAsia="Times New Roman" w:cs="Arial"/>
                <w:b/>
                <w:bCs/>
                <w:color w:val="000000"/>
                <w:szCs w:val="20"/>
                <w:lang w:eastAsia="pt-BR"/>
              </w:rPr>
              <w:t>9</w:t>
            </w:r>
          </w:p>
        </w:tc>
        <w:tc>
          <w:tcPr>
            <w:tcW w:w="1061" w:type="dxa"/>
            <w:tcBorders>
              <w:top w:val="single" w:sz="4" w:space="0" w:color="000000"/>
              <w:left w:val="nil"/>
              <w:bottom w:val="single" w:sz="4" w:space="0" w:color="000000"/>
              <w:right w:val="nil"/>
            </w:tcBorders>
            <w:shd w:val="clear" w:color="auto" w:fill="auto"/>
            <w:noWrap/>
            <w:vAlign w:val="bottom"/>
            <w:hideMark/>
          </w:tcPr>
          <w:p w:rsidR="00C07190" w:rsidRPr="00FF5ACF" w:rsidRDefault="00C07190" w:rsidP="008F4251">
            <w:pPr>
              <w:jc w:val="right"/>
              <w:rPr>
                <w:rFonts w:eastAsia="Times New Roman" w:cs="Arial"/>
                <w:b/>
                <w:bCs/>
                <w:color w:val="000000"/>
                <w:szCs w:val="20"/>
                <w:lang w:eastAsia="pt-BR"/>
              </w:rPr>
            </w:pPr>
            <w:r w:rsidRPr="00FF5ACF">
              <w:rPr>
                <w:rFonts w:eastAsia="Times New Roman" w:cs="Arial"/>
                <w:b/>
                <w:bCs/>
                <w:color w:val="000000"/>
                <w:szCs w:val="20"/>
                <w:lang w:eastAsia="pt-BR"/>
              </w:rPr>
              <w:t>AV (%)</w:t>
            </w:r>
          </w:p>
        </w:tc>
      </w:tr>
      <w:tr w:rsidR="00C07190" w:rsidRPr="00FF5ACF" w:rsidTr="008F4251">
        <w:trPr>
          <w:trHeight w:val="510"/>
        </w:trPr>
        <w:tc>
          <w:tcPr>
            <w:tcW w:w="2298" w:type="dxa"/>
            <w:tcBorders>
              <w:top w:val="nil"/>
              <w:left w:val="nil"/>
              <w:bottom w:val="nil"/>
              <w:right w:val="nil"/>
            </w:tcBorders>
            <w:shd w:val="clear" w:color="auto" w:fill="D9D9D9" w:themeFill="background1" w:themeFillShade="D9"/>
            <w:noWrap/>
            <w:vAlign w:val="bottom"/>
            <w:hideMark/>
          </w:tcPr>
          <w:p w:rsidR="00C07190" w:rsidRPr="00FF5ACF" w:rsidRDefault="00C07190" w:rsidP="008F4251">
            <w:pPr>
              <w:jc w:val="left"/>
              <w:rPr>
                <w:rFonts w:eastAsia="Times New Roman" w:cs="Arial"/>
                <w:color w:val="000000"/>
                <w:szCs w:val="20"/>
                <w:lang w:eastAsia="pt-BR"/>
              </w:rPr>
            </w:pPr>
            <w:r>
              <w:rPr>
                <w:rFonts w:eastAsia="Times New Roman" w:cs="Arial"/>
                <w:color w:val="000000"/>
                <w:szCs w:val="20"/>
                <w:lang w:eastAsia="pt-BR"/>
              </w:rPr>
              <w:t>Serviços</w:t>
            </w:r>
          </w:p>
        </w:tc>
        <w:tc>
          <w:tcPr>
            <w:tcW w:w="3733" w:type="dxa"/>
            <w:tcBorders>
              <w:top w:val="nil"/>
              <w:left w:val="nil"/>
              <w:bottom w:val="nil"/>
              <w:right w:val="nil"/>
            </w:tcBorders>
            <w:shd w:val="clear" w:color="auto" w:fill="D9D9D9" w:themeFill="background1" w:themeFillShade="D9"/>
            <w:vAlign w:val="bottom"/>
            <w:hideMark/>
          </w:tcPr>
          <w:p w:rsidR="00C07190" w:rsidRPr="00FF5ACF" w:rsidRDefault="00C07190" w:rsidP="008F4251">
            <w:pPr>
              <w:jc w:val="left"/>
              <w:rPr>
                <w:rFonts w:eastAsia="Times New Roman" w:cs="Arial"/>
                <w:color w:val="000000"/>
                <w:szCs w:val="20"/>
                <w:lang w:eastAsia="pt-BR"/>
              </w:rPr>
            </w:pPr>
            <w:proofErr w:type="spellStart"/>
            <w:r>
              <w:rPr>
                <w:rFonts w:eastAsia="Times New Roman" w:cs="Arial"/>
                <w:color w:val="000000"/>
                <w:szCs w:val="20"/>
                <w:lang w:eastAsia="pt-BR"/>
              </w:rPr>
              <w:t>Plansul</w:t>
            </w:r>
            <w:proofErr w:type="spellEnd"/>
            <w:r>
              <w:rPr>
                <w:rFonts w:eastAsia="Times New Roman" w:cs="Arial"/>
                <w:color w:val="000000"/>
                <w:szCs w:val="20"/>
                <w:lang w:eastAsia="pt-BR"/>
              </w:rPr>
              <w:t xml:space="preserve"> Planejamento e Consultoria (Apoio administrativo – mão-de-obra)</w:t>
            </w:r>
          </w:p>
        </w:tc>
        <w:tc>
          <w:tcPr>
            <w:tcW w:w="2161" w:type="dxa"/>
            <w:tcBorders>
              <w:top w:val="nil"/>
              <w:left w:val="nil"/>
              <w:bottom w:val="nil"/>
              <w:right w:val="nil"/>
            </w:tcBorders>
            <w:shd w:val="clear" w:color="auto" w:fill="D9D9D9" w:themeFill="background1" w:themeFillShade="D9"/>
            <w:noWrap/>
            <w:vAlign w:val="bottom"/>
            <w:hideMark/>
          </w:tcPr>
          <w:p w:rsidR="00C07190" w:rsidRPr="00FF5ACF" w:rsidRDefault="00C07190" w:rsidP="008F4251">
            <w:pPr>
              <w:jc w:val="right"/>
              <w:rPr>
                <w:rFonts w:eastAsia="Times New Roman" w:cs="Arial"/>
                <w:color w:val="000000"/>
                <w:szCs w:val="20"/>
                <w:lang w:eastAsia="pt-BR"/>
              </w:rPr>
            </w:pPr>
            <w:r w:rsidRPr="00CB2CA5">
              <w:rPr>
                <w:rFonts w:eastAsia="Times New Roman" w:cs="Arial"/>
                <w:color w:val="000000"/>
                <w:szCs w:val="20"/>
                <w:lang w:eastAsia="pt-BR"/>
              </w:rPr>
              <w:t>1</w:t>
            </w:r>
            <w:r>
              <w:rPr>
                <w:rFonts w:eastAsia="Times New Roman" w:cs="Arial"/>
                <w:color w:val="000000"/>
                <w:szCs w:val="20"/>
                <w:lang w:eastAsia="pt-BR"/>
              </w:rPr>
              <w:t>2</w:t>
            </w:r>
            <w:r w:rsidRPr="00CB2CA5">
              <w:rPr>
                <w:rFonts w:eastAsia="Times New Roman" w:cs="Arial"/>
                <w:color w:val="000000"/>
                <w:szCs w:val="20"/>
                <w:lang w:eastAsia="pt-BR"/>
              </w:rPr>
              <w:t>.</w:t>
            </w:r>
            <w:r>
              <w:rPr>
                <w:rFonts w:eastAsia="Times New Roman" w:cs="Arial"/>
                <w:color w:val="000000"/>
                <w:szCs w:val="20"/>
                <w:lang w:eastAsia="pt-BR"/>
              </w:rPr>
              <w:t>403</w:t>
            </w:r>
            <w:r w:rsidRPr="00CB2CA5">
              <w:rPr>
                <w:rFonts w:eastAsia="Times New Roman" w:cs="Arial"/>
                <w:color w:val="000000"/>
                <w:szCs w:val="20"/>
                <w:lang w:eastAsia="pt-BR"/>
              </w:rPr>
              <w:t>.</w:t>
            </w:r>
            <w:r>
              <w:rPr>
                <w:rFonts w:eastAsia="Times New Roman" w:cs="Arial"/>
                <w:color w:val="000000"/>
                <w:szCs w:val="20"/>
                <w:lang w:eastAsia="pt-BR"/>
              </w:rPr>
              <w:t>503</w:t>
            </w:r>
            <w:r w:rsidRPr="00CB2CA5">
              <w:rPr>
                <w:rFonts w:eastAsia="Times New Roman" w:cs="Arial"/>
                <w:color w:val="000000"/>
                <w:szCs w:val="20"/>
                <w:lang w:eastAsia="pt-BR"/>
              </w:rPr>
              <w:t>,</w:t>
            </w:r>
            <w:r>
              <w:rPr>
                <w:rFonts w:eastAsia="Times New Roman" w:cs="Arial"/>
                <w:color w:val="000000"/>
                <w:szCs w:val="20"/>
                <w:lang w:eastAsia="pt-BR"/>
              </w:rPr>
              <w:t>96</w:t>
            </w:r>
          </w:p>
        </w:tc>
        <w:tc>
          <w:tcPr>
            <w:tcW w:w="1061" w:type="dxa"/>
            <w:tcBorders>
              <w:top w:val="nil"/>
              <w:left w:val="nil"/>
              <w:bottom w:val="nil"/>
              <w:right w:val="nil"/>
            </w:tcBorders>
            <w:shd w:val="clear" w:color="auto" w:fill="D9D9D9" w:themeFill="background1" w:themeFillShade="D9"/>
            <w:noWrap/>
            <w:vAlign w:val="bottom"/>
            <w:hideMark/>
          </w:tcPr>
          <w:p w:rsidR="00C07190" w:rsidRPr="00FF5ACF" w:rsidRDefault="00C07190" w:rsidP="008F4251">
            <w:pPr>
              <w:jc w:val="right"/>
              <w:rPr>
                <w:rFonts w:eastAsia="Times New Roman" w:cs="Arial"/>
                <w:color w:val="000000"/>
                <w:szCs w:val="20"/>
                <w:lang w:eastAsia="pt-BR"/>
              </w:rPr>
            </w:pPr>
            <w:r>
              <w:rPr>
                <w:rFonts w:eastAsia="Times New Roman" w:cs="Arial"/>
                <w:color w:val="000000"/>
                <w:szCs w:val="20"/>
                <w:lang w:eastAsia="pt-BR"/>
              </w:rPr>
              <w:t>10,76</w:t>
            </w:r>
          </w:p>
        </w:tc>
      </w:tr>
      <w:tr w:rsidR="00C07190" w:rsidRPr="00FF5ACF" w:rsidTr="008F4251">
        <w:trPr>
          <w:trHeight w:val="510"/>
        </w:trPr>
        <w:tc>
          <w:tcPr>
            <w:tcW w:w="2298" w:type="dxa"/>
            <w:tcBorders>
              <w:top w:val="nil"/>
              <w:left w:val="nil"/>
              <w:bottom w:val="nil"/>
              <w:right w:val="nil"/>
            </w:tcBorders>
            <w:shd w:val="clear" w:color="auto" w:fill="auto"/>
            <w:noWrap/>
            <w:vAlign w:val="bottom"/>
            <w:hideMark/>
          </w:tcPr>
          <w:p w:rsidR="00C07190" w:rsidRPr="00FF5ACF" w:rsidRDefault="00C07190" w:rsidP="008F4251">
            <w:pPr>
              <w:jc w:val="left"/>
              <w:rPr>
                <w:rFonts w:eastAsia="Times New Roman" w:cs="Arial"/>
                <w:color w:val="000000"/>
                <w:szCs w:val="20"/>
                <w:lang w:eastAsia="pt-BR"/>
              </w:rPr>
            </w:pPr>
            <w:r>
              <w:rPr>
                <w:rFonts w:eastAsia="Times New Roman" w:cs="Arial"/>
                <w:color w:val="000000"/>
                <w:szCs w:val="20"/>
                <w:lang w:eastAsia="pt-BR"/>
              </w:rPr>
              <w:t>Aluguéis</w:t>
            </w:r>
          </w:p>
        </w:tc>
        <w:tc>
          <w:tcPr>
            <w:tcW w:w="3733" w:type="dxa"/>
            <w:tcBorders>
              <w:top w:val="nil"/>
              <w:left w:val="nil"/>
              <w:bottom w:val="nil"/>
              <w:right w:val="nil"/>
            </w:tcBorders>
            <w:shd w:val="clear" w:color="auto" w:fill="auto"/>
            <w:vAlign w:val="bottom"/>
            <w:hideMark/>
          </w:tcPr>
          <w:p w:rsidR="00C07190" w:rsidRPr="00FF5ACF" w:rsidRDefault="00C07190" w:rsidP="008F4251">
            <w:pPr>
              <w:jc w:val="left"/>
              <w:rPr>
                <w:rFonts w:eastAsia="Times New Roman" w:cs="Arial"/>
                <w:color w:val="000000"/>
                <w:szCs w:val="20"/>
                <w:lang w:eastAsia="pt-BR"/>
              </w:rPr>
            </w:pPr>
            <w:r>
              <w:rPr>
                <w:rFonts w:eastAsia="Times New Roman" w:cs="Arial"/>
                <w:color w:val="000000"/>
                <w:szCs w:val="20"/>
                <w:lang w:eastAsia="pt-BR"/>
              </w:rPr>
              <w:t xml:space="preserve">Irmandade – Aluguel dos andares 14/15/16/17/18/19 Rio de Janeiro </w:t>
            </w:r>
          </w:p>
        </w:tc>
        <w:tc>
          <w:tcPr>
            <w:tcW w:w="2161" w:type="dxa"/>
            <w:tcBorders>
              <w:top w:val="nil"/>
              <w:left w:val="nil"/>
              <w:bottom w:val="nil"/>
              <w:right w:val="nil"/>
            </w:tcBorders>
            <w:shd w:val="clear" w:color="auto" w:fill="auto"/>
            <w:noWrap/>
            <w:vAlign w:val="bottom"/>
            <w:hideMark/>
          </w:tcPr>
          <w:p w:rsidR="00C07190" w:rsidRPr="00FF5ACF" w:rsidRDefault="00C07190" w:rsidP="008F4251">
            <w:pPr>
              <w:jc w:val="right"/>
              <w:rPr>
                <w:rFonts w:eastAsia="Times New Roman" w:cs="Arial"/>
                <w:color w:val="000000"/>
                <w:szCs w:val="20"/>
                <w:lang w:eastAsia="pt-BR"/>
              </w:rPr>
            </w:pPr>
            <w:r>
              <w:rPr>
                <w:rFonts w:eastAsia="Times New Roman" w:cs="Arial"/>
                <w:color w:val="000000"/>
                <w:szCs w:val="20"/>
                <w:lang w:eastAsia="pt-BR"/>
              </w:rPr>
              <w:t>927.166,39</w:t>
            </w:r>
          </w:p>
        </w:tc>
        <w:tc>
          <w:tcPr>
            <w:tcW w:w="1061" w:type="dxa"/>
            <w:tcBorders>
              <w:top w:val="nil"/>
              <w:left w:val="nil"/>
              <w:bottom w:val="nil"/>
              <w:right w:val="nil"/>
            </w:tcBorders>
            <w:shd w:val="clear" w:color="auto" w:fill="auto"/>
            <w:noWrap/>
            <w:vAlign w:val="bottom"/>
            <w:hideMark/>
          </w:tcPr>
          <w:p w:rsidR="00C07190" w:rsidRPr="00FF5ACF" w:rsidRDefault="00C07190" w:rsidP="008F4251">
            <w:pPr>
              <w:jc w:val="right"/>
              <w:rPr>
                <w:rFonts w:eastAsia="Times New Roman" w:cs="Arial"/>
                <w:color w:val="000000"/>
                <w:szCs w:val="20"/>
                <w:lang w:eastAsia="pt-BR"/>
              </w:rPr>
            </w:pPr>
            <w:r>
              <w:rPr>
                <w:rFonts w:eastAsia="Times New Roman" w:cs="Arial"/>
                <w:color w:val="000000"/>
                <w:szCs w:val="20"/>
                <w:lang w:eastAsia="pt-BR"/>
              </w:rPr>
              <w:t>39,08</w:t>
            </w:r>
          </w:p>
        </w:tc>
      </w:tr>
      <w:tr w:rsidR="00C07190" w:rsidRPr="00FF5ACF" w:rsidTr="008F4251">
        <w:trPr>
          <w:trHeight w:val="510"/>
        </w:trPr>
        <w:tc>
          <w:tcPr>
            <w:tcW w:w="2298" w:type="dxa"/>
            <w:tcBorders>
              <w:top w:val="nil"/>
              <w:left w:val="nil"/>
              <w:bottom w:val="nil"/>
              <w:right w:val="nil"/>
            </w:tcBorders>
            <w:shd w:val="clear" w:color="auto" w:fill="D9D9D9" w:themeFill="background1" w:themeFillShade="D9"/>
            <w:noWrap/>
            <w:vAlign w:val="bottom"/>
          </w:tcPr>
          <w:p w:rsidR="00C07190" w:rsidRDefault="00C07190" w:rsidP="008F4251">
            <w:pPr>
              <w:jc w:val="left"/>
              <w:rPr>
                <w:rFonts w:eastAsia="Times New Roman" w:cs="Arial"/>
                <w:color w:val="000000"/>
                <w:szCs w:val="20"/>
                <w:lang w:eastAsia="pt-BR"/>
              </w:rPr>
            </w:pPr>
            <w:r>
              <w:rPr>
                <w:rFonts w:eastAsia="Times New Roman" w:cs="Arial"/>
                <w:color w:val="000000"/>
                <w:szCs w:val="20"/>
                <w:lang w:eastAsia="pt-BR"/>
              </w:rPr>
              <w:t>Bens</w:t>
            </w:r>
          </w:p>
        </w:tc>
        <w:tc>
          <w:tcPr>
            <w:tcW w:w="3733" w:type="dxa"/>
            <w:tcBorders>
              <w:top w:val="nil"/>
              <w:left w:val="nil"/>
              <w:bottom w:val="nil"/>
              <w:right w:val="nil"/>
            </w:tcBorders>
            <w:shd w:val="clear" w:color="auto" w:fill="D9D9D9" w:themeFill="background1" w:themeFillShade="D9"/>
            <w:vAlign w:val="bottom"/>
          </w:tcPr>
          <w:p w:rsidR="00C07190" w:rsidRDefault="00C07190" w:rsidP="008F4251">
            <w:pPr>
              <w:jc w:val="left"/>
              <w:rPr>
                <w:rFonts w:eastAsia="Times New Roman" w:cs="Arial"/>
                <w:color w:val="000000"/>
                <w:szCs w:val="20"/>
                <w:lang w:eastAsia="pt-BR"/>
              </w:rPr>
            </w:pPr>
            <w:r>
              <w:rPr>
                <w:rFonts w:eastAsia="Times New Roman" w:cs="Arial"/>
                <w:color w:val="000000"/>
                <w:szCs w:val="20"/>
                <w:lang w:eastAsia="pt-BR"/>
              </w:rPr>
              <w:t>Ingram Contratos 9001/19 e 9051/18</w:t>
            </w:r>
          </w:p>
        </w:tc>
        <w:tc>
          <w:tcPr>
            <w:tcW w:w="2161" w:type="dxa"/>
            <w:tcBorders>
              <w:top w:val="nil"/>
              <w:left w:val="nil"/>
              <w:bottom w:val="nil"/>
              <w:right w:val="nil"/>
            </w:tcBorders>
            <w:shd w:val="clear" w:color="auto" w:fill="D9D9D9" w:themeFill="background1" w:themeFillShade="D9"/>
            <w:noWrap/>
            <w:vAlign w:val="bottom"/>
          </w:tcPr>
          <w:p w:rsidR="00C07190" w:rsidRPr="00EE0B93" w:rsidRDefault="00C07190" w:rsidP="008F4251">
            <w:pPr>
              <w:jc w:val="right"/>
              <w:rPr>
                <w:rFonts w:eastAsia="Times New Roman" w:cs="Arial"/>
                <w:color w:val="000000"/>
                <w:szCs w:val="20"/>
                <w:lang w:eastAsia="pt-BR"/>
              </w:rPr>
            </w:pPr>
            <w:r>
              <w:rPr>
                <w:rFonts w:cs="Arial"/>
                <w:szCs w:val="20"/>
              </w:rPr>
              <w:t>8.424.654,91</w:t>
            </w:r>
          </w:p>
        </w:tc>
        <w:tc>
          <w:tcPr>
            <w:tcW w:w="1061" w:type="dxa"/>
            <w:tcBorders>
              <w:top w:val="nil"/>
              <w:left w:val="nil"/>
              <w:bottom w:val="nil"/>
              <w:right w:val="nil"/>
            </w:tcBorders>
            <w:shd w:val="clear" w:color="auto" w:fill="D9D9D9" w:themeFill="background1" w:themeFillShade="D9"/>
            <w:noWrap/>
            <w:vAlign w:val="bottom"/>
          </w:tcPr>
          <w:p w:rsidR="00C07190" w:rsidRDefault="00C07190" w:rsidP="008F4251">
            <w:pPr>
              <w:jc w:val="right"/>
              <w:rPr>
                <w:rFonts w:eastAsia="Times New Roman" w:cs="Arial"/>
                <w:color w:val="000000"/>
                <w:szCs w:val="20"/>
                <w:lang w:eastAsia="pt-BR"/>
              </w:rPr>
            </w:pPr>
            <w:r>
              <w:rPr>
                <w:rFonts w:eastAsia="Times New Roman" w:cs="Arial"/>
                <w:color w:val="000000"/>
                <w:szCs w:val="20"/>
                <w:lang w:eastAsia="pt-BR"/>
              </w:rPr>
              <w:t>83,89</w:t>
            </w:r>
          </w:p>
        </w:tc>
      </w:tr>
    </w:tbl>
    <w:p w:rsidR="00C07190" w:rsidRPr="00892CDD" w:rsidRDefault="00C07190" w:rsidP="00C07190">
      <w:pPr>
        <w:rPr>
          <w:i/>
          <w:noProof/>
          <w:szCs w:val="20"/>
          <w:lang w:eastAsia="pt-BR"/>
        </w:rPr>
      </w:pPr>
      <w:r w:rsidRPr="00892CDD">
        <w:rPr>
          <w:i/>
          <w:noProof/>
          <w:szCs w:val="20"/>
          <w:lang w:eastAsia="pt-BR"/>
        </w:rPr>
        <w:t>Fonte: SIAFI 201</w:t>
      </w:r>
      <w:r>
        <w:rPr>
          <w:i/>
          <w:noProof/>
          <w:szCs w:val="20"/>
          <w:lang w:eastAsia="pt-BR"/>
        </w:rPr>
        <w:t>9</w:t>
      </w:r>
      <w:r w:rsidRPr="00892CDD">
        <w:rPr>
          <w:i/>
          <w:noProof/>
          <w:szCs w:val="20"/>
          <w:lang w:eastAsia="pt-BR"/>
        </w:rPr>
        <w:t>.</w:t>
      </w:r>
    </w:p>
    <w:p w:rsidR="00C07190" w:rsidRDefault="00C07190" w:rsidP="00C07190">
      <w:pPr>
        <w:rPr>
          <w:rFonts w:cs="Arial"/>
          <w:sz w:val="22"/>
        </w:rPr>
      </w:pPr>
    </w:p>
    <w:p w:rsidR="00C07190" w:rsidRDefault="00C07190" w:rsidP="00C07190">
      <w:pPr>
        <w:rPr>
          <w:rFonts w:cs="Arial"/>
          <w:b/>
          <w:sz w:val="22"/>
        </w:rPr>
      </w:pPr>
    </w:p>
    <w:p w:rsidR="00C07190" w:rsidRPr="00407107" w:rsidRDefault="00C07190" w:rsidP="00C07190">
      <w:pPr>
        <w:rPr>
          <w:rFonts w:cs="Arial"/>
          <w:b/>
          <w:sz w:val="22"/>
        </w:rPr>
      </w:pPr>
      <w:r>
        <w:rPr>
          <w:rFonts w:cs="Arial"/>
          <w:b/>
          <w:sz w:val="22"/>
        </w:rPr>
        <w:t>6.2 Garantias Contratuais a Executar</w:t>
      </w:r>
    </w:p>
    <w:p w:rsidR="00C07190" w:rsidRPr="00407107" w:rsidRDefault="00C07190" w:rsidP="00C07190">
      <w:pPr>
        <w:rPr>
          <w:rFonts w:cs="Arial"/>
          <w:sz w:val="22"/>
        </w:rPr>
      </w:pPr>
    </w:p>
    <w:p w:rsidR="00C07190" w:rsidRDefault="00C07190" w:rsidP="00C07190">
      <w:pPr>
        <w:rPr>
          <w:rFonts w:cs="Arial"/>
          <w:sz w:val="22"/>
        </w:rPr>
      </w:pPr>
      <w:r w:rsidRPr="00407107">
        <w:rPr>
          <w:rFonts w:cs="Arial"/>
          <w:sz w:val="22"/>
        </w:rPr>
        <w:t>Em 3</w:t>
      </w:r>
      <w:r>
        <w:rPr>
          <w:rFonts w:cs="Arial"/>
          <w:sz w:val="22"/>
        </w:rPr>
        <w:t>1</w:t>
      </w:r>
      <w:r w:rsidRPr="00407107">
        <w:rPr>
          <w:rFonts w:cs="Arial"/>
          <w:sz w:val="22"/>
        </w:rPr>
        <w:t>/</w:t>
      </w:r>
      <w:r>
        <w:rPr>
          <w:rFonts w:cs="Arial"/>
          <w:sz w:val="22"/>
        </w:rPr>
        <w:t>12</w:t>
      </w:r>
      <w:r w:rsidRPr="00407107">
        <w:rPr>
          <w:rFonts w:cs="Arial"/>
          <w:sz w:val="22"/>
        </w:rPr>
        <w:t>/201</w:t>
      </w:r>
      <w:r>
        <w:rPr>
          <w:rFonts w:cs="Arial"/>
          <w:sz w:val="22"/>
        </w:rPr>
        <w:t>9</w:t>
      </w:r>
      <w:r w:rsidRPr="00407107">
        <w:rPr>
          <w:rFonts w:cs="Arial"/>
          <w:sz w:val="22"/>
        </w:rPr>
        <w:t>, a A</w:t>
      </w:r>
      <w:r>
        <w:rPr>
          <w:rFonts w:cs="Arial"/>
          <w:sz w:val="22"/>
        </w:rPr>
        <w:t xml:space="preserve">NP </w:t>
      </w:r>
      <w:r w:rsidRPr="00407107">
        <w:rPr>
          <w:rFonts w:cs="Arial"/>
          <w:sz w:val="22"/>
        </w:rPr>
        <w:t xml:space="preserve">possuía um saldo superior a R$ </w:t>
      </w:r>
      <w:r>
        <w:rPr>
          <w:rFonts w:cs="Arial"/>
          <w:sz w:val="22"/>
        </w:rPr>
        <w:t xml:space="preserve">17 milhões </w:t>
      </w:r>
      <w:r w:rsidRPr="00407107">
        <w:rPr>
          <w:rFonts w:cs="Arial"/>
          <w:sz w:val="22"/>
        </w:rPr>
        <w:t xml:space="preserve">em </w:t>
      </w:r>
      <w:r>
        <w:rPr>
          <w:rFonts w:cs="Arial"/>
          <w:sz w:val="22"/>
        </w:rPr>
        <w:t xml:space="preserve">garantias contratuais a executar recebidas. As garantias possuem como objeto o fiel cumprimento das obrigações assumidas nos contratos firmados com os fornecedores da Agência. </w:t>
      </w:r>
    </w:p>
    <w:p w:rsidR="00C07190" w:rsidRPr="00407107" w:rsidRDefault="00C07190" w:rsidP="00C07190">
      <w:pPr>
        <w:rPr>
          <w:rFonts w:cs="Arial"/>
          <w:sz w:val="22"/>
        </w:rPr>
      </w:pPr>
    </w:p>
    <w:p w:rsidR="00C07190" w:rsidRDefault="00C07190" w:rsidP="00C07190">
      <w:pPr>
        <w:rPr>
          <w:rFonts w:cs="Arial"/>
          <w:sz w:val="22"/>
        </w:rPr>
      </w:pPr>
      <w:r w:rsidRPr="00407107">
        <w:rPr>
          <w:rFonts w:cs="Arial"/>
          <w:sz w:val="22"/>
        </w:rPr>
        <w:lastRenderedPageBreak/>
        <w:t xml:space="preserve">A seguir, apresenta-se a tabela segregando-se essas </w:t>
      </w:r>
      <w:r>
        <w:rPr>
          <w:rFonts w:cs="Arial"/>
          <w:sz w:val="22"/>
        </w:rPr>
        <w:t>garantias</w:t>
      </w:r>
      <w:r w:rsidRPr="00407107">
        <w:rPr>
          <w:rFonts w:cs="Arial"/>
          <w:sz w:val="22"/>
        </w:rPr>
        <w:t xml:space="preserve"> de acordo com a </w:t>
      </w:r>
      <w:r>
        <w:rPr>
          <w:rFonts w:cs="Arial"/>
          <w:sz w:val="22"/>
        </w:rPr>
        <w:t>respectiva modalidade:</w:t>
      </w:r>
    </w:p>
    <w:p w:rsidR="00C07190" w:rsidRPr="00407107" w:rsidRDefault="00C07190" w:rsidP="00C07190">
      <w:pPr>
        <w:rPr>
          <w:rFonts w:cs="Arial"/>
          <w:sz w:val="22"/>
        </w:rPr>
      </w:pPr>
    </w:p>
    <w:p w:rsidR="00C07190" w:rsidRPr="00407107" w:rsidRDefault="00C07190" w:rsidP="00C07190">
      <w:pPr>
        <w:rPr>
          <w:rFonts w:cs="Arial"/>
          <w:sz w:val="22"/>
        </w:rPr>
      </w:pPr>
    </w:p>
    <w:p w:rsidR="00C07190" w:rsidRPr="00407107" w:rsidRDefault="00C07190" w:rsidP="00C07190">
      <w:pPr>
        <w:rPr>
          <w:rFonts w:cs="Arial"/>
          <w:b/>
          <w:sz w:val="22"/>
        </w:rPr>
      </w:pPr>
      <w:r w:rsidRPr="00F976AC">
        <w:rPr>
          <w:rFonts w:cs="Arial"/>
          <w:b/>
          <w:sz w:val="22"/>
        </w:rPr>
        <w:t>Tabela</w:t>
      </w:r>
      <w:r>
        <w:rPr>
          <w:rFonts w:cs="Arial"/>
          <w:b/>
          <w:sz w:val="22"/>
        </w:rPr>
        <w:t xml:space="preserve"> 18 </w:t>
      </w:r>
      <w:r w:rsidRPr="00F976AC">
        <w:rPr>
          <w:rFonts w:cs="Arial"/>
          <w:b/>
          <w:sz w:val="22"/>
        </w:rPr>
        <w:t>–</w:t>
      </w:r>
      <w:r w:rsidRPr="00407107">
        <w:rPr>
          <w:rFonts w:cs="Arial"/>
          <w:b/>
          <w:sz w:val="22"/>
        </w:rPr>
        <w:t xml:space="preserve"> </w:t>
      </w:r>
      <w:r>
        <w:rPr>
          <w:rFonts w:cs="Arial"/>
          <w:b/>
          <w:sz w:val="22"/>
        </w:rPr>
        <w:t>Garantias Contratuais a Executar</w:t>
      </w:r>
      <w:r w:rsidRPr="00407107">
        <w:rPr>
          <w:rFonts w:cs="Arial"/>
          <w:b/>
          <w:sz w:val="22"/>
        </w:rPr>
        <w:t xml:space="preserve"> – Composição.</w:t>
      </w:r>
    </w:p>
    <w:p w:rsidR="00C07190" w:rsidRDefault="00C07190" w:rsidP="00C07190">
      <w:pPr>
        <w:ind w:left="5664" w:firstLine="708"/>
        <w:jc w:val="center"/>
        <w:rPr>
          <w:rFonts w:cs="Arial"/>
          <w:sz w:val="22"/>
        </w:rPr>
      </w:pPr>
      <w:r>
        <w:rPr>
          <w:rFonts w:cs="Arial"/>
          <w:szCs w:val="20"/>
        </w:rPr>
        <w:t xml:space="preserve">                                              R$</w:t>
      </w:r>
    </w:p>
    <w:tbl>
      <w:tblPr>
        <w:tblW w:w="9191" w:type="dxa"/>
        <w:tblCellMar>
          <w:left w:w="70" w:type="dxa"/>
          <w:right w:w="70" w:type="dxa"/>
        </w:tblCellMar>
        <w:tblLook w:val="04A0" w:firstRow="1" w:lastRow="0" w:firstColumn="1" w:lastColumn="0" w:noHBand="0" w:noVBand="1"/>
      </w:tblPr>
      <w:tblGrid>
        <w:gridCol w:w="2694"/>
        <w:gridCol w:w="1970"/>
        <w:gridCol w:w="1732"/>
        <w:gridCol w:w="1865"/>
        <w:gridCol w:w="930"/>
      </w:tblGrid>
      <w:tr w:rsidR="00C07190" w:rsidRPr="00484C19" w:rsidTr="008F4251">
        <w:trPr>
          <w:trHeight w:val="229"/>
        </w:trPr>
        <w:tc>
          <w:tcPr>
            <w:tcW w:w="2694" w:type="dxa"/>
            <w:tcBorders>
              <w:top w:val="single" w:sz="4" w:space="0" w:color="000000"/>
              <w:left w:val="nil"/>
              <w:bottom w:val="single" w:sz="4" w:space="0" w:color="000000"/>
              <w:right w:val="nil"/>
            </w:tcBorders>
            <w:shd w:val="clear" w:color="auto" w:fill="auto"/>
            <w:noWrap/>
            <w:vAlign w:val="bottom"/>
            <w:hideMark/>
          </w:tcPr>
          <w:p w:rsidR="00C07190" w:rsidRPr="00484C19" w:rsidRDefault="00C07190" w:rsidP="008F4251">
            <w:pPr>
              <w:jc w:val="left"/>
              <w:rPr>
                <w:rFonts w:eastAsia="Times New Roman" w:cs="Arial"/>
                <w:b/>
                <w:bCs/>
                <w:color w:val="FFFFFF"/>
                <w:szCs w:val="20"/>
                <w:lang w:eastAsia="pt-BR"/>
              </w:rPr>
            </w:pPr>
            <w:r w:rsidRPr="00484C19">
              <w:rPr>
                <w:rFonts w:eastAsia="Times New Roman" w:cs="Arial"/>
                <w:b/>
                <w:bCs/>
                <w:color w:val="FFFFFF"/>
                <w:szCs w:val="20"/>
                <w:lang w:eastAsia="pt-BR"/>
              </w:rPr>
              <w:t>Colunas1</w:t>
            </w:r>
          </w:p>
        </w:tc>
        <w:tc>
          <w:tcPr>
            <w:tcW w:w="1970" w:type="dxa"/>
            <w:tcBorders>
              <w:top w:val="single" w:sz="4" w:space="0" w:color="000000"/>
              <w:left w:val="nil"/>
              <w:bottom w:val="single" w:sz="4" w:space="0" w:color="000000"/>
              <w:right w:val="nil"/>
            </w:tcBorders>
            <w:shd w:val="clear" w:color="auto" w:fill="auto"/>
            <w:noWrap/>
            <w:vAlign w:val="bottom"/>
            <w:hideMark/>
          </w:tcPr>
          <w:p w:rsidR="00C07190" w:rsidRPr="00484C19" w:rsidRDefault="00C07190" w:rsidP="008F4251">
            <w:pPr>
              <w:jc w:val="right"/>
              <w:rPr>
                <w:rFonts w:eastAsia="Times New Roman" w:cs="Arial"/>
                <w:b/>
                <w:bCs/>
                <w:color w:val="000000"/>
                <w:szCs w:val="20"/>
                <w:lang w:eastAsia="pt-BR"/>
              </w:rPr>
            </w:pPr>
            <w:r w:rsidRPr="00484C19">
              <w:rPr>
                <w:rFonts w:eastAsia="Times New Roman" w:cs="Arial"/>
                <w:b/>
                <w:bCs/>
                <w:color w:val="000000"/>
                <w:szCs w:val="20"/>
                <w:lang w:eastAsia="pt-BR"/>
              </w:rPr>
              <w:t>3</w:t>
            </w:r>
            <w:r>
              <w:rPr>
                <w:rFonts w:eastAsia="Times New Roman" w:cs="Arial"/>
                <w:b/>
                <w:bCs/>
                <w:color w:val="000000"/>
                <w:szCs w:val="20"/>
                <w:lang w:eastAsia="pt-BR"/>
              </w:rPr>
              <w:t>1</w:t>
            </w:r>
            <w:r w:rsidRPr="00484C19">
              <w:rPr>
                <w:rFonts w:eastAsia="Times New Roman" w:cs="Arial"/>
                <w:b/>
                <w:bCs/>
                <w:color w:val="000000"/>
                <w:szCs w:val="20"/>
                <w:lang w:eastAsia="pt-BR"/>
              </w:rPr>
              <w:t>/</w:t>
            </w:r>
            <w:r>
              <w:rPr>
                <w:rFonts w:eastAsia="Times New Roman" w:cs="Arial"/>
                <w:b/>
                <w:bCs/>
                <w:color w:val="000000"/>
                <w:szCs w:val="20"/>
                <w:lang w:eastAsia="pt-BR"/>
              </w:rPr>
              <w:t>12</w:t>
            </w:r>
            <w:r w:rsidRPr="00484C19">
              <w:rPr>
                <w:rFonts w:eastAsia="Times New Roman" w:cs="Arial"/>
                <w:b/>
                <w:bCs/>
                <w:color w:val="000000"/>
                <w:szCs w:val="20"/>
                <w:lang w:eastAsia="pt-BR"/>
              </w:rPr>
              <w:t>/201</w:t>
            </w:r>
            <w:r>
              <w:rPr>
                <w:rFonts w:eastAsia="Times New Roman" w:cs="Arial"/>
                <w:b/>
                <w:bCs/>
                <w:color w:val="000000"/>
                <w:szCs w:val="20"/>
                <w:lang w:eastAsia="pt-BR"/>
              </w:rPr>
              <w:t>9</w:t>
            </w:r>
          </w:p>
        </w:tc>
        <w:tc>
          <w:tcPr>
            <w:tcW w:w="1732" w:type="dxa"/>
            <w:tcBorders>
              <w:top w:val="single" w:sz="4" w:space="0" w:color="000000"/>
              <w:left w:val="nil"/>
              <w:bottom w:val="single" w:sz="4" w:space="0" w:color="000000"/>
              <w:right w:val="nil"/>
            </w:tcBorders>
            <w:shd w:val="clear" w:color="auto" w:fill="auto"/>
            <w:noWrap/>
            <w:vAlign w:val="bottom"/>
            <w:hideMark/>
          </w:tcPr>
          <w:p w:rsidR="00C07190" w:rsidRPr="00484C19" w:rsidRDefault="00C07190" w:rsidP="008F4251">
            <w:pPr>
              <w:jc w:val="right"/>
              <w:rPr>
                <w:rFonts w:eastAsia="Times New Roman" w:cs="Arial"/>
                <w:b/>
                <w:bCs/>
                <w:color w:val="000000"/>
                <w:szCs w:val="20"/>
                <w:lang w:eastAsia="pt-BR"/>
              </w:rPr>
            </w:pPr>
            <w:r w:rsidRPr="00484C19">
              <w:rPr>
                <w:rFonts w:eastAsia="Times New Roman" w:cs="Arial"/>
                <w:b/>
                <w:bCs/>
                <w:color w:val="000000"/>
                <w:szCs w:val="20"/>
                <w:lang w:eastAsia="pt-BR"/>
              </w:rPr>
              <w:t>31/12/201</w:t>
            </w:r>
            <w:r>
              <w:rPr>
                <w:rFonts w:eastAsia="Times New Roman" w:cs="Arial"/>
                <w:b/>
                <w:bCs/>
                <w:color w:val="000000"/>
                <w:szCs w:val="20"/>
                <w:lang w:eastAsia="pt-BR"/>
              </w:rPr>
              <w:t>8</w:t>
            </w:r>
          </w:p>
        </w:tc>
        <w:tc>
          <w:tcPr>
            <w:tcW w:w="1865" w:type="dxa"/>
            <w:tcBorders>
              <w:top w:val="single" w:sz="4" w:space="0" w:color="000000"/>
              <w:left w:val="nil"/>
              <w:bottom w:val="single" w:sz="4" w:space="0" w:color="000000"/>
              <w:right w:val="nil"/>
            </w:tcBorders>
            <w:shd w:val="clear" w:color="auto" w:fill="auto"/>
            <w:noWrap/>
            <w:vAlign w:val="bottom"/>
            <w:hideMark/>
          </w:tcPr>
          <w:p w:rsidR="00C07190" w:rsidRPr="00484C19" w:rsidRDefault="00C07190" w:rsidP="008F4251">
            <w:pPr>
              <w:jc w:val="right"/>
              <w:rPr>
                <w:rFonts w:eastAsia="Times New Roman" w:cs="Arial"/>
                <w:b/>
                <w:bCs/>
                <w:color w:val="000000"/>
                <w:szCs w:val="20"/>
                <w:lang w:eastAsia="pt-BR"/>
              </w:rPr>
            </w:pPr>
            <w:r w:rsidRPr="00484C19">
              <w:rPr>
                <w:rFonts w:eastAsia="Times New Roman" w:cs="Arial"/>
                <w:b/>
                <w:bCs/>
                <w:color w:val="000000"/>
                <w:szCs w:val="20"/>
                <w:lang w:eastAsia="pt-BR"/>
              </w:rPr>
              <w:t>AH %</w:t>
            </w:r>
          </w:p>
        </w:tc>
        <w:tc>
          <w:tcPr>
            <w:tcW w:w="930" w:type="dxa"/>
            <w:tcBorders>
              <w:top w:val="single" w:sz="4" w:space="0" w:color="000000"/>
              <w:left w:val="nil"/>
              <w:bottom w:val="single" w:sz="4" w:space="0" w:color="000000"/>
              <w:right w:val="nil"/>
            </w:tcBorders>
            <w:shd w:val="clear" w:color="auto" w:fill="auto"/>
            <w:noWrap/>
            <w:vAlign w:val="bottom"/>
            <w:hideMark/>
          </w:tcPr>
          <w:p w:rsidR="00C07190" w:rsidRPr="00484C19" w:rsidRDefault="00C07190" w:rsidP="008F4251">
            <w:pPr>
              <w:jc w:val="right"/>
              <w:rPr>
                <w:rFonts w:eastAsia="Times New Roman" w:cs="Arial"/>
                <w:b/>
                <w:bCs/>
                <w:color w:val="000000"/>
                <w:szCs w:val="20"/>
                <w:lang w:eastAsia="pt-BR"/>
              </w:rPr>
            </w:pPr>
            <w:r w:rsidRPr="00484C19">
              <w:rPr>
                <w:rFonts w:eastAsia="Times New Roman" w:cs="Arial"/>
                <w:b/>
                <w:bCs/>
                <w:color w:val="000000"/>
                <w:szCs w:val="20"/>
                <w:lang w:eastAsia="pt-BR"/>
              </w:rPr>
              <w:t>AV %</w:t>
            </w:r>
          </w:p>
        </w:tc>
      </w:tr>
      <w:tr w:rsidR="00C07190" w:rsidRPr="00484C19" w:rsidTr="008F4251">
        <w:trPr>
          <w:trHeight w:val="229"/>
        </w:trPr>
        <w:tc>
          <w:tcPr>
            <w:tcW w:w="2694" w:type="dxa"/>
            <w:tcBorders>
              <w:top w:val="nil"/>
              <w:left w:val="nil"/>
              <w:bottom w:val="nil"/>
              <w:right w:val="nil"/>
            </w:tcBorders>
            <w:shd w:val="clear" w:color="D9D9D9" w:fill="D9D9D9"/>
            <w:noWrap/>
            <w:vAlign w:val="bottom"/>
            <w:hideMark/>
          </w:tcPr>
          <w:p w:rsidR="00C07190" w:rsidRPr="00484C19" w:rsidRDefault="00C07190" w:rsidP="008F4251">
            <w:pPr>
              <w:jc w:val="left"/>
              <w:rPr>
                <w:rFonts w:eastAsia="Times New Roman" w:cs="Arial"/>
                <w:color w:val="000000"/>
                <w:szCs w:val="20"/>
                <w:lang w:eastAsia="pt-BR"/>
              </w:rPr>
            </w:pPr>
            <w:r>
              <w:rPr>
                <w:rFonts w:eastAsia="Times New Roman" w:cs="Arial"/>
                <w:color w:val="000000"/>
                <w:szCs w:val="20"/>
                <w:lang w:eastAsia="pt-BR"/>
              </w:rPr>
              <w:t>Fianças Bancárias</w:t>
            </w:r>
          </w:p>
        </w:tc>
        <w:tc>
          <w:tcPr>
            <w:tcW w:w="1970" w:type="dxa"/>
            <w:tcBorders>
              <w:top w:val="nil"/>
              <w:left w:val="nil"/>
              <w:bottom w:val="nil"/>
              <w:right w:val="nil"/>
            </w:tcBorders>
            <w:shd w:val="clear" w:color="D9D9D9" w:fill="D9D9D9"/>
            <w:noWrap/>
            <w:vAlign w:val="bottom"/>
            <w:hideMark/>
          </w:tcPr>
          <w:p w:rsidR="00C07190" w:rsidRPr="00484C19" w:rsidRDefault="00C07190" w:rsidP="008F4251">
            <w:pPr>
              <w:jc w:val="right"/>
              <w:rPr>
                <w:rFonts w:eastAsia="Times New Roman" w:cs="Arial"/>
                <w:color w:val="000000"/>
                <w:szCs w:val="20"/>
                <w:lang w:eastAsia="pt-BR"/>
              </w:rPr>
            </w:pPr>
            <w:r w:rsidRPr="00E00CD2">
              <w:rPr>
                <w:rFonts w:eastAsia="Times New Roman" w:cs="Arial"/>
                <w:color w:val="000000"/>
                <w:szCs w:val="20"/>
                <w:lang w:eastAsia="pt-BR"/>
              </w:rPr>
              <w:t>713</w:t>
            </w:r>
            <w:r>
              <w:rPr>
                <w:rFonts w:eastAsia="Times New Roman" w:cs="Arial"/>
                <w:color w:val="000000"/>
                <w:szCs w:val="20"/>
                <w:lang w:eastAsia="pt-BR"/>
              </w:rPr>
              <w:t>.</w:t>
            </w:r>
            <w:r w:rsidRPr="00E00CD2">
              <w:rPr>
                <w:rFonts w:eastAsia="Times New Roman" w:cs="Arial"/>
                <w:color w:val="000000"/>
                <w:szCs w:val="20"/>
                <w:lang w:eastAsia="pt-BR"/>
              </w:rPr>
              <w:t>039,35</w:t>
            </w:r>
          </w:p>
        </w:tc>
        <w:tc>
          <w:tcPr>
            <w:tcW w:w="1732" w:type="dxa"/>
            <w:tcBorders>
              <w:top w:val="nil"/>
              <w:left w:val="nil"/>
              <w:bottom w:val="nil"/>
              <w:right w:val="nil"/>
            </w:tcBorders>
            <w:shd w:val="clear" w:color="D9D9D9" w:fill="D9D9D9"/>
            <w:noWrap/>
            <w:vAlign w:val="bottom"/>
            <w:hideMark/>
          </w:tcPr>
          <w:p w:rsidR="00C07190" w:rsidRPr="00484C19" w:rsidRDefault="00C07190" w:rsidP="008F4251">
            <w:pPr>
              <w:jc w:val="right"/>
              <w:rPr>
                <w:rFonts w:eastAsia="Times New Roman" w:cs="Arial"/>
                <w:color w:val="000000"/>
                <w:szCs w:val="20"/>
                <w:lang w:eastAsia="pt-BR"/>
              </w:rPr>
            </w:pPr>
            <w:r w:rsidRPr="00F31D7D">
              <w:rPr>
                <w:rFonts w:eastAsia="Times New Roman" w:cs="Arial"/>
                <w:color w:val="000000"/>
                <w:szCs w:val="20"/>
                <w:lang w:eastAsia="pt-BR"/>
              </w:rPr>
              <w:t>550</w:t>
            </w:r>
            <w:r>
              <w:rPr>
                <w:rFonts w:eastAsia="Times New Roman" w:cs="Arial"/>
                <w:color w:val="000000"/>
                <w:szCs w:val="20"/>
                <w:lang w:eastAsia="pt-BR"/>
              </w:rPr>
              <w:t>.</w:t>
            </w:r>
            <w:r w:rsidRPr="00F31D7D">
              <w:rPr>
                <w:rFonts w:eastAsia="Times New Roman" w:cs="Arial"/>
                <w:color w:val="000000"/>
                <w:szCs w:val="20"/>
                <w:lang w:eastAsia="pt-BR"/>
              </w:rPr>
              <w:t>203,97</w:t>
            </w:r>
          </w:p>
        </w:tc>
        <w:tc>
          <w:tcPr>
            <w:tcW w:w="1865" w:type="dxa"/>
            <w:tcBorders>
              <w:top w:val="nil"/>
              <w:left w:val="nil"/>
              <w:bottom w:val="nil"/>
              <w:right w:val="nil"/>
            </w:tcBorders>
            <w:shd w:val="clear" w:color="D9D9D9" w:fill="D9D9D9"/>
            <w:noWrap/>
            <w:vAlign w:val="bottom"/>
            <w:hideMark/>
          </w:tcPr>
          <w:p w:rsidR="00C07190" w:rsidRPr="00484C19" w:rsidRDefault="00C07190" w:rsidP="008F4251">
            <w:pPr>
              <w:jc w:val="right"/>
              <w:rPr>
                <w:rFonts w:eastAsia="Times New Roman" w:cs="Arial"/>
                <w:color w:val="000000"/>
                <w:szCs w:val="20"/>
                <w:lang w:eastAsia="pt-BR"/>
              </w:rPr>
            </w:pPr>
            <w:r>
              <w:rPr>
                <w:rFonts w:eastAsia="Times New Roman" w:cs="Arial"/>
                <w:color w:val="000000"/>
                <w:szCs w:val="20"/>
                <w:lang w:eastAsia="pt-BR"/>
              </w:rPr>
              <w:t>29</w:t>
            </w:r>
            <w:r w:rsidRPr="00484C19">
              <w:rPr>
                <w:rFonts w:eastAsia="Times New Roman" w:cs="Arial"/>
                <w:color w:val="000000"/>
                <w:szCs w:val="20"/>
                <w:lang w:eastAsia="pt-BR"/>
              </w:rPr>
              <w:t>,</w:t>
            </w:r>
            <w:r>
              <w:rPr>
                <w:rFonts w:eastAsia="Times New Roman" w:cs="Arial"/>
                <w:color w:val="000000"/>
                <w:szCs w:val="20"/>
                <w:lang w:eastAsia="pt-BR"/>
              </w:rPr>
              <w:t>60</w:t>
            </w:r>
          </w:p>
        </w:tc>
        <w:tc>
          <w:tcPr>
            <w:tcW w:w="930" w:type="dxa"/>
            <w:tcBorders>
              <w:top w:val="nil"/>
              <w:left w:val="nil"/>
              <w:bottom w:val="nil"/>
              <w:right w:val="nil"/>
            </w:tcBorders>
            <w:shd w:val="clear" w:color="D9D9D9" w:fill="D9D9D9"/>
            <w:noWrap/>
            <w:vAlign w:val="bottom"/>
            <w:hideMark/>
          </w:tcPr>
          <w:p w:rsidR="00C07190" w:rsidRPr="00484C19" w:rsidRDefault="00C07190" w:rsidP="008F4251">
            <w:pPr>
              <w:jc w:val="right"/>
              <w:rPr>
                <w:rFonts w:eastAsia="Times New Roman" w:cs="Arial"/>
                <w:color w:val="000000"/>
                <w:szCs w:val="20"/>
                <w:lang w:eastAsia="pt-BR"/>
              </w:rPr>
            </w:pPr>
            <w:r>
              <w:rPr>
                <w:rFonts w:eastAsia="Times New Roman" w:cs="Arial"/>
                <w:color w:val="000000"/>
                <w:szCs w:val="20"/>
                <w:lang w:eastAsia="pt-BR"/>
              </w:rPr>
              <w:t>8</w:t>
            </w:r>
            <w:r w:rsidRPr="00484C19">
              <w:rPr>
                <w:rFonts w:eastAsia="Times New Roman" w:cs="Arial"/>
                <w:color w:val="000000"/>
                <w:szCs w:val="20"/>
                <w:lang w:eastAsia="pt-BR"/>
              </w:rPr>
              <w:t>,</w:t>
            </w:r>
            <w:r>
              <w:rPr>
                <w:rFonts w:eastAsia="Times New Roman" w:cs="Arial"/>
                <w:color w:val="000000"/>
                <w:szCs w:val="20"/>
                <w:lang w:eastAsia="pt-BR"/>
              </w:rPr>
              <w:t>59</w:t>
            </w:r>
          </w:p>
        </w:tc>
      </w:tr>
      <w:tr w:rsidR="00C07190" w:rsidRPr="00484C19" w:rsidTr="008F4251">
        <w:trPr>
          <w:trHeight w:val="229"/>
        </w:trPr>
        <w:tc>
          <w:tcPr>
            <w:tcW w:w="2694" w:type="dxa"/>
            <w:tcBorders>
              <w:top w:val="nil"/>
              <w:left w:val="nil"/>
              <w:bottom w:val="nil"/>
              <w:right w:val="nil"/>
            </w:tcBorders>
            <w:shd w:val="clear" w:color="auto" w:fill="auto"/>
            <w:noWrap/>
            <w:vAlign w:val="bottom"/>
            <w:hideMark/>
          </w:tcPr>
          <w:p w:rsidR="00C07190" w:rsidRPr="00484C19" w:rsidRDefault="00C07190" w:rsidP="008F4251">
            <w:pPr>
              <w:jc w:val="left"/>
              <w:rPr>
                <w:rFonts w:eastAsia="Times New Roman" w:cs="Arial"/>
                <w:color w:val="000000"/>
                <w:szCs w:val="20"/>
                <w:lang w:eastAsia="pt-BR"/>
              </w:rPr>
            </w:pPr>
            <w:r w:rsidRPr="00484C19">
              <w:rPr>
                <w:rFonts w:eastAsia="Times New Roman" w:cs="Arial"/>
                <w:color w:val="000000"/>
                <w:szCs w:val="20"/>
                <w:lang w:eastAsia="pt-BR"/>
              </w:rPr>
              <w:t>Seguros-Garantia a Executar</w:t>
            </w:r>
          </w:p>
        </w:tc>
        <w:tc>
          <w:tcPr>
            <w:tcW w:w="1970" w:type="dxa"/>
            <w:tcBorders>
              <w:top w:val="nil"/>
              <w:left w:val="nil"/>
              <w:bottom w:val="nil"/>
              <w:right w:val="nil"/>
            </w:tcBorders>
            <w:shd w:val="clear" w:color="auto" w:fill="auto"/>
            <w:noWrap/>
            <w:vAlign w:val="bottom"/>
            <w:hideMark/>
          </w:tcPr>
          <w:p w:rsidR="00C07190" w:rsidRPr="00484C19" w:rsidRDefault="00C07190" w:rsidP="008F4251">
            <w:pPr>
              <w:jc w:val="right"/>
              <w:rPr>
                <w:rFonts w:eastAsia="Times New Roman" w:cs="Arial"/>
                <w:color w:val="000000"/>
                <w:szCs w:val="20"/>
                <w:lang w:eastAsia="pt-BR"/>
              </w:rPr>
            </w:pPr>
            <w:r w:rsidRPr="00E00CD2">
              <w:rPr>
                <w:rFonts w:eastAsia="Times New Roman" w:cs="Arial"/>
                <w:color w:val="000000"/>
                <w:szCs w:val="20"/>
                <w:lang w:eastAsia="pt-BR"/>
              </w:rPr>
              <w:t>2</w:t>
            </w:r>
            <w:r>
              <w:rPr>
                <w:rFonts w:eastAsia="Times New Roman" w:cs="Arial"/>
                <w:color w:val="000000"/>
                <w:szCs w:val="20"/>
                <w:lang w:eastAsia="pt-BR"/>
              </w:rPr>
              <w:t>.</w:t>
            </w:r>
            <w:r w:rsidRPr="00E00CD2">
              <w:rPr>
                <w:rFonts w:eastAsia="Times New Roman" w:cs="Arial"/>
                <w:color w:val="000000"/>
                <w:szCs w:val="20"/>
                <w:lang w:eastAsia="pt-BR"/>
              </w:rPr>
              <w:t>174</w:t>
            </w:r>
            <w:r>
              <w:rPr>
                <w:rFonts w:eastAsia="Times New Roman" w:cs="Arial"/>
                <w:color w:val="000000"/>
                <w:szCs w:val="20"/>
                <w:lang w:eastAsia="pt-BR"/>
              </w:rPr>
              <w:t>.</w:t>
            </w:r>
            <w:r w:rsidRPr="00E00CD2">
              <w:rPr>
                <w:rFonts w:eastAsia="Times New Roman" w:cs="Arial"/>
                <w:color w:val="000000"/>
                <w:szCs w:val="20"/>
                <w:lang w:eastAsia="pt-BR"/>
              </w:rPr>
              <w:t>092,75</w:t>
            </w:r>
          </w:p>
        </w:tc>
        <w:tc>
          <w:tcPr>
            <w:tcW w:w="1732" w:type="dxa"/>
            <w:tcBorders>
              <w:top w:val="nil"/>
              <w:left w:val="nil"/>
              <w:bottom w:val="nil"/>
              <w:right w:val="nil"/>
            </w:tcBorders>
            <w:shd w:val="clear" w:color="auto" w:fill="auto"/>
            <w:noWrap/>
            <w:vAlign w:val="bottom"/>
            <w:hideMark/>
          </w:tcPr>
          <w:p w:rsidR="00C07190" w:rsidRPr="00484C19" w:rsidRDefault="00C07190" w:rsidP="008F4251">
            <w:pPr>
              <w:jc w:val="right"/>
              <w:rPr>
                <w:rFonts w:eastAsia="Times New Roman" w:cs="Arial"/>
                <w:color w:val="000000"/>
                <w:szCs w:val="20"/>
                <w:lang w:eastAsia="pt-BR"/>
              </w:rPr>
            </w:pPr>
            <w:r w:rsidRPr="00F31D7D">
              <w:rPr>
                <w:rFonts w:eastAsia="Times New Roman" w:cs="Arial"/>
                <w:color w:val="000000"/>
                <w:szCs w:val="20"/>
                <w:lang w:eastAsia="pt-BR"/>
              </w:rPr>
              <w:t>4</w:t>
            </w:r>
            <w:r>
              <w:rPr>
                <w:rFonts w:eastAsia="Times New Roman" w:cs="Arial"/>
                <w:color w:val="000000"/>
                <w:szCs w:val="20"/>
                <w:lang w:eastAsia="pt-BR"/>
              </w:rPr>
              <w:t>.</w:t>
            </w:r>
            <w:r w:rsidRPr="00F31D7D">
              <w:rPr>
                <w:rFonts w:eastAsia="Times New Roman" w:cs="Arial"/>
                <w:color w:val="000000"/>
                <w:szCs w:val="20"/>
                <w:lang w:eastAsia="pt-BR"/>
              </w:rPr>
              <w:t>486</w:t>
            </w:r>
            <w:r>
              <w:rPr>
                <w:rFonts w:eastAsia="Times New Roman" w:cs="Arial"/>
                <w:color w:val="000000"/>
                <w:szCs w:val="20"/>
                <w:lang w:eastAsia="pt-BR"/>
              </w:rPr>
              <w:t>.</w:t>
            </w:r>
            <w:r w:rsidRPr="00F31D7D">
              <w:rPr>
                <w:rFonts w:eastAsia="Times New Roman" w:cs="Arial"/>
                <w:color w:val="000000"/>
                <w:szCs w:val="20"/>
                <w:lang w:eastAsia="pt-BR"/>
              </w:rPr>
              <w:t>269,33</w:t>
            </w:r>
          </w:p>
        </w:tc>
        <w:tc>
          <w:tcPr>
            <w:tcW w:w="1865" w:type="dxa"/>
            <w:tcBorders>
              <w:top w:val="nil"/>
              <w:left w:val="nil"/>
              <w:bottom w:val="nil"/>
              <w:right w:val="nil"/>
            </w:tcBorders>
            <w:shd w:val="clear" w:color="auto" w:fill="auto"/>
            <w:noWrap/>
            <w:vAlign w:val="bottom"/>
            <w:hideMark/>
          </w:tcPr>
          <w:p w:rsidR="00C07190" w:rsidRPr="00484C19" w:rsidRDefault="00C07190" w:rsidP="008F4251">
            <w:pPr>
              <w:jc w:val="right"/>
              <w:rPr>
                <w:rFonts w:eastAsia="Times New Roman" w:cs="Arial"/>
                <w:color w:val="000000"/>
                <w:szCs w:val="20"/>
                <w:lang w:eastAsia="pt-BR"/>
              </w:rPr>
            </w:pPr>
            <w:r>
              <w:rPr>
                <w:rFonts w:eastAsia="Times New Roman" w:cs="Arial"/>
                <w:color w:val="000000"/>
                <w:szCs w:val="20"/>
                <w:lang w:eastAsia="pt-BR"/>
              </w:rPr>
              <w:t>-51</w:t>
            </w:r>
            <w:r w:rsidRPr="00484C19">
              <w:rPr>
                <w:rFonts w:eastAsia="Times New Roman" w:cs="Arial"/>
                <w:color w:val="000000"/>
                <w:szCs w:val="20"/>
                <w:lang w:eastAsia="pt-BR"/>
              </w:rPr>
              <w:t>,</w:t>
            </w:r>
            <w:r>
              <w:rPr>
                <w:rFonts w:eastAsia="Times New Roman" w:cs="Arial"/>
                <w:color w:val="000000"/>
                <w:szCs w:val="20"/>
                <w:lang w:eastAsia="pt-BR"/>
              </w:rPr>
              <w:t>54</w:t>
            </w:r>
          </w:p>
        </w:tc>
        <w:tc>
          <w:tcPr>
            <w:tcW w:w="930" w:type="dxa"/>
            <w:tcBorders>
              <w:top w:val="nil"/>
              <w:left w:val="nil"/>
              <w:bottom w:val="nil"/>
              <w:right w:val="nil"/>
            </w:tcBorders>
            <w:shd w:val="clear" w:color="auto" w:fill="auto"/>
            <w:noWrap/>
            <w:vAlign w:val="bottom"/>
            <w:hideMark/>
          </w:tcPr>
          <w:p w:rsidR="00C07190" w:rsidRPr="00484C19" w:rsidRDefault="00C07190" w:rsidP="008F4251">
            <w:pPr>
              <w:jc w:val="right"/>
              <w:rPr>
                <w:rFonts w:eastAsia="Times New Roman" w:cs="Arial"/>
                <w:color w:val="000000"/>
                <w:szCs w:val="20"/>
                <w:lang w:eastAsia="pt-BR"/>
              </w:rPr>
            </w:pPr>
            <w:r>
              <w:rPr>
                <w:rFonts w:eastAsia="Times New Roman" w:cs="Arial"/>
                <w:color w:val="000000"/>
                <w:szCs w:val="20"/>
                <w:lang w:eastAsia="pt-BR"/>
              </w:rPr>
              <w:t>26</w:t>
            </w:r>
            <w:r w:rsidRPr="00484C19">
              <w:rPr>
                <w:rFonts w:eastAsia="Times New Roman" w:cs="Arial"/>
                <w:color w:val="000000"/>
                <w:szCs w:val="20"/>
                <w:lang w:eastAsia="pt-BR"/>
              </w:rPr>
              <w:t>,</w:t>
            </w:r>
            <w:r>
              <w:rPr>
                <w:rFonts w:eastAsia="Times New Roman" w:cs="Arial"/>
                <w:color w:val="000000"/>
                <w:szCs w:val="20"/>
                <w:lang w:eastAsia="pt-BR"/>
              </w:rPr>
              <w:t>18</w:t>
            </w:r>
          </w:p>
        </w:tc>
      </w:tr>
      <w:tr w:rsidR="00C07190" w:rsidRPr="00484C19" w:rsidTr="008F4251">
        <w:trPr>
          <w:trHeight w:val="229"/>
        </w:trPr>
        <w:tc>
          <w:tcPr>
            <w:tcW w:w="2694" w:type="dxa"/>
            <w:tcBorders>
              <w:top w:val="nil"/>
              <w:left w:val="nil"/>
              <w:bottom w:val="nil"/>
              <w:right w:val="nil"/>
            </w:tcBorders>
            <w:shd w:val="clear" w:color="auto" w:fill="D9D9D9" w:themeFill="background1" w:themeFillShade="D9"/>
            <w:noWrap/>
            <w:vAlign w:val="bottom"/>
            <w:hideMark/>
          </w:tcPr>
          <w:p w:rsidR="00C07190" w:rsidRPr="00484C19" w:rsidRDefault="00C07190" w:rsidP="008F4251">
            <w:pPr>
              <w:jc w:val="left"/>
              <w:rPr>
                <w:rFonts w:eastAsia="Times New Roman" w:cs="Arial"/>
                <w:color w:val="000000"/>
                <w:szCs w:val="20"/>
                <w:lang w:eastAsia="pt-BR"/>
              </w:rPr>
            </w:pPr>
            <w:r w:rsidRPr="00484C19">
              <w:rPr>
                <w:rFonts w:eastAsia="Times New Roman" w:cs="Arial"/>
                <w:color w:val="000000"/>
                <w:szCs w:val="20"/>
                <w:lang w:eastAsia="pt-BR"/>
              </w:rPr>
              <w:t>Caução a Executar</w:t>
            </w:r>
          </w:p>
        </w:tc>
        <w:tc>
          <w:tcPr>
            <w:tcW w:w="1970" w:type="dxa"/>
            <w:tcBorders>
              <w:top w:val="nil"/>
              <w:left w:val="nil"/>
              <w:bottom w:val="nil"/>
              <w:right w:val="nil"/>
            </w:tcBorders>
            <w:shd w:val="clear" w:color="auto" w:fill="D9D9D9" w:themeFill="background1" w:themeFillShade="D9"/>
            <w:noWrap/>
            <w:vAlign w:val="bottom"/>
            <w:hideMark/>
          </w:tcPr>
          <w:p w:rsidR="00C07190" w:rsidRPr="00484C19" w:rsidRDefault="00C07190" w:rsidP="008F4251">
            <w:pPr>
              <w:jc w:val="right"/>
              <w:rPr>
                <w:rFonts w:eastAsia="Times New Roman" w:cs="Arial"/>
                <w:color w:val="000000"/>
                <w:szCs w:val="20"/>
                <w:lang w:eastAsia="pt-BR"/>
              </w:rPr>
            </w:pPr>
            <w:r w:rsidRPr="00E00CD2">
              <w:rPr>
                <w:rFonts w:eastAsia="Times New Roman" w:cs="Arial"/>
                <w:color w:val="000000"/>
                <w:szCs w:val="20"/>
                <w:lang w:eastAsia="pt-BR"/>
              </w:rPr>
              <w:t>5</w:t>
            </w:r>
            <w:r>
              <w:rPr>
                <w:rFonts w:eastAsia="Times New Roman" w:cs="Arial"/>
                <w:color w:val="000000"/>
                <w:szCs w:val="20"/>
                <w:lang w:eastAsia="pt-BR"/>
              </w:rPr>
              <w:t>.</w:t>
            </w:r>
            <w:r w:rsidRPr="00E00CD2">
              <w:rPr>
                <w:rFonts w:eastAsia="Times New Roman" w:cs="Arial"/>
                <w:color w:val="000000"/>
                <w:szCs w:val="20"/>
                <w:lang w:eastAsia="pt-BR"/>
              </w:rPr>
              <w:t>416</w:t>
            </w:r>
            <w:r>
              <w:rPr>
                <w:rFonts w:eastAsia="Times New Roman" w:cs="Arial"/>
                <w:color w:val="000000"/>
                <w:szCs w:val="20"/>
                <w:lang w:eastAsia="pt-BR"/>
              </w:rPr>
              <w:t>.</w:t>
            </w:r>
            <w:r w:rsidRPr="00E00CD2">
              <w:rPr>
                <w:rFonts w:eastAsia="Times New Roman" w:cs="Arial"/>
                <w:color w:val="000000"/>
                <w:szCs w:val="20"/>
                <w:lang w:eastAsia="pt-BR"/>
              </w:rPr>
              <w:t>240,47</w:t>
            </w:r>
          </w:p>
        </w:tc>
        <w:tc>
          <w:tcPr>
            <w:tcW w:w="1732" w:type="dxa"/>
            <w:tcBorders>
              <w:top w:val="nil"/>
              <w:left w:val="nil"/>
              <w:bottom w:val="nil"/>
              <w:right w:val="nil"/>
            </w:tcBorders>
            <w:shd w:val="clear" w:color="auto" w:fill="D9D9D9" w:themeFill="background1" w:themeFillShade="D9"/>
            <w:noWrap/>
            <w:vAlign w:val="bottom"/>
            <w:hideMark/>
          </w:tcPr>
          <w:p w:rsidR="00C07190" w:rsidRPr="00484C19" w:rsidRDefault="00C07190" w:rsidP="008F4251">
            <w:pPr>
              <w:jc w:val="right"/>
              <w:rPr>
                <w:rFonts w:eastAsia="Times New Roman" w:cs="Arial"/>
                <w:color w:val="000000"/>
                <w:szCs w:val="20"/>
                <w:lang w:eastAsia="pt-BR"/>
              </w:rPr>
            </w:pPr>
            <w:r w:rsidRPr="00F31D7D">
              <w:rPr>
                <w:rFonts w:eastAsia="Times New Roman" w:cs="Arial"/>
                <w:color w:val="000000"/>
                <w:szCs w:val="20"/>
                <w:lang w:eastAsia="pt-BR"/>
              </w:rPr>
              <w:t>5</w:t>
            </w:r>
            <w:r>
              <w:rPr>
                <w:rFonts w:eastAsia="Times New Roman" w:cs="Arial"/>
                <w:color w:val="000000"/>
                <w:szCs w:val="20"/>
                <w:lang w:eastAsia="pt-BR"/>
              </w:rPr>
              <w:t>.</w:t>
            </w:r>
            <w:r w:rsidRPr="00F31D7D">
              <w:rPr>
                <w:rFonts w:eastAsia="Times New Roman" w:cs="Arial"/>
                <w:color w:val="000000"/>
                <w:szCs w:val="20"/>
                <w:lang w:eastAsia="pt-BR"/>
              </w:rPr>
              <w:t>617</w:t>
            </w:r>
            <w:r>
              <w:rPr>
                <w:rFonts w:eastAsia="Times New Roman" w:cs="Arial"/>
                <w:color w:val="000000"/>
                <w:szCs w:val="20"/>
                <w:lang w:eastAsia="pt-BR"/>
              </w:rPr>
              <w:t>.</w:t>
            </w:r>
            <w:r w:rsidRPr="00F31D7D">
              <w:rPr>
                <w:rFonts w:eastAsia="Times New Roman" w:cs="Arial"/>
                <w:color w:val="000000"/>
                <w:szCs w:val="20"/>
                <w:lang w:eastAsia="pt-BR"/>
              </w:rPr>
              <w:t>270,74</w:t>
            </w:r>
          </w:p>
        </w:tc>
        <w:tc>
          <w:tcPr>
            <w:tcW w:w="1865" w:type="dxa"/>
            <w:tcBorders>
              <w:top w:val="nil"/>
              <w:left w:val="nil"/>
              <w:bottom w:val="nil"/>
              <w:right w:val="nil"/>
            </w:tcBorders>
            <w:shd w:val="clear" w:color="auto" w:fill="D9D9D9" w:themeFill="background1" w:themeFillShade="D9"/>
            <w:noWrap/>
            <w:vAlign w:val="bottom"/>
            <w:hideMark/>
          </w:tcPr>
          <w:p w:rsidR="00C07190" w:rsidRPr="00484C19" w:rsidRDefault="00C07190" w:rsidP="008F4251">
            <w:pPr>
              <w:jc w:val="right"/>
              <w:rPr>
                <w:rFonts w:eastAsia="Times New Roman" w:cs="Arial"/>
                <w:color w:val="000000"/>
                <w:szCs w:val="20"/>
                <w:lang w:eastAsia="pt-BR"/>
              </w:rPr>
            </w:pPr>
            <w:r w:rsidRPr="00484C19">
              <w:rPr>
                <w:rFonts w:eastAsia="Times New Roman" w:cs="Arial"/>
                <w:color w:val="000000"/>
                <w:szCs w:val="20"/>
                <w:lang w:eastAsia="pt-BR"/>
              </w:rPr>
              <w:t>-</w:t>
            </w:r>
            <w:r>
              <w:rPr>
                <w:rFonts w:eastAsia="Times New Roman" w:cs="Arial"/>
                <w:color w:val="000000"/>
                <w:szCs w:val="20"/>
                <w:lang w:eastAsia="pt-BR"/>
              </w:rPr>
              <w:t>3</w:t>
            </w:r>
            <w:r w:rsidRPr="00484C19">
              <w:rPr>
                <w:rFonts w:eastAsia="Times New Roman" w:cs="Arial"/>
                <w:color w:val="000000"/>
                <w:szCs w:val="20"/>
                <w:lang w:eastAsia="pt-BR"/>
              </w:rPr>
              <w:t>,</w:t>
            </w:r>
            <w:r>
              <w:rPr>
                <w:rFonts w:eastAsia="Times New Roman" w:cs="Arial"/>
                <w:color w:val="000000"/>
                <w:szCs w:val="20"/>
                <w:lang w:eastAsia="pt-BR"/>
              </w:rPr>
              <w:t>58</w:t>
            </w:r>
          </w:p>
        </w:tc>
        <w:tc>
          <w:tcPr>
            <w:tcW w:w="930" w:type="dxa"/>
            <w:tcBorders>
              <w:top w:val="nil"/>
              <w:left w:val="nil"/>
              <w:bottom w:val="nil"/>
              <w:right w:val="nil"/>
            </w:tcBorders>
            <w:shd w:val="clear" w:color="auto" w:fill="D9D9D9" w:themeFill="background1" w:themeFillShade="D9"/>
            <w:noWrap/>
            <w:vAlign w:val="bottom"/>
            <w:hideMark/>
          </w:tcPr>
          <w:p w:rsidR="00C07190" w:rsidRPr="00484C19" w:rsidRDefault="00C07190" w:rsidP="008F4251">
            <w:pPr>
              <w:jc w:val="right"/>
              <w:rPr>
                <w:rFonts w:eastAsia="Times New Roman" w:cs="Arial"/>
                <w:color w:val="000000"/>
                <w:szCs w:val="20"/>
                <w:lang w:eastAsia="pt-BR"/>
              </w:rPr>
            </w:pPr>
            <w:r>
              <w:rPr>
                <w:rFonts w:eastAsia="Times New Roman" w:cs="Arial"/>
                <w:color w:val="000000"/>
                <w:szCs w:val="20"/>
                <w:lang w:eastAsia="pt-BR"/>
              </w:rPr>
              <w:t>65</w:t>
            </w:r>
            <w:r w:rsidRPr="00484C19">
              <w:rPr>
                <w:rFonts w:eastAsia="Times New Roman" w:cs="Arial"/>
                <w:color w:val="000000"/>
                <w:szCs w:val="20"/>
                <w:lang w:eastAsia="pt-BR"/>
              </w:rPr>
              <w:t>,</w:t>
            </w:r>
            <w:r>
              <w:rPr>
                <w:rFonts w:eastAsia="Times New Roman" w:cs="Arial"/>
                <w:color w:val="000000"/>
                <w:szCs w:val="20"/>
                <w:lang w:eastAsia="pt-BR"/>
              </w:rPr>
              <w:t>23</w:t>
            </w:r>
          </w:p>
        </w:tc>
      </w:tr>
      <w:tr w:rsidR="00C07190" w:rsidRPr="00484C19" w:rsidTr="008F4251">
        <w:trPr>
          <w:trHeight w:val="229"/>
        </w:trPr>
        <w:tc>
          <w:tcPr>
            <w:tcW w:w="2694" w:type="dxa"/>
            <w:tcBorders>
              <w:top w:val="nil"/>
              <w:left w:val="nil"/>
              <w:bottom w:val="single" w:sz="4" w:space="0" w:color="000000"/>
              <w:right w:val="nil"/>
            </w:tcBorders>
            <w:shd w:val="clear" w:color="auto" w:fill="auto"/>
            <w:noWrap/>
            <w:vAlign w:val="bottom"/>
            <w:hideMark/>
          </w:tcPr>
          <w:p w:rsidR="00C07190" w:rsidRPr="00484C19" w:rsidRDefault="00C07190" w:rsidP="008F4251">
            <w:pPr>
              <w:jc w:val="left"/>
              <w:rPr>
                <w:rFonts w:eastAsia="Times New Roman" w:cs="Arial"/>
                <w:b/>
                <w:bCs/>
                <w:color w:val="000000"/>
                <w:szCs w:val="20"/>
                <w:lang w:eastAsia="pt-BR"/>
              </w:rPr>
            </w:pPr>
            <w:r w:rsidRPr="00484C19">
              <w:rPr>
                <w:rFonts w:eastAsia="Times New Roman" w:cs="Arial"/>
                <w:b/>
                <w:bCs/>
                <w:color w:val="000000"/>
                <w:szCs w:val="20"/>
                <w:lang w:eastAsia="pt-BR"/>
              </w:rPr>
              <w:t>Total</w:t>
            </w:r>
          </w:p>
        </w:tc>
        <w:tc>
          <w:tcPr>
            <w:tcW w:w="1970" w:type="dxa"/>
            <w:tcBorders>
              <w:top w:val="nil"/>
              <w:left w:val="nil"/>
              <w:bottom w:val="single" w:sz="4" w:space="0" w:color="000000"/>
              <w:right w:val="nil"/>
            </w:tcBorders>
            <w:shd w:val="clear" w:color="auto" w:fill="auto"/>
            <w:noWrap/>
            <w:vAlign w:val="bottom"/>
            <w:hideMark/>
          </w:tcPr>
          <w:p w:rsidR="00C07190" w:rsidRPr="00484C19" w:rsidRDefault="00C07190" w:rsidP="008F4251">
            <w:pPr>
              <w:jc w:val="right"/>
              <w:rPr>
                <w:rFonts w:eastAsia="Times New Roman" w:cs="Arial"/>
                <w:b/>
                <w:bCs/>
                <w:color w:val="000000"/>
                <w:szCs w:val="20"/>
                <w:lang w:eastAsia="pt-BR"/>
              </w:rPr>
            </w:pPr>
            <w:r w:rsidRPr="00E00CD2">
              <w:rPr>
                <w:rFonts w:eastAsia="Times New Roman" w:cs="Arial"/>
                <w:b/>
                <w:bCs/>
                <w:color w:val="000000"/>
                <w:szCs w:val="20"/>
                <w:lang w:eastAsia="pt-BR"/>
              </w:rPr>
              <w:t>8</w:t>
            </w:r>
            <w:r>
              <w:rPr>
                <w:rFonts w:eastAsia="Times New Roman" w:cs="Arial"/>
                <w:b/>
                <w:bCs/>
                <w:color w:val="000000"/>
                <w:szCs w:val="20"/>
                <w:lang w:eastAsia="pt-BR"/>
              </w:rPr>
              <w:t>.</w:t>
            </w:r>
            <w:r w:rsidRPr="00E00CD2">
              <w:rPr>
                <w:rFonts w:eastAsia="Times New Roman" w:cs="Arial"/>
                <w:b/>
                <w:bCs/>
                <w:color w:val="000000"/>
                <w:szCs w:val="20"/>
                <w:lang w:eastAsia="pt-BR"/>
              </w:rPr>
              <w:t>303</w:t>
            </w:r>
            <w:r>
              <w:rPr>
                <w:rFonts w:eastAsia="Times New Roman" w:cs="Arial"/>
                <w:b/>
                <w:bCs/>
                <w:color w:val="000000"/>
                <w:szCs w:val="20"/>
                <w:lang w:eastAsia="pt-BR"/>
              </w:rPr>
              <w:t>.</w:t>
            </w:r>
            <w:r w:rsidRPr="00E00CD2">
              <w:rPr>
                <w:rFonts w:eastAsia="Times New Roman" w:cs="Arial"/>
                <w:b/>
                <w:bCs/>
                <w:color w:val="000000"/>
                <w:szCs w:val="20"/>
                <w:lang w:eastAsia="pt-BR"/>
              </w:rPr>
              <w:t>372,57</w:t>
            </w:r>
          </w:p>
        </w:tc>
        <w:tc>
          <w:tcPr>
            <w:tcW w:w="1732" w:type="dxa"/>
            <w:tcBorders>
              <w:top w:val="nil"/>
              <w:left w:val="nil"/>
              <w:bottom w:val="single" w:sz="4" w:space="0" w:color="000000"/>
              <w:right w:val="nil"/>
            </w:tcBorders>
            <w:shd w:val="clear" w:color="auto" w:fill="auto"/>
            <w:noWrap/>
            <w:vAlign w:val="bottom"/>
            <w:hideMark/>
          </w:tcPr>
          <w:p w:rsidR="00C07190" w:rsidRPr="00484C19" w:rsidRDefault="00C07190" w:rsidP="008F4251">
            <w:pPr>
              <w:jc w:val="right"/>
              <w:rPr>
                <w:rFonts w:eastAsia="Times New Roman" w:cs="Arial"/>
                <w:b/>
                <w:bCs/>
                <w:color w:val="000000"/>
                <w:szCs w:val="20"/>
                <w:lang w:eastAsia="pt-BR"/>
              </w:rPr>
            </w:pPr>
            <w:r>
              <w:rPr>
                <w:rFonts w:eastAsia="Times New Roman" w:cs="Arial"/>
                <w:b/>
                <w:bCs/>
                <w:color w:val="000000"/>
                <w:szCs w:val="20"/>
                <w:lang w:eastAsia="pt-BR"/>
              </w:rPr>
              <w:t>10.653.744,04</w:t>
            </w:r>
          </w:p>
        </w:tc>
        <w:tc>
          <w:tcPr>
            <w:tcW w:w="1865" w:type="dxa"/>
            <w:tcBorders>
              <w:top w:val="nil"/>
              <w:left w:val="nil"/>
              <w:bottom w:val="single" w:sz="4" w:space="0" w:color="000000"/>
              <w:right w:val="nil"/>
            </w:tcBorders>
            <w:shd w:val="clear" w:color="auto" w:fill="auto"/>
            <w:noWrap/>
            <w:vAlign w:val="bottom"/>
            <w:hideMark/>
          </w:tcPr>
          <w:p w:rsidR="00C07190" w:rsidRPr="00484C19" w:rsidRDefault="00C07190" w:rsidP="008F4251">
            <w:pPr>
              <w:jc w:val="right"/>
              <w:rPr>
                <w:rFonts w:eastAsia="Times New Roman" w:cs="Arial"/>
                <w:b/>
                <w:bCs/>
                <w:color w:val="000000"/>
                <w:szCs w:val="20"/>
                <w:lang w:eastAsia="pt-BR"/>
              </w:rPr>
            </w:pPr>
            <w:r>
              <w:rPr>
                <w:rFonts w:eastAsia="Times New Roman" w:cs="Arial"/>
                <w:b/>
                <w:bCs/>
                <w:color w:val="000000"/>
                <w:szCs w:val="20"/>
                <w:lang w:eastAsia="pt-BR"/>
              </w:rPr>
              <w:t>-22,06</w:t>
            </w:r>
          </w:p>
        </w:tc>
        <w:tc>
          <w:tcPr>
            <w:tcW w:w="930" w:type="dxa"/>
            <w:tcBorders>
              <w:top w:val="nil"/>
              <w:left w:val="nil"/>
              <w:bottom w:val="single" w:sz="4" w:space="0" w:color="000000"/>
              <w:right w:val="nil"/>
            </w:tcBorders>
            <w:shd w:val="clear" w:color="auto" w:fill="auto"/>
            <w:noWrap/>
            <w:vAlign w:val="bottom"/>
            <w:hideMark/>
          </w:tcPr>
          <w:p w:rsidR="00C07190" w:rsidRPr="00484C19" w:rsidRDefault="00C07190" w:rsidP="008F4251">
            <w:pPr>
              <w:jc w:val="right"/>
              <w:rPr>
                <w:rFonts w:eastAsia="Times New Roman" w:cs="Arial"/>
                <w:b/>
                <w:bCs/>
                <w:color w:val="000000"/>
                <w:szCs w:val="20"/>
                <w:lang w:eastAsia="pt-BR"/>
              </w:rPr>
            </w:pPr>
            <w:r>
              <w:rPr>
                <w:rFonts w:eastAsia="Times New Roman" w:cs="Arial"/>
                <w:b/>
                <w:bCs/>
                <w:color w:val="000000"/>
                <w:szCs w:val="20"/>
                <w:lang w:eastAsia="pt-BR"/>
              </w:rPr>
              <w:t>10</w:t>
            </w:r>
            <w:r w:rsidRPr="00484C19">
              <w:rPr>
                <w:rFonts w:eastAsia="Times New Roman" w:cs="Arial"/>
                <w:b/>
                <w:bCs/>
                <w:color w:val="000000"/>
                <w:szCs w:val="20"/>
                <w:lang w:eastAsia="pt-BR"/>
              </w:rPr>
              <w:t>0,</w:t>
            </w:r>
            <w:r>
              <w:rPr>
                <w:rFonts w:eastAsia="Times New Roman" w:cs="Arial"/>
                <w:b/>
                <w:bCs/>
                <w:color w:val="000000"/>
                <w:szCs w:val="20"/>
                <w:lang w:eastAsia="pt-BR"/>
              </w:rPr>
              <w:t>00</w:t>
            </w:r>
            <w:r w:rsidRPr="00484C19">
              <w:rPr>
                <w:rFonts w:eastAsia="Times New Roman" w:cs="Arial"/>
                <w:b/>
                <w:bCs/>
                <w:color w:val="000000"/>
                <w:szCs w:val="20"/>
                <w:lang w:eastAsia="pt-BR"/>
              </w:rPr>
              <w:t>%</w:t>
            </w:r>
          </w:p>
        </w:tc>
      </w:tr>
    </w:tbl>
    <w:p w:rsidR="00C07190" w:rsidRPr="00484C19" w:rsidRDefault="00C07190" w:rsidP="00C07190">
      <w:pPr>
        <w:rPr>
          <w:rFonts w:cs="Arial"/>
          <w:i/>
          <w:szCs w:val="20"/>
        </w:rPr>
      </w:pPr>
      <w:r w:rsidRPr="00484C19">
        <w:rPr>
          <w:rFonts w:cs="Arial"/>
          <w:i/>
          <w:szCs w:val="20"/>
        </w:rPr>
        <w:t>Fonte: SIAFI, 201</w:t>
      </w:r>
      <w:r>
        <w:rPr>
          <w:rFonts w:cs="Arial"/>
          <w:i/>
          <w:szCs w:val="20"/>
        </w:rPr>
        <w:t>9</w:t>
      </w:r>
      <w:r w:rsidRPr="00484C19">
        <w:rPr>
          <w:rFonts w:cs="Arial"/>
          <w:i/>
          <w:szCs w:val="20"/>
        </w:rPr>
        <w:t xml:space="preserve"> e 201</w:t>
      </w:r>
      <w:r>
        <w:rPr>
          <w:rFonts w:cs="Arial"/>
          <w:i/>
          <w:szCs w:val="20"/>
        </w:rPr>
        <w:t>8</w:t>
      </w:r>
      <w:r w:rsidRPr="00484C19">
        <w:rPr>
          <w:rFonts w:cs="Arial"/>
          <w:i/>
          <w:szCs w:val="20"/>
        </w:rPr>
        <w:t>.</w:t>
      </w:r>
    </w:p>
    <w:p w:rsidR="00C07190" w:rsidRDefault="00C07190" w:rsidP="00C07190">
      <w:pPr>
        <w:rPr>
          <w:rFonts w:cs="Arial"/>
          <w:szCs w:val="20"/>
        </w:rPr>
      </w:pPr>
    </w:p>
    <w:p w:rsidR="00C07190" w:rsidRPr="00407107" w:rsidRDefault="00C07190" w:rsidP="00C07190">
      <w:pPr>
        <w:rPr>
          <w:rFonts w:cs="Arial"/>
          <w:b/>
          <w:sz w:val="22"/>
        </w:rPr>
      </w:pPr>
      <w:r w:rsidRPr="00F976AC">
        <w:rPr>
          <w:rFonts w:cs="Arial"/>
          <w:b/>
          <w:sz w:val="22"/>
        </w:rPr>
        <w:t>Tabela</w:t>
      </w:r>
      <w:r>
        <w:rPr>
          <w:rFonts w:cs="Arial"/>
          <w:b/>
          <w:sz w:val="22"/>
        </w:rPr>
        <w:t xml:space="preserve"> 19</w:t>
      </w:r>
      <w:r w:rsidRPr="00F976AC">
        <w:rPr>
          <w:rFonts w:cs="Arial"/>
          <w:b/>
          <w:sz w:val="22"/>
        </w:rPr>
        <w:t xml:space="preserve"> </w:t>
      </w:r>
      <w:r w:rsidRPr="00407107">
        <w:rPr>
          <w:rFonts w:cs="Arial"/>
          <w:b/>
          <w:sz w:val="22"/>
        </w:rPr>
        <w:t xml:space="preserve">– </w:t>
      </w:r>
      <w:r>
        <w:rPr>
          <w:rFonts w:cs="Arial"/>
          <w:b/>
          <w:sz w:val="22"/>
        </w:rPr>
        <w:t>Garantias mais expressivas</w:t>
      </w:r>
      <w:r w:rsidRPr="00407107">
        <w:rPr>
          <w:rFonts w:cs="Arial"/>
          <w:b/>
          <w:sz w:val="22"/>
        </w:rPr>
        <w:t>.</w:t>
      </w:r>
    </w:p>
    <w:p w:rsidR="00C07190" w:rsidRDefault="00C07190" w:rsidP="00C07190">
      <w:pPr>
        <w:jc w:val="right"/>
        <w:rPr>
          <w:rFonts w:cs="Arial"/>
          <w:szCs w:val="20"/>
        </w:rPr>
      </w:pPr>
      <w:r>
        <w:rPr>
          <w:rFonts w:cs="Arial"/>
          <w:szCs w:val="20"/>
        </w:rPr>
        <w:t xml:space="preserve">  R$</w:t>
      </w:r>
    </w:p>
    <w:tbl>
      <w:tblPr>
        <w:tblW w:w="9253" w:type="dxa"/>
        <w:tblCellMar>
          <w:left w:w="70" w:type="dxa"/>
          <w:right w:w="70" w:type="dxa"/>
        </w:tblCellMar>
        <w:tblLook w:val="04A0" w:firstRow="1" w:lastRow="0" w:firstColumn="1" w:lastColumn="0" w:noHBand="0" w:noVBand="1"/>
      </w:tblPr>
      <w:tblGrid>
        <w:gridCol w:w="2298"/>
        <w:gridCol w:w="3733"/>
        <w:gridCol w:w="2161"/>
        <w:gridCol w:w="1061"/>
      </w:tblGrid>
      <w:tr w:rsidR="00C07190" w:rsidRPr="00FF5ACF" w:rsidTr="008F4251">
        <w:trPr>
          <w:trHeight w:val="255"/>
        </w:trPr>
        <w:tc>
          <w:tcPr>
            <w:tcW w:w="2298" w:type="dxa"/>
            <w:tcBorders>
              <w:top w:val="single" w:sz="4" w:space="0" w:color="000000"/>
              <w:left w:val="nil"/>
              <w:bottom w:val="single" w:sz="4" w:space="0" w:color="000000"/>
              <w:right w:val="nil"/>
            </w:tcBorders>
            <w:shd w:val="clear" w:color="auto" w:fill="auto"/>
            <w:noWrap/>
            <w:vAlign w:val="bottom"/>
          </w:tcPr>
          <w:p w:rsidR="00C07190" w:rsidRPr="00FF5ACF" w:rsidRDefault="00C07190" w:rsidP="008F4251">
            <w:pPr>
              <w:jc w:val="left"/>
              <w:rPr>
                <w:rFonts w:eastAsia="Times New Roman" w:cs="Arial"/>
                <w:b/>
                <w:bCs/>
                <w:szCs w:val="20"/>
                <w:lang w:eastAsia="pt-BR"/>
              </w:rPr>
            </w:pPr>
            <w:r>
              <w:rPr>
                <w:rFonts w:eastAsia="Times New Roman" w:cs="Arial"/>
                <w:b/>
                <w:bCs/>
                <w:szCs w:val="20"/>
                <w:lang w:eastAsia="pt-BR"/>
              </w:rPr>
              <w:t>TIPO</w:t>
            </w:r>
          </w:p>
        </w:tc>
        <w:tc>
          <w:tcPr>
            <w:tcW w:w="3733" w:type="dxa"/>
            <w:tcBorders>
              <w:top w:val="single" w:sz="4" w:space="0" w:color="000000"/>
              <w:left w:val="nil"/>
              <w:bottom w:val="single" w:sz="4" w:space="0" w:color="000000"/>
              <w:right w:val="nil"/>
            </w:tcBorders>
            <w:shd w:val="clear" w:color="auto" w:fill="auto"/>
            <w:noWrap/>
            <w:vAlign w:val="bottom"/>
          </w:tcPr>
          <w:p w:rsidR="00C07190" w:rsidRPr="00FF5ACF" w:rsidRDefault="00C07190" w:rsidP="008F4251">
            <w:pPr>
              <w:jc w:val="left"/>
              <w:rPr>
                <w:rFonts w:eastAsia="Times New Roman" w:cs="Arial"/>
                <w:b/>
                <w:bCs/>
                <w:szCs w:val="20"/>
                <w:lang w:eastAsia="pt-BR"/>
              </w:rPr>
            </w:pPr>
            <w:r>
              <w:rPr>
                <w:rFonts w:eastAsia="Times New Roman" w:cs="Arial"/>
                <w:b/>
                <w:bCs/>
                <w:szCs w:val="20"/>
                <w:lang w:eastAsia="pt-BR"/>
              </w:rPr>
              <w:t>EMPRESA</w:t>
            </w:r>
          </w:p>
        </w:tc>
        <w:tc>
          <w:tcPr>
            <w:tcW w:w="2161" w:type="dxa"/>
            <w:tcBorders>
              <w:top w:val="single" w:sz="4" w:space="0" w:color="000000"/>
              <w:left w:val="nil"/>
              <w:bottom w:val="single" w:sz="4" w:space="0" w:color="000000"/>
              <w:right w:val="nil"/>
            </w:tcBorders>
            <w:shd w:val="clear" w:color="auto" w:fill="auto"/>
            <w:noWrap/>
            <w:vAlign w:val="bottom"/>
            <w:hideMark/>
          </w:tcPr>
          <w:p w:rsidR="00C07190" w:rsidRPr="00FF5ACF" w:rsidRDefault="00C07190" w:rsidP="008F4251">
            <w:pPr>
              <w:jc w:val="right"/>
              <w:rPr>
                <w:rFonts w:eastAsia="Times New Roman" w:cs="Arial"/>
                <w:b/>
                <w:bCs/>
                <w:color w:val="000000"/>
                <w:szCs w:val="20"/>
                <w:lang w:eastAsia="pt-BR"/>
              </w:rPr>
            </w:pPr>
            <w:r w:rsidRPr="00FF5ACF">
              <w:rPr>
                <w:rFonts w:eastAsia="Times New Roman" w:cs="Arial"/>
                <w:b/>
                <w:bCs/>
                <w:color w:val="000000"/>
                <w:szCs w:val="20"/>
                <w:lang w:eastAsia="pt-BR"/>
              </w:rPr>
              <w:t>3</w:t>
            </w:r>
            <w:r>
              <w:rPr>
                <w:rFonts w:eastAsia="Times New Roman" w:cs="Arial"/>
                <w:b/>
                <w:bCs/>
                <w:color w:val="000000"/>
                <w:szCs w:val="20"/>
                <w:lang w:eastAsia="pt-BR"/>
              </w:rPr>
              <w:t>1</w:t>
            </w:r>
            <w:r w:rsidRPr="00FF5ACF">
              <w:rPr>
                <w:rFonts w:eastAsia="Times New Roman" w:cs="Arial"/>
                <w:b/>
                <w:bCs/>
                <w:color w:val="000000"/>
                <w:szCs w:val="20"/>
                <w:lang w:eastAsia="pt-BR"/>
              </w:rPr>
              <w:t>/</w:t>
            </w:r>
            <w:r>
              <w:rPr>
                <w:rFonts w:eastAsia="Times New Roman" w:cs="Arial"/>
                <w:b/>
                <w:bCs/>
                <w:color w:val="000000"/>
                <w:szCs w:val="20"/>
                <w:lang w:eastAsia="pt-BR"/>
              </w:rPr>
              <w:t>12</w:t>
            </w:r>
            <w:r w:rsidRPr="00FF5ACF">
              <w:rPr>
                <w:rFonts w:eastAsia="Times New Roman" w:cs="Arial"/>
                <w:b/>
                <w:bCs/>
                <w:color w:val="000000"/>
                <w:szCs w:val="20"/>
                <w:lang w:eastAsia="pt-BR"/>
              </w:rPr>
              <w:t>/201</w:t>
            </w:r>
            <w:r>
              <w:rPr>
                <w:rFonts w:eastAsia="Times New Roman" w:cs="Arial"/>
                <w:b/>
                <w:bCs/>
                <w:color w:val="000000"/>
                <w:szCs w:val="20"/>
                <w:lang w:eastAsia="pt-BR"/>
              </w:rPr>
              <w:t>9</w:t>
            </w:r>
          </w:p>
        </w:tc>
        <w:tc>
          <w:tcPr>
            <w:tcW w:w="1061" w:type="dxa"/>
            <w:tcBorders>
              <w:top w:val="single" w:sz="4" w:space="0" w:color="000000"/>
              <w:left w:val="nil"/>
              <w:bottom w:val="single" w:sz="4" w:space="0" w:color="000000"/>
              <w:right w:val="nil"/>
            </w:tcBorders>
            <w:shd w:val="clear" w:color="auto" w:fill="auto"/>
            <w:noWrap/>
            <w:vAlign w:val="bottom"/>
            <w:hideMark/>
          </w:tcPr>
          <w:p w:rsidR="00C07190" w:rsidRPr="00FF5ACF" w:rsidRDefault="00C07190" w:rsidP="008F4251">
            <w:pPr>
              <w:jc w:val="right"/>
              <w:rPr>
                <w:rFonts w:eastAsia="Times New Roman" w:cs="Arial"/>
                <w:b/>
                <w:bCs/>
                <w:color w:val="000000"/>
                <w:szCs w:val="20"/>
                <w:lang w:eastAsia="pt-BR"/>
              </w:rPr>
            </w:pPr>
            <w:r w:rsidRPr="00FF5ACF">
              <w:rPr>
                <w:rFonts w:eastAsia="Times New Roman" w:cs="Arial"/>
                <w:b/>
                <w:bCs/>
                <w:color w:val="000000"/>
                <w:szCs w:val="20"/>
                <w:lang w:eastAsia="pt-BR"/>
              </w:rPr>
              <w:t>AV (%)</w:t>
            </w:r>
          </w:p>
        </w:tc>
      </w:tr>
      <w:tr w:rsidR="00C07190" w:rsidRPr="00FF5ACF" w:rsidTr="008F4251">
        <w:trPr>
          <w:trHeight w:val="283"/>
        </w:trPr>
        <w:tc>
          <w:tcPr>
            <w:tcW w:w="2298" w:type="dxa"/>
            <w:tcBorders>
              <w:top w:val="nil"/>
              <w:left w:val="nil"/>
              <w:bottom w:val="nil"/>
              <w:right w:val="nil"/>
            </w:tcBorders>
            <w:shd w:val="clear" w:color="auto" w:fill="D9D9D9" w:themeFill="background1" w:themeFillShade="D9"/>
            <w:noWrap/>
            <w:vAlign w:val="bottom"/>
          </w:tcPr>
          <w:p w:rsidR="00C07190" w:rsidRDefault="00C07190" w:rsidP="008F4251">
            <w:pPr>
              <w:jc w:val="left"/>
              <w:rPr>
                <w:rFonts w:eastAsia="Times New Roman" w:cs="Arial"/>
                <w:color w:val="000000"/>
                <w:szCs w:val="20"/>
                <w:lang w:eastAsia="pt-BR"/>
              </w:rPr>
            </w:pPr>
            <w:r>
              <w:rPr>
                <w:rFonts w:eastAsia="Times New Roman" w:cs="Arial"/>
                <w:color w:val="000000"/>
                <w:szCs w:val="20"/>
                <w:lang w:eastAsia="pt-BR"/>
              </w:rPr>
              <w:t>Fianças</w:t>
            </w:r>
          </w:p>
        </w:tc>
        <w:tc>
          <w:tcPr>
            <w:tcW w:w="3733" w:type="dxa"/>
            <w:tcBorders>
              <w:top w:val="nil"/>
              <w:left w:val="nil"/>
              <w:bottom w:val="nil"/>
              <w:right w:val="nil"/>
            </w:tcBorders>
            <w:shd w:val="clear" w:color="auto" w:fill="D9D9D9" w:themeFill="background1" w:themeFillShade="D9"/>
            <w:vAlign w:val="bottom"/>
          </w:tcPr>
          <w:p w:rsidR="00C07190" w:rsidRDefault="00C07190" w:rsidP="008F4251">
            <w:pPr>
              <w:jc w:val="left"/>
              <w:rPr>
                <w:rFonts w:eastAsia="Times New Roman" w:cs="Arial"/>
                <w:color w:val="000000"/>
                <w:szCs w:val="20"/>
                <w:lang w:eastAsia="pt-BR"/>
              </w:rPr>
            </w:pPr>
            <w:proofErr w:type="spellStart"/>
            <w:r>
              <w:rPr>
                <w:rFonts w:eastAsia="Times New Roman" w:cs="Arial"/>
                <w:color w:val="000000"/>
                <w:szCs w:val="20"/>
                <w:lang w:eastAsia="pt-BR"/>
              </w:rPr>
              <w:t>Ecology</w:t>
            </w:r>
            <w:proofErr w:type="spellEnd"/>
            <w:r>
              <w:rPr>
                <w:rFonts w:eastAsia="Times New Roman" w:cs="Arial"/>
                <w:color w:val="000000"/>
                <w:szCs w:val="20"/>
                <w:lang w:eastAsia="pt-BR"/>
              </w:rPr>
              <w:t xml:space="preserve"> </w:t>
            </w:r>
            <w:proofErr w:type="spellStart"/>
            <w:r>
              <w:rPr>
                <w:rFonts w:eastAsia="Times New Roman" w:cs="Arial"/>
                <w:color w:val="000000"/>
                <w:szCs w:val="20"/>
                <w:lang w:eastAsia="pt-BR"/>
              </w:rPr>
              <w:t>and</w:t>
            </w:r>
            <w:proofErr w:type="spellEnd"/>
            <w:r>
              <w:rPr>
                <w:rFonts w:eastAsia="Times New Roman" w:cs="Arial"/>
                <w:color w:val="000000"/>
                <w:szCs w:val="20"/>
                <w:lang w:eastAsia="pt-BR"/>
              </w:rPr>
              <w:t xml:space="preserve"> </w:t>
            </w:r>
            <w:proofErr w:type="spellStart"/>
            <w:r>
              <w:rPr>
                <w:rFonts w:eastAsia="Times New Roman" w:cs="Arial"/>
                <w:color w:val="000000"/>
                <w:szCs w:val="20"/>
                <w:lang w:eastAsia="pt-BR"/>
              </w:rPr>
              <w:t>Environment</w:t>
            </w:r>
            <w:proofErr w:type="spellEnd"/>
          </w:p>
        </w:tc>
        <w:tc>
          <w:tcPr>
            <w:tcW w:w="2161" w:type="dxa"/>
            <w:tcBorders>
              <w:top w:val="nil"/>
              <w:left w:val="nil"/>
              <w:bottom w:val="nil"/>
              <w:right w:val="nil"/>
            </w:tcBorders>
            <w:shd w:val="clear" w:color="auto" w:fill="D9D9D9" w:themeFill="background1" w:themeFillShade="D9"/>
            <w:noWrap/>
            <w:vAlign w:val="bottom"/>
          </w:tcPr>
          <w:p w:rsidR="00C07190" w:rsidRDefault="00C07190" w:rsidP="008F4251">
            <w:pPr>
              <w:jc w:val="right"/>
              <w:rPr>
                <w:rFonts w:eastAsia="Times New Roman" w:cs="Arial"/>
                <w:color w:val="000000"/>
                <w:szCs w:val="20"/>
                <w:lang w:eastAsia="pt-BR"/>
              </w:rPr>
            </w:pPr>
            <w:r>
              <w:rPr>
                <w:rFonts w:eastAsia="Times New Roman" w:cs="Arial"/>
                <w:color w:val="000000"/>
                <w:szCs w:val="20"/>
                <w:lang w:eastAsia="pt-BR"/>
              </w:rPr>
              <w:t>186</w:t>
            </w:r>
            <w:r w:rsidRPr="00EE0B93">
              <w:rPr>
                <w:rFonts w:eastAsia="Times New Roman" w:cs="Arial"/>
                <w:color w:val="000000"/>
                <w:szCs w:val="20"/>
                <w:lang w:eastAsia="pt-BR"/>
              </w:rPr>
              <w:t>.</w:t>
            </w:r>
            <w:r>
              <w:rPr>
                <w:rFonts w:eastAsia="Times New Roman" w:cs="Arial"/>
                <w:color w:val="000000"/>
                <w:szCs w:val="20"/>
                <w:lang w:eastAsia="pt-BR"/>
              </w:rPr>
              <w:t>398</w:t>
            </w:r>
            <w:r w:rsidRPr="00EE0B93">
              <w:rPr>
                <w:rFonts w:eastAsia="Times New Roman" w:cs="Arial"/>
                <w:color w:val="000000"/>
                <w:szCs w:val="20"/>
                <w:lang w:eastAsia="pt-BR"/>
              </w:rPr>
              <w:t>,</w:t>
            </w:r>
            <w:r>
              <w:rPr>
                <w:rFonts w:eastAsia="Times New Roman" w:cs="Arial"/>
                <w:color w:val="000000"/>
                <w:szCs w:val="20"/>
                <w:lang w:eastAsia="pt-BR"/>
              </w:rPr>
              <w:t>28</w:t>
            </w:r>
          </w:p>
        </w:tc>
        <w:tc>
          <w:tcPr>
            <w:tcW w:w="1061" w:type="dxa"/>
            <w:tcBorders>
              <w:top w:val="nil"/>
              <w:left w:val="nil"/>
              <w:bottom w:val="nil"/>
              <w:right w:val="nil"/>
            </w:tcBorders>
            <w:shd w:val="clear" w:color="auto" w:fill="D9D9D9" w:themeFill="background1" w:themeFillShade="D9"/>
            <w:noWrap/>
            <w:vAlign w:val="bottom"/>
          </w:tcPr>
          <w:p w:rsidR="00C07190" w:rsidRDefault="00C07190" w:rsidP="008F4251">
            <w:pPr>
              <w:jc w:val="right"/>
              <w:rPr>
                <w:rFonts w:eastAsia="Times New Roman" w:cs="Arial"/>
                <w:color w:val="000000"/>
                <w:szCs w:val="20"/>
                <w:lang w:eastAsia="pt-BR"/>
              </w:rPr>
            </w:pPr>
            <w:r>
              <w:rPr>
                <w:rFonts w:eastAsia="Times New Roman" w:cs="Arial"/>
                <w:color w:val="000000"/>
                <w:szCs w:val="20"/>
                <w:lang w:eastAsia="pt-BR"/>
              </w:rPr>
              <w:t>26,14</w:t>
            </w:r>
          </w:p>
        </w:tc>
      </w:tr>
      <w:tr w:rsidR="00C07190" w:rsidRPr="00FF5ACF" w:rsidTr="008F4251">
        <w:trPr>
          <w:trHeight w:val="283"/>
        </w:trPr>
        <w:tc>
          <w:tcPr>
            <w:tcW w:w="2298" w:type="dxa"/>
            <w:tcBorders>
              <w:top w:val="nil"/>
              <w:left w:val="nil"/>
              <w:bottom w:val="nil"/>
              <w:right w:val="nil"/>
            </w:tcBorders>
            <w:shd w:val="clear" w:color="auto" w:fill="auto"/>
            <w:noWrap/>
            <w:vAlign w:val="bottom"/>
            <w:hideMark/>
          </w:tcPr>
          <w:p w:rsidR="00C07190" w:rsidRPr="00FF5ACF" w:rsidRDefault="00C07190" w:rsidP="008F4251">
            <w:pPr>
              <w:jc w:val="left"/>
              <w:rPr>
                <w:rFonts w:eastAsia="Times New Roman" w:cs="Arial"/>
                <w:color w:val="000000"/>
                <w:szCs w:val="20"/>
                <w:lang w:eastAsia="pt-BR"/>
              </w:rPr>
            </w:pPr>
            <w:r>
              <w:rPr>
                <w:rFonts w:eastAsia="Times New Roman" w:cs="Arial"/>
                <w:color w:val="000000"/>
                <w:szCs w:val="20"/>
                <w:lang w:eastAsia="pt-BR"/>
              </w:rPr>
              <w:t>Seguros-Garantia</w:t>
            </w:r>
          </w:p>
        </w:tc>
        <w:tc>
          <w:tcPr>
            <w:tcW w:w="3733" w:type="dxa"/>
            <w:tcBorders>
              <w:top w:val="nil"/>
              <w:left w:val="nil"/>
              <w:bottom w:val="nil"/>
              <w:right w:val="nil"/>
            </w:tcBorders>
            <w:shd w:val="clear" w:color="auto" w:fill="auto"/>
            <w:vAlign w:val="bottom"/>
            <w:hideMark/>
          </w:tcPr>
          <w:p w:rsidR="00C07190" w:rsidRPr="00FF5ACF" w:rsidRDefault="00C07190" w:rsidP="008F4251">
            <w:pPr>
              <w:jc w:val="left"/>
              <w:rPr>
                <w:rFonts w:eastAsia="Times New Roman" w:cs="Arial"/>
                <w:color w:val="000000"/>
                <w:szCs w:val="20"/>
                <w:lang w:eastAsia="pt-BR"/>
              </w:rPr>
            </w:pPr>
            <w:proofErr w:type="spellStart"/>
            <w:r>
              <w:rPr>
                <w:rFonts w:eastAsia="Times New Roman" w:cs="Arial"/>
                <w:color w:val="000000"/>
                <w:szCs w:val="20"/>
                <w:lang w:eastAsia="pt-BR"/>
              </w:rPr>
              <w:t>Plansul</w:t>
            </w:r>
            <w:proofErr w:type="spellEnd"/>
            <w:r>
              <w:rPr>
                <w:rFonts w:eastAsia="Times New Roman" w:cs="Arial"/>
                <w:color w:val="000000"/>
                <w:szCs w:val="20"/>
                <w:lang w:eastAsia="pt-BR"/>
              </w:rPr>
              <w:t xml:space="preserve"> </w:t>
            </w:r>
          </w:p>
        </w:tc>
        <w:tc>
          <w:tcPr>
            <w:tcW w:w="2161" w:type="dxa"/>
            <w:tcBorders>
              <w:top w:val="nil"/>
              <w:left w:val="nil"/>
              <w:bottom w:val="nil"/>
              <w:right w:val="nil"/>
            </w:tcBorders>
            <w:shd w:val="clear" w:color="auto" w:fill="auto"/>
            <w:noWrap/>
            <w:vAlign w:val="bottom"/>
            <w:hideMark/>
          </w:tcPr>
          <w:p w:rsidR="00C07190" w:rsidRPr="00FF5ACF" w:rsidRDefault="00C07190" w:rsidP="008F4251">
            <w:pPr>
              <w:jc w:val="right"/>
              <w:rPr>
                <w:rFonts w:eastAsia="Times New Roman" w:cs="Arial"/>
                <w:color w:val="000000"/>
                <w:szCs w:val="20"/>
                <w:lang w:eastAsia="pt-BR"/>
              </w:rPr>
            </w:pPr>
            <w:r>
              <w:rPr>
                <w:rFonts w:eastAsia="Times New Roman" w:cs="Arial"/>
                <w:color w:val="000000"/>
                <w:szCs w:val="20"/>
                <w:lang w:eastAsia="pt-BR"/>
              </w:rPr>
              <w:t>778</w:t>
            </w:r>
            <w:r w:rsidRPr="00520CEE">
              <w:rPr>
                <w:rFonts w:eastAsia="Times New Roman" w:cs="Arial"/>
                <w:color w:val="000000"/>
                <w:szCs w:val="20"/>
                <w:lang w:eastAsia="pt-BR"/>
              </w:rPr>
              <w:t>.</w:t>
            </w:r>
            <w:r>
              <w:rPr>
                <w:rFonts w:eastAsia="Times New Roman" w:cs="Arial"/>
                <w:color w:val="000000"/>
                <w:szCs w:val="20"/>
                <w:lang w:eastAsia="pt-BR"/>
              </w:rPr>
              <w:t>070</w:t>
            </w:r>
            <w:r w:rsidRPr="00520CEE">
              <w:rPr>
                <w:rFonts w:eastAsia="Times New Roman" w:cs="Arial"/>
                <w:color w:val="000000"/>
                <w:szCs w:val="20"/>
                <w:lang w:eastAsia="pt-BR"/>
              </w:rPr>
              <w:t>,</w:t>
            </w:r>
            <w:r>
              <w:rPr>
                <w:rFonts w:eastAsia="Times New Roman" w:cs="Arial"/>
                <w:color w:val="000000"/>
                <w:szCs w:val="20"/>
                <w:lang w:eastAsia="pt-BR"/>
              </w:rPr>
              <w:t>50</w:t>
            </w:r>
          </w:p>
        </w:tc>
        <w:tc>
          <w:tcPr>
            <w:tcW w:w="1061" w:type="dxa"/>
            <w:tcBorders>
              <w:top w:val="nil"/>
              <w:left w:val="nil"/>
              <w:bottom w:val="nil"/>
              <w:right w:val="nil"/>
            </w:tcBorders>
            <w:shd w:val="clear" w:color="auto" w:fill="auto"/>
            <w:noWrap/>
            <w:vAlign w:val="bottom"/>
            <w:hideMark/>
          </w:tcPr>
          <w:p w:rsidR="00C07190" w:rsidRPr="00FF5ACF" w:rsidRDefault="00C07190" w:rsidP="008F4251">
            <w:pPr>
              <w:jc w:val="right"/>
              <w:rPr>
                <w:rFonts w:eastAsia="Times New Roman" w:cs="Arial"/>
                <w:color w:val="000000"/>
                <w:szCs w:val="20"/>
                <w:lang w:eastAsia="pt-BR"/>
              </w:rPr>
            </w:pPr>
            <w:r>
              <w:rPr>
                <w:rFonts w:eastAsia="Times New Roman" w:cs="Arial"/>
                <w:color w:val="000000"/>
                <w:szCs w:val="20"/>
                <w:lang w:eastAsia="pt-BR"/>
              </w:rPr>
              <w:t>35,79</w:t>
            </w:r>
          </w:p>
        </w:tc>
      </w:tr>
      <w:tr w:rsidR="00C07190" w:rsidRPr="00FF5ACF" w:rsidTr="008F4251">
        <w:trPr>
          <w:trHeight w:val="283"/>
        </w:trPr>
        <w:tc>
          <w:tcPr>
            <w:tcW w:w="2298" w:type="dxa"/>
            <w:tcBorders>
              <w:top w:val="nil"/>
              <w:left w:val="nil"/>
              <w:bottom w:val="nil"/>
              <w:right w:val="nil"/>
            </w:tcBorders>
            <w:shd w:val="clear" w:color="auto" w:fill="D9D9D9" w:themeFill="background1" w:themeFillShade="D9"/>
            <w:noWrap/>
            <w:vAlign w:val="bottom"/>
            <w:hideMark/>
          </w:tcPr>
          <w:p w:rsidR="00C07190" w:rsidRPr="00FF5ACF" w:rsidRDefault="00C07190" w:rsidP="008F4251">
            <w:pPr>
              <w:jc w:val="left"/>
              <w:rPr>
                <w:rFonts w:eastAsia="Times New Roman" w:cs="Arial"/>
                <w:color w:val="000000"/>
                <w:szCs w:val="20"/>
                <w:lang w:eastAsia="pt-BR"/>
              </w:rPr>
            </w:pPr>
            <w:r>
              <w:rPr>
                <w:rFonts w:eastAsia="Times New Roman" w:cs="Arial"/>
                <w:color w:val="000000"/>
                <w:szCs w:val="20"/>
                <w:lang w:eastAsia="pt-BR"/>
              </w:rPr>
              <w:t>Caução</w:t>
            </w:r>
          </w:p>
        </w:tc>
        <w:tc>
          <w:tcPr>
            <w:tcW w:w="3733" w:type="dxa"/>
            <w:tcBorders>
              <w:top w:val="nil"/>
              <w:left w:val="nil"/>
              <w:bottom w:val="nil"/>
              <w:right w:val="nil"/>
            </w:tcBorders>
            <w:shd w:val="clear" w:color="auto" w:fill="D9D9D9" w:themeFill="background1" w:themeFillShade="D9"/>
            <w:vAlign w:val="bottom"/>
            <w:hideMark/>
          </w:tcPr>
          <w:p w:rsidR="00C07190" w:rsidRPr="00FF5ACF" w:rsidRDefault="00C07190" w:rsidP="008F4251">
            <w:pPr>
              <w:jc w:val="left"/>
              <w:rPr>
                <w:rFonts w:eastAsia="Times New Roman" w:cs="Arial"/>
                <w:color w:val="000000"/>
                <w:szCs w:val="20"/>
                <w:lang w:eastAsia="pt-BR"/>
              </w:rPr>
            </w:pPr>
            <w:r>
              <w:rPr>
                <w:rFonts w:eastAsia="Times New Roman" w:cs="Arial"/>
                <w:color w:val="000000"/>
                <w:szCs w:val="20"/>
                <w:lang w:eastAsia="pt-BR"/>
              </w:rPr>
              <w:t>Global Serviços Geofísicos</w:t>
            </w:r>
          </w:p>
        </w:tc>
        <w:tc>
          <w:tcPr>
            <w:tcW w:w="2161" w:type="dxa"/>
            <w:tcBorders>
              <w:top w:val="nil"/>
              <w:left w:val="nil"/>
              <w:bottom w:val="nil"/>
              <w:right w:val="nil"/>
            </w:tcBorders>
            <w:shd w:val="clear" w:color="auto" w:fill="D9D9D9" w:themeFill="background1" w:themeFillShade="D9"/>
            <w:noWrap/>
            <w:vAlign w:val="bottom"/>
            <w:hideMark/>
          </w:tcPr>
          <w:p w:rsidR="00C07190" w:rsidRPr="00FF5ACF" w:rsidRDefault="00C07190" w:rsidP="008F4251">
            <w:pPr>
              <w:jc w:val="right"/>
              <w:rPr>
                <w:rFonts w:eastAsia="Times New Roman" w:cs="Arial"/>
                <w:color w:val="000000"/>
                <w:szCs w:val="20"/>
                <w:lang w:eastAsia="pt-BR"/>
              </w:rPr>
            </w:pPr>
            <w:r w:rsidRPr="00520CEE">
              <w:rPr>
                <w:rFonts w:eastAsia="Times New Roman" w:cs="Arial"/>
                <w:color w:val="000000"/>
                <w:szCs w:val="20"/>
                <w:lang w:eastAsia="pt-BR"/>
              </w:rPr>
              <w:t>3.</w:t>
            </w:r>
            <w:r>
              <w:rPr>
                <w:rFonts w:eastAsia="Times New Roman" w:cs="Arial"/>
                <w:color w:val="000000"/>
                <w:szCs w:val="20"/>
                <w:lang w:eastAsia="pt-BR"/>
              </w:rPr>
              <w:t>620</w:t>
            </w:r>
            <w:r w:rsidRPr="00520CEE">
              <w:rPr>
                <w:rFonts w:eastAsia="Times New Roman" w:cs="Arial"/>
                <w:color w:val="000000"/>
                <w:szCs w:val="20"/>
                <w:lang w:eastAsia="pt-BR"/>
              </w:rPr>
              <w:t>.</w:t>
            </w:r>
            <w:r>
              <w:rPr>
                <w:rFonts w:eastAsia="Times New Roman" w:cs="Arial"/>
                <w:color w:val="000000"/>
                <w:szCs w:val="20"/>
                <w:lang w:eastAsia="pt-BR"/>
              </w:rPr>
              <w:t>626</w:t>
            </w:r>
            <w:r w:rsidRPr="00520CEE">
              <w:rPr>
                <w:rFonts w:eastAsia="Times New Roman" w:cs="Arial"/>
                <w:color w:val="000000"/>
                <w:szCs w:val="20"/>
                <w:lang w:eastAsia="pt-BR"/>
              </w:rPr>
              <w:t>,</w:t>
            </w:r>
            <w:r>
              <w:rPr>
                <w:rFonts w:eastAsia="Times New Roman" w:cs="Arial"/>
                <w:color w:val="000000"/>
                <w:szCs w:val="20"/>
                <w:lang w:eastAsia="pt-BR"/>
              </w:rPr>
              <w:t>63</w:t>
            </w:r>
          </w:p>
        </w:tc>
        <w:tc>
          <w:tcPr>
            <w:tcW w:w="1061" w:type="dxa"/>
            <w:tcBorders>
              <w:top w:val="nil"/>
              <w:left w:val="nil"/>
              <w:bottom w:val="nil"/>
              <w:right w:val="nil"/>
            </w:tcBorders>
            <w:shd w:val="clear" w:color="auto" w:fill="D9D9D9" w:themeFill="background1" w:themeFillShade="D9"/>
            <w:noWrap/>
            <w:vAlign w:val="bottom"/>
            <w:hideMark/>
          </w:tcPr>
          <w:p w:rsidR="00C07190" w:rsidRPr="00FF5ACF" w:rsidRDefault="00C07190" w:rsidP="008F4251">
            <w:pPr>
              <w:jc w:val="right"/>
              <w:rPr>
                <w:rFonts w:eastAsia="Times New Roman" w:cs="Arial"/>
                <w:color w:val="000000"/>
                <w:szCs w:val="20"/>
                <w:lang w:eastAsia="pt-BR"/>
              </w:rPr>
            </w:pPr>
            <w:r>
              <w:rPr>
                <w:rFonts w:eastAsia="Times New Roman" w:cs="Arial"/>
                <w:color w:val="000000"/>
                <w:szCs w:val="20"/>
                <w:lang w:eastAsia="pt-BR"/>
              </w:rPr>
              <w:t>66,85</w:t>
            </w:r>
          </w:p>
        </w:tc>
      </w:tr>
    </w:tbl>
    <w:p w:rsidR="00C07190" w:rsidRPr="00892CDD" w:rsidRDefault="00C07190" w:rsidP="00C07190">
      <w:pPr>
        <w:rPr>
          <w:i/>
          <w:noProof/>
          <w:szCs w:val="20"/>
          <w:lang w:eastAsia="pt-BR"/>
        </w:rPr>
      </w:pPr>
      <w:r w:rsidRPr="00892CDD">
        <w:rPr>
          <w:i/>
          <w:noProof/>
          <w:szCs w:val="20"/>
          <w:lang w:eastAsia="pt-BR"/>
        </w:rPr>
        <w:t>Fonte: SIAFI 201</w:t>
      </w:r>
      <w:r>
        <w:rPr>
          <w:i/>
          <w:noProof/>
          <w:szCs w:val="20"/>
          <w:lang w:eastAsia="pt-BR"/>
        </w:rPr>
        <w:t>9 e documentação pertinente</w:t>
      </w:r>
      <w:r w:rsidRPr="00892CDD">
        <w:rPr>
          <w:i/>
          <w:noProof/>
          <w:szCs w:val="20"/>
          <w:lang w:eastAsia="pt-BR"/>
        </w:rPr>
        <w:t>.</w:t>
      </w:r>
    </w:p>
    <w:p w:rsidR="00C07190" w:rsidRDefault="00C07190" w:rsidP="00C07190">
      <w:pPr>
        <w:rPr>
          <w:rFonts w:cs="Arial"/>
          <w:szCs w:val="20"/>
        </w:rPr>
      </w:pPr>
    </w:p>
    <w:p w:rsidR="00C07190" w:rsidRPr="0097612D" w:rsidRDefault="00C07190" w:rsidP="00C07190">
      <w:pPr>
        <w:rPr>
          <w:rFonts w:cs="Arial"/>
          <w:sz w:val="22"/>
        </w:rPr>
      </w:pPr>
      <w:r w:rsidRPr="0097612D">
        <w:rPr>
          <w:rFonts w:cs="Arial"/>
          <w:sz w:val="22"/>
        </w:rPr>
        <w:t>No entanto, o saldo total das garantias ainda não espelha 100% da realidade, pois a dinâmica de encerramentos e contratações faz com que as áreas gestoras dos contratos não consigam entregar tais informações à Contabilidade, gerando valores subdimensionados, de tal modo que estamos em contínuo trabalho de aperfeiçoamento da prática dos registros de forma oportuna e tempestiva.</w:t>
      </w:r>
    </w:p>
    <w:p w:rsidR="00C07190" w:rsidRDefault="00C07190" w:rsidP="00C07190">
      <w:pPr>
        <w:rPr>
          <w:rFonts w:cs="Arial"/>
          <w:sz w:val="22"/>
        </w:rPr>
      </w:pPr>
    </w:p>
    <w:p w:rsidR="00C07190" w:rsidRDefault="00C07190" w:rsidP="00C07190">
      <w:pPr>
        <w:rPr>
          <w:rFonts w:cs="Arial"/>
          <w:sz w:val="22"/>
        </w:rPr>
      </w:pPr>
      <w:r w:rsidRPr="002F0007">
        <w:rPr>
          <w:rFonts w:cs="Arial"/>
          <w:sz w:val="22"/>
        </w:rPr>
        <w:t>As garantias ofertadas à ANP por contratos de concessões de blocos de exploração encontram-se em fase de levantamento para posterior registro, em 20</w:t>
      </w:r>
      <w:r>
        <w:rPr>
          <w:rFonts w:cs="Arial"/>
          <w:sz w:val="22"/>
        </w:rPr>
        <w:t>20</w:t>
      </w:r>
      <w:r w:rsidRPr="002F0007">
        <w:rPr>
          <w:rFonts w:cs="Arial"/>
          <w:sz w:val="22"/>
        </w:rPr>
        <w:t>.</w:t>
      </w:r>
    </w:p>
    <w:p w:rsidR="00C07190" w:rsidRPr="00314E05" w:rsidRDefault="00C07190" w:rsidP="00C07190">
      <w:pPr>
        <w:rPr>
          <w:rFonts w:cs="Arial"/>
          <w:szCs w:val="20"/>
        </w:rPr>
      </w:pPr>
    </w:p>
    <w:p w:rsidR="00C07190" w:rsidRDefault="00C07190" w:rsidP="00C07190">
      <w:pPr>
        <w:rPr>
          <w:rFonts w:cs="Arial"/>
          <w:szCs w:val="20"/>
        </w:rPr>
      </w:pPr>
    </w:p>
    <w:p w:rsidR="00C07190" w:rsidRDefault="00C07190" w:rsidP="00C07190">
      <w:pPr>
        <w:rPr>
          <w:rFonts w:cs="Arial"/>
          <w:b/>
          <w:sz w:val="22"/>
        </w:rPr>
      </w:pPr>
      <w:r>
        <w:rPr>
          <w:rFonts w:cs="Arial"/>
          <w:b/>
          <w:sz w:val="22"/>
        </w:rPr>
        <w:t xml:space="preserve">6.3 Convênios e </w:t>
      </w:r>
      <w:proofErr w:type="spellStart"/>
      <w:r>
        <w:rPr>
          <w:rFonts w:cs="Arial"/>
          <w:b/>
          <w:sz w:val="22"/>
        </w:rPr>
        <w:t>TEDs</w:t>
      </w:r>
      <w:proofErr w:type="spellEnd"/>
    </w:p>
    <w:p w:rsidR="00C07190" w:rsidRDefault="00C07190" w:rsidP="00C07190">
      <w:pPr>
        <w:rPr>
          <w:rFonts w:cs="Arial"/>
          <w:b/>
          <w:sz w:val="22"/>
        </w:rPr>
      </w:pPr>
    </w:p>
    <w:p w:rsidR="00C07190" w:rsidRDefault="00C07190" w:rsidP="00C07190">
      <w:pPr>
        <w:rPr>
          <w:rFonts w:cs="Arial"/>
          <w:sz w:val="22"/>
        </w:rPr>
      </w:pPr>
      <w:r>
        <w:rPr>
          <w:rFonts w:cs="Arial"/>
          <w:sz w:val="22"/>
        </w:rPr>
        <w:t xml:space="preserve">Em parceria com a FINEP, a ANP possui em 31/12/2019, R$ </w:t>
      </w:r>
      <w:r w:rsidRPr="00BA32A4">
        <w:rPr>
          <w:rFonts w:cs="Arial"/>
          <w:sz w:val="22"/>
        </w:rPr>
        <w:t>7</w:t>
      </w:r>
      <w:r>
        <w:rPr>
          <w:rFonts w:cs="Arial"/>
          <w:sz w:val="22"/>
        </w:rPr>
        <w:t xml:space="preserve"> milhões em </w:t>
      </w:r>
      <w:proofErr w:type="spellStart"/>
      <w:r>
        <w:rPr>
          <w:rFonts w:cs="Arial"/>
          <w:sz w:val="22"/>
        </w:rPr>
        <w:t>TEDs</w:t>
      </w:r>
      <w:proofErr w:type="spellEnd"/>
      <w:r>
        <w:rPr>
          <w:rFonts w:cs="Arial"/>
          <w:sz w:val="22"/>
        </w:rPr>
        <w:t>, conforme tabela:</w:t>
      </w:r>
    </w:p>
    <w:p w:rsidR="00C07190" w:rsidRDefault="00C07190" w:rsidP="00C07190">
      <w:pPr>
        <w:rPr>
          <w:rFonts w:cs="Arial"/>
          <w:sz w:val="22"/>
        </w:rPr>
      </w:pPr>
    </w:p>
    <w:p w:rsidR="00C07190" w:rsidRPr="008C5A13" w:rsidRDefault="00C07190" w:rsidP="00C07190">
      <w:pPr>
        <w:rPr>
          <w:rFonts w:cs="Arial"/>
          <w:b/>
          <w:sz w:val="22"/>
        </w:rPr>
      </w:pPr>
      <w:r w:rsidRPr="008C5A13">
        <w:rPr>
          <w:rFonts w:cs="Arial"/>
          <w:b/>
          <w:sz w:val="22"/>
        </w:rPr>
        <w:t>Tabela</w:t>
      </w:r>
      <w:r>
        <w:rPr>
          <w:rFonts w:cs="Arial"/>
          <w:b/>
          <w:sz w:val="22"/>
        </w:rPr>
        <w:t xml:space="preserve"> 20</w:t>
      </w:r>
      <w:r w:rsidRPr="008C5A13">
        <w:rPr>
          <w:rFonts w:cs="Arial"/>
          <w:b/>
          <w:sz w:val="22"/>
        </w:rPr>
        <w:t xml:space="preserve"> – </w:t>
      </w:r>
      <w:r>
        <w:rPr>
          <w:rFonts w:cs="Arial"/>
          <w:b/>
          <w:sz w:val="22"/>
        </w:rPr>
        <w:t xml:space="preserve">Direitos </w:t>
      </w:r>
      <w:r w:rsidRPr="008C5A13">
        <w:rPr>
          <w:rFonts w:cs="Arial"/>
          <w:b/>
          <w:sz w:val="22"/>
        </w:rPr>
        <w:t>Conv</w:t>
      </w:r>
      <w:r>
        <w:rPr>
          <w:rFonts w:cs="Arial"/>
          <w:b/>
          <w:sz w:val="22"/>
        </w:rPr>
        <w:t>e</w:t>
      </w:r>
      <w:r w:rsidRPr="008C5A13">
        <w:rPr>
          <w:rFonts w:cs="Arial"/>
          <w:b/>
          <w:sz w:val="22"/>
        </w:rPr>
        <w:t>ni</w:t>
      </w:r>
      <w:r>
        <w:rPr>
          <w:rFonts w:cs="Arial"/>
          <w:b/>
          <w:sz w:val="22"/>
        </w:rPr>
        <w:t xml:space="preserve">ados - </w:t>
      </w:r>
      <w:r w:rsidRPr="008C5A13">
        <w:rPr>
          <w:rFonts w:cs="Arial"/>
          <w:b/>
          <w:sz w:val="22"/>
        </w:rPr>
        <w:t>FINEP</w:t>
      </w:r>
    </w:p>
    <w:p w:rsidR="00C07190" w:rsidRDefault="00C07190" w:rsidP="00C07190">
      <w:pPr>
        <w:jc w:val="right"/>
        <w:rPr>
          <w:rFonts w:cs="Arial"/>
          <w:sz w:val="22"/>
        </w:rPr>
      </w:pPr>
      <w:r>
        <w:rPr>
          <w:rFonts w:cs="Arial"/>
          <w:szCs w:val="20"/>
        </w:rPr>
        <w:t>R$</w:t>
      </w:r>
    </w:p>
    <w:tbl>
      <w:tblPr>
        <w:tblW w:w="9214" w:type="dxa"/>
        <w:tblCellMar>
          <w:left w:w="70" w:type="dxa"/>
          <w:right w:w="70" w:type="dxa"/>
        </w:tblCellMar>
        <w:tblLook w:val="04A0" w:firstRow="1" w:lastRow="0" w:firstColumn="1" w:lastColumn="0" w:noHBand="0" w:noVBand="1"/>
      </w:tblPr>
      <w:tblGrid>
        <w:gridCol w:w="3733"/>
        <w:gridCol w:w="2161"/>
        <w:gridCol w:w="3320"/>
      </w:tblGrid>
      <w:tr w:rsidR="00C07190" w:rsidRPr="00FF5ACF" w:rsidTr="008F4251">
        <w:trPr>
          <w:trHeight w:val="255"/>
        </w:trPr>
        <w:tc>
          <w:tcPr>
            <w:tcW w:w="3733" w:type="dxa"/>
            <w:tcBorders>
              <w:top w:val="single" w:sz="4" w:space="0" w:color="000000"/>
              <w:left w:val="nil"/>
              <w:bottom w:val="single" w:sz="4" w:space="0" w:color="000000"/>
              <w:right w:val="nil"/>
            </w:tcBorders>
            <w:shd w:val="clear" w:color="auto" w:fill="auto"/>
            <w:noWrap/>
            <w:vAlign w:val="bottom"/>
          </w:tcPr>
          <w:p w:rsidR="00C07190" w:rsidRPr="00FF5ACF" w:rsidRDefault="00C07190" w:rsidP="008F4251">
            <w:pPr>
              <w:jc w:val="left"/>
              <w:rPr>
                <w:rFonts w:eastAsia="Times New Roman" w:cs="Arial"/>
                <w:b/>
                <w:bCs/>
                <w:szCs w:val="20"/>
                <w:lang w:eastAsia="pt-BR"/>
              </w:rPr>
            </w:pPr>
            <w:r>
              <w:rPr>
                <w:rFonts w:eastAsia="Times New Roman" w:cs="Arial"/>
                <w:b/>
                <w:bCs/>
                <w:szCs w:val="20"/>
                <w:lang w:eastAsia="pt-BR"/>
              </w:rPr>
              <w:t>CONTA</w:t>
            </w:r>
          </w:p>
        </w:tc>
        <w:tc>
          <w:tcPr>
            <w:tcW w:w="2161" w:type="dxa"/>
            <w:tcBorders>
              <w:top w:val="single" w:sz="4" w:space="0" w:color="000000"/>
              <w:left w:val="nil"/>
              <w:bottom w:val="single" w:sz="4" w:space="0" w:color="000000"/>
              <w:right w:val="nil"/>
            </w:tcBorders>
            <w:shd w:val="clear" w:color="auto" w:fill="auto"/>
            <w:noWrap/>
            <w:vAlign w:val="bottom"/>
            <w:hideMark/>
          </w:tcPr>
          <w:p w:rsidR="00C07190" w:rsidRPr="00FF5ACF" w:rsidRDefault="00C07190" w:rsidP="008F4251">
            <w:pPr>
              <w:jc w:val="right"/>
              <w:rPr>
                <w:rFonts w:eastAsia="Times New Roman" w:cs="Arial"/>
                <w:b/>
                <w:bCs/>
                <w:color w:val="000000"/>
                <w:szCs w:val="20"/>
                <w:lang w:eastAsia="pt-BR"/>
              </w:rPr>
            </w:pPr>
            <w:r w:rsidRPr="00FF5ACF">
              <w:rPr>
                <w:rFonts w:eastAsia="Times New Roman" w:cs="Arial"/>
                <w:b/>
                <w:bCs/>
                <w:color w:val="000000"/>
                <w:szCs w:val="20"/>
                <w:lang w:eastAsia="pt-BR"/>
              </w:rPr>
              <w:t>3</w:t>
            </w:r>
            <w:r>
              <w:rPr>
                <w:rFonts w:eastAsia="Times New Roman" w:cs="Arial"/>
                <w:b/>
                <w:bCs/>
                <w:color w:val="000000"/>
                <w:szCs w:val="20"/>
                <w:lang w:eastAsia="pt-BR"/>
              </w:rPr>
              <w:t>1</w:t>
            </w:r>
            <w:r w:rsidRPr="00FF5ACF">
              <w:rPr>
                <w:rFonts w:eastAsia="Times New Roman" w:cs="Arial"/>
                <w:b/>
                <w:bCs/>
                <w:color w:val="000000"/>
                <w:szCs w:val="20"/>
                <w:lang w:eastAsia="pt-BR"/>
              </w:rPr>
              <w:t>/</w:t>
            </w:r>
            <w:r>
              <w:rPr>
                <w:rFonts w:eastAsia="Times New Roman" w:cs="Arial"/>
                <w:b/>
                <w:bCs/>
                <w:color w:val="000000"/>
                <w:szCs w:val="20"/>
                <w:lang w:eastAsia="pt-BR"/>
              </w:rPr>
              <w:t>12/2019</w:t>
            </w:r>
          </w:p>
        </w:tc>
        <w:tc>
          <w:tcPr>
            <w:tcW w:w="3320" w:type="dxa"/>
            <w:tcBorders>
              <w:top w:val="single" w:sz="4" w:space="0" w:color="000000"/>
              <w:left w:val="nil"/>
              <w:bottom w:val="single" w:sz="4" w:space="0" w:color="000000"/>
              <w:right w:val="nil"/>
            </w:tcBorders>
            <w:shd w:val="clear" w:color="auto" w:fill="auto"/>
            <w:noWrap/>
            <w:vAlign w:val="bottom"/>
            <w:hideMark/>
          </w:tcPr>
          <w:p w:rsidR="00C07190" w:rsidRPr="00FF5ACF" w:rsidRDefault="00C07190" w:rsidP="008F4251">
            <w:pPr>
              <w:jc w:val="right"/>
              <w:rPr>
                <w:rFonts w:eastAsia="Times New Roman" w:cs="Arial"/>
                <w:b/>
                <w:bCs/>
                <w:color w:val="000000"/>
                <w:szCs w:val="20"/>
                <w:lang w:eastAsia="pt-BR"/>
              </w:rPr>
            </w:pPr>
            <w:r w:rsidRPr="00FF5ACF">
              <w:rPr>
                <w:rFonts w:eastAsia="Times New Roman" w:cs="Arial"/>
                <w:b/>
                <w:bCs/>
                <w:color w:val="000000"/>
                <w:szCs w:val="20"/>
                <w:lang w:eastAsia="pt-BR"/>
              </w:rPr>
              <w:t>AV (%)</w:t>
            </w:r>
          </w:p>
        </w:tc>
      </w:tr>
      <w:tr w:rsidR="00C07190" w:rsidRPr="00FF5ACF" w:rsidTr="008F4251">
        <w:trPr>
          <w:trHeight w:val="283"/>
        </w:trPr>
        <w:tc>
          <w:tcPr>
            <w:tcW w:w="3733" w:type="dxa"/>
            <w:tcBorders>
              <w:top w:val="nil"/>
              <w:left w:val="nil"/>
              <w:bottom w:val="nil"/>
              <w:right w:val="nil"/>
            </w:tcBorders>
            <w:shd w:val="clear" w:color="auto" w:fill="D9D9D9" w:themeFill="background1" w:themeFillShade="D9"/>
            <w:vAlign w:val="bottom"/>
            <w:hideMark/>
          </w:tcPr>
          <w:p w:rsidR="00C07190" w:rsidRPr="00FF5ACF" w:rsidRDefault="00C07190" w:rsidP="008F4251">
            <w:pPr>
              <w:jc w:val="left"/>
              <w:rPr>
                <w:rFonts w:eastAsia="Times New Roman" w:cs="Arial"/>
                <w:color w:val="000000"/>
                <w:szCs w:val="20"/>
                <w:lang w:eastAsia="pt-BR"/>
              </w:rPr>
            </w:pPr>
            <w:proofErr w:type="spellStart"/>
            <w:proofErr w:type="gramStart"/>
            <w:r>
              <w:rPr>
                <w:rFonts w:eastAsia="Times New Roman" w:cs="Arial"/>
                <w:color w:val="000000"/>
                <w:szCs w:val="20"/>
                <w:lang w:eastAsia="pt-BR"/>
              </w:rPr>
              <w:t>à</w:t>
            </w:r>
            <w:proofErr w:type="spellEnd"/>
            <w:proofErr w:type="gramEnd"/>
            <w:r>
              <w:rPr>
                <w:rFonts w:eastAsia="Times New Roman" w:cs="Arial"/>
                <w:color w:val="000000"/>
                <w:szCs w:val="20"/>
                <w:lang w:eastAsia="pt-BR"/>
              </w:rPr>
              <w:t xml:space="preserve"> receber da FINEP</w:t>
            </w:r>
          </w:p>
        </w:tc>
        <w:tc>
          <w:tcPr>
            <w:tcW w:w="2161" w:type="dxa"/>
            <w:tcBorders>
              <w:top w:val="nil"/>
              <w:left w:val="nil"/>
              <w:bottom w:val="nil"/>
              <w:right w:val="nil"/>
            </w:tcBorders>
            <w:shd w:val="clear" w:color="auto" w:fill="D9D9D9" w:themeFill="background1" w:themeFillShade="D9"/>
            <w:noWrap/>
            <w:vAlign w:val="bottom"/>
            <w:hideMark/>
          </w:tcPr>
          <w:p w:rsidR="00C07190" w:rsidRPr="00FF5ACF" w:rsidRDefault="00C07190" w:rsidP="008F4251">
            <w:pPr>
              <w:jc w:val="right"/>
              <w:rPr>
                <w:rFonts w:eastAsia="Times New Roman" w:cs="Arial"/>
                <w:color w:val="000000"/>
                <w:szCs w:val="20"/>
                <w:lang w:eastAsia="pt-BR"/>
              </w:rPr>
            </w:pPr>
            <w:r w:rsidRPr="009D7096">
              <w:rPr>
                <w:rFonts w:eastAsia="Times New Roman" w:cs="Arial"/>
                <w:color w:val="000000"/>
                <w:szCs w:val="20"/>
                <w:lang w:eastAsia="pt-BR"/>
              </w:rPr>
              <w:t>1</w:t>
            </w:r>
            <w:r>
              <w:rPr>
                <w:rFonts w:eastAsia="Times New Roman" w:cs="Arial"/>
                <w:color w:val="000000"/>
                <w:szCs w:val="20"/>
                <w:lang w:eastAsia="pt-BR"/>
              </w:rPr>
              <w:t>.</w:t>
            </w:r>
            <w:r w:rsidRPr="009D7096">
              <w:rPr>
                <w:rFonts w:eastAsia="Times New Roman" w:cs="Arial"/>
                <w:color w:val="000000"/>
                <w:szCs w:val="20"/>
                <w:lang w:eastAsia="pt-BR"/>
              </w:rPr>
              <w:t>118</w:t>
            </w:r>
            <w:r>
              <w:rPr>
                <w:rFonts w:eastAsia="Times New Roman" w:cs="Arial"/>
                <w:color w:val="000000"/>
                <w:szCs w:val="20"/>
                <w:lang w:eastAsia="pt-BR"/>
              </w:rPr>
              <w:t>.</w:t>
            </w:r>
            <w:r w:rsidRPr="009D7096">
              <w:rPr>
                <w:rFonts w:eastAsia="Times New Roman" w:cs="Arial"/>
                <w:color w:val="000000"/>
                <w:szCs w:val="20"/>
                <w:lang w:eastAsia="pt-BR"/>
              </w:rPr>
              <w:t>947,98</w:t>
            </w:r>
          </w:p>
        </w:tc>
        <w:tc>
          <w:tcPr>
            <w:tcW w:w="3320" w:type="dxa"/>
            <w:tcBorders>
              <w:top w:val="nil"/>
              <w:left w:val="nil"/>
              <w:bottom w:val="nil"/>
              <w:right w:val="nil"/>
            </w:tcBorders>
            <w:shd w:val="clear" w:color="auto" w:fill="D9D9D9" w:themeFill="background1" w:themeFillShade="D9"/>
            <w:noWrap/>
            <w:vAlign w:val="bottom"/>
            <w:hideMark/>
          </w:tcPr>
          <w:p w:rsidR="00C07190" w:rsidRPr="00FF5ACF" w:rsidRDefault="00C07190" w:rsidP="008F4251">
            <w:pPr>
              <w:jc w:val="right"/>
              <w:rPr>
                <w:rFonts w:eastAsia="Times New Roman" w:cs="Arial"/>
                <w:color w:val="000000"/>
                <w:szCs w:val="20"/>
                <w:lang w:eastAsia="pt-BR"/>
              </w:rPr>
            </w:pPr>
            <w:r>
              <w:rPr>
                <w:rFonts w:eastAsia="Times New Roman" w:cs="Arial"/>
                <w:color w:val="000000"/>
                <w:szCs w:val="20"/>
                <w:lang w:eastAsia="pt-BR"/>
              </w:rPr>
              <w:t>15,98</w:t>
            </w:r>
          </w:p>
        </w:tc>
      </w:tr>
      <w:tr w:rsidR="00C07190" w:rsidRPr="00FF5ACF" w:rsidTr="008F4251">
        <w:trPr>
          <w:trHeight w:val="283"/>
        </w:trPr>
        <w:tc>
          <w:tcPr>
            <w:tcW w:w="3733" w:type="dxa"/>
            <w:tcBorders>
              <w:top w:val="nil"/>
              <w:left w:val="nil"/>
              <w:bottom w:val="nil"/>
              <w:right w:val="nil"/>
            </w:tcBorders>
            <w:shd w:val="clear" w:color="auto" w:fill="auto"/>
            <w:vAlign w:val="bottom"/>
            <w:hideMark/>
          </w:tcPr>
          <w:p w:rsidR="00C07190" w:rsidRPr="00FF5ACF" w:rsidRDefault="00C07190" w:rsidP="008F4251">
            <w:pPr>
              <w:jc w:val="left"/>
              <w:rPr>
                <w:rFonts w:eastAsia="Times New Roman" w:cs="Arial"/>
                <w:color w:val="000000"/>
                <w:szCs w:val="20"/>
                <w:lang w:eastAsia="pt-BR"/>
              </w:rPr>
            </w:pPr>
            <w:proofErr w:type="spellStart"/>
            <w:proofErr w:type="gramStart"/>
            <w:r>
              <w:rPr>
                <w:rFonts w:eastAsia="Times New Roman" w:cs="Arial"/>
                <w:color w:val="000000"/>
                <w:szCs w:val="20"/>
                <w:lang w:eastAsia="pt-BR"/>
              </w:rPr>
              <w:t>à</w:t>
            </w:r>
            <w:proofErr w:type="spellEnd"/>
            <w:proofErr w:type="gramEnd"/>
            <w:r>
              <w:rPr>
                <w:rFonts w:eastAsia="Times New Roman" w:cs="Arial"/>
                <w:color w:val="000000"/>
                <w:szCs w:val="20"/>
                <w:lang w:eastAsia="pt-BR"/>
              </w:rPr>
              <w:t xml:space="preserve"> comprovar à FINEP </w:t>
            </w:r>
          </w:p>
        </w:tc>
        <w:tc>
          <w:tcPr>
            <w:tcW w:w="2161" w:type="dxa"/>
            <w:tcBorders>
              <w:top w:val="nil"/>
              <w:left w:val="nil"/>
              <w:bottom w:val="nil"/>
              <w:right w:val="nil"/>
            </w:tcBorders>
            <w:shd w:val="clear" w:color="auto" w:fill="auto"/>
            <w:noWrap/>
            <w:vAlign w:val="bottom"/>
            <w:hideMark/>
          </w:tcPr>
          <w:p w:rsidR="00C07190" w:rsidRPr="00FF5ACF" w:rsidRDefault="00C07190" w:rsidP="008F4251">
            <w:pPr>
              <w:jc w:val="right"/>
              <w:rPr>
                <w:rFonts w:eastAsia="Times New Roman" w:cs="Arial"/>
                <w:color w:val="000000"/>
                <w:szCs w:val="20"/>
                <w:lang w:eastAsia="pt-BR"/>
              </w:rPr>
            </w:pPr>
            <w:r w:rsidRPr="009D7096">
              <w:rPr>
                <w:rFonts w:eastAsia="Times New Roman" w:cs="Arial"/>
                <w:color w:val="000000"/>
                <w:szCs w:val="20"/>
                <w:lang w:eastAsia="pt-BR"/>
              </w:rPr>
              <w:t>5</w:t>
            </w:r>
            <w:r>
              <w:rPr>
                <w:rFonts w:eastAsia="Times New Roman" w:cs="Arial"/>
                <w:color w:val="000000"/>
                <w:szCs w:val="20"/>
                <w:lang w:eastAsia="pt-BR"/>
              </w:rPr>
              <w:t>.</w:t>
            </w:r>
            <w:r w:rsidRPr="009D7096">
              <w:rPr>
                <w:rFonts w:eastAsia="Times New Roman" w:cs="Arial"/>
                <w:color w:val="000000"/>
                <w:szCs w:val="20"/>
                <w:lang w:eastAsia="pt-BR"/>
              </w:rPr>
              <w:t>881</w:t>
            </w:r>
            <w:r>
              <w:rPr>
                <w:rFonts w:eastAsia="Times New Roman" w:cs="Arial"/>
                <w:color w:val="000000"/>
                <w:szCs w:val="20"/>
                <w:lang w:eastAsia="pt-BR"/>
              </w:rPr>
              <w:t>.</w:t>
            </w:r>
            <w:r w:rsidRPr="009D7096">
              <w:rPr>
                <w:rFonts w:eastAsia="Times New Roman" w:cs="Arial"/>
                <w:color w:val="000000"/>
                <w:szCs w:val="20"/>
                <w:lang w:eastAsia="pt-BR"/>
              </w:rPr>
              <w:t>052,02</w:t>
            </w:r>
          </w:p>
        </w:tc>
        <w:tc>
          <w:tcPr>
            <w:tcW w:w="3320" w:type="dxa"/>
            <w:tcBorders>
              <w:top w:val="nil"/>
              <w:left w:val="nil"/>
              <w:bottom w:val="nil"/>
              <w:right w:val="nil"/>
            </w:tcBorders>
            <w:shd w:val="clear" w:color="auto" w:fill="auto"/>
            <w:noWrap/>
            <w:vAlign w:val="bottom"/>
            <w:hideMark/>
          </w:tcPr>
          <w:p w:rsidR="00C07190" w:rsidRPr="00FF5ACF" w:rsidRDefault="00C07190" w:rsidP="008F4251">
            <w:pPr>
              <w:jc w:val="right"/>
              <w:rPr>
                <w:rFonts w:eastAsia="Times New Roman" w:cs="Arial"/>
                <w:color w:val="000000"/>
                <w:szCs w:val="20"/>
                <w:lang w:eastAsia="pt-BR"/>
              </w:rPr>
            </w:pPr>
            <w:r>
              <w:rPr>
                <w:rFonts w:eastAsia="Times New Roman" w:cs="Arial"/>
                <w:color w:val="000000"/>
                <w:szCs w:val="20"/>
                <w:lang w:eastAsia="pt-BR"/>
              </w:rPr>
              <w:t>84,02</w:t>
            </w:r>
          </w:p>
        </w:tc>
      </w:tr>
      <w:tr w:rsidR="00C07190" w:rsidRPr="00FF5ACF" w:rsidTr="008F4251">
        <w:trPr>
          <w:trHeight w:val="287"/>
        </w:trPr>
        <w:tc>
          <w:tcPr>
            <w:tcW w:w="3733" w:type="dxa"/>
            <w:tcBorders>
              <w:top w:val="nil"/>
              <w:left w:val="nil"/>
              <w:bottom w:val="nil"/>
              <w:right w:val="nil"/>
            </w:tcBorders>
            <w:shd w:val="clear" w:color="auto" w:fill="D9D9D9" w:themeFill="background1" w:themeFillShade="D9"/>
            <w:vAlign w:val="bottom"/>
          </w:tcPr>
          <w:p w:rsidR="00C07190" w:rsidRDefault="00C07190" w:rsidP="008F4251">
            <w:pPr>
              <w:jc w:val="left"/>
              <w:rPr>
                <w:rFonts w:eastAsia="Times New Roman" w:cs="Arial"/>
                <w:color w:val="000000"/>
                <w:szCs w:val="20"/>
                <w:lang w:eastAsia="pt-BR"/>
              </w:rPr>
            </w:pPr>
            <w:r w:rsidRPr="005335EC">
              <w:rPr>
                <w:rFonts w:eastAsia="Times New Roman" w:cs="Arial"/>
                <w:color w:val="000000"/>
                <w:szCs w:val="20"/>
                <w:lang w:eastAsia="pt-BR"/>
              </w:rPr>
              <w:t>C</w:t>
            </w:r>
            <w:r>
              <w:rPr>
                <w:rFonts w:eastAsia="Times New Roman" w:cs="Arial"/>
                <w:color w:val="000000"/>
                <w:szCs w:val="20"/>
                <w:lang w:eastAsia="pt-BR"/>
              </w:rPr>
              <w:t>oncluído</w:t>
            </w:r>
          </w:p>
        </w:tc>
        <w:tc>
          <w:tcPr>
            <w:tcW w:w="2161" w:type="dxa"/>
            <w:tcBorders>
              <w:top w:val="nil"/>
              <w:left w:val="nil"/>
              <w:bottom w:val="nil"/>
              <w:right w:val="nil"/>
            </w:tcBorders>
            <w:shd w:val="clear" w:color="auto" w:fill="D9D9D9" w:themeFill="background1" w:themeFillShade="D9"/>
            <w:noWrap/>
            <w:vAlign w:val="bottom"/>
          </w:tcPr>
          <w:p w:rsidR="00C07190" w:rsidRPr="00EE0B93" w:rsidRDefault="00C07190" w:rsidP="008F4251">
            <w:pPr>
              <w:jc w:val="right"/>
              <w:rPr>
                <w:rFonts w:eastAsia="Times New Roman" w:cs="Arial"/>
                <w:color w:val="000000"/>
                <w:szCs w:val="20"/>
                <w:lang w:eastAsia="pt-BR"/>
              </w:rPr>
            </w:pPr>
            <w:r>
              <w:rPr>
                <w:rFonts w:eastAsia="Times New Roman" w:cs="Arial"/>
                <w:color w:val="000000"/>
                <w:szCs w:val="20"/>
                <w:lang w:eastAsia="pt-BR"/>
              </w:rPr>
              <w:t>0,00</w:t>
            </w:r>
          </w:p>
        </w:tc>
        <w:tc>
          <w:tcPr>
            <w:tcW w:w="3320" w:type="dxa"/>
            <w:tcBorders>
              <w:top w:val="nil"/>
              <w:left w:val="nil"/>
              <w:bottom w:val="nil"/>
              <w:right w:val="nil"/>
            </w:tcBorders>
            <w:shd w:val="clear" w:color="auto" w:fill="D9D9D9" w:themeFill="background1" w:themeFillShade="D9"/>
            <w:noWrap/>
            <w:vAlign w:val="bottom"/>
          </w:tcPr>
          <w:p w:rsidR="00C07190" w:rsidRDefault="00C07190" w:rsidP="008F4251">
            <w:pPr>
              <w:jc w:val="right"/>
              <w:rPr>
                <w:rFonts w:eastAsia="Times New Roman" w:cs="Arial"/>
                <w:color w:val="000000"/>
                <w:szCs w:val="20"/>
                <w:lang w:eastAsia="pt-BR"/>
              </w:rPr>
            </w:pPr>
            <w:r>
              <w:rPr>
                <w:rFonts w:eastAsia="Times New Roman" w:cs="Arial"/>
                <w:color w:val="000000"/>
                <w:szCs w:val="20"/>
                <w:lang w:eastAsia="pt-BR"/>
              </w:rPr>
              <w:t>0</w:t>
            </w:r>
          </w:p>
        </w:tc>
      </w:tr>
    </w:tbl>
    <w:p w:rsidR="00C07190" w:rsidRPr="00892CDD" w:rsidRDefault="00C07190" w:rsidP="00C07190">
      <w:pPr>
        <w:rPr>
          <w:i/>
          <w:noProof/>
          <w:szCs w:val="20"/>
          <w:lang w:eastAsia="pt-BR"/>
        </w:rPr>
      </w:pPr>
      <w:r w:rsidRPr="00892CDD">
        <w:rPr>
          <w:i/>
          <w:noProof/>
          <w:szCs w:val="20"/>
          <w:lang w:eastAsia="pt-BR"/>
        </w:rPr>
        <w:t>Fonte: SIAFI 201</w:t>
      </w:r>
      <w:r>
        <w:rPr>
          <w:i/>
          <w:noProof/>
          <w:szCs w:val="20"/>
          <w:lang w:eastAsia="pt-BR"/>
        </w:rPr>
        <w:t>9</w:t>
      </w:r>
      <w:r w:rsidRPr="00892CDD">
        <w:rPr>
          <w:i/>
          <w:noProof/>
          <w:szCs w:val="20"/>
          <w:lang w:eastAsia="pt-BR"/>
        </w:rPr>
        <w:t>.</w:t>
      </w:r>
    </w:p>
    <w:p w:rsidR="00C07190" w:rsidRDefault="00C07190" w:rsidP="00C07190">
      <w:pPr>
        <w:rPr>
          <w:rFonts w:cs="Arial"/>
          <w:sz w:val="22"/>
        </w:rPr>
      </w:pPr>
    </w:p>
    <w:p w:rsidR="00C07190" w:rsidRDefault="00C07190" w:rsidP="00C07190">
      <w:pPr>
        <w:rPr>
          <w:rFonts w:cs="Arial"/>
          <w:sz w:val="22"/>
        </w:rPr>
      </w:pPr>
      <w:r w:rsidRPr="00BA32A4">
        <w:rPr>
          <w:rFonts w:cs="Arial"/>
          <w:sz w:val="22"/>
        </w:rPr>
        <w:t>Em 31/12/201</w:t>
      </w:r>
      <w:r>
        <w:rPr>
          <w:rFonts w:cs="Arial"/>
          <w:sz w:val="22"/>
        </w:rPr>
        <w:t xml:space="preserve">9, a ANP possuía todos os Convênios e </w:t>
      </w:r>
      <w:proofErr w:type="spellStart"/>
      <w:r>
        <w:rPr>
          <w:rFonts w:cs="Arial"/>
          <w:sz w:val="22"/>
        </w:rPr>
        <w:t>TEDs</w:t>
      </w:r>
      <w:proofErr w:type="spellEnd"/>
      <w:r>
        <w:rPr>
          <w:rFonts w:cs="Arial"/>
          <w:sz w:val="22"/>
        </w:rPr>
        <w:t xml:space="preserve"> registrados corretamente no SICONV e no SIAFI respectivamente, de forma a transparecer a fidedignidade dos atos.</w:t>
      </w:r>
    </w:p>
    <w:p w:rsidR="00C07190" w:rsidRDefault="00C07190" w:rsidP="00C07190">
      <w:pPr>
        <w:rPr>
          <w:rFonts w:cs="Arial"/>
          <w:sz w:val="22"/>
        </w:rPr>
      </w:pPr>
    </w:p>
    <w:p w:rsidR="00C07190" w:rsidRDefault="00C07190" w:rsidP="00C07190">
      <w:pPr>
        <w:rPr>
          <w:rFonts w:cs="Arial"/>
          <w:b/>
          <w:sz w:val="22"/>
        </w:rPr>
      </w:pPr>
      <w:r w:rsidRPr="008C5A13">
        <w:rPr>
          <w:rFonts w:cs="Arial"/>
          <w:b/>
          <w:sz w:val="22"/>
        </w:rPr>
        <w:t>Tabela</w:t>
      </w:r>
      <w:r>
        <w:rPr>
          <w:rFonts w:cs="Arial"/>
          <w:b/>
          <w:sz w:val="22"/>
        </w:rPr>
        <w:t xml:space="preserve"> 21</w:t>
      </w:r>
      <w:r w:rsidRPr="008C5A13">
        <w:rPr>
          <w:rFonts w:cs="Arial"/>
          <w:b/>
          <w:sz w:val="22"/>
        </w:rPr>
        <w:t xml:space="preserve"> – </w:t>
      </w:r>
      <w:r>
        <w:rPr>
          <w:rFonts w:cs="Arial"/>
          <w:b/>
          <w:sz w:val="22"/>
        </w:rPr>
        <w:t>Atos Potenciais Passivos (</w:t>
      </w:r>
      <w:r w:rsidRPr="008C5A13">
        <w:rPr>
          <w:rFonts w:cs="Arial"/>
          <w:b/>
          <w:sz w:val="22"/>
        </w:rPr>
        <w:t>Convênio</w:t>
      </w:r>
      <w:r>
        <w:rPr>
          <w:rFonts w:cs="Arial"/>
          <w:b/>
          <w:sz w:val="22"/>
        </w:rPr>
        <w:t xml:space="preserve">s) </w:t>
      </w:r>
    </w:p>
    <w:p w:rsidR="00C07190" w:rsidRDefault="00C07190" w:rsidP="00C07190">
      <w:pPr>
        <w:jc w:val="right"/>
        <w:rPr>
          <w:rFonts w:cs="Arial"/>
          <w:b/>
          <w:sz w:val="22"/>
        </w:rPr>
      </w:pPr>
      <w:r>
        <w:rPr>
          <w:rFonts w:cs="Arial"/>
          <w:szCs w:val="20"/>
        </w:rPr>
        <w:t>R$</w:t>
      </w:r>
    </w:p>
    <w:tbl>
      <w:tblPr>
        <w:tblW w:w="9214" w:type="dxa"/>
        <w:tblCellMar>
          <w:left w:w="70" w:type="dxa"/>
          <w:right w:w="70" w:type="dxa"/>
        </w:tblCellMar>
        <w:tblLook w:val="04A0" w:firstRow="1" w:lastRow="0" w:firstColumn="1" w:lastColumn="0" w:noHBand="0" w:noVBand="1"/>
      </w:tblPr>
      <w:tblGrid>
        <w:gridCol w:w="3733"/>
        <w:gridCol w:w="2161"/>
        <w:gridCol w:w="3320"/>
      </w:tblGrid>
      <w:tr w:rsidR="00C07190" w:rsidRPr="00FF5ACF" w:rsidTr="008F4251">
        <w:trPr>
          <w:trHeight w:val="255"/>
        </w:trPr>
        <w:tc>
          <w:tcPr>
            <w:tcW w:w="3733" w:type="dxa"/>
            <w:tcBorders>
              <w:top w:val="single" w:sz="4" w:space="0" w:color="000000"/>
              <w:left w:val="nil"/>
              <w:bottom w:val="single" w:sz="4" w:space="0" w:color="000000"/>
              <w:right w:val="nil"/>
            </w:tcBorders>
            <w:shd w:val="clear" w:color="auto" w:fill="auto"/>
            <w:noWrap/>
            <w:vAlign w:val="bottom"/>
          </w:tcPr>
          <w:p w:rsidR="00C07190" w:rsidRPr="00FF5ACF" w:rsidRDefault="00C07190" w:rsidP="008F4251">
            <w:pPr>
              <w:jc w:val="left"/>
              <w:rPr>
                <w:rFonts w:eastAsia="Times New Roman" w:cs="Arial"/>
                <w:b/>
                <w:bCs/>
                <w:szCs w:val="20"/>
                <w:lang w:eastAsia="pt-BR"/>
              </w:rPr>
            </w:pPr>
            <w:r>
              <w:rPr>
                <w:rFonts w:eastAsia="Times New Roman" w:cs="Arial"/>
                <w:b/>
                <w:bCs/>
                <w:szCs w:val="20"/>
                <w:lang w:eastAsia="pt-BR"/>
              </w:rPr>
              <w:t>CONTA</w:t>
            </w:r>
          </w:p>
        </w:tc>
        <w:tc>
          <w:tcPr>
            <w:tcW w:w="2161" w:type="dxa"/>
            <w:tcBorders>
              <w:top w:val="single" w:sz="4" w:space="0" w:color="000000"/>
              <w:left w:val="nil"/>
              <w:bottom w:val="single" w:sz="4" w:space="0" w:color="000000"/>
              <w:right w:val="nil"/>
            </w:tcBorders>
            <w:shd w:val="clear" w:color="auto" w:fill="auto"/>
            <w:noWrap/>
            <w:vAlign w:val="bottom"/>
            <w:hideMark/>
          </w:tcPr>
          <w:p w:rsidR="00C07190" w:rsidRPr="00FF5ACF" w:rsidRDefault="00C07190" w:rsidP="008F4251">
            <w:pPr>
              <w:jc w:val="right"/>
              <w:rPr>
                <w:rFonts w:eastAsia="Times New Roman" w:cs="Arial"/>
                <w:b/>
                <w:bCs/>
                <w:color w:val="000000"/>
                <w:szCs w:val="20"/>
                <w:lang w:eastAsia="pt-BR"/>
              </w:rPr>
            </w:pPr>
            <w:r w:rsidRPr="00FF5ACF">
              <w:rPr>
                <w:rFonts w:eastAsia="Times New Roman" w:cs="Arial"/>
                <w:b/>
                <w:bCs/>
                <w:color w:val="000000"/>
                <w:szCs w:val="20"/>
                <w:lang w:eastAsia="pt-BR"/>
              </w:rPr>
              <w:t>3</w:t>
            </w:r>
            <w:r>
              <w:rPr>
                <w:rFonts w:eastAsia="Times New Roman" w:cs="Arial"/>
                <w:b/>
                <w:bCs/>
                <w:color w:val="000000"/>
                <w:szCs w:val="20"/>
                <w:lang w:eastAsia="pt-BR"/>
              </w:rPr>
              <w:t>1</w:t>
            </w:r>
            <w:r w:rsidRPr="00FF5ACF">
              <w:rPr>
                <w:rFonts w:eastAsia="Times New Roman" w:cs="Arial"/>
                <w:b/>
                <w:bCs/>
                <w:color w:val="000000"/>
                <w:szCs w:val="20"/>
                <w:lang w:eastAsia="pt-BR"/>
              </w:rPr>
              <w:t>/</w:t>
            </w:r>
            <w:r>
              <w:rPr>
                <w:rFonts w:eastAsia="Times New Roman" w:cs="Arial"/>
                <w:b/>
                <w:bCs/>
                <w:color w:val="000000"/>
                <w:szCs w:val="20"/>
                <w:lang w:eastAsia="pt-BR"/>
              </w:rPr>
              <w:t>12/2019</w:t>
            </w:r>
          </w:p>
        </w:tc>
        <w:tc>
          <w:tcPr>
            <w:tcW w:w="3320" w:type="dxa"/>
            <w:tcBorders>
              <w:top w:val="single" w:sz="4" w:space="0" w:color="000000"/>
              <w:left w:val="nil"/>
              <w:bottom w:val="single" w:sz="4" w:space="0" w:color="000000"/>
              <w:right w:val="nil"/>
            </w:tcBorders>
            <w:shd w:val="clear" w:color="auto" w:fill="auto"/>
            <w:noWrap/>
            <w:vAlign w:val="bottom"/>
            <w:hideMark/>
          </w:tcPr>
          <w:p w:rsidR="00C07190" w:rsidRPr="00FF5ACF" w:rsidRDefault="00C07190" w:rsidP="008F4251">
            <w:pPr>
              <w:jc w:val="right"/>
              <w:rPr>
                <w:rFonts w:eastAsia="Times New Roman" w:cs="Arial"/>
                <w:b/>
                <w:bCs/>
                <w:color w:val="000000"/>
                <w:szCs w:val="20"/>
                <w:lang w:eastAsia="pt-BR"/>
              </w:rPr>
            </w:pPr>
            <w:r w:rsidRPr="00FF5ACF">
              <w:rPr>
                <w:rFonts w:eastAsia="Times New Roman" w:cs="Arial"/>
                <w:b/>
                <w:bCs/>
                <w:color w:val="000000"/>
                <w:szCs w:val="20"/>
                <w:lang w:eastAsia="pt-BR"/>
              </w:rPr>
              <w:t>AV (%)</w:t>
            </w:r>
          </w:p>
        </w:tc>
      </w:tr>
      <w:tr w:rsidR="00C07190" w:rsidRPr="00FF5ACF" w:rsidTr="008F4251">
        <w:trPr>
          <w:trHeight w:val="283"/>
        </w:trPr>
        <w:tc>
          <w:tcPr>
            <w:tcW w:w="3733" w:type="dxa"/>
            <w:tcBorders>
              <w:top w:val="nil"/>
              <w:left w:val="nil"/>
              <w:bottom w:val="nil"/>
              <w:right w:val="nil"/>
            </w:tcBorders>
            <w:shd w:val="clear" w:color="auto" w:fill="D9D9D9" w:themeFill="background1" w:themeFillShade="D9"/>
            <w:vAlign w:val="bottom"/>
            <w:hideMark/>
          </w:tcPr>
          <w:p w:rsidR="00C07190" w:rsidRPr="00FF5ACF" w:rsidRDefault="00C07190" w:rsidP="008F4251">
            <w:pPr>
              <w:jc w:val="left"/>
              <w:rPr>
                <w:rFonts w:eastAsia="Times New Roman" w:cs="Arial"/>
                <w:color w:val="000000"/>
                <w:szCs w:val="20"/>
                <w:lang w:eastAsia="pt-BR"/>
              </w:rPr>
            </w:pPr>
            <w:proofErr w:type="spellStart"/>
            <w:proofErr w:type="gramStart"/>
            <w:r>
              <w:rPr>
                <w:rFonts w:eastAsia="Times New Roman" w:cs="Arial"/>
                <w:color w:val="000000"/>
                <w:szCs w:val="20"/>
                <w:lang w:eastAsia="pt-BR"/>
              </w:rPr>
              <w:lastRenderedPageBreak/>
              <w:t>à</w:t>
            </w:r>
            <w:proofErr w:type="spellEnd"/>
            <w:proofErr w:type="gramEnd"/>
            <w:r>
              <w:rPr>
                <w:rFonts w:eastAsia="Times New Roman" w:cs="Arial"/>
                <w:color w:val="000000"/>
                <w:szCs w:val="20"/>
                <w:lang w:eastAsia="pt-BR"/>
              </w:rPr>
              <w:t xml:space="preserve"> liberar</w:t>
            </w:r>
          </w:p>
        </w:tc>
        <w:tc>
          <w:tcPr>
            <w:tcW w:w="2161" w:type="dxa"/>
            <w:tcBorders>
              <w:top w:val="nil"/>
              <w:left w:val="nil"/>
              <w:bottom w:val="nil"/>
              <w:right w:val="nil"/>
            </w:tcBorders>
            <w:shd w:val="clear" w:color="auto" w:fill="D9D9D9" w:themeFill="background1" w:themeFillShade="D9"/>
            <w:noWrap/>
            <w:vAlign w:val="bottom"/>
            <w:hideMark/>
          </w:tcPr>
          <w:p w:rsidR="00C07190" w:rsidRPr="00FF5ACF" w:rsidRDefault="00C07190" w:rsidP="008F4251">
            <w:pPr>
              <w:jc w:val="right"/>
              <w:rPr>
                <w:rFonts w:eastAsia="Times New Roman" w:cs="Arial"/>
                <w:color w:val="000000"/>
                <w:szCs w:val="20"/>
                <w:lang w:eastAsia="pt-BR"/>
              </w:rPr>
            </w:pPr>
            <w:r w:rsidRPr="008C5A13">
              <w:rPr>
                <w:rFonts w:eastAsia="Times New Roman" w:cs="Arial"/>
                <w:color w:val="000000"/>
                <w:szCs w:val="20"/>
                <w:lang w:eastAsia="pt-BR"/>
              </w:rPr>
              <w:t>1</w:t>
            </w:r>
            <w:r>
              <w:rPr>
                <w:rFonts w:eastAsia="Times New Roman" w:cs="Arial"/>
                <w:color w:val="000000"/>
                <w:szCs w:val="20"/>
                <w:lang w:eastAsia="pt-BR"/>
              </w:rPr>
              <w:t>.</w:t>
            </w:r>
            <w:r w:rsidRPr="008C5A13">
              <w:rPr>
                <w:rFonts w:eastAsia="Times New Roman" w:cs="Arial"/>
                <w:color w:val="000000"/>
                <w:szCs w:val="20"/>
                <w:lang w:eastAsia="pt-BR"/>
              </w:rPr>
              <w:t>525</w:t>
            </w:r>
            <w:r>
              <w:rPr>
                <w:rFonts w:eastAsia="Times New Roman" w:cs="Arial"/>
                <w:color w:val="000000"/>
                <w:szCs w:val="20"/>
                <w:lang w:eastAsia="pt-BR"/>
              </w:rPr>
              <w:t>.</w:t>
            </w:r>
            <w:r w:rsidRPr="008C5A13">
              <w:rPr>
                <w:rFonts w:eastAsia="Times New Roman" w:cs="Arial"/>
                <w:color w:val="000000"/>
                <w:szCs w:val="20"/>
                <w:lang w:eastAsia="pt-BR"/>
              </w:rPr>
              <w:t>573,90</w:t>
            </w:r>
          </w:p>
        </w:tc>
        <w:tc>
          <w:tcPr>
            <w:tcW w:w="3320" w:type="dxa"/>
            <w:tcBorders>
              <w:top w:val="nil"/>
              <w:left w:val="nil"/>
              <w:bottom w:val="nil"/>
              <w:right w:val="nil"/>
            </w:tcBorders>
            <w:shd w:val="clear" w:color="auto" w:fill="D9D9D9" w:themeFill="background1" w:themeFillShade="D9"/>
            <w:noWrap/>
            <w:vAlign w:val="bottom"/>
            <w:hideMark/>
          </w:tcPr>
          <w:p w:rsidR="00C07190" w:rsidRPr="00FF5ACF" w:rsidRDefault="00C07190" w:rsidP="008F4251">
            <w:pPr>
              <w:jc w:val="right"/>
              <w:rPr>
                <w:rFonts w:eastAsia="Times New Roman" w:cs="Arial"/>
                <w:color w:val="000000"/>
                <w:szCs w:val="20"/>
                <w:lang w:eastAsia="pt-BR"/>
              </w:rPr>
            </w:pPr>
            <w:r>
              <w:rPr>
                <w:rFonts w:eastAsia="Times New Roman" w:cs="Arial"/>
                <w:color w:val="000000"/>
                <w:szCs w:val="20"/>
                <w:lang w:eastAsia="pt-BR"/>
              </w:rPr>
              <w:t>8,77</w:t>
            </w:r>
            <w:r w:rsidRPr="00FF5ACF">
              <w:rPr>
                <w:rFonts w:eastAsia="Times New Roman" w:cs="Arial"/>
                <w:color w:val="000000"/>
                <w:szCs w:val="20"/>
                <w:lang w:eastAsia="pt-BR"/>
              </w:rPr>
              <w:t>%</w:t>
            </w:r>
          </w:p>
        </w:tc>
      </w:tr>
      <w:tr w:rsidR="00C07190" w:rsidRPr="00FF5ACF" w:rsidTr="008F4251">
        <w:trPr>
          <w:trHeight w:val="283"/>
        </w:trPr>
        <w:tc>
          <w:tcPr>
            <w:tcW w:w="3733" w:type="dxa"/>
            <w:tcBorders>
              <w:top w:val="nil"/>
              <w:left w:val="nil"/>
              <w:bottom w:val="nil"/>
              <w:right w:val="nil"/>
            </w:tcBorders>
            <w:shd w:val="clear" w:color="auto" w:fill="auto"/>
            <w:vAlign w:val="bottom"/>
            <w:hideMark/>
          </w:tcPr>
          <w:p w:rsidR="00C07190" w:rsidRPr="00FF5ACF" w:rsidRDefault="00C07190" w:rsidP="008F4251">
            <w:pPr>
              <w:jc w:val="left"/>
              <w:rPr>
                <w:rFonts w:eastAsia="Times New Roman" w:cs="Arial"/>
                <w:color w:val="000000"/>
                <w:szCs w:val="20"/>
                <w:lang w:eastAsia="pt-BR"/>
              </w:rPr>
            </w:pPr>
            <w:proofErr w:type="spellStart"/>
            <w:proofErr w:type="gramStart"/>
            <w:r>
              <w:rPr>
                <w:rFonts w:eastAsia="Times New Roman" w:cs="Arial"/>
                <w:color w:val="000000"/>
                <w:szCs w:val="20"/>
                <w:lang w:eastAsia="pt-BR"/>
              </w:rPr>
              <w:t>à</w:t>
            </w:r>
            <w:proofErr w:type="spellEnd"/>
            <w:proofErr w:type="gramEnd"/>
            <w:r>
              <w:rPr>
                <w:rFonts w:eastAsia="Times New Roman" w:cs="Arial"/>
                <w:color w:val="000000"/>
                <w:szCs w:val="20"/>
                <w:lang w:eastAsia="pt-BR"/>
              </w:rPr>
              <w:t xml:space="preserve"> comprovar </w:t>
            </w:r>
          </w:p>
        </w:tc>
        <w:tc>
          <w:tcPr>
            <w:tcW w:w="2161" w:type="dxa"/>
            <w:tcBorders>
              <w:top w:val="nil"/>
              <w:left w:val="nil"/>
              <w:bottom w:val="nil"/>
              <w:right w:val="nil"/>
            </w:tcBorders>
            <w:shd w:val="clear" w:color="auto" w:fill="auto"/>
            <w:noWrap/>
            <w:vAlign w:val="bottom"/>
            <w:hideMark/>
          </w:tcPr>
          <w:p w:rsidR="00C07190" w:rsidRPr="00FF5ACF" w:rsidRDefault="00C07190" w:rsidP="008F4251">
            <w:pPr>
              <w:jc w:val="right"/>
              <w:rPr>
                <w:rFonts w:eastAsia="Times New Roman" w:cs="Arial"/>
                <w:color w:val="000000"/>
                <w:szCs w:val="20"/>
                <w:lang w:eastAsia="pt-BR"/>
              </w:rPr>
            </w:pPr>
            <w:r w:rsidRPr="008C5A13">
              <w:rPr>
                <w:rFonts w:eastAsia="Times New Roman" w:cs="Arial"/>
                <w:color w:val="000000"/>
                <w:szCs w:val="20"/>
                <w:lang w:eastAsia="pt-BR"/>
              </w:rPr>
              <w:t>14</w:t>
            </w:r>
            <w:r>
              <w:rPr>
                <w:rFonts w:eastAsia="Times New Roman" w:cs="Arial"/>
                <w:color w:val="000000"/>
                <w:szCs w:val="20"/>
                <w:lang w:eastAsia="pt-BR"/>
              </w:rPr>
              <w:t>.</w:t>
            </w:r>
            <w:r w:rsidRPr="008C5A13">
              <w:rPr>
                <w:rFonts w:eastAsia="Times New Roman" w:cs="Arial"/>
                <w:color w:val="000000"/>
                <w:szCs w:val="20"/>
                <w:lang w:eastAsia="pt-BR"/>
              </w:rPr>
              <w:t>584</w:t>
            </w:r>
            <w:r>
              <w:rPr>
                <w:rFonts w:eastAsia="Times New Roman" w:cs="Arial"/>
                <w:color w:val="000000"/>
                <w:szCs w:val="20"/>
                <w:lang w:eastAsia="pt-BR"/>
              </w:rPr>
              <w:t>.</w:t>
            </w:r>
            <w:r w:rsidRPr="008C5A13">
              <w:rPr>
                <w:rFonts w:eastAsia="Times New Roman" w:cs="Arial"/>
                <w:color w:val="000000"/>
                <w:szCs w:val="20"/>
                <w:lang w:eastAsia="pt-BR"/>
              </w:rPr>
              <w:t>036,80</w:t>
            </w:r>
          </w:p>
        </w:tc>
        <w:tc>
          <w:tcPr>
            <w:tcW w:w="3320" w:type="dxa"/>
            <w:tcBorders>
              <w:top w:val="nil"/>
              <w:left w:val="nil"/>
              <w:bottom w:val="nil"/>
              <w:right w:val="nil"/>
            </w:tcBorders>
            <w:shd w:val="clear" w:color="auto" w:fill="auto"/>
            <w:noWrap/>
            <w:vAlign w:val="bottom"/>
            <w:hideMark/>
          </w:tcPr>
          <w:p w:rsidR="00C07190" w:rsidRPr="00FF5ACF" w:rsidRDefault="00C07190" w:rsidP="008F4251">
            <w:pPr>
              <w:jc w:val="right"/>
              <w:rPr>
                <w:rFonts w:eastAsia="Times New Roman" w:cs="Arial"/>
                <w:color w:val="000000"/>
                <w:szCs w:val="20"/>
                <w:lang w:eastAsia="pt-BR"/>
              </w:rPr>
            </w:pPr>
            <w:r>
              <w:rPr>
                <w:rFonts w:eastAsia="Times New Roman" w:cs="Arial"/>
                <w:color w:val="000000"/>
                <w:szCs w:val="20"/>
                <w:lang w:eastAsia="pt-BR"/>
              </w:rPr>
              <w:t>83,81</w:t>
            </w:r>
            <w:r w:rsidRPr="00FF5ACF">
              <w:rPr>
                <w:rFonts w:eastAsia="Times New Roman" w:cs="Arial"/>
                <w:color w:val="000000"/>
                <w:szCs w:val="20"/>
                <w:lang w:eastAsia="pt-BR"/>
              </w:rPr>
              <w:t>%</w:t>
            </w:r>
          </w:p>
        </w:tc>
      </w:tr>
      <w:tr w:rsidR="00C07190" w:rsidRPr="00FF5ACF" w:rsidTr="008F4251">
        <w:trPr>
          <w:trHeight w:val="287"/>
        </w:trPr>
        <w:tc>
          <w:tcPr>
            <w:tcW w:w="3733" w:type="dxa"/>
            <w:tcBorders>
              <w:top w:val="nil"/>
              <w:left w:val="nil"/>
              <w:bottom w:val="nil"/>
              <w:right w:val="nil"/>
            </w:tcBorders>
            <w:shd w:val="clear" w:color="auto" w:fill="D9D9D9" w:themeFill="background1" w:themeFillShade="D9"/>
            <w:vAlign w:val="bottom"/>
          </w:tcPr>
          <w:p w:rsidR="00C07190" w:rsidRDefault="00C07190" w:rsidP="008F4251">
            <w:pPr>
              <w:jc w:val="left"/>
              <w:rPr>
                <w:rFonts w:eastAsia="Times New Roman" w:cs="Arial"/>
                <w:color w:val="000000"/>
                <w:szCs w:val="20"/>
                <w:lang w:eastAsia="pt-BR"/>
              </w:rPr>
            </w:pPr>
            <w:proofErr w:type="spellStart"/>
            <w:proofErr w:type="gramStart"/>
            <w:r>
              <w:rPr>
                <w:rFonts w:eastAsia="Times New Roman" w:cs="Arial"/>
                <w:color w:val="000000"/>
                <w:szCs w:val="20"/>
                <w:lang w:eastAsia="pt-BR"/>
              </w:rPr>
              <w:t>à</w:t>
            </w:r>
            <w:proofErr w:type="spellEnd"/>
            <w:proofErr w:type="gramEnd"/>
            <w:r>
              <w:rPr>
                <w:rFonts w:eastAsia="Times New Roman" w:cs="Arial"/>
                <w:color w:val="000000"/>
                <w:szCs w:val="20"/>
                <w:lang w:eastAsia="pt-BR"/>
              </w:rPr>
              <w:t xml:space="preserve"> aprovar</w:t>
            </w:r>
          </w:p>
        </w:tc>
        <w:tc>
          <w:tcPr>
            <w:tcW w:w="2161" w:type="dxa"/>
            <w:tcBorders>
              <w:top w:val="nil"/>
              <w:left w:val="nil"/>
              <w:bottom w:val="nil"/>
              <w:right w:val="nil"/>
            </w:tcBorders>
            <w:shd w:val="clear" w:color="auto" w:fill="D9D9D9" w:themeFill="background1" w:themeFillShade="D9"/>
            <w:noWrap/>
            <w:vAlign w:val="bottom"/>
          </w:tcPr>
          <w:p w:rsidR="00C07190" w:rsidRPr="00EE0B93" w:rsidRDefault="00C07190" w:rsidP="008F4251">
            <w:pPr>
              <w:jc w:val="right"/>
              <w:rPr>
                <w:rFonts w:eastAsia="Times New Roman" w:cs="Arial"/>
                <w:color w:val="000000"/>
                <w:szCs w:val="20"/>
                <w:lang w:eastAsia="pt-BR"/>
              </w:rPr>
            </w:pPr>
            <w:r w:rsidRPr="008C5A13">
              <w:rPr>
                <w:rFonts w:eastAsia="Times New Roman" w:cs="Arial"/>
                <w:color w:val="000000"/>
                <w:szCs w:val="20"/>
                <w:lang w:eastAsia="pt-BR"/>
              </w:rPr>
              <w:t>1</w:t>
            </w:r>
            <w:r>
              <w:rPr>
                <w:rFonts w:eastAsia="Times New Roman" w:cs="Arial"/>
                <w:color w:val="000000"/>
                <w:szCs w:val="20"/>
                <w:lang w:eastAsia="pt-BR"/>
              </w:rPr>
              <w:t>.</w:t>
            </w:r>
            <w:r w:rsidRPr="008C5A13">
              <w:rPr>
                <w:rFonts w:eastAsia="Times New Roman" w:cs="Arial"/>
                <w:color w:val="000000"/>
                <w:szCs w:val="20"/>
                <w:lang w:eastAsia="pt-BR"/>
              </w:rPr>
              <w:t>290</w:t>
            </w:r>
            <w:r>
              <w:rPr>
                <w:rFonts w:eastAsia="Times New Roman" w:cs="Arial"/>
                <w:color w:val="000000"/>
                <w:szCs w:val="20"/>
                <w:lang w:eastAsia="pt-BR"/>
              </w:rPr>
              <w:t>.</w:t>
            </w:r>
            <w:r w:rsidRPr="008C5A13">
              <w:rPr>
                <w:rFonts w:eastAsia="Times New Roman" w:cs="Arial"/>
                <w:color w:val="000000"/>
                <w:szCs w:val="20"/>
                <w:lang w:eastAsia="pt-BR"/>
              </w:rPr>
              <w:t>716,85</w:t>
            </w:r>
          </w:p>
        </w:tc>
        <w:tc>
          <w:tcPr>
            <w:tcW w:w="3320" w:type="dxa"/>
            <w:tcBorders>
              <w:top w:val="nil"/>
              <w:left w:val="nil"/>
              <w:bottom w:val="nil"/>
              <w:right w:val="nil"/>
            </w:tcBorders>
            <w:shd w:val="clear" w:color="auto" w:fill="D9D9D9" w:themeFill="background1" w:themeFillShade="D9"/>
            <w:noWrap/>
            <w:vAlign w:val="bottom"/>
          </w:tcPr>
          <w:p w:rsidR="00C07190" w:rsidRDefault="00C07190" w:rsidP="008F4251">
            <w:pPr>
              <w:jc w:val="right"/>
              <w:rPr>
                <w:rFonts w:eastAsia="Times New Roman" w:cs="Arial"/>
                <w:color w:val="000000"/>
                <w:szCs w:val="20"/>
                <w:lang w:eastAsia="pt-BR"/>
              </w:rPr>
            </w:pPr>
            <w:r>
              <w:rPr>
                <w:rFonts w:eastAsia="Times New Roman" w:cs="Arial"/>
                <w:color w:val="000000"/>
                <w:szCs w:val="20"/>
                <w:lang w:eastAsia="pt-BR"/>
              </w:rPr>
              <w:t>7,42%</w:t>
            </w:r>
          </w:p>
        </w:tc>
      </w:tr>
      <w:tr w:rsidR="00C07190" w:rsidRPr="00100C94" w:rsidTr="008F4251">
        <w:trPr>
          <w:trHeight w:val="287"/>
        </w:trPr>
        <w:tc>
          <w:tcPr>
            <w:tcW w:w="3733" w:type="dxa"/>
            <w:tcBorders>
              <w:top w:val="nil"/>
              <w:left w:val="nil"/>
              <w:bottom w:val="nil"/>
              <w:right w:val="nil"/>
            </w:tcBorders>
            <w:shd w:val="clear" w:color="auto" w:fill="auto"/>
            <w:vAlign w:val="bottom"/>
          </w:tcPr>
          <w:p w:rsidR="00C07190" w:rsidRPr="00100C94" w:rsidRDefault="00C07190" w:rsidP="008F4251">
            <w:pPr>
              <w:jc w:val="left"/>
              <w:rPr>
                <w:rFonts w:eastAsia="Times New Roman" w:cs="Arial"/>
                <w:b/>
                <w:color w:val="000000"/>
                <w:szCs w:val="20"/>
                <w:lang w:eastAsia="pt-BR"/>
              </w:rPr>
            </w:pPr>
            <w:r w:rsidRPr="00100C94">
              <w:rPr>
                <w:rFonts w:eastAsia="Times New Roman" w:cs="Arial"/>
                <w:b/>
                <w:color w:val="000000"/>
                <w:szCs w:val="20"/>
                <w:lang w:eastAsia="pt-BR"/>
              </w:rPr>
              <w:t>TOTAL</w:t>
            </w:r>
          </w:p>
        </w:tc>
        <w:tc>
          <w:tcPr>
            <w:tcW w:w="2161" w:type="dxa"/>
            <w:tcBorders>
              <w:top w:val="nil"/>
              <w:left w:val="nil"/>
              <w:bottom w:val="nil"/>
              <w:right w:val="nil"/>
            </w:tcBorders>
            <w:shd w:val="clear" w:color="auto" w:fill="auto"/>
            <w:noWrap/>
            <w:vAlign w:val="bottom"/>
          </w:tcPr>
          <w:p w:rsidR="00C07190" w:rsidRPr="00100C94" w:rsidRDefault="00C07190" w:rsidP="008F4251">
            <w:pPr>
              <w:jc w:val="right"/>
              <w:rPr>
                <w:rFonts w:eastAsia="Times New Roman" w:cs="Arial"/>
                <w:b/>
                <w:color w:val="000000"/>
                <w:szCs w:val="20"/>
                <w:lang w:eastAsia="pt-BR"/>
              </w:rPr>
            </w:pPr>
            <w:r w:rsidRPr="00100C94">
              <w:rPr>
                <w:rFonts w:eastAsia="Times New Roman" w:cs="Arial"/>
                <w:b/>
                <w:color w:val="000000"/>
                <w:szCs w:val="20"/>
                <w:lang w:eastAsia="pt-BR"/>
              </w:rPr>
              <w:t>17.400.327,55</w:t>
            </w:r>
          </w:p>
        </w:tc>
        <w:tc>
          <w:tcPr>
            <w:tcW w:w="3320" w:type="dxa"/>
            <w:tcBorders>
              <w:top w:val="nil"/>
              <w:left w:val="nil"/>
              <w:bottom w:val="nil"/>
              <w:right w:val="nil"/>
            </w:tcBorders>
            <w:shd w:val="clear" w:color="auto" w:fill="auto"/>
            <w:noWrap/>
            <w:vAlign w:val="bottom"/>
          </w:tcPr>
          <w:p w:rsidR="00C07190" w:rsidRPr="00100C94" w:rsidRDefault="00C07190" w:rsidP="008F4251">
            <w:pPr>
              <w:jc w:val="right"/>
              <w:rPr>
                <w:rFonts w:eastAsia="Times New Roman" w:cs="Arial"/>
                <w:b/>
                <w:color w:val="000000"/>
                <w:szCs w:val="20"/>
                <w:lang w:eastAsia="pt-BR"/>
              </w:rPr>
            </w:pPr>
            <w:r w:rsidRPr="00100C94">
              <w:rPr>
                <w:rFonts w:eastAsia="Times New Roman" w:cs="Arial"/>
                <w:b/>
                <w:color w:val="000000"/>
                <w:szCs w:val="20"/>
                <w:lang w:eastAsia="pt-BR"/>
              </w:rPr>
              <w:t>100,00%</w:t>
            </w:r>
          </w:p>
        </w:tc>
      </w:tr>
    </w:tbl>
    <w:p w:rsidR="00C07190" w:rsidRPr="00892CDD" w:rsidRDefault="00C07190" w:rsidP="00C07190">
      <w:pPr>
        <w:rPr>
          <w:i/>
          <w:noProof/>
          <w:szCs w:val="20"/>
          <w:lang w:eastAsia="pt-BR"/>
        </w:rPr>
      </w:pPr>
      <w:r w:rsidRPr="00892CDD">
        <w:rPr>
          <w:i/>
          <w:noProof/>
          <w:szCs w:val="20"/>
          <w:lang w:eastAsia="pt-BR"/>
        </w:rPr>
        <w:t>Fonte: SIAFI 201</w:t>
      </w:r>
      <w:r>
        <w:rPr>
          <w:i/>
          <w:noProof/>
          <w:szCs w:val="20"/>
          <w:lang w:eastAsia="pt-BR"/>
        </w:rPr>
        <w:t>9</w:t>
      </w:r>
      <w:r w:rsidRPr="00892CDD">
        <w:rPr>
          <w:i/>
          <w:noProof/>
          <w:szCs w:val="20"/>
          <w:lang w:eastAsia="pt-BR"/>
        </w:rPr>
        <w:t>.</w:t>
      </w:r>
    </w:p>
    <w:p w:rsidR="00C07190" w:rsidRPr="008C5A13" w:rsidRDefault="00C07190" w:rsidP="00C07190">
      <w:pPr>
        <w:rPr>
          <w:rFonts w:cs="Arial"/>
          <w:b/>
          <w:sz w:val="22"/>
        </w:rPr>
      </w:pPr>
    </w:p>
    <w:p w:rsidR="00C07190" w:rsidRDefault="00C07190" w:rsidP="00C07190">
      <w:pPr>
        <w:rPr>
          <w:rFonts w:cs="Arial"/>
          <w:b/>
          <w:sz w:val="22"/>
        </w:rPr>
      </w:pPr>
      <w:r w:rsidRPr="008C5A13">
        <w:rPr>
          <w:rFonts w:cs="Arial"/>
          <w:b/>
          <w:sz w:val="22"/>
        </w:rPr>
        <w:t>Tabela</w:t>
      </w:r>
      <w:r>
        <w:rPr>
          <w:rFonts w:cs="Arial"/>
          <w:b/>
          <w:sz w:val="22"/>
        </w:rPr>
        <w:t xml:space="preserve"> 22</w:t>
      </w:r>
      <w:r w:rsidRPr="008C5A13">
        <w:rPr>
          <w:rFonts w:cs="Arial"/>
          <w:b/>
          <w:sz w:val="22"/>
        </w:rPr>
        <w:t xml:space="preserve"> – </w:t>
      </w:r>
      <w:r>
        <w:rPr>
          <w:rFonts w:cs="Arial"/>
          <w:b/>
          <w:sz w:val="22"/>
        </w:rPr>
        <w:t>Atos Potenciais Passivos (</w:t>
      </w:r>
      <w:proofErr w:type="spellStart"/>
      <w:r>
        <w:rPr>
          <w:rFonts w:cs="Arial"/>
          <w:b/>
          <w:sz w:val="22"/>
        </w:rPr>
        <w:t>TEDs</w:t>
      </w:r>
      <w:proofErr w:type="spellEnd"/>
      <w:r>
        <w:rPr>
          <w:rFonts w:cs="Arial"/>
          <w:b/>
          <w:sz w:val="22"/>
        </w:rPr>
        <w:t xml:space="preserve">) </w:t>
      </w:r>
    </w:p>
    <w:p w:rsidR="00C07190" w:rsidRDefault="00C07190" w:rsidP="00C07190">
      <w:pPr>
        <w:jc w:val="right"/>
        <w:rPr>
          <w:rFonts w:cs="Arial"/>
          <w:b/>
          <w:sz w:val="22"/>
        </w:rPr>
      </w:pPr>
      <w:r>
        <w:rPr>
          <w:rFonts w:cs="Arial"/>
          <w:szCs w:val="20"/>
        </w:rPr>
        <w:t>R$</w:t>
      </w:r>
    </w:p>
    <w:tbl>
      <w:tblPr>
        <w:tblW w:w="9214" w:type="dxa"/>
        <w:tblCellMar>
          <w:left w:w="70" w:type="dxa"/>
          <w:right w:w="70" w:type="dxa"/>
        </w:tblCellMar>
        <w:tblLook w:val="04A0" w:firstRow="1" w:lastRow="0" w:firstColumn="1" w:lastColumn="0" w:noHBand="0" w:noVBand="1"/>
      </w:tblPr>
      <w:tblGrid>
        <w:gridCol w:w="3733"/>
        <w:gridCol w:w="2161"/>
        <w:gridCol w:w="3320"/>
      </w:tblGrid>
      <w:tr w:rsidR="00C07190" w:rsidRPr="00FF5ACF" w:rsidTr="008F4251">
        <w:trPr>
          <w:trHeight w:val="255"/>
        </w:trPr>
        <w:tc>
          <w:tcPr>
            <w:tcW w:w="3733" w:type="dxa"/>
            <w:tcBorders>
              <w:top w:val="single" w:sz="4" w:space="0" w:color="000000"/>
              <w:left w:val="nil"/>
              <w:bottom w:val="single" w:sz="4" w:space="0" w:color="000000"/>
              <w:right w:val="nil"/>
            </w:tcBorders>
            <w:shd w:val="clear" w:color="auto" w:fill="auto"/>
            <w:noWrap/>
            <w:vAlign w:val="bottom"/>
          </w:tcPr>
          <w:p w:rsidR="00C07190" w:rsidRPr="00FF5ACF" w:rsidRDefault="00C07190" w:rsidP="008F4251">
            <w:pPr>
              <w:jc w:val="left"/>
              <w:rPr>
                <w:rFonts w:eastAsia="Times New Roman" w:cs="Arial"/>
                <w:b/>
                <w:bCs/>
                <w:szCs w:val="20"/>
                <w:lang w:eastAsia="pt-BR"/>
              </w:rPr>
            </w:pPr>
            <w:r>
              <w:rPr>
                <w:rFonts w:eastAsia="Times New Roman" w:cs="Arial"/>
                <w:b/>
                <w:bCs/>
                <w:szCs w:val="20"/>
                <w:lang w:eastAsia="pt-BR"/>
              </w:rPr>
              <w:t>CONTA</w:t>
            </w:r>
          </w:p>
        </w:tc>
        <w:tc>
          <w:tcPr>
            <w:tcW w:w="2161" w:type="dxa"/>
            <w:tcBorders>
              <w:top w:val="single" w:sz="4" w:space="0" w:color="000000"/>
              <w:left w:val="nil"/>
              <w:bottom w:val="single" w:sz="4" w:space="0" w:color="000000"/>
              <w:right w:val="nil"/>
            </w:tcBorders>
            <w:shd w:val="clear" w:color="auto" w:fill="auto"/>
            <w:noWrap/>
            <w:vAlign w:val="bottom"/>
            <w:hideMark/>
          </w:tcPr>
          <w:p w:rsidR="00C07190" w:rsidRPr="00FF5ACF" w:rsidRDefault="00C07190" w:rsidP="008F4251">
            <w:pPr>
              <w:jc w:val="right"/>
              <w:rPr>
                <w:rFonts w:eastAsia="Times New Roman" w:cs="Arial"/>
                <w:b/>
                <w:bCs/>
                <w:color w:val="000000"/>
                <w:szCs w:val="20"/>
                <w:lang w:eastAsia="pt-BR"/>
              </w:rPr>
            </w:pPr>
            <w:r w:rsidRPr="00FF5ACF">
              <w:rPr>
                <w:rFonts w:eastAsia="Times New Roman" w:cs="Arial"/>
                <w:b/>
                <w:bCs/>
                <w:color w:val="000000"/>
                <w:szCs w:val="20"/>
                <w:lang w:eastAsia="pt-BR"/>
              </w:rPr>
              <w:t>3</w:t>
            </w:r>
            <w:r>
              <w:rPr>
                <w:rFonts w:eastAsia="Times New Roman" w:cs="Arial"/>
                <w:b/>
                <w:bCs/>
                <w:color w:val="000000"/>
                <w:szCs w:val="20"/>
                <w:lang w:eastAsia="pt-BR"/>
              </w:rPr>
              <w:t>1</w:t>
            </w:r>
            <w:r w:rsidRPr="00FF5ACF">
              <w:rPr>
                <w:rFonts w:eastAsia="Times New Roman" w:cs="Arial"/>
                <w:b/>
                <w:bCs/>
                <w:color w:val="000000"/>
                <w:szCs w:val="20"/>
                <w:lang w:eastAsia="pt-BR"/>
              </w:rPr>
              <w:t>/</w:t>
            </w:r>
            <w:r>
              <w:rPr>
                <w:rFonts w:eastAsia="Times New Roman" w:cs="Arial"/>
                <w:b/>
                <w:bCs/>
                <w:color w:val="000000"/>
                <w:szCs w:val="20"/>
                <w:lang w:eastAsia="pt-BR"/>
              </w:rPr>
              <w:t>12/2019</w:t>
            </w:r>
          </w:p>
        </w:tc>
        <w:tc>
          <w:tcPr>
            <w:tcW w:w="3320" w:type="dxa"/>
            <w:tcBorders>
              <w:top w:val="single" w:sz="4" w:space="0" w:color="000000"/>
              <w:left w:val="nil"/>
              <w:bottom w:val="single" w:sz="4" w:space="0" w:color="000000"/>
              <w:right w:val="nil"/>
            </w:tcBorders>
            <w:shd w:val="clear" w:color="auto" w:fill="auto"/>
            <w:noWrap/>
            <w:vAlign w:val="bottom"/>
            <w:hideMark/>
          </w:tcPr>
          <w:p w:rsidR="00C07190" w:rsidRPr="00FF5ACF" w:rsidRDefault="00C07190" w:rsidP="008F4251">
            <w:pPr>
              <w:jc w:val="right"/>
              <w:rPr>
                <w:rFonts w:eastAsia="Times New Roman" w:cs="Arial"/>
                <w:b/>
                <w:bCs/>
                <w:color w:val="000000"/>
                <w:szCs w:val="20"/>
                <w:lang w:eastAsia="pt-BR"/>
              </w:rPr>
            </w:pPr>
            <w:r w:rsidRPr="00FF5ACF">
              <w:rPr>
                <w:rFonts w:eastAsia="Times New Roman" w:cs="Arial"/>
                <w:b/>
                <w:bCs/>
                <w:color w:val="000000"/>
                <w:szCs w:val="20"/>
                <w:lang w:eastAsia="pt-BR"/>
              </w:rPr>
              <w:t>AV (%)</w:t>
            </w:r>
          </w:p>
        </w:tc>
      </w:tr>
      <w:tr w:rsidR="00C07190" w:rsidRPr="00FF5ACF" w:rsidTr="008F4251">
        <w:trPr>
          <w:trHeight w:val="283"/>
        </w:trPr>
        <w:tc>
          <w:tcPr>
            <w:tcW w:w="3733" w:type="dxa"/>
            <w:tcBorders>
              <w:top w:val="nil"/>
              <w:left w:val="nil"/>
              <w:bottom w:val="nil"/>
              <w:right w:val="nil"/>
            </w:tcBorders>
            <w:shd w:val="clear" w:color="auto" w:fill="D9D9D9" w:themeFill="background1" w:themeFillShade="D9"/>
            <w:vAlign w:val="bottom"/>
            <w:hideMark/>
          </w:tcPr>
          <w:p w:rsidR="00C07190" w:rsidRPr="00FF5ACF" w:rsidRDefault="00C07190" w:rsidP="008F4251">
            <w:pPr>
              <w:jc w:val="left"/>
              <w:rPr>
                <w:rFonts w:eastAsia="Times New Roman" w:cs="Arial"/>
                <w:color w:val="000000"/>
                <w:szCs w:val="20"/>
                <w:lang w:eastAsia="pt-BR"/>
              </w:rPr>
            </w:pPr>
            <w:proofErr w:type="spellStart"/>
            <w:proofErr w:type="gramStart"/>
            <w:r>
              <w:rPr>
                <w:rFonts w:eastAsia="Times New Roman" w:cs="Arial"/>
                <w:color w:val="000000"/>
                <w:szCs w:val="20"/>
                <w:lang w:eastAsia="pt-BR"/>
              </w:rPr>
              <w:t>à</w:t>
            </w:r>
            <w:proofErr w:type="spellEnd"/>
            <w:proofErr w:type="gramEnd"/>
            <w:r>
              <w:rPr>
                <w:rFonts w:eastAsia="Times New Roman" w:cs="Arial"/>
                <w:color w:val="000000"/>
                <w:szCs w:val="20"/>
                <w:lang w:eastAsia="pt-BR"/>
              </w:rPr>
              <w:t xml:space="preserve"> repassar</w:t>
            </w:r>
          </w:p>
        </w:tc>
        <w:tc>
          <w:tcPr>
            <w:tcW w:w="2161" w:type="dxa"/>
            <w:tcBorders>
              <w:top w:val="nil"/>
              <w:left w:val="nil"/>
              <w:bottom w:val="nil"/>
              <w:right w:val="nil"/>
            </w:tcBorders>
            <w:shd w:val="clear" w:color="auto" w:fill="D9D9D9" w:themeFill="background1" w:themeFillShade="D9"/>
            <w:noWrap/>
            <w:vAlign w:val="bottom"/>
            <w:hideMark/>
          </w:tcPr>
          <w:p w:rsidR="00C07190" w:rsidRPr="00FF5ACF" w:rsidRDefault="00C07190" w:rsidP="008F4251">
            <w:pPr>
              <w:jc w:val="right"/>
              <w:rPr>
                <w:rFonts w:eastAsia="Times New Roman" w:cs="Arial"/>
                <w:color w:val="000000"/>
                <w:szCs w:val="20"/>
                <w:lang w:eastAsia="pt-BR"/>
              </w:rPr>
            </w:pPr>
            <w:r w:rsidRPr="00B56A80">
              <w:rPr>
                <w:rFonts w:eastAsia="Times New Roman" w:cs="Arial"/>
                <w:color w:val="000000"/>
                <w:szCs w:val="20"/>
                <w:lang w:eastAsia="pt-BR"/>
              </w:rPr>
              <w:t>59</w:t>
            </w:r>
            <w:r>
              <w:rPr>
                <w:rFonts w:eastAsia="Times New Roman" w:cs="Arial"/>
                <w:color w:val="000000"/>
                <w:szCs w:val="20"/>
                <w:lang w:eastAsia="pt-BR"/>
              </w:rPr>
              <w:t>.</w:t>
            </w:r>
            <w:r w:rsidRPr="00B56A80">
              <w:rPr>
                <w:rFonts w:eastAsia="Times New Roman" w:cs="Arial"/>
                <w:color w:val="000000"/>
                <w:szCs w:val="20"/>
                <w:lang w:eastAsia="pt-BR"/>
              </w:rPr>
              <w:t>464</w:t>
            </w:r>
            <w:r>
              <w:rPr>
                <w:rFonts w:eastAsia="Times New Roman" w:cs="Arial"/>
                <w:color w:val="000000"/>
                <w:szCs w:val="20"/>
                <w:lang w:eastAsia="pt-BR"/>
              </w:rPr>
              <w:t>.</w:t>
            </w:r>
            <w:r w:rsidRPr="00B56A80">
              <w:rPr>
                <w:rFonts w:eastAsia="Times New Roman" w:cs="Arial"/>
                <w:color w:val="000000"/>
                <w:szCs w:val="20"/>
                <w:lang w:eastAsia="pt-BR"/>
              </w:rPr>
              <w:t>068,00</w:t>
            </w:r>
          </w:p>
        </w:tc>
        <w:tc>
          <w:tcPr>
            <w:tcW w:w="3320" w:type="dxa"/>
            <w:tcBorders>
              <w:top w:val="nil"/>
              <w:left w:val="nil"/>
              <w:bottom w:val="nil"/>
              <w:right w:val="nil"/>
            </w:tcBorders>
            <w:shd w:val="clear" w:color="auto" w:fill="D9D9D9" w:themeFill="background1" w:themeFillShade="D9"/>
            <w:noWrap/>
            <w:vAlign w:val="bottom"/>
            <w:hideMark/>
          </w:tcPr>
          <w:p w:rsidR="00C07190" w:rsidRPr="00FF5ACF" w:rsidRDefault="00C07190" w:rsidP="008F4251">
            <w:pPr>
              <w:jc w:val="right"/>
              <w:rPr>
                <w:rFonts w:eastAsia="Times New Roman" w:cs="Arial"/>
                <w:color w:val="000000"/>
                <w:szCs w:val="20"/>
                <w:lang w:eastAsia="pt-BR"/>
              </w:rPr>
            </w:pPr>
            <w:r>
              <w:rPr>
                <w:rFonts w:eastAsia="Times New Roman" w:cs="Arial"/>
                <w:color w:val="000000"/>
                <w:szCs w:val="20"/>
                <w:lang w:eastAsia="pt-BR"/>
              </w:rPr>
              <w:t>27,41</w:t>
            </w:r>
          </w:p>
        </w:tc>
      </w:tr>
      <w:tr w:rsidR="00C07190" w:rsidRPr="00FF5ACF" w:rsidTr="008F4251">
        <w:trPr>
          <w:trHeight w:val="283"/>
        </w:trPr>
        <w:tc>
          <w:tcPr>
            <w:tcW w:w="3733" w:type="dxa"/>
            <w:tcBorders>
              <w:top w:val="nil"/>
              <w:left w:val="nil"/>
              <w:bottom w:val="nil"/>
              <w:right w:val="nil"/>
            </w:tcBorders>
            <w:shd w:val="clear" w:color="auto" w:fill="auto"/>
            <w:vAlign w:val="bottom"/>
            <w:hideMark/>
          </w:tcPr>
          <w:p w:rsidR="00C07190" w:rsidRPr="00FF5ACF" w:rsidRDefault="00C07190" w:rsidP="008F4251">
            <w:pPr>
              <w:jc w:val="left"/>
              <w:rPr>
                <w:rFonts w:eastAsia="Times New Roman" w:cs="Arial"/>
                <w:color w:val="000000"/>
                <w:szCs w:val="20"/>
                <w:lang w:eastAsia="pt-BR"/>
              </w:rPr>
            </w:pPr>
            <w:proofErr w:type="spellStart"/>
            <w:proofErr w:type="gramStart"/>
            <w:r>
              <w:rPr>
                <w:rFonts w:eastAsia="Times New Roman" w:cs="Arial"/>
                <w:color w:val="000000"/>
                <w:szCs w:val="20"/>
                <w:lang w:eastAsia="pt-BR"/>
              </w:rPr>
              <w:t>à</w:t>
            </w:r>
            <w:proofErr w:type="spellEnd"/>
            <w:proofErr w:type="gramEnd"/>
            <w:r>
              <w:rPr>
                <w:rFonts w:eastAsia="Times New Roman" w:cs="Arial"/>
                <w:color w:val="000000"/>
                <w:szCs w:val="20"/>
                <w:lang w:eastAsia="pt-BR"/>
              </w:rPr>
              <w:t xml:space="preserve"> comprovar </w:t>
            </w:r>
          </w:p>
        </w:tc>
        <w:tc>
          <w:tcPr>
            <w:tcW w:w="2161" w:type="dxa"/>
            <w:tcBorders>
              <w:top w:val="nil"/>
              <w:left w:val="nil"/>
              <w:bottom w:val="nil"/>
              <w:right w:val="nil"/>
            </w:tcBorders>
            <w:shd w:val="clear" w:color="auto" w:fill="auto"/>
            <w:noWrap/>
            <w:vAlign w:val="bottom"/>
            <w:hideMark/>
          </w:tcPr>
          <w:p w:rsidR="00C07190" w:rsidRPr="00FF5ACF" w:rsidRDefault="00C07190" w:rsidP="008F4251">
            <w:pPr>
              <w:jc w:val="right"/>
              <w:rPr>
                <w:rFonts w:eastAsia="Times New Roman" w:cs="Arial"/>
                <w:color w:val="000000"/>
                <w:szCs w:val="20"/>
                <w:lang w:eastAsia="pt-BR"/>
              </w:rPr>
            </w:pPr>
            <w:r w:rsidRPr="00B56A80">
              <w:rPr>
                <w:rFonts w:eastAsia="Times New Roman" w:cs="Arial"/>
                <w:color w:val="000000"/>
                <w:szCs w:val="20"/>
                <w:lang w:eastAsia="pt-BR"/>
              </w:rPr>
              <w:t>135</w:t>
            </w:r>
            <w:r>
              <w:rPr>
                <w:rFonts w:eastAsia="Times New Roman" w:cs="Arial"/>
                <w:color w:val="000000"/>
                <w:szCs w:val="20"/>
                <w:lang w:eastAsia="pt-BR"/>
              </w:rPr>
              <w:t>.</w:t>
            </w:r>
            <w:r w:rsidRPr="00B56A80">
              <w:rPr>
                <w:rFonts w:eastAsia="Times New Roman" w:cs="Arial"/>
                <w:color w:val="000000"/>
                <w:szCs w:val="20"/>
                <w:lang w:eastAsia="pt-BR"/>
              </w:rPr>
              <w:t>692</w:t>
            </w:r>
            <w:r>
              <w:rPr>
                <w:rFonts w:eastAsia="Times New Roman" w:cs="Arial"/>
                <w:color w:val="000000"/>
                <w:szCs w:val="20"/>
                <w:lang w:eastAsia="pt-BR"/>
              </w:rPr>
              <w:t>.</w:t>
            </w:r>
            <w:r w:rsidRPr="00B56A80">
              <w:rPr>
                <w:rFonts w:eastAsia="Times New Roman" w:cs="Arial"/>
                <w:color w:val="000000"/>
                <w:szCs w:val="20"/>
                <w:lang w:eastAsia="pt-BR"/>
              </w:rPr>
              <w:t>910,99</w:t>
            </w:r>
          </w:p>
        </w:tc>
        <w:tc>
          <w:tcPr>
            <w:tcW w:w="3320" w:type="dxa"/>
            <w:tcBorders>
              <w:top w:val="nil"/>
              <w:left w:val="nil"/>
              <w:bottom w:val="nil"/>
              <w:right w:val="nil"/>
            </w:tcBorders>
            <w:shd w:val="clear" w:color="auto" w:fill="auto"/>
            <w:noWrap/>
            <w:vAlign w:val="bottom"/>
            <w:hideMark/>
          </w:tcPr>
          <w:p w:rsidR="00C07190" w:rsidRPr="00FF5ACF" w:rsidRDefault="00C07190" w:rsidP="008F4251">
            <w:pPr>
              <w:jc w:val="right"/>
              <w:rPr>
                <w:rFonts w:eastAsia="Times New Roman" w:cs="Arial"/>
                <w:color w:val="000000"/>
                <w:szCs w:val="20"/>
                <w:lang w:eastAsia="pt-BR"/>
              </w:rPr>
            </w:pPr>
            <w:r>
              <w:rPr>
                <w:rFonts w:eastAsia="Times New Roman" w:cs="Arial"/>
                <w:color w:val="000000"/>
                <w:szCs w:val="20"/>
                <w:lang w:eastAsia="pt-BR"/>
              </w:rPr>
              <w:t>62,55</w:t>
            </w:r>
          </w:p>
        </w:tc>
      </w:tr>
      <w:tr w:rsidR="00C07190" w:rsidRPr="00FF5ACF" w:rsidTr="008F4251">
        <w:trPr>
          <w:trHeight w:val="287"/>
        </w:trPr>
        <w:tc>
          <w:tcPr>
            <w:tcW w:w="3733" w:type="dxa"/>
            <w:tcBorders>
              <w:top w:val="nil"/>
              <w:left w:val="nil"/>
              <w:bottom w:val="nil"/>
              <w:right w:val="nil"/>
            </w:tcBorders>
            <w:shd w:val="clear" w:color="auto" w:fill="D9D9D9" w:themeFill="background1" w:themeFillShade="D9"/>
            <w:vAlign w:val="bottom"/>
          </w:tcPr>
          <w:p w:rsidR="00C07190" w:rsidRDefault="00C07190" w:rsidP="008F4251">
            <w:pPr>
              <w:jc w:val="left"/>
              <w:rPr>
                <w:rFonts w:eastAsia="Times New Roman" w:cs="Arial"/>
                <w:color w:val="000000"/>
                <w:szCs w:val="20"/>
                <w:lang w:eastAsia="pt-BR"/>
              </w:rPr>
            </w:pPr>
            <w:r>
              <w:rPr>
                <w:rFonts w:eastAsia="Times New Roman" w:cs="Arial"/>
                <w:color w:val="000000"/>
                <w:szCs w:val="20"/>
                <w:lang w:eastAsia="pt-BR"/>
              </w:rPr>
              <w:t>comprovado</w:t>
            </w:r>
          </w:p>
        </w:tc>
        <w:tc>
          <w:tcPr>
            <w:tcW w:w="2161" w:type="dxa"/>
            <w:tcBorders>
              <w:top w:val="nil"/>
              <w:left w:val="nil"/>
              <w:bottom w:val="nil"/>
              <w:right w:val="nil"/>
            </w:tcBorders>
            <w:shd w:val="clear" w:color="auto" w:fill="D9D9D9" w:themeFill="background1" w:themeFillShade="D9"/>
            <w:noWrap/>
            <w:vAlign w:val="bottom"/>
          </w:tcPr>
          <w:p w:rsidR="00C07190" w:rsidRPr="00EE0B93" w:rsidRDefault="00C07190" w:rsidP="008F4251">
            <w:pPr>
              <w:jc w:val="right"/>
              <w:rPr>
                <w:rFonts w:eastAsia="Times New Roman" w:cs="Arial"/>
                <w:color w:val="000000"/>
                <w:szCs w:val="20"/>
                <w:lang w:eastAsia="pt-BR"/>
              </w:rPr>
            </w:pPr>
            <w:r w:rsidRPr="00B56A80">
              <w:rPr>
                <w:rFonts w:eastAsia="Times New Roman" w:cs="Arial"/>
                <w:color w:val="000000"/>
                <w:szCs w:val="20"/>
                <w:lang w:eastAsia="pt-BR"/>
              </w:rPr>
              <w:t>21</w:t>
            </w:r>
            <w:r>
              <w:rPr>
                <w:rFonts w:eastAsia="Times New Roman" w:cs="Arial"/>
                <w:color w:val="000000"/>
                <w:szCs w:val="20"/>
                <w:lang w:eastAsia="pt-BR"/>
              </w:rPr>
              <w:t>.</w:t>
            </w:r>
            <w:r w:rsidRPr="00B56A80">
              <w:rPr>
                <w:rFonts w:eastAsia="Times New Roman" w:cs="Arial"/>
                <w:color w:val="000000"/>
                <w:szCs w:val="20"/>
                <w:lang w:eastAsia="pt-BR"/>
              </w:rPr>
              <w:t>783</w:t>
            </w:r>
            <w:r>
              <w:rPr>
                <w:rFonts w:eastAsia="Times New Roman" w:cs="Arial"/>
                <w:color w:val="000000"/>
                <w:szCs w:val="20"/>
                <w:lang w:eastAsia="pt-BR"/>
              </w:rPr>
              <w:t>.</w:t>
            </w:r>
            <w:r w:rsidRPr="00B56A80">
              <w:rPr>
                <w:rFonts w:eastAsia="Times New Roman" w:cs="Arial"/>
                <w:color w:val="000000"/>
                <w:szCs w:val="20"/>
                <w:lang w:eastAsia="pt-BR"/>
              </w:rPr>
              <w:t>017,14</w:t>
            </w:r>
          </w:p>
        </w:tc>
        <w:tc>
          <w:tcPr>
            <w:tcW w:w="3320" w:type="dxa"/>
            <w:tcBorders>
              <w:top w:val="nil"/>
              <w:left w:val="nil"/>
              <w:bottom w:val="nil"/>
              <w:right w:val="nil"/>
            </w:tcBorders>
            <w:shd w:val="clear" w:color="auto" w:fill="D9D9D9" w:themeFill="background1" w:themeFillShade="D9"/>
            <w:noWrap/>
            <w:vAlign w:val="bottom"/>
          </w:tcPr>
          <w:p w:rsidR="00C07190" w:rsidRDefault="00C07190" w:rsidP="008F4251">
            <w:pPr>
              <w:jc w:val="right"/>
              <w:rPr>
                <w:rFonts w:eastAsia="Times New Roman" w:cs="Arial"/>
                <w:color w:val="000000"/>
                <w:szCs w:val="20"/>
                <w:lang w:eastAsia="pt-BR"/>
              </w:rPr>
            </w:pPr>
            <w:r>
              <w:rPr>
                <w:rFonts w:eastAsia="Times New Roman" w:cs="Arial"/>
                <w:color w:val="000000"/>
                <w:szCs w:val="20"/>
                <w:lang w:eastAsia="pt-BR"/>
              </w:rPr>
              <w:t>10,04</w:t>
            </w:r>
          </w:p>
        </w:tc>
      </w:tr>
      <w:tr w:rsidR="00C07190" w:rsidRPr="00100C94" w:rsidTr="008F4251">
        <w:trPr>
          <w:trHeight w:val="287"/>
        </w:trPr>
        <w:tc>
          <w:tcPr>
            <w:tcW w:w="3733" w:type="dxa"/>
            <w:tcBorders>
              <w:top w:val="nil"/>
              <w:left w:val="nil"/>
              <w:bottom w:val="nil"/>
              <w:right w:val="nil"/>
            </w:tcBorders>
            <w:shd w:val="clear" w:color="auto" w:fill="auto"/>
            <w:vAlign w:val="bottom"/>
          </w:tcPr>
          <w:p w:rsidR="00C07190" w:rsidRPr="00100C94" w:rsidRDefault="00C07190" w:rsidP="008F4251">
            <w:pPr>
              <w:jc w:val="left"/>
              <w:rPr>
                <w:rFonts w:eastAsia="Times New Roman" w:cs="Arial"/>
                <w:b/>
                <w:color w:val="000000"/>
                <w:szCs w:val="20"/>
                <w:lang w:eastAsia="pt-BR"/>
              </w:rPr>
            </w:pPr>
            <w:r w:rsidRPr="00100C94">
              <w:rPr>
                <w:rFonts w:eastAsia="Times New Roman" w:cs="Arial"/>
                <w:b/>
                <w:color w:val="000000"/>
                <w:szCs w:val="20"/>
                <w:lang w:eastAsia="pt-BR"/>
              </w:rPr>
              <w:t>TOTAL</w:t>
            </w:r>
          </w:p>
        </w:tc>
        <w:tc>
          <w:tcPr>
            <w:tcW w:w="2161" w:type="dxa"/>
            <w:tcBorders>
              <w:top w:val="nil"/>
              <w:left w:val="nil"/>
              <w:bottom w:val="nil"/>
              <w:right w:val="nil"/>
            </w:tcBorders>
            <w:shd w:val="clear" w:color="auto" w:fill="auto"/>
            <w:noWrap/>
            <w:vAlign w:val="bottom"/>
          </w:tcPr>
          <w:p w:rsidR="00C07190" w:rsidRPr="00100C94" w:rsidRDefault="00C07190" w:rsidP="008F4251">
            <w:pPr>
              <w:jc w:val="right"/>
              <w:rPr>
                <w:rFonts w:eastAsia="Times New Roman" w:cs="Arial"/>
                <w:b/>
                <w:color w:val="000000"/>
                <w:szCs w:val="20"/>
                <w:lang w:eastAsia="pt-BR"/>
              </w:rPr>
            </w:pPr>
            <w:r w:rsidRPr="00B56A80">
              <w:rPr>
                <w:rFonts w:eastAsia="Times New Roman" w:cs="Arial"/>
                <w:b/>
                <w:color w:val="000000"/>
                <w:szCs w:val="20"/>
                <w:lang w:eastAsia="pt-BR"/>
              </w:rPr>
              <w:t>216</w:t>
            </w:r>
            <w:r>
              <w:rPr>
                <w:rFonts w:eastAsia="Times New Roman" w:cs="Arial"/>
                <w:b/>
                <w:color w:val="000000"/>
                <w:szCs w:val="20"/>
                <w:lang w:eastAsia="pt-BR"/>
              </w:rPr>
              <w:t>.</w:t>
            </w:r>
            <w:r w:rsidRPr="00B56A80">
              <w:rPr>
                <w:rFonts w:eastAsia="Times New Roman" w:cs="Arial"/>
                <w:b/>
                <w:color w:val="000000"/>
                <w:szCs w:val="20"/>
                <w:lang w:eastAsia="pt-BR"/>
              </w:rPr>
              <w:t>939</w:t>
            </w:r>
            <w:r>
              <w:rPr>
                <w:rFonts w:eastAsia="Times New Roman" w:cs="Arial"/>
                <w:b/>
                <w:color w:val="000000"/>
                <w:szCs w:val="20"/>
                <w:lang w:eastAsia="pt-BR"/>
              </w:rPr>
              <w:t>.</w:t>
            </w:r>
            <w:r w:rsidRPr="00B56A80">
              <w:rPr>
                <w:rFonts w:eastAsia="Times New Roman" w:cs="Arial"/>
                <w:b/>
                <w:color w:val="000000"/>
                <w:szCs w:val="20"/>
                <w:lang w:eastAsia="pt-BR"/>
              </w:rPr>
              <w:t>996,13</w:t>
            </w:r>
          </w:p>
        </w:tc>
        <w:tc>
          <w:tcPr>
            <w:tcW w:w="3320" w:type="dxa"/>
            <w:tcBorders>
              <w:top w:val="nil"/>
              <w:left w:val="nil"/>
              <w:bottom w:val="nil"/>
              <w:right w:val="nil"/>
            </w:tcBorders>
            <w:shd w:val="clear" w:color="auto" w:fill="auto"/>
            <w:noWrap/>
            <w:vAlign w:val="bottom"/>
          </w:tcPr>
          <w:p w:rsidR="00C07190" w:rsidRPr="00100C94" w:rsidRDefault="00C07190" w:rsidP="008F4251">
            <w:pPr>
              <w:jc w:val="right"/>
              <w:rPr>
                <w:rFonts w:eastAsia="Times New Roman" w:cs="Arial"/>
                <w:b/>
                <w:color w:val="000000"/>
                <w:szCs w:val="20"/>
                <w:lang w:eastAsia="pt-BR"/>
              </w:rPr>
            </w:pPr>
            <w:r w:rsidRPr="00100C94">
              <w:rPr>
                <w:rFonts w:eastAsia="Times New Roman" w:cs="Arial"/>
                <w:b/>
                <w:color w:val="000000"/>
                <w:szCs w:val="20"/>
                <w:lang w:eastAsia="pt-BR"/>
              </w:rPr>
              <w:t>100,00%</w:t>
            </w:r>
          </w:p>
        </w:tc>
      </w:tr>
    </w:tbl>
    <w:p w:rsidR="00C07190" w:rsidRPr="00892CDD" w:rsidRDefault="00C07190" w:rsidP="00C07190">
      <w:pPr>
        <w:rPr>
          <w:i/>
          <w:noProof/>
          <w:szCs w:val="20"/>
          <w:lang w:eastAsia="pt-BR"/>
        </w:rPr>
      </w:pPr>
      <w:r w:rsidRPr="00892CDD">
        <w:rPr>
          <w:i/>
          <w:noProof/>
          <w:szCs w:val="20"/>
          <w:lang w:eastAsia="pt-BR"/>
        </w:rPr>
        <w:t>Fonte: SIAFI 201</w:t>
      </w:r>
      <w:r>
        <w:rPr>
          <w:i/>
          <w:noProof/>
          <w:szCs w:val="20"/>
          <w:lang w:eastAsia="pt-BR"/>
        </w:rPr>
        <w:t>9</w:t>
      </w:r>
      <w:r w:rsidRPr="00892CDD">
        <w:rPr>
          <w:i/>
          <w:noProof/>
          <w:szCs w:val="20"/>
          <w:lang w:eastAsia="pt-BR"/>
        </w:rPr>
        <w:t>.</w:t>
      </w:r>
    </w:p>
    <w:p w:rsidR="00C07190" w:rsidRDefault="00C07190" w:rsidP="00C07190">
      <w:pPr>
        <w:spacing w:after="160" w:line="259" w:lineRule="auto"/>
        <w:jc w:val="left"/>
        <w:rPr>
          <w:rFonts w:cs="Arial"/>
          <w:b/>
          <w:sz w:val="22"/>
        </w:rPr>
      </w:pPr>
    </w:p>
    <w:p w:rsidR="00C07190" w:rsidRDefault="00C07190" w:rsidP="00C07190">
      <w:pPr>
        <w:rPr>
          <w:rFonts w:cs="Arial"/>
          <w:b/>
          <w:sz w:val="22"/>
        </w:rPr>
      </w:pPr>
      <w:r>
        <w:rPr>
          <w:rFonts w:cs="Arial"/>
          <w:b/>
          <w:sz w:val="22"/>
        </w:rPr>
        <w:t>6.4 Créditos à Receber – Curto Prazo CP e Longo Prazo LP</w:t>
      </w:r>
    </w:p>
    <w:p w:rsidR="00C07190" w:rsidRDefault="00C07190" w:rsidP="00C07190">
      <w:pPr>
        <w:rPr>
          <w:rFonts w:cs="Arial"/>
          <w:b/>
          <w:sz w:val="22"/>
        </w:rPr>
      </w:pPr>
    </w:p>
    <w:p w:rsidR="00C07190" w:rsidRDefault="00C07190" w:rsidP="00C07190">
      <w:pPr>
        <w:rPr>
          <w:rFonts w:cs="Arial"/>
          <w:sz w:val="22"/>
        </w:rPr>
      </w:pPr>
      <w:r w:rsidRPr="007E5D8D">
        <w:rPr>
          <w:rFonts w:cs="Arial"/>
          <w:sz w:val="22"/>
        </w:rPr>
        <w:t>Contas que controlam por devedor, os saldos explicados na Nota 2.</w:t>
      </w:r>
      <w:r>
        <w:rPr>
          <w:rFonts w:cs="Arial"/>
          <w:sz w:val="22"/>
        </w:rPr>
        <w:t xml:space="preserve"> No ano de 2019, as inscrições em dívida ativa totalizaram R$ </w:t>
      </w:r>
      <w:r w:rsidRPr="00656F90">
        <w:rPr>
          <w:rFonts w:cs="Arial"/>
          <w:sz w:val="22"/>
        </w:rPr>
        <w:t>1</w:t>
      </w:r>
      <w:r>
        <w:rPr>
          <w:rFonts w:cs="Arial"/>
          <w:sz w:val="22"/>
        </w:rPr>
        <w:t>11.547.857</w:t>
      </w:r>
      <w:r w:rsidRPr="00656F90">
        <w:rPr>
          <w:rFonts w:cs="Arial"/>
          <w:sz w:val="22"/>
        </w:rPr>
        <w:t>,</w:t>
      </w:r>
      <w:r>
        <w:rPr>
          <w:rFonts w:cs="Arial"/>
          <w:sz w:val="22"/>
        </w:rPr>
        <w:t>01. O total da Dívida em 31/12/2019 supera os 1,86 bilhão.</w:t>
      </w:r>
    </w:p>
    <w:p w:rsidR="00C07190" w:rsidRDefault="00C07190" w:rsidP="00C07190">
      <w:pPr>
        <w:rPr>
          <w:rFonts w:cs="Arial"/>
          <w:sz w:val="22"/>
        </w:rPr>
      </w:pPr>
    </w:p>
    <w:p w:rsidR="00C07190" w:rsidRDefault="00C07190" w:rsidP="00C07190">
      <w:pPr>
        <w:rPr>
          <w:rFonts w:cs="Arial"/>
          <w:b/>
          <w:sz w:val="22"/>
        </w:rPr>
      </w:pPr>
      <w:r w:rsidRPr="00FB1F06">
        <w:rPr>
          <w:rFonts w:cs="Arial"/>
          <w:b/>
          <w:sz w:val="22"/>
        </w:rPr>
        <w:t>Tabela</w:t>
      </w:r>
      <w:r>
        <w:rPr>
          <w:rFonts w:cs="Arial"/>
          <w:b/>
          <w:sz w:val="22"/>
        </w:rPr>
        <w:t xml:space="preserve"> 23</w:t>
      </w:r>
      <w:r w:rsidRPr="00FB1F06">
        <w:rPr>
          <w:rFonts w:cs="Arial"/>
          <w:b/>
          <w:sz w:val="22"/>
        </w:rPr>
        <w:t xml:space="preserve"> - Maiores devedores da Dívida Ativa</w:t>
      </w:r>
      <w:r>
        <w:rPr>
          <w:rFonts w:cs="Arial"/>
          <w:b/>
          <w:sz w:val="22"/>
        </w:rPr>
        <w:t xml:space="preserve"> </w:t>
      </w:r>
    </w:p>
    <w:p w:rsidR="00C07190" w:rsidRDefault="00C07190" w:rsidP="00C07190">
      <w:pPr>
        <w:jc w:val="right"/>
        <w:rPr>
          <w:rFonts w:cs="Arial"/>
          <w:b/>
          <w:sz w:val="22"/>
        </w:rPr>
      </w:pPr>
      <w:r>
        <w:rPr>
          <w:rFonts w:cs="Arial"/>
          <w:szCs w:val="20"/>
        </w:rPr>
        <w:t>R$</w:t>
      </w:r>
    </w:p>
    <w:tbl>
      <w:tblPr>
        <w:tblW w:w="9253" w:type="dxa"/>
        <w:tblCellMar>
          <w:left w:w="70" w:type="dxa"/>
          <w:right w:w="70" w:type="dxa"/>
        </w:tblCellMar>
        <w:tblLook w:val="04A0" w:firstRow="1" w:lastRow="0" w:firstColumn="1" w:lastColumn="0" w:noHBand="0" w:noVBand="1"/>
      </w:tblPr>
      <w:tblGrid>
        <w:gridCol w:w="2298"/>
        <w:gridCol w:w="3733"/>
        <w:gridCol w:w="2161"/>
        <w:gridCol w:w="1061"/>
      </w:tblGrid>
      <w:tr w:rsidR="00C07190" w:rsidRPr="00FF5ACF" w:rsidTr="008F4251">
        <w:trPr>
          <w:trHeight w:val="255"/>
        </w:trPr>
        <w:tc>
          <w:tcPr>
            <w:tcW w:w="2298" w:type="dxa"/>
            <w:tcBorders>
              <w:top w:val="single" w:sz="4" w:space="0" w:color="000000"/>
              <w:left w:val="nil"/>
              <w:bottom w:val="single" w:sz="4" w:space="0" w:color="000000"/>
              <w:right w:val="nil"/>
            </w:tcBorders>
            <w:shd w:val="clear" w:color="auto" w:fill="auto"/>
            <w:noWrap/>
            <w:vAlign w:val="bottom"/>
          </w:tcPr>
          <w:p w:rsidR="00C07190" w:rsidRPr="00FF5ACF" w:rsidRDefault="00C07190" w:rsidP="008F4251">
            <w:pPr>
              <w:jc w:val="left"/>
              <w:rPr>
                <w:rFonts w:eastAsia="Times New Roman" w:cs="Arial"/>
                <w:b/>
                <w:bCs/>
                <w:szCs w:val="20"/>
                <w:lang w:eastAsia="pt-BR"/>
              </w:rPr>
            </w:pPr>
            <w:r>
              <w:rPr>
                <w:rFonts w:eastAsia="Times New Roman" w:cs="Arial"/>
                <w:b/>
                <w:bCs/>
                <w:szCs w:val="20"/>
                <w:lang w:eastAsia="pt-BR"/>
              </w:rPr>
              <w:t>CNPJ</w:t>
            </w:r>
          </w:p>
        </w:tc>
        <w:tc>
          <w:tcPr>
            <w:tcW w:w="3733" w:type="dxa"/>
            <w:tcBorders>
              <w:top w:val="single" w:sz="4" w:space="0" w:color="000000"/>
              <w:left w:val="nil"/>
              <w:bottom w:val="single" w:sz="4" w:space="0" w:color="000000"/>
              <w:right w:val="nil"/>
            </w:tcBorders>
            <w:shd w:val="clear" w:color="auto" w:fill="auto"/>
            <w:noWrap/>
            <w:vAlign w:val="bottom"/>
          </w:tcPr>
          <w:p w:rsidR="00C07190" w:rsidRPr="00FF5ACF" w:rsidRDefault="00C07190" w:rsidP="008F4251">
            <w:pPr>
              <w:jc w:val="left"/>
              <w:rPr>
                <w:rFonts w:eastAsia="Times New Roman" w:cs="Arial"/>
                <w:b/>
                <w:bCs/>
                <w:szCs w:val="20"/>
                <w:lang w:eastAsia="pt-BR"/>
              </w:rPr>
            </w:pPr>
            <w:r>
              <w:rPr>
                <w:rFonts w:eastAsia="Times New Roman" w:cs="Arial"/>
                <w:b/>
                <w:bCs/>
                <w:szCs w:val="20"/>
                <w:lang w:eastAsia="pt-BR"/>
              </w:rPr>
              <w:t>EMPRESA</w:t>
            </w:r>
          </w:p>
        </w:tc>
        <w:tc>
          <w:tcPr>
            <w:tcW w:w="2161" w:type="dxa"/>
            <w:tcBorders>
              <w:top w:val="single" w:sz="4" w:space="0" w:color="000000"/>
              <w:left w:val="nil"/>
              <w:bottom w:val="single" w:sz="4" w:space="0" w:color="000000"/>
              <w:right w:val="nil"/>
            </w:tcBorders>
            <w:shd w:val="clear" w:color="auto" w:fill="auto"/>
            <w:noWrap/>
            <w:vAlign w:val="bottom"/>
            <w:hideMark/>
          </w:tcPr>
          <w:p w:rsidR="00C07190" w:rsidRPr="00FF5ACF" w:rsidRDefault="00C07190" w:rsidP="008F4251">
            <w:pPr>
              <w:jc w:val="right"/>
              <w:rPr>
                <w:rFonts w:eastAsia="Times New Roman" w:cs="Arial"/>
                <w:b/>
                <w:bCs/>
                <w:color w:val="000000"/>
                <w:szCs w:val="20"/>
                <w:lang w:eastAsia="pt-BR"/>
              </w:rPr>
            </w:pPr>
            <w:r w:rsidRPr="00FF5ACF">
              <w:rPr>
                <w:rFonts w:eastAsia="Times New Roman" w:cs="Arial"/>
                <w:b/>
                <w:bCs/>
                <w:color w:val="000000"/>
                <w:szCs w:val="20"/>
                <w:lang w:eastAsia="pt-BR"/>
              </w:rPr>
              <w:t>3</w:t>
            </w:r>
            <w:r>
              <w:rPr>
                <w:rFonts w:eastAsia="Times New Roman" w:cs="Arial"/>
                <w:b/>
                <w:bCs/>
                <w:color w:val="000000"/>
                <w:szCs w:val="20"/>
                <w:lang w:eastAsia="pt-BR"/>
              </w:rPr>
              <w:t>1</w:t>
            </w:r>
            <w:r w:rsidRPr="00FF5ACF">
              <w:rPr>
                <w:rFonts w:eastAsia="Times New Roman" w:cs="Arial"/>
                <w:b/>
                <w:bCs/>
                <w:color w:val="000000"/>
                <w:szCs w:val="20"/>
                <w:lang w:eastAsia="pt-BR"/>
              </w:rPr>
              <w:t>/</w:t>
            </w:r>
            <w:r>
              <w:rPr>
                <w:rFonts w:eastAsia="Times New Roman" w:cs="Arial"/>
                <w:b/>
                <w:bCs/>
                <w:color w:val="000000"/>
                <w:szCs w:val="20"/>
                <w:lang w:eastAsia="pt-BR"/>
              </w:rPr>
              <w:t>12/2019</w:t>
            </w:r>
          </w:p>
        </w:tc>
        <w:tc>
          <w:tcPr>
            <w:tcW w:w="1061" w:type="dxa"/>
            <w:tcBorders>
              <w:top w:val="single" w:sz="4" w:space="0" w:color="000000"/>
              <w:left w:val="nil"/>
              <w:bottom w:val="single" w:sz="4" w:space="0" w:color="000000"/>
              <w:right w:val="nil"/>
            </w:tcBorders>
            <w:shd w:val="clear" w:color="auto" w:fill="auto"/>
            <w:noWrap/>
            <w:vAlign w:val="bottom"/>
            <w:hideMark/>
          </w:tcPr>
          <w:p w:rsidR="00C07190" w:rsidRPr="00FF5ACF" w:rsidRDefault="00C07190" w:rsidP="008F4251">
            <w:pPr>
              <w:jc w:val="right"/>
              <w:rPr>
                <w:rFonts w:eastAsia="Times New Roman" w:cs="Arial"/>
                <w:b/>
                <w:bCs/>
                <w:color w:val="000000"/>
                <w:szCs w:val="20"/>
                <w:lang w:eastAsia="pt-BR"/>
              </w:rPr>
            </w:pPr>
            <w:r w:rsidRPr="00FF5ACF">
              <w:rPr>
                <w:rFonts w:eastAsia="Times New Roman" w:cs="Arial"/>
                <w:b/>
                <w:bCs/>
                <w:color w:val="000000"/>
                <w:szCs w:val="20"/>
                <w:lang w:eastAsia="pt-BR"/>
              </w:rPr>
              <w:t>AV (%)</w:t>
            </w:r>
          </w:p>
        </w:tc>
      </w:tr>
      <w:tr w:rsidR="00C07190" w:rsidRPr="00FF5ACF" w:rsidTr="008F4251">
        <w:trPr>
          <w:trHeight w:val="283"/>
        </w:trPr>
        <w:tc>
          <w:tcPr>
            <w:tcW w:w="2298" w:type="dxa"/>
            <w:tcBorders>
              <w:top w:val="nil"/>
              <w:left w:val="nil"/>
              <w:bottom w:val="nil"/>
              <w:right w:val="nil"/>
            </w:tcBorders>
            <w:shd w:val="clear" w:color="auto" w:fill="D9D9D9" w:themeFill="background1" w:themeFillShade="D9"/>
            <w:noWrap/>
            <w:vAlign w:val="bottom"/>
            <w:hideMark/>
          </w:tcPr>
          <w:p w:rsidR="00C07190" w:rsidRPr="00FF5ACF" w:rsidRDefault="00C07190" w:rsidP="008F4251">
            <w:pPr>
              <w:jc w:val="left"/>
              <w:rPr>
                <w:rFonts w:eastAsia="Times New Roman" w:cs="Arial"/>
                <w:color w:val="000000"/>
                <w:szCs w:val="20"/>
                <w:lang w:eastAsia="pt-BR"/>
              </w:rPr>
            </w:pPr>
            <w:r w:rsidRPr="00F25544">
              <w:rPr>
                <w:rFonts w:eastAsia="Times New Roman" w:cs="Arial"/>
                <w:color w:val="000000"/>
                <w:szCs w:val="20"/>
                <w:lang w:eastAsia="pt-BR"/>
              </w:rPr>
              <w:t>33000167000101</w:t>
            </w:r>
          </w:p>
        </w:tc>
        <w:tc>
          <w:tcPr>
            <w:tcW w:w="3733" w:type="dxa"/>
            <w:tcBorders>
              <w:top w:val="nil"/>
              <w:left w:val="nil"/>
              <w:bottom w:val="nil"/>
              <w:right w:val="nil"/>
            </w:tcBorders>
            <w:shd w:val="clear" w:color="auto" w:fill="D9D9D9" w:themeFill="background1" w:themeFillShade="D9"/>
            <w:vAlign w:val="bottom"/>
            <w:hideMark/>
          </w:tcPr>
          <w:p w:rsidR="00C07190" w:rsidRPr="00FF5ACF" w:rsidRDefault="00C07190" w:rsidP="008F4251">
            <w:pPr>
              <w:jc w:val="left"/>
              <w:rPr>
                <w:rFonts w:eastAsia="Times New Roman" w:cs="Arial"/>
                <w:color w:val="000000"/>
                <w:szCs w:val="20"/>
                <w:lang w:eastAsia="pt-BR"/>
              </w:rPr>
            </w:pPr>
            <w:r w:rsidRPr="005335EC">
              <w:rPr>
                <w:rFonts w:eastAsia="Times New Roman" w:cs="Arial"/>
                <w:color w:val="000000"/>
                <w:szCs w:val="20"/>
                <w:lang w:eastAsia="pt-BR"/>
              </w:rPr>
              <w:t>Petr</w:t>
            </w:r>
            <w:r>
              <w:rPr>
                <w:rFonts w:eastAsia="Times New Roman" w:cs="Arial"/>
                <w:color w:val="000000"/>
                <w:szCs w:val="20"/>
                <w:lang w:eastAsia="pt-BR"/>
              </w:rPr>
              <w:t>ó</w:t>
            </w:r>
            <w:r w:rsidRPr="005335EC">
              <w:rPr>
                <w:rFonts w:eastAsia="Times New Roman" w:cs="Arial"/>
                <w:color w:val="000000"/>
                <w:szCs w:val="20"/>
                <w:lang w:eastAsia="pt-BR"/>
              </w:rPr>
              <w:t>leo Brasileiro S A PETROBRAS</w:t>
            </w:r>
          </w:p>
        </w:tc>
        <w:tc>
          <w:tcPr>
            <w:tcW w:w="2161" w:type="dxa"/>
            <w:tcBorders>
              <w:top w:val="nil"/>
              <w:left w:val="nil"/>
              <w:bottom w:val="nil"/>
              <w:right w:val="nil"/>
            </w:tcBorders>
            <w:shd w:val="clear" w:color="auto" w:fill="D9D9D9" w:themeFill="background1" w:themeFillShade="D9"/>
            <w:noWrap/>
            <w:vAlign w:val="bottom"/>
            <w:hideMark/>
          </w:tcPr>
          <w:p w:rsidR="00C07190" w:rsidRPr="00FF5ACF" w:rsidRDefault="00C07190" w:rsidP="008F4251">
            <w:pPr>
              <w:jc w:val="right"/>
              <w:rPr>
                <w:rFonts w:eastAsia="Times New Roman" w:cs="Arial"/>
                <w:color w:val="000000"/>
                <w:szCs w:val="20"/>
                <w:lang w:eastAsia="pt-BR"/>
              </w:rPr>
            </w:pPr>
            <w:r w:rsidRPr="00FB1F06">
              <w:rPr>
                <w:rFonts w:eastAsia="Times New Roman" w:cs="Arial"/>
                <w:color w:val="000000"/>
                <w:szCs w:val="20"/>
                <w:lang w:eastAsia="pt-BR"/>
              </w:rPr>
              <w:t>594</w:t>
            </w:r>
            <w:r>
              <w:rPr>
                <w:rFonts w:eastAsia="Times New Roman" w:cs="Arial"/>
                <w:color w:val="000000"/>
                <w:szCs w:val="20"/>
                <w:lang w:eastAsia="pt-BR"/>
              </w:rPr>
              <w:t>.</w:t>
            </w:r>
            <w:r w:rsidRPr="00FB1F06">
              <w:rPr>
                <w:rFonts w:eastAsia="Times New Roman" w:cs="Arial"/>
                <w:color w:val="000000"/>
                <w:szCs w:val="20"/>
                <w:lang w:eastAsia="pt-BR"/>
              </w:rPr>
              <w:t>908</w:t>
            </w:r>
            <w:r>
              <w:rPr>
                <w:rFonts w:eastAsia="Times New Roman" w:cs="Arial"/>
                <w:color w:val="000000"/>
                <w:szCs w:val="20"/>
                <w:lang w:eastAsia="pt-BR"/>
              </w:rPr>
              <w:t>.</w:t>
            </w:r>
            <w:r w:rsidRPr="00FB1F06">
              <w:rPr>
                <w:rFonts w:eastAsia="Times New Roman" w:cs="Arial"/>
                <w:color w:val="000000"/>
                <w:szCs w:val="20"/>
                <w:lang w:eastAsia="pt-BR"/>
              </w:rPr>
              <w:t>709,57</w:t>
            </w:r>
          </w:p>
        </w:tc>
        <w:tc>
          <w:tcPr>
            <w:tcW w:w="1061" w:type="dxa"/>
            <w:tcBorders>
              <w:top w:val="nil"/>
              <w:left w:val="nil"/>
              <w:bottom w:val="nil"/>
              <w:right w:val="nil"/>
            </w:tcBorders>
            <w:shd w:val="clear" w:color="auto" w:fill="D9D9D9" w:themeFill="background1" w:themeFillShade="D9"/>
            <w:noWrap/>
            <w:vAlign w:val="bottom"/>
            <w:hideMark/>
          </w:tcPr>
          <w:p w:rsidR="00C07190" w:rsidRPr="00FF5ACF" w:rsidRDefault="00C07190" w:rsidP="008F4251">
            <w:pPr>
              <w:jc w:val="right"/>
              <w:rPr>
                <w:rFonts w:eastAsia="Times New Roman" w:cs="Arial"/>
                <w:color w:val="000000"/>
                <w:szCs w:val="20"/>
                <w:lang w:eastAsia="pt-BR"/>
              </w:rPr>
            </w:pPr>
            <w:r>
              <w:rPr>
                <w:rFonts w:eastAsia="Times New Roman" w:cs="Arial"/>
                <w:color w:val="000000"/>
                <w:szCs w:val="20"/>
                <w:lang w:eastAsia="pt-BR"/>
              </w:rPr>
              <w:t>31,90</w:t>
            </w:r>
            <w:r w:rsidRPr="00FF5ACF">
              <w:rPr>
                <w:rFonts w:eastAsia="Times New Roman" w:cs="Arial"/>
                <w:color w:val="000000"/>
                <w:szCs w:val="20"/>
                <w:lang w:eastAsia="pt-BR"/>
              </w:rPr>
              <w:t>%</w:t>
            </w:r>
          </w:p>
        </w:tc>
      </w:tr>
      <w:tr w:rsidR="00C07190" w:rsidRPr="00FF5ACF" w:rsidTr="008F4251">
        <w:trPr>
          <w:trHeight w:val="283"/>
        </w:trPr>
        <w:tc>
          <w:tcPr>
            <w:tcW w:w="2298" w:type="dxa"/>
            <w:tcBorders>
              <w:top w:val="nil"/>
              <w:left w:val="nil"/>
              <w:bottom w:val="nil"/>
              <w:right w:val="nil"/>
            </w:tcBorders>
            <w:shd w:val="clear" w:color="auto" w:fill="auto"/>
            <w:noWrap/>
            <w:vAlign w:val="bottom"/>
            <w:hideMark/>
          </w:tcPr>
          <w:p w:rsidR="00C07190" w:rsidRPr="00FF5ACF" w:rsidRDefault="00C07190" w:rsidP="008F4251">
            <w:pPr>
              <w:jc w:val="left"/>
              <w:rPr>
                <w:rFonts w:eastAsia="Times New Roman" w:cs="Arial"/>
                <w:color w:val="000000"/>
                <w:szCs w:val="20"/>
                <w:lang w:eastAsia="pt-BR"/>
              </w:rPr>
            </w:pPr>
            <w:r w:rsidRPr="005335EC">
              <w:rPr>
                <w:rFonts w:eastAsia="Times New Roman" w:cs="Arial"/>
                <w:color w:val="000000"/>
                <w:szCs w:val="20"/>
                <w:lang w:eastAsia="pt-BR"/>
              </w:rPr>
              <w:t>33000167104900</w:t>
            </w:r>
          </w:p>
        </w:tc>
        <w:tc>
          <w:tcPr>
            <w:tcW w:w="3733" w:type="dxa"/>
            <w:tcBorders>
              <w:top w:val="nil"/>
              <w:left w:val="nil"/>
              <w:bottom w:val="nil"/>
              <w:right w:val="nil"/>
            </w:tcBorders>
            <w:shd w:val="clear" w:color="auto" w:fill="auto"/>
            <w:vAlign w:val="bottom"/>
            <w:hideMark/>
          </w:tcPr>
          <w:p w:rsidR="00C07190" w:rsidRPr="00FF5ACF" w:rsidRDefault="00C07190" w:rsidP="008F4251">
            <w:pPr>
              <w:jc w:val="left"/>
              <w:rPr>
                <w:rFonts w:eastAsia="Times New Roman" w:cs="Arial"/>
                <w:color w:val="000000"/>
                <w:szCs w:val="20"/>
                <w:lang w:eastAsia="pt-BR"/>
              </w:rPr>
            </w:pPr>
            <w:r w:rsidRPr="005335EC">
              <w:rPr>
                <w:rFonts w:eastAsia="Times New Roman" w:cs="Arial"/>
                <w:color w:val="000000"/>
                <w:szCs w:val="20"/>
                <w:lang w:eastAsia="pt-BR"/>
              </w:rPr>
              <w:t>Petr</w:t>
            </w:r>
            <w:r>
              <w:rPr>
                <w:rFonts w:eastAsia="Times New Roman" w:cs="Arial"/>
                <w:color w:val="000000"/>
                <w:szCs w:val="20"/>
                <w:lang w:eastAsia="pt-BR"/>
              </w:rPr>
              <w:t>ó</w:t>
            </w:r>
            <w:r w:rsidRPr="005335EC">
              <w:rPr>
                <w:rFonts w:eastAsia="Times New Roman" w:cs="Arial"/>
                <w:color w:val="000000"/>
                <w:szCs w:val="20"/>
                <w:lang w:eastAsia="pt-BR"/>
              </w:rPr>
              <w:t>leo Brasileiro S A PETROBRAS</w:t>
            </w:r>
          </w:p>
        </w:tc>
        <w:tc>
          <w:tcPr>
            <w:tcW w:w="2161" w:type="dxa"/>
            <w:tcBorders>
              <w:top w:val="nil"/>
              <w:left w:val="nil"/>
              <w:bottom w:val="nil"/>
              <w:right w:val="nil"/>
            </w:tcBorders>
            <w:shd w:val="clear" w:color="auto" w:fill="auto"/>
            <w:noWrap/>
            <w:vAlign w:val="bottom"/>
            <w:hideMark/>
          </w:tcPr>
          <w:p w:rsidR="00C07190" w:rsidRPr="00FF5ACF" w:rsidRDefault="00C07190" w:rsidP="008F4251">
            <w:pPr>
              <w:jc w:val="right"/>
              <w:rPr>
                <w:rFonts w:eastAsia="Times New Roman" w:cs="Arial"/>
                <w:color w:val="000000"/>
                <w:szCs w:val="20"/>
                <w:lang w:eastAsia="pt-BR"/>
              </w:rPr>
            </w:pPr>
            <w:r w:rsidRPr="005335EC">
              <w:rPr>
                <w:rFonts w:eastAsia="Times New Roman" w:cs="Arial"/>
                <w:color w:val="000000"/>
                <w:szCs w:val="20"/>
                <w:lang w:eastAsia="pt-BR"/>
              </w:rPr>
              <w:t>61</w:t>
            </w:r>
            <w:r>
              <w:rPr>
                <w:rFonts w:eastAsia="Times New Roman" w:cs="Arial"/>
                <w:color w:val="000000"/>
                <w:szCs w:val="20"/>
                <w:lang w:eastAsia="pt-BR"/>
              </w:rPr>
              <w:t>.</w:t>
            </w:r>
            <w:r w:rsidRPr="005335EC">
              <w:rPr>
                <w:rFonts w:eastAsia="Times New Roman" w:cs="Arial"/>
                <w:color w:val="000000"/>
                <w:szCs w:val="20"/>
                <w:lang w:eastAsia="pt-BR"/>
              </w:rPr>
              <w:t>719</w:t>
            </w:r>
            <w:r>
              <w:rPr>
                <w:rFonts w:eastAsia="Times New Roman" w:cs="Arial"/>
                <w:color w:val="000000"/>
                <w:szCs w:val="20"/>
                <w:lang w:eastAsia="pt-BR"/>
              </w:rPr>
              <w:t>.</w:t>
            </w:r>
            <w:r w:rsidRPr="005335EC">
              <w:rPr>
                <w:rFonts w:eastAsia="Times New Roman" w:cs="Arial"/>
                <w:color w:val="000000"/>
                <w:szCs w:val="20"/>
                <w:lang w:eastAsia="pt-BR"/>
              </w:rPr>
              <w:t>414,77</w:t>
            </w:r>
          </w:p>
        </w:tc>
        <w:tc>
          <w:tcPr>
            <w:tcW w:w="1061" w:type="dxa"/>
            <w:tcBorders>
              <w:top w:val="nil"/>
              <w:left w:val="nil"/>
              <w:bottom w:val="nil"/>
              <w:right w:val="nil"/>
            </w:tcBorders>
            <w:shd w:val="clear" w:color="auto" w:fill="auto"/>
            <w:noWrap/>
            <w:vAlign w:val="bottom"/>
            <w:hideMark/>
          </w:tcPr>
          <w:p w:rsidR="00C07190" w:rsidRPr="00FF5ACF" w:rsidRDefault="00C07190" w:rsidP="008F4251">
            <w:pPr>
              <w:jc w:val="right"/>
              <w:rPr>
                <w:rFonts w:eastAsia="Times New Roman" w:cs="Arial"/>
                <w:color w:val="000000"/>
                <w:szCs w:val="20"/>
                <w:lang w:eastAsia="pt-BR"/>
              </w:rPr>
            </w:pPr>
            <w:r>
              <w:rPr>
                <w:rFonts w:eastAsia="Times New Roman" w:cs="Arial"/>
                <w:color w:val="000000"/>
                <w:szCs w:val="20"/>
                <w:lang w:eastAsia="pt-BR"/>
              </w:rPr>
              <w:t>3,31</w:t>
            </w:r>
            <w:r w:rsidRPr="00FF5ACF">
              <w:rPr>
                <w:rFonts w:eastAsia="Times New Roman" w:cs="Arial"/>
                <w:color w:val="000000"/>
                <w:szCs w:val="20"/>
                <w:lang w:eastAsia="pt-BR"/>
              </w:rPr>
              <w:t>%</w:t>
            </w:r>
          </w:p>
        </w:tc>
      </w:tr>
      <w:tr w:rsidR="00C07190" w:rsidRPr="00FF5ACF" w:rsidTr="008F4251">
        <w:trPr>
          <w:trHeight w:val="287"/>
        </w:trPr>
        <w:tc>
          <w:tcPr>
            <w:tcW w:w="2298" w:type="dxa"/>
            <w:tcBorders>
              <w:top w:val="nil"/>
              <w:left w:val="nil"/>
              <w:bottom w:val="nil"/>
              <w:right w:val="nil"/>
            </w:tcBorders>
            <w:shd w:val="clear" w:color="auto" w:fill="D9D9D9" w:themeFill="background1" w:themeFillShade="D9"/>
            <w:noWrap/>
            <w:vAlign w:val="bottom"/>
          </w:tcPr>
          <w:p w:rsidR="00C07190" w:rsidRDefault="00C07190" w:rsidP="008F4251">
            <w:pPr>
              <w:jc w:val="left"/>
              <w:rPr>
                <w:rFonts w:eastAsia="Times New Roman" w:cs="Arial"/>
                <w:color w:val="000000"/>
                <w:szCs w:val="20"/>
                <w:lang w:eastAsia="pt-BR"/>
              </w:rPr>
            </w:pPr>
            <w:r w:rsidRPr="00FB1F06">
              <w:rPr>
                <w:rFonts w:eastAsia="Times New Roman" w:cs="Arial"/>
                <w:color w:val="000000"/>
                <w:szCs w:val="20"/>
                <w:lang w:eastAsia="pt-BR"/>
              </w:rPr>
              <w:t>02031413000169</w:t>
            </w:r>
          </w:p>
        </w:tc>
        <w:tc>
          <w:tcPr>
            <w:tcW w:w="3733" w:type="dxa"/>
            <w:tcBorders>
              <w:top w:val="nil"/>
              <w:left w:val="nil"/>
              <w:bottom w:val="nil"/>
              <w:right w:val="nil"/>
            </w:tcBorders>
            <w:shd w:val="clear" w:color="auto" w:fill="D9D9D9" w:themeFill="background1" w:themeFillShade="D9"/>
            <w:vAlign w:val="bottom"/>
          </w:tcPr>
          <w:p w:rsidR="00C07190" w:rsidRDefault="00C07190" w:rsidP="008F4251">
            <w:pPr>
              <w:jc w:val="left"/>
              <w:rPr>
                <w:rFonts w:eastAsia="Times New Roman" w:cs="Arial"/>
                <w:color w:val="000000"/>
                <w:szCs w:val="20"/>
                <w:lang w:eastAsia="pt-BR"/>
              </w:rPr>
            </w:pPr>
            <w:r w:rsidRPr="005335EC">
              <w:rPr>
                <w:rFonts w:eastAsia="Times New Roman" w:cs="Arial"/>
                <w:color w:val="000000"/>
                <w:szCs w:val="20"/>
                <w:lang w:eastAsia="pt-BR"/>
              </w:rPr>
              <w:t xml:space="preserve">Chevron Brasil </w:t>
            </w:r>
            <w:proofErr w:type="spellStart"/>
            <w:r w:rsidRPr="005335EC">
              <w:rPr>
                <w:rFonts w:eastAsia="Times New Roman" w:cs="Arial"/>
                <w:color w:val="000000"/>
                <w:szCs w:val="20"/>
                <w:lang w:eastAsia="pt-BR"/>
              </w:rPr>
              <w:t>Upstream</w:t>
            </w:r>
            <w:proofErr w:type="spellEnd"/>
            <w:r w:rsidRPr="005335EC">
              <w:rPr>
                <w:rFonts w:eastAsia="Times New Roman" w:cs="Arial"/>
                <w:color w:val="000000"/>
                <w:szCs w:val="20"/>
                <w:lang w:eastAsia="pt-BR"/>
              </w:rPr>
              <w:t xml:space="preserve"> Frade Ltda</w:t>
            </w:r>
          </w:p>
        </w:tc>
        <w:tc>
          <w:tcPr>
            <w:tcW w:w="2161" w:type="dxa"/>
            <w:tcBorders>
              <w:top w:val="nil"/>
              <w:left w:val="nil"/>
              <w:bottom w:val="nil"/>
              <w:right w:val="nil"/>
            </w:tcBorders>
            <w:shd w:val="clear" w:color="auto" w:fill="D9D9D9" w:themeFill="background1" w:themeFillShade="D9"/>
            <w:noWrap/>
            <w:vAlign w:val="bottom"/>
          </w:tcPr>
          <w:p w:rsidR="00C07190" w:rsidRPr="00EE0B93" w:rsidRDefault="00C07190" w:rsidP="008F4251">
            <w:pPr>
              <w:jc w:val="right"/>
              <w:rPr>
                <w:rFonts w:eastAsia="Times New Roman" w:cs="Arial"/>
                <w:color w:val="000000"/>
                <w:szCs w:val="20"/>
                <w:lang w:eastAsia="pt-BR"/>
              </w:rPr>
            </w:pPr>
            <w:r w:rsidRPr="005335EC">
              <w:rPr>
                <w:rFonts w:eastAsia="Times New Roman" w:cs="Arial"/>
                <w:color w:val="000000"/>
                <w:szCs w:val="20"/>
                <w:lang w:eastAsia="pt-BR"/>
              </w:rPr>
              <w:t>28.991.708,72</w:t>
            </w:r>
          </w:p>
        </w:tc>
        <w:tc>
          <w:tcPr>
            <w:tcW w:w="1061" w:type="dxa"/>
            <w:tcBorders>
              <w:top w:val="nil"/>
              <w:left w:val="nil"/>
              <w:bottom w:val="nil"/>
              <w:right w:val="nil"/>
            </w:tcBorders>
            <w:shd w:val="clear" w:color="auto" w:fill="D9D9D9" w:themeFill="background1" w:themeFillShade="D9"/>
            <w:noWrap/>
            <w:vAlign w:val="bottom"/>
          </w:tcPr>
          <w:p w:rsidR="00C07190" w:rsidRDefault="00C07190" w:rsidP="008F4251">
            <w:pPr>
              <w:jc w:val="right"/>
              <w:rPr>
                <w:rFonts w:eastAsia="Times New Roman" w:cs="Arial"/>
                <w:color w:val="000000"/>
                <w:szCs w:val="20"/>
                <w:lang w:eastAsia="pt-BR"/>
              </w:rPr>
            </w:pPr>
            <w:r>
              <w:rPr>
                <w:rFonts w:eastAsia="Times New Roman" w:cs="Arial"/>
                <w:color w:val="000000"/>
                <w:szCs w:val="20"/>
                <w:lang w:eastAsia="pt-BR"/>
              </w:rPr>
              <w:t>1,55%</w:t>
            </w:r>
          </w:p>
        </w:tc>
      </w:tr>
    </w:tbl>
    <w:p w:rsidR="00C07190" w:rsidRPr="00892CDD" w:rsidRDefault="00C07190" w:rsidP="00C07190">
      <w:pPr>
        <w:rPr>
          <w:i/>
          <w:noProof/>
          <w:szCs w:val="20"/>
          <w:lang w:eastAsia="pt-BR"/>
        </w:rPr>
      </w:pPr>
      <w:r w:rsidRPr="00892CDD">
        <w:rPr>
          <w:i/>
          <w:noProof/>
          <w:szCs w:val="20"/>
          <w:lang w:eastAsia="pt-BR"/>
        </w:rPr>
        <w:t>Fonte: SIAFI 201</w:t>
      </w:r>
      <w:r>
        <w:rPr>
          <w:i/>
          <w:noProof/>
          <w:szCs w:val="20"/>
          <w:lang w:eastAsia="pt-BR"/>
        </w:rPr>
        <w:t>9</w:t>
      </w:r>
      <w:r w:rsidRPr="00892CDD">
        <w:rPr>
          <w:i/>
          <w:noProof/>
          <w:szCs w:val="20"/>
          <w:lang w:eastAsia="pt-BR"/>
        </w:rPr>
        <w:t>.</w:t>
      </w:r>
    </w:p>
    <w:p w:rsidR="00C07190" w:rsidRDefault="00C07190" w:rsidP="00C07190">
      <w:pPr>
        <w:rPr>
          <w:rFonts w:cs="Arial"/>
          <w:b/>
          <w:sz w:val="22"/>
        </w:rPr>
      </w:pPr>
    </w:p>
    <w:p w:rsidR="00C07190" w:rsidRPr="00407107" w:rsidRDefault="00C07190" w:rsidP="00C07190">
      <w:pPr>
        <w:rPr>
          <w:rFonts w:cs="Arial"/>
          <w:b/>
          <w:sz w:val="22"/>
        </w:rPr>
      </w:pPr>
    </w:p>
    <w:p w:rsidR="00C07190" w:rsidRDefault="00C07190" w:rsidP="00C07190">
      <w:pPr>
        <w:rPr>
          <w:rFonts w:cs="Arial"/>
          <w:b/>
          <w:sz w:val="22"/>
        </w:rPr>
      </w:pPr>
      <w:r>
        <w:rPr>
          <w:rFonts w:cs="Arial"/>
          <w:b/>
          <w:sz w:val="22"/>
        </w:rPr>
        <w:t>6.5 Comodato de Bens</w:t>
      </w:r>
    </w:p>
    <w:p w:rsidR="00C07190" w:rsidRDefault="00C07190" w:rsidP="00C07190">
      <w:pPr>
        <w:rPr>
          <w:rFonts w:cs="Arial"/>
          <w:b/>
          <w:sz w:val="22"/>
        </w:rPr>
      </w:pPr>
    </w:p>
    <w:p w:rsidR="00C07190" w:rsidRDefault="00C07190" w:rsidP="00C07190">
      <w:pPr>
        <w:rPr>
          <w:rFonts w:cs="Arial"/>
          <w:sz w:val="22"/>
        </w:rPr>
      </w:pPr>
      <w:r w:rsidRPr="009928B1">
        <w:rPr>
          <w:rFonts w:cs="Arial"/>
          <w:sz w:val="22"/>
        </w:rPr>
        <w:t>Em 31/12/201</w:t>
      </w:r>
      <w:r>
        <w:rPr>
          <w:rFonts w:cs="Arial"/>
          <w:sz w:val="22"/>
        </w:rPr>
        <w:t>9</w:t>
      </w:r>
      <w:r w:rsidRPr="009928B1">
        <w:rPr>
          <w:rFonts w:cs="Arial"/>
          <w:sz w:val="22"/>
        </w:rPr>
        <w:t xml:space="preserve">, a ANP possuía R$ 5.232.192,13 através de comodato em imóveis e/ou parte deles cedidos e bens, </w:t>
      </w:r>
      <w:r>
        <w:rPr>
          <w:rFonts w:cs="Arial"/>
          <w:sz w:val="22"/>
        </w:rPr>
        <w:t xml:space="preserve">conforme tabelas: </w:t>
      </w:r>
    </w:p>
    <w:p w:rsidR="00C07190" w:rsidRDefault="00C07190" w:rsidP="00C07190">
      <w:pPr>
        <w:rPr>
          <w:rFonts w:cs="Arial"/>
          <w:sz w:val="22"/>
        </w:rPr>
      </w:pPr>
    </w:p>
    <w:p w:rsidR="00C07190" w:rsidRDefault="00C07190" w:rsidP="00C07190">
      <w:pPr>
        <w:rPr>
          <w:rFonts w:cs="Arial"/>
          <w:b/>
          <w:sz w:val="22"/>
        </w:rPr>
      </w:pPr>
      <w:r w:rsidRPr="00DC2695">
        <w:rPr>
          <w:rFonts w:cs="Arial"/>
          <w:b/>
          <w:sz w:val="22"/>
        </w:rPr>
        <w:t>Tabela</w:t>
      </w:r>
      <w:r>
        <w:rPr>
          <w:rFonts w:cs="Arial"/>
          <w:b/>
          <w:sz w:val="22"/>
        </w:rPr>
        <w:t xml:space="preserve"> 24</w:t>
      </w:r>
      <w:r w:rsidRPr="00DC2695">
        <w:rPr>
          <w:rFonts w:cs="Arial"/>
          <w:b/>
          <w:sz w:val="22"/>
        </w:rPr>
        <w:t xml:space="preserve"> </w:t>
      </w:r>
      <w:proofErr w:type="gramStart"/>
      <w:r w:rsidRPr="00DC2695">
        <w:rPr>
          <w:rFonts w:cs="Arial"/>
          <w:b/>
          <w:sz w:val="22"/>
        </w:rPr>
        <w:t xml:space="preserve">-  </w:t>
      </w:r>
      <w:r>
        <w:rPr>
          <w:rFonts w:cs="Arial"/>
          <w:b/>
          <w:sz w:val="22"/>
        </w:rPr>
        <w:t>Lista</w:t>
      </w:r>
      <w:proofErr w:type="gramEnd"/>
      <w:r>
        <w:rPr>
          <w:rFonts w:cs="Arial"/>
          <w:b/>
          <w:sz w:val="22"/>
        </w:rPr>
        <w:t xml:space="preserve"> de Bens M</w:t>
      </w:r>
      <w:r w:rsidRPr="00DC2695">
        <w:rPr>
          <w:rFonts w:cs="Arial"/>
          <w:b/>
          <w:sz w:val="22"/>
        </w:rPr>
        <w:t>óveis – Identificação e Localização.</w:t>
      </w:r>
    </w:p>
    <w:p w:rsidR="00C07190" w:rsidRDefault="00C07190" w:rsidP="00C07190">
      <w:pPr>
        <w:rPr>
          <w:rFonts w:cs="Arial"/>
          <w:b/>
          <w:sz w:val="22"/>
        </w:rPr>
      </w:pPr>
    </w:p>
    <w:tbl>
      <w:tblPr>
        <w:tblW w:w="9399" w:type="dxa"/>
        <w:tblInd w:w="-10" w:type="dxa"/>
        <w:tblCellMar>
          <w:left w:w="70" w:type="dxa"/>
          <w:right w:w="70" w:type="dxa"/>
        </w:tblCellMar>
        <w:tblLook w:val="04A0" w:firstRow="1" w:lastRow="0" w:firstColumn="1" w:lastColumn="0" w:noHBand="0" w:noVBand="1"/>
      </w:tblPr>
      <w:tblGrid>
        <w:gridCol w:w="1735"/>
        <w:gridCol w:w="3064"/>
        <w:gridCol w:w="2572"/>
        <w:gridCol w:w="2028"/>
      </w:tblGrid>
      <w:tr w:rsidR="00C07190" w:rsidRPr="00833F42" w:rsidTr="008F4251">
        <w:trPr>
          <w:trHeight w:val="320"/>
        </w:trPr>
        <w:tc>
          <w:tcPr>
            <w:tcW w:w="1735" w:type="dxa"/>
            <w:tcBorders>
              <w:top w:val="single" w:sz="8" w:space="0" w:color="000000"/>
              <w:left w:val="single" w:sz="8" w:space="0" w:color="000000"/>
              <w:bottom w:val="single" w:sz="8" w:space="0" w:color="000000"/>
              <w:right w:val="single" w:sz="8" w:space="0" w:color="auto"/>
            </w:tcBorders>
            <w:shd w:val="clear" w:color="auto" w:fill="auto"/>
            <w:vAlign w:val="center"/>
            <w:hideMark/>
          </w:tcPr>
          <w:p w:rsidR="00C07190" w:rsidRPr="00833F42" w:rsidRDefault="00C07190" w:rsidP="008F4251">
            <w:pPr>
              <w:jc w:val="center"/>
              <w:rPr>
                <w:rFonts w:eastAsia="Times New Roman" w:cs="Arial"/>
                <w:b/>
                <w:bCs/>
                <w:color w:val="000000"/>
                <w:szCs w:val="20"/>
                <w:lang w:eastAsia="pt-BR"/>
              </w:rPr>
            </w:pPr>
            <w:r w:rsidRPr="00833F42">
              <w:rPr>
                <w:rFonts w:eastAsia="Times New Roman" w:cs="Arial"/>
                <w:b/>
                <w:bCs/>
                <w:color w:val="000000"/>
                <w:szCs w:val="20"/>
                <w:lang w:eastAsia="pt-BR"/>
              </w:rPr>
              <w:t>Unidade Gestora</w:t>
            </w:r>
          </w:p>
        </w:tc>
        <w:tc>
          <w:tcPr>
            <w:tcW w:w="3064" w:type="dxa"/>
            <w:tcBorders>
              <w:top w:val="single" w:sz="8" w:space="0" w:color="000000"/>
              <w:left w:val="nil"/>
              <w:bottom w:val="single" w:sz="8" w:space="0" w:color="auto"/>
              <w:right w:val="single" w:sz="8" w:space="0" w:color="auto"/>
            </w:tcBorders>
            <w:shd w:val="clear" w:color="auto" w:fill="auto"/>
            <w:vAlign w:val="center"/>
            <w:hideMark/>
          </w:tcPr>
          <w:p w:rsidR="00C07190" w:rsidRPr="00833F42" w:rsidRDefault="00C07190" w:rsidP="008F4251">
            <w:pPr>
              <w:jc w:val="center"/>
              <w:rPr>
                <w:rFonts w:eastAsia="Times New Roman" w:cs="Arial"/>
                <w:b/>
                <w:bCs/>
                <w:color w:val="000000"/>
                <w:szCs w:val="20"/>
                <w:lang w:eastAsia="pt-BR"/>
              </w:rPr>
            </w:pPr>
            <w:r>
              <w:rPr>
                <w:rFonts w:eastAsia="Times New Roman" w:cs="Arial"/>
                <w:b/>
                <w:bCs/>
                <w:color w:val="000000"/>
                <w:szCs w:val="20"/>
                <w:lang w:eastAsia="pt-BR"/>
              </w:rPr>
              <w:t>Empresa</w:t>
            </w:r>
          </w:p>
        </w:tc>
        <w:tc>
          <w:tcPr>
            <w:tcW w:w="2572" w:type="dxa"/>
            <w:tcBorders>
              <w:top w:val="single" w:sz="8" w:space="0" w:color="000000"/>
              <w:left w:val="nil"/>
              <w:bottom w:val="single" w:sz="8" w:space="0" w:color="auto"/>
              <w:right w:val="single" w:sz="8" w:space="0" w:color="auto"/>
            </w:tcBorders>
            <w:shd w:val="clear" w:color="auto" w:fill="auto"/>
            <w:vAlign w:val="center"/>
            <w:hideMark/>
          </w:tcPr>
          <w:p w:rsidR="00C07190" w:rsidRPr="00833F42" w:rsidRDefault="00C07190" w:rsidP="008F4251">
            <w:pPr>
              <w:jc w:val="center"/>
              <w:rPr>
                <w:rFonts w:eastAsia="Times New Roman" w:cs="Arial"/>
                <w:b/>
                <w:bCs/>
                <w:color w:val="000000"/>
                <w:szCs w:val="20"/>
                <w:lang w:eastAsia="pt-BR"/>
              </w:rPr>
            </w:pPr>
            <w:r>
              <w:rPr>
                <w:rFonts w:eastAsia="Times New Roman" w:cs="Arial"/>
                <w:b/>
                <w:bCs/>
                <w:color w:val="000000"/>
                <w:szCs w:val="20"/>
                <w:lang w:eastAsia="pt-BR"/>
              </w:rPr>
              <w:t>BEM</w:t>
            </w:r>
          </w:p>
        </w:tc>
        <w:tc>
          <w:tcPr>
            <w:tcW w:w="2028" w:type="dxa"/>
            <w:tcBorders>
              <w:top w:val="single" w:sz="8" w:space="0" w:color="000000"/>
              <w:left w:val="nil"/>
              <w:bottom w:val="single" w:sz="8" w:space="0" w:color="auto"/>
              <w:right w:val="single" w:sz="8" w:space="0" w:color="auto"/>
            </w:tcBorders>
          </w:tcPr>
          <w:p w:rsidR="00C07190" w:rsidRDefault="00C07190" w:rsidP="008F4251">
            <w:pPr>
              <w:jc w:val="center"/>
              <w:rPr>
                <w:rFonts w:eastAsia="Times New Roman" w:cs="Arial"/>
                <w:b/>
                <w:bCs/>
                <w:color w:val="000000"/>
                <w:szCs w:val="20"/>
                <w:lang w:eastAsia="pt-BR"/>
              </w:rPr>
            </w:pPr>
            <w:r>
              <w:rPr>
                <w:rFonts w:eastAsia="Times New Roman" w:cs="Arial"/>
                <w:b/>
                <w:bCs/>
                <w:color w:val="000000"/>
                <w:szCs w:val="20"/>
                <w:lang w:eastAsia="pt-BR"/>
              </w:rPr>
              <w:t xml:space="preserve">R$ </w:t>
            </w:r>
          </w:p>
        </w:tc>
      </w:tr>
      <w:tr w:rsidR="00C07190" w:rsidRPr="00833F42" w:rsidTr="008F4251">
        <w:trPr>
          <w:trHeight w:val="533"/>
        </w:trPr>
        <w:tc>
          <w:tcPr>
            <w:tcW w:w="1735" w:type="dxa"/>
            <w:tcBorders>
              <w:top w:val="nil"/>
              <w:left w:val="single" w:sz="8" w:space="0" w:color="000000"/>
              <w:bottom w:val="single" w:sz="8" w:space="0" w:color="auto"/>
              <w:right w:val="single" w:sz="8" w:space="0" w:color="auto"/>
            </w:tcBorders>
            <w:shd w:val="clear" w:color="000000" w:fill="D9D9D9"/>
            <w:vAlign w:val="center"/>
            <w:hideMark/>
          </w:tcPr>
          <w:p w:rsidR="00C07190" w:rsidRPr="00833F42" w:rsidRDefault="00C07190" w:rsidP="008F4251">
            <w:pPr>
              <w:jc w:val="center"/>
              <w:rPr>
                <w:rFonts w:eastAsia="Times New Roman" w:cs="Arial"/>
                <w:color w:val="000000"/>
                <w:szCs w:val="20"/>
                <w:lang w:eastAsia="pt-BR"/>
              </w:rPr>
            </w:pPr>
            <w:r>
              <w:rPr>
                <w:rFonts w:eastAsia="Times New Roman" w:cs="Arial"/>
                <w:color w:val="000000"/>
                <w:szCs w:val="20"/>
                <w:lang w:eastAsia="pt-BR"/>
              </w:rPr>
              <w:t>323030 / CPT</w:t>
            </w:r>
          </w:p>
        </w:tc>
        <w:tc>
          <w:tcPr>
            <w:tcW w:w="3064" w:type="dxa"/>
            <w:tcBorders>
              <w:top w:val="nil"/>
              <w:left w:val="nil"/>
              <w:bottom w:val="single" w:sz="8" w:space="0" w:color="auto"/>
              <w:right w:val="single" w:sz="8" w:space="0" w:color="auto"/>
            </w:tcBorders>
            <w:shd w:val="clear" w:color="000000" w:fill="D9D9D9"/>
            <w:vAlign w:val="center"/>
            <w:hideMark/>
          </w:tcPr>
          <w:p w:rsidR="00C07190" w:rsidRPr="00833F42" w:rsidRDefault="00C07190" w:rsidP="008F4251">
            <w:pPr>
              <w:rPr>
                <w:rFonts w:eastAsia="Times New Roman" w:cs="Arial"/>
                <w:color w:val="000000"/>
                <w:szCs w:val="20"/>
                <w:lang w:eastAsia="pt-BR"/>
              </w:rPr>
            </w:pPr>
            <w:proofErr w:type="spellStart"/>
            <w:r>
              <w:rPr>
                <w:rFonts w:eastAsia="Times New Roman" w:cs="Arial"/>
                <w:color w:val="000000"/>
                <w:szCs w:val="20"/>
                <w:lang w:eastAsia="pt-BR"/>
              </w:rPr>
              <w:t>Tracerco</w:t>
            </w:r>
            <w:proofErr w:type="spellEnd"/>
            <w:r>
              <w:rPr>
                <w:rFonts w:eastAsia="Times New Roman" w:cs="Arial"/>
                <w:color w:val="000000"/>
                <w:szCs w:val="20"/>
                <w:lang w:eastAsia="pt-BR"/>
              </w:rPr>
              <w:t xml:space="preserve"> do Brasil</w:t>
            </w:r>
          </w:p>
        </w:tc>
        <w:tc>
          <w:tcPr>
            <w:tcW w:w="2572" w:type="dxa"/>
            <w:tcBorders>
              <w:top w:val="nil"/>
              <w:left w:val="nil"/>
              <w:bottom w:val="single" w:sz="8" w:space="0" w:color="auto"/>
              <w:right w:val="single" w:sz="8" w:space="0" w:color="auto"/>
            </w:tcBorders>
            <w:shd w:val="clear" w:color="000000" w:fill="D9D9D9"/>
            <w:noWrap/>
            <w:vAlign w:val="center"/>
            <w:hideMark/>
          </w:tcPr>
          <w:p w:rsidR="00C07190" w:rsidRPr="00833F42" w:rsidRDefault="00C07190" w:rsidP="008F4251">
            <w:pPr>
              <w:jc w:val="right"/>
              <w:rPr>
                <w:rFonts w:eastAsia="Times New Roman" w:cs="Arial"/>
                <w:color w:val="000000"/>
                <w:szCs w:val="20"/>
                <w:lang w:eastAsia="pt-BR"/>
              </w:rPr>
            </w:pPr>
            <w:r>
              <w:rPr>
                <w:rFonts w:eastAsia="Times New Roman" w:cs="Arial"/>
                <w:color w:val="000000"/>
                <w:szCs w:val="20"/>
                <w:lang w:eastAsia="pt-BR"/>
              </w:rPr>
              <w:t>Sistema de Cromatografia</w:t>
            </w:r>
          </w:p>
        </w:tc>
        <w:tc>
          <w:tcPr>
            <w:tcW w:w="2028" w:type="dxa"/>
            <w:tcBorders>
              <w:top w:val="nil"/>
              <w:left w:val="nil"/>
              <w:bottom w:val="single" w:sz="8" w:space="0" w:color="auto"/>
              <w:right w:val="single" w:sz="8" w:space="0" w:color="auto"/>
            </w:tcBorders>
            <w:shd w:val="clear" w:color="000000" w:fill="D9D9D9"/>
          </w:tcPr>
          <w:p w:rsidR="00C07190" w:rsidRDefault="00C07190" w:rsidP="008F4251">
            <w:pPr>
              <w:jc w:val="right"/>
              <w:rPr>
                <w:rFonts w:eastAsia="Times New Roman" w:cs="Arial"/>
                <w:color w:val="000000"/>
                <w:szCs w:val="20"/>
                <w:lang w:eastAsia="pt-BR"/>
              </w:rPr>
            </w:pPr>
            <w:r>
              <w:rPr>
                <w:rFonts w:eastAsia="Times New Roman" w:cs="Arial"/>
                <w:color w:val="000000"/>
                <w:szCs w:val="20"/>
                <w:lang w:eastAsia="pt-BR"/>
              </w:rPr>
              <w:t>224.131,71</w:t>
            </w:r>
          </w:p>
        </w:tc>
      </w:tr>
    </w:tbl>
    <w:p w:rsidR="00C07190" w:rsidRDefault="00C07190" w:rsidP="00C07190">
      <w:pPr>
        <w:rPr>
          <w:rFonts w:cs="Arial"/>
          <w:b/>
          <w:sz w:val="22"/>
        </w:rPr>
      </w:pPr>
    </w:p>
    <w:p w:rsidR="00C07190" w:rsidRDefault="00C07190" w:rsidP="00C07190">
      <w:pPr>
        <w:spacing w:after="160" w:line="259" w:lineRule="auto"/>
        <w:jc w:val="left"/>
        <w:rPr>
          <w:rFonts w:cs="Arial"/>
          <w:b/>
          <w:sz w:val="22"/>
        </w:rPr>
      </w:pPr>
      <w:r>
        <w:rPr>
          <w:rFonts w:cs="Arial"/>
          <w:b/>
          <w:sz w:val="22"/>
        </w:rPr>
        <w:br w:type="page"/>
      </w:r>
    </w:p>
    <w:p w:rsidR="00C07190" w:rsidRPr="00E65DFE" w:rsidRDefault="00C07190" w:rsidP="00C07190">
      <w:pPr>
        <w:rPr>
          <w:rFonts w:cs="Arial"/>
          <w:b/>
          <w:sz w:val="22"/>
        </w:rPr>
      </w:pPr>
      <w:r w:rsidRPr="00DC2695">
        <w:rPr>
          <w:rFonts w:cs="Arial"/>
          <w:b/>
          <w:sz w:val="22"/>
        </w:rPr>
        <w:lastRenderedPageBreak/>
        <w:t>Tabela</w:t>
      </w:r>
      <w:r>
        <w:rPr>
          <w:rFonts w:cs="Arial"/>
          <w:b/>
          <w:sz w:val="22"/>
        </w:rPr>
        <w:t xml:space="preserve"> 25</w:t>
      </w:r>
      <w:r w:rsidRPr="00DC2695">
        <w:rPr>
          <w:rFonts w:cs="Arial"/>
          <w:b/>
          <w:sz w:val="22"/>
        </w:rPr>
        <w:t xml:space="preserve"> </w:t>
      </w:r>
      <w:proofErr w:type="gramStart"/>
      <w:r w:rsidRPr="00DC2695">
        <w:rPr>
          <w:rFonts w:cs="Arial"/>
          <w:b/>
          <w:sz w:val="22"/>
        </w:rPr>
        <w:t xml:space="preserve">-  </w:t>
      </w:r>
      <w:r>
        <w:rPr>
          <w:rFonts w:cs="Arial"/>
          <w:b/>
          <w:sz w:val="22"/>
        </w:rPr>
        <w:t>Lista</w:t>
      </w:r>
      <w:proofErr w:type="gramEnd"/>
      <w:r>
        <w:rPr>
          <w:rFonts w:cs="Arial"/>
          <w:b/>
          <w:sz w:val="22"/>
        </w:rPr>
        <w:t xml:space="preserve"> de </w:t>
      </w:r>
      <w:r w:rsidRPr="00DC2695">
        <w:rPr>
          <w:rFonts w:cs="Arial"/>
          <w:b/>
          <w:sz w:val="22"/>
        </w:rPr>
        <w:t>Bens Imóveis – Identificação e Localização.</w:t>
      </w:r>
    </w:p>
    <w:p w:rsidR="00C07190" w:rsidRDefault="00C07190" w:rsidP="00C07190">
      <w:pPr>
        <w:rPr>
          <w:rFonts w:cs="Arial"/>
          <w:sz w:val="22"/>
        </w:rPr>
      </w:pPr>
    </w:p>
    <w:tbl>
      <w:tblPr>
        <w:tblW w:w="9204" w:type="dxa"/>
        <w:tblInd w:w="-10" w:type="dxa"/>
        <w:tblCellMar>
          <w:left w:w="70" w:type="dxa"/>
          <w:right w:w="70" w:type="dxa"/>
        </w:tblCellMar>
        <w:tblLook w:val="04A0" w:firstRow="1" w:lastRow="0" w:firstColumn="1" w:lastColumn="0" w:noHBand="0" w:noVBand="1"/>
      </w:tblPr>
      <w:tblGrid>
        <w:gridCol w:w="1735"/>
        <w:gridCol w:w="3064"/>
        <w:gridCol w:w="2377"/>
        <w:gridCol w:w="2028"/>
      </w:tblGrid>
      <w:tr w:rsidR="00C07190" w:rsidRPr="00833F42" w:rsidTr="008F4251">
        <w:trPr>
          <w:trHeight w:val="320"/>
        </w:trPr>
        <w:tc>
          <w:tcPr>
            <w:tcW w:w="1735" w:type="dxa"/>
            <w:tcBorders>
              <w:top w:val="single" w:sz="8" w:space="0" w:color="000000"/>
              <w:left w:val="single" w:sz="8" w:space="0" w:color="000000"/>
              <w:bottom w:val="single" w:sz="8" w:space="0" w:color="000000"/>
              <w:right w:val="single" w:sz="8" w:space="0" w:color="auto"/>
            </w:tcBorders>
            <w:shd w:val="clear" w:color="auto" w:fill="auto"/>
            <w:vAlign w:val="center"/>
            <w:hideMark/>
          </w:tcPr>
          <w:p w:rsidR="00C07190" w:rsidRPr="00833F42" w:rsidRDefault="00C07190" w:rsidP="008F4251">
            <w:pPr>
              <w:jc w:val="center"/>
              <w:rPr>
                <w:rFonts w:eastAsia="Times New Roman" w:cs="Arial"/>
                <w:b/>
                <w:bCs/>
                <w:color w:val="000000"/>
                <w:szCs w:val="20"/>
                <w:lang w:eastAsia="pt-BR"/>
              </w:rPr>
            </w:pPr>
            <w:r w:rsidRPr="00833F42">
              <w:rPr>
                <w:rFonts w:eastAsia="Times New Roman" w:cs="Arial"/>
                <w:b/>
                <w:bCs/>
                <w:color w:val="000000"/>
                <w:szCs w:val="20"/>
                <w:lang w:eastAsia="pt-BR"/>
              </w:rPr>
              <w:t>Unidade Gestora</w:t>
            </w:r>
          </w:p>
        </w:tc>
        <w:tc>
          <w:tcPr>
            <w:tcW w:w="3064" w:type="dxa"/>
            <w:tcBorders>
              <w:top w:val="single" w:sz="8" w:space="0" w:color="000000"/>
              <w:left w:val="nil"/>
              <w:bottom w:val="single" w:sz="8" w:space="0" w:color="auto"/>
              <w:right w:val="single" w:sz="8" w:space="0" w:color="auto"/>
            </w:tcBorders>
            <w:shd w:val="clear" w:color="auto" w:fill="auto"/>
            <w:vAlign w:val="center"/>
            <w:hideMark/>
          </w:tcPr>
          <w:p w:rsidR="00C07190" w:rsidRPr="00833F42" w:rsidRDefault="00C07190" w:rsidP="008F4251">
            <w:pPr>
              <w:jc w:val="center"/>
              <w:rPr>
                <w:rFonts w:eastAsia="Times New Roman" w:cs="Arial"/>
                <w:b/>
                <w:bCs/>
                <w:color w:val="000000"/>
                <w:szCs w:val="20"/>
                <w:lang w:eastAsia="pt-BR"/>
              </w:rPr>
            </w:pPr>
            <w:r w:rsidRPr="00833F42">
              <w:rPr>
                <w:rFonts w:eastAsia="Times New Roman" w:cs="Arial"/>
                <w:b/>
                <w:bCs/>
                <w:color w:val="000000"/>
                <w:szCs w:val="20"/>
                <w:lang w:eastAsia="pt-BR"/>
              </w:rPr>
              <w:t>Endereço</w:t>
            </w:r>
          </w:p>
        </w:tc>
        <w:tc>
          <w:tcPr>
            <w:tcW w:w="2377" w:type="dxa"/>
            <w:tcBorders>
              <w:top w:val="single" w:sz="8" w:space="0" w:color="000000"/>
              <w:left w:val="nil"/>
              <w:bottom w:val="single" w:sz="8" w:space="0" w:color="auto"/>
              <w:right w:val="single" w:sz="8" w:space="0" w:color="auto"/>
            </w:tcBorders>
            <w:shd w:val="clear" w:color="auto" w:fill="auto"/>
            <w:vAlign w:val="center"/>
            <w:hideMark/>
          </w:tcPr>
          <w:p w:rsidR="00C07190" w:rsidRPr="00833F42" w:rsidRDefault="00C07190" w:rsidP="008F4251">
            <w:pPr>
              <w:jc w:val="center"/>
              <w:rPr>
                <w:rFonts w:eastAsia="Times New Roman" w:cs="Arial"/>
                <w:b/>
                <w:bCs/>
                <w:color w:val="000000"/>
                <w:szCs w:val="20"/>
                <w:lang w:eastAsia="pt-BR"/>
              </w:rPr>
            </w:pPr>
            <w:r>
              <w:rPr>
                <w:rFonts w:eastAsia="Times New Roman" w:cs="Arial"/>
                <w:b/>
                <w:bCs/>
                <w:color w:val="000000"/>
                <w:szCs w:val="20"/>
                <w:lang w:eastAsia="pt-BR"/>
              </w:rPr>
              <w:t>Sigla</w:t>
            </w:r>
          </w:p>
        </w:tc>
        <w:tc>
          <w:tcPr>
            <w:tcW w:w="2028" w:type="dxa"/>
            <w:tcBorders>
              <w:top w:val="single" w:sz="8" w:space="0" w:color="000000"/>
              <w:left w:val="nil"/>
              <w:bottom w:val="single" w:sz="8" w:space="0" w:color="auto"/>
              <w:right w:val="single" w:sz="8" w:space="0" w:color="auto"/>
            </w:tcBorders>
          </w:tcPr>
          <w:p w:rsidR="00C07190" w:rsidRDefault="00C07190" w:rsidP="008F4251">
            <w:pPr>
              <w:jc w:val="center"/>
              <w:rPr>
                <w:rFonts w:eastAsia="Times New Roman" w:cs="Arial"/>
                <w:b/>
                <w:bCs/>
                <w:color w:val="000000"/>
                <w:szCs w:val="20"/>
                <w:lang w:eastAsia="pt-BR"/>
              </w:rPr>
            </w:pPr>
            <w:r>
              <w:rPr>
                <w:rFonts w:eastAsia="Times New Roman" w:cs="Arial"/>
                <w:b/>
                <w:bCs/>
                <w:color w:val="000000"/>
                <w:szCs w:val="20"/>
                <w:lang w:eastAsia="pt-BR"/>
              </w:rPr>
              <w:t xml:space="preserve">R$ </w:t>
            </w:r>
          </w:p>
        </w:tc>
      </w:tr>
      <w:tr w:rsidR="00C07190" w:rsidRPr="00833F42" w:rsidTr="008F4251">
        <w:trPr>
          <w:trHeight w:val="533"/>
        </w:trPr>
        <w:tc>
          <w:tcPr>
            <w:tcW w:w="1735" w:type="dxa"/>
            <w:tcBorders>
              <w:top w:val="nil"/>
              <w:left w:val="single" w:sz="8" w:space="0" w:color="000000"/>
              <w:bottom w:val="single" w:sz="8" w:space="0" w:color="auto"/>
              <w:right w:val="single" w:sz="8" w:space="0" w:color="auto"/>
            </w:tcBorders>
            <w:shd w:val="clear" w:color="000000" w:fill="D9D9D9"/>
            <w:vAlign w:val="center"/>
            <w:hideMark/>
          </w:tcPr>
          <w:p w:rsidR="00C07190" w:rsidRPr="00833F42" w:rsidRDefault="00C07190" w:rsidP="008F4251">
            <w:pPr>
              <w:jc w:val="center"/>
              <w:rPr>
                <w:rFonts w:eastAsia="Times New Roman" w:cs="Arial"/>
                <w:color w:val="000000"/>
                <w:szCs w:val="20"/>
                <w:lang w:eastAsia="pt-BR"/>
              </w:rPr>
            </w:pPr>
            <w:r>
              <w:rPr>
                <w:rFonts w:eastAsia="Times New Roman" w:cs="Arial"/>
                <w:color w:val="000000"/>
                <w:szCs w:val="20"/>
                <w:lang w:eastAsia="pt-BR"/>
              </w:rPr>
              <w:t>320056</w:t>
            </w:r>
          </w:p>
        </w:tc>
        <w:tc>
          <w:tcPr>
            <w:tcW w:w="3064" w:type="dxa"/>
            <w:tcBorders>
              <w:top w:val="nil"/>
              <w:left w:val="nil"/>
              <w:bottom w:val="single" w:sz="8" w:space="0" w:color="auto"/>
              <w:right w:val="single" w:sz="8" w:space="0" w:color="auto"/>
            </w:tcBorders>
            <w:shd w:val="clear" w:color="000000" w:fill="D9D9D9"/>
            <w:vAlign w:val="center"/>
            <w:hideMark/>
          </w:tcPr>
          <w:p w:rsidR="00C07190" w:rsidRPr="00833F42" w:rsidRDefault="00C07190" w:rsidP="008F4251">
            <w:pPr>
              <w:rPr>
                <w:rFonts w:eastAsia="Times New Roman" w:cs="Arial"/>
                <w:color w:val="000000"/>
                <w:szCs w:val="20"/>
                <w:lang w:eastAsia="pt-BR"/>
              </w:rPr>
            </w:pPr>
            <w:proofErr w:type="spellStart"/>
            <w:r>
              <w:rPr>
                <w:rFonts w:eastAsia="Times New Roman" w:cs="Arial"/>
                <w:color w:val="000000"/>
                <w:szCs w:val="20"/>
                <w:lang w:eastAsia="pt-BR"/>
              </w:rPr>
              <w:t>Av</w:t>
            </w:r>
            <w:proofErr w:type="spellEnd"/>
            <w:r>
              <w:rPr>
                <w:rFonts w:eastAsia="Times New Roman" w:cs="Arial"/>
                <w:color w:val="000000"/>
                <w:szCs w:val="20"/>
                <w:lang w:eastAsia="pt-BR"/>
              </w:rPr>
              <w:t xml:space="preserve"> do Turismo 1350 - Tarumã</w:t>
            </w:r>
          </w:p>
        </w:tc>
        <w:tc>
          <w:tcPr>
            <w:tcW w:w="2377" w:type="dxa"/>
            <w:tcBorders>
              <w:top w:val="nil"/>
              <w:left w:val="nil"/>
              <w:bottom w:val="single" w:sz="8" w:space="0" w:color="auto"/>
              <w:right w:val="single" w:sz="8" w:space="0" w:color="auto"/>
            </w:tcBorders>
            <w:shd w:val="clear" w:color="000000" w:fill="D9D9D9"/>
            <w:noWrap/>
            <w:vAlign w:val="center"/>
            <w:hideMark/>
          </w:tcPr>
          <w:p w:rsidR="00C07190" w:rsidRPr="00833F42" w:rsidRDefault="00C07190" w:rsidP="008F4251">
            <w:pPr>
              <w:jc w:val="right"/>
              <w:rPr>
                <w:rFonts w:eastAsia="Times New Roman" w:cs="Arial"/>
                <w:color w:val="000000"/>
                <w:szCs w:val="20"/>
                <w:lang w:eastAsia="pt-BR"/>
              </w:rPr>
            </w:pPr>
            <w:r>
              <w:rPr>
                <w:rFonts w:eastAsia="Times New Roman" w:cs="Arial"/>
                <w:color w:val="000000"/>
                <w:szCs w:val="20"/>
                <w:lang w:eastAsia="pt-BR"/>
              </w:rPr>
              <w:t>NMA – Escritório de Manaus</w:t>
            </w:r>
          </w:p>
        </w:tc>
        <w:tc>
          <w:tcPr>
            <w:tcW w:w="2028" w:type="dxa"/>
            <w:tcBorders>
              <w:top w:val="nil"/>
              <w:left w:val="nil"/>
              <w:bottom w:val="single" w:sz="8" w:space="0" w:color="auto"/>
              <w:right w:val="single" w:sz="8" w:space="0" w:color="auto"/>
            </w:tcBorders>
            <w:shd w:val="clear" w:color="000000" w:fill="D9D9D9"/>
          </w:tcPr>
          <w:p w:rsidR="00C07190" w:rsidRDefault="00C07190" w:rsidP="008F4251">
            <w:pPr>
              <w:jc w:val="right"/>
              <w:rPr>
                <w:rFonts w:eastAsia="Times New Roman" w:cs="Arial"/>
                <w:color w:val="000000"/>
                <w:szCs w:val="20"/>
                <w:lang w:eastAsia="pt-BR"/>
              </w:rPr>
            </w:pPr>
            <w:r>
              <w:rPr>
                <w:rFonts w:eastAsia="Times New Roman" w:cs="Arial"/>
                <w:color w:val="000000"/>
                <w:szCs w:val="20"/>
                <w:lang w:eastAsia="pt-BR"/>
              </w:rPr>
              <w:t>0,00</w:t>
            </w:r>
          </w:p>
        </w:tc>
      </w:tr>
      <w:tr w:rsidR="00C07190" w:rsidRPr="00833F42" w:rsidTr="008F4251">
        <w:trPr>
          <w:trHeight w:val="533"/>
        </w:trPr>
        <w:tc>
          <w:tcPr>
            <w:tcW w:w="1735" w:type="dxa"/>
            <w:tcBorders>
              <w:top w:val="nil"/>
              <w:left w:val="single" w:sz="8" w:space="0" w:color="000000"/>
              <w:bottom w:val="single" w:sz="8" w:space="0" w:color="auto"/>
              <w:right w:val="single" w:sz="8" w:space="0" w:color="auto"/>
            </w:tcBorders>
            <w:shd w:val="clear" w:color="000000" w:fill="FFFFFF"/>
            <w:vAlign w:val="center"/>
            <w:hideMark/>
          </w:tcPr>
          <w:p w:rsidR="00C07190" w:rsidRPr="00833F42" w:rsidRDefault="00C07190" w:rsidP="008F4251">
            <w:pPr>
              <w:jc w:val="center"/>
              <w:rPr>
                <w:rFonts w:eastAsia="Times New Roman" w:cs="Arial"/>
                <w:color w:val="000000"/>
                <w:szCs w:val="20"/>
                <w:lang w:eastAsia="pt-BR"/>
              </w:rPr>
            </w:pPr>
            <w:r>
              <w:rPr>
                <w:rFonts w:eastAsia="Times New Roman" w:cs="Arial"/>
                <w:color w:val="000000"/>
                <w:szCs w:val="20"/>
                <w:lang w:eastAsia="pt-BR"/>
              </w:rPr>
              <w:t>320059</w:t>
            </w:r>
          </w:p>
        </w:tc>
        <w:tc>
          <w:tcPr>
            <w:tcW w:w="3064" w:type="dxa"/>
            <w:tcBorders>
              <w:top w:val="nil"/>
              <w:left w:val="nil"/>
              <w:bottom w:val="single" w:sz="8" w:space="0" w:color="auto"/>
              <w:right w:val="single" w:sz="8" w:space="0" w:color="auto"/>
            </w:tcBorders>
            <w:shd w:val="clear" w:color="000000" w:fill="FFFFFF"/>
            <w:vAlign w:val="center"/>
            <w:hideMark/>
          </w:tcPr>
          <w:p w:rsidR="00C07190" w:rsidRPr="00833F42" w:rsidRDefault="00C07190" w:rsidP="008F4251">
            <w:pPr>
              <w:jc w:val="left"/>
              <w:rPr>
                <w:rFonts w:eastAsia="Times New Roman" w:cs="Arial"/>
                <w:color w:val="000000"/>
                <w:szCs w:val="20"/>
                <w:lang w:eastAsia="pt-BR"/>
              </w:rPr>
            </w:pPr>
            <w:proofErr w:type="spellStart"/>
            <w:r>
              <w:rPr>
                <w:rFonts w:eastAsia="Times New Roman" w:cs="Arial"/>
                <w:color w:val="000000"/>
                <w:szCs w:val="20"/>
                <w:lang w:eastAsia="pt-BR"/>
              </w:rPr>
              <w:t>Av</w:t>
            </w:r>
            <w:proofErr w:type="spellEnd"/>
            <w:r>
              <w:rPr>
                <w:rFonts w:eastAsia="Times New Roman" w:cs="Arial"/>
                <w:color w:val="000000"/>
                <w:szCs w:val="20"/>
                <w:lang w:eastAsia="pt-BR"/>
              </w:rPr>
              <w:t xml:space="preserve"> Loureiro da Silva 445 8 </w:t>
            </w:r>
            <w:proofErr w:type="gramStart"/>
            <w:r>
              <w:rPr>
                <w:rFonts w:eastAsia="Times New Roman" w:cs="Arial"/>
                <w:color w:val="000000"/>
                <w:szCs w:val="20"/>
                <w:lang w:eastAsia="pt-BR"/>
              </w:rPr>
              <w:t>andar  sala</w:t>
            </w:r>
            <w:proofErr w:type="gramEnd"/>
            <w:r>
              <w:rPr>
                <w:rFonts w:eastAsia="Times New Roman" w:cs="Arial"/>
                <w:color w:val="000000"/>
                <w:szCs w:val="20"/>
                <w:lang w:eastAsia="pt-BR"/>
              </w:rPr>
              <w:t xml:space="preserve"> 822 - Centro</w:t>
            </w:r>
          </w:p>
        </w:tc>
        <w:tc>
          <w:tcPr>
            <w:tcW w:w="2377" w:type="dxa"/>
            <w:tcBorders>
              <w:top w:val="nil"/>
              <w:left w:val="nil"/>
              <w:bottom w:val="single" w:sz="8" w:space="0" w:color="auto"/>
              <w:right w:val="single" w:sz="8" w:space="0" w:color="auto"/>
            </w:tcBorders>
            <w:shd w:val="clear" w:color="000000" w:fill="FFFFFF"/>
            <w:noWrap/>
            <w:vAlign w:val="center"/>
            <w:hideMark/>
          </w:tcPr>
          <w:p w:rsidR="00C07190" w:rsidRPr="00833F42" w:rsidRDefault="00C07190" w:rsidP="008F4251">
            <w:pPr>
              <w:jc w:val="right"/>
              <w:rPr>
                <w:rFonts w:eastAsia="Times New Roman" w:cs="Arial"/>
                <w:color w:val="000000"/>
                <w:szCs w:val="20"/>
                <w:lang w:eastAsia="pt-BR"/>
              </w:rPr>
            </w:pPr>
            <w:r>
              <w:rPr>
                <w:rFonts w:eastAsia="Times New Roman" w:cs="Arial"/>
                <w:color w:val="000000"/>
                <w:szCs w:val="20"/>
                <w:lang w:eastAsia="pt-BR"/>
              </w:rPr>
              <w:t>NPA – Escritório de Porto Alegre</w:t>
            </w:r>
          </w:p>
        </w:tc>
        <w:tc>
          <w:tcPr>
            <w:tcW w:w="2028" w:type="dxa"/>
            <w:tcBorders>
              <w:top w:val="nil"/>
              <w:left w:val="nil"/>
              <w:bottom w:val="single" w:sz="8" w:space="0" w:color="auto"/>
              <w:right w:val="single" w:sz="8" w:space="0" w:color="auto"/>
            </w:tcBorders>
            <w:shd w:val="clear" w:color="000000" w:fill="FFFFFF"/>
          </w:tcPr>
          <w:p w:rsidR="00C07190" w:rsidRDefault="00C07190" w:rsidP="008F4251">
            <w:pPr>
              <w:jc w:val="right"/>
              <w:rPr>
                <w:rFonts w:eastAsia="Times New Roman" w:cs="Arial"/>
                <w:color w:val="000000"/>
                <w:szCs w:val="20"/>
                <w:lang w:eastAsia="pt-BR"/>
              </w:rPr>
            </w:pPr>
            <w:r>
              <w:rPr>
                <w:rFonts w:eastAsia="Times New Roman" w:cs="Arial"/>
                <w:color w:val="000000"/>
                <w:szCs w:val="20"/>
                <w:lang w:eastAsia="pt-BR"/>
              </w:rPr>
              <w:t>741.258,33</w:t>
            </w:r>
          </w:p>
        </w:tc>
      </w:tr>
      <w:tr w:rsidR="00C07190" w:rsidRPr="00833F42" w:rsidTr="008F4251">
        <w:trPr>
          <w:trHeight w:val="533"/>
        </w:trPr>
        <w:tc>
          <w:tcPr>
            <w:tcW w:w="1735" w:type="dxa"/>
            <w:tcBorders>
              <w:top w:val="nil"/>
              <w:left w:val="single" w:sz="8" w:space="0" w:color="000000"/>
              <w:bottom w:val="nil"/>
              <w:right w:val="single" w:sz="8" w:space="0" w:color="auto"/>
            </w:tcBorders>
            <w:shd w:val="clear" w:color="D9D9D9" w:fill="D9D9D9"/>
            <w:vAlign w:val="center"/>
            <w:hideMark/>
          </w:tcPr>
          <w:p w:rsidR="00C07190" w:rsidRPr="00833F42" w:rsidRDefault="00C07190" w:rsidP="008F4251">
            <w:pPr>
              <w:jc w:val="center"/>
              <w:rPr>
                <w:rFonts w:eastAsia="Times New Roman" w:cs="Arial"/>
                <w:color w:val="000000"/>
                <w:szCs w:val="20"/>
                <w:lang w:eastAsia="pt-BR"/>
              </w:rPr>
            </w:pPr>
            <w:r>
              <w:rPr>
                <w:rFonts w:eastAsia="Times New Roman" w:cs="Arial"/>
                <w:color w:val="000000"/>
                <w:szCs w:val="20"/>
                <w:lang w:eastAsia="pt-BR"/>
              </w:rPr>
              <w:t>320059</w:t>
            </w:r>
          </w:p>
        </w:tc>
        <w:tc>
          <w:tcPr>
            <w:tcW w:w="3064" w:type="dxa"/>
            <w:tcBorders>
              <w:top w:val="nil"/>
              <w:left w:val="nil"/>
              <w:bottom w:val="nil"/>
              <w:right w:val="single" w:sz="8" w:space="0" w:color="auto"/>
            </w:tcBorders>
            <w:shd w:val="clear" w:color="D9D9D9" w:fill="D9D9D9"/>
            <w:vAlign w:val="center"/>
            <w:hideMark/>
          </w:tcPr>
          <w:p w:rsidR="00C07190" w:rsidRPr="00833F42" w:rsidRDefault="00C07190" w:rsidP="008F4251">
            <w:pPr>
              <w:jc w:val="left"/>
              <w:rPr>
                <w:rFonts w:eastAsia="Times New Roman" w:cs="Arial"/>
                <w:color w:val="000000"/>
                <w:szCs w:val="20"/>
                <w:lang w:eastAsia="pt-BR"/>
              </w:rPr>
            </w:pPr>
            <w:proofErr w:type="spellStart"/>
            <w:r>
              <w:rPr>
                <w:rFonts w:eastAsia="Times New Roman" w:cs="Arial"/>
                <w:color w:val="000000"/>
                <w:szCs w:val="20"/>
                <w:lang w:eastAsia="pt-BR"/>
              </w:rPr>
              <w:t>Av</w:t>
            </w:r>
            <w:proofErr w:type="spellEnd"/>
            <w:r>
              <w:rPr>
                <w:rFonts w:eastAsia="Times New Roman" w:cs="Arial"/>
                <w:color w:val="000000"/>
                <w:szCs w:val="20"/>
                <w:lang w:eastAsia="pt-BR"/>
              </w:rPr>
              <w:t xml:space="preserve"> dos Estados 1545 - Anchieta</w:t>
            </w:r>
          </w:p>
        </w:tc>
        <w:tc>
          <w:tcPr>
            <w:tcW w:w="2377" w:type="dxa"/>
            <w:tcBorders>
              <w:top w:val="nil"/>
              <w:left w:val="nil"/>
              <w:bottom w:val="nil"/>
              <w:right w:val="single" w:sz="8" w:space="0" w:color="auto"/>
            </w:tcBorders>
            <w:shd w:val="clear" w:color="D9D9D9" w:fill="D9D9D9"/>
            <w:noWrap/>
            <w:vAlign w:val="center"/>
            <w:hideMark/>
          </w:tcPr>
          <w:p w:rsidR="00C07190" w:rsidRPr="00833F42" w:rsidRDefault="00C07190" w:rsidP="008F4251">
            <w:pPr>
              <w:jc w:val="right"/>
              <w:rPr>
                <w:rFonts w:eastAsia="Times New Roman" w:cs="Arial"/>
                <w:color w:val="000000"/>
                <w:szCs w:val="20"/>
                <w:lang w:eastAsia="pt-BR"/>
              </w:rPr>
            </w:pPr>
            <w:r>
              <w:rPr>
                <w:rFonts w:eastAsia="Times New Roman" w:cs="Arial"/>
                <w:color w:val="000000"/>
                <w:szCs w:val="20"/>
                <w:lang w:eastAsia="pt-BR"/>
              </w:rPr>
              <w:t>NPA – Escritório de Porto Alegre</w:t>
            </w:r>
            <w:r w:rsidRPr="009928B1">
              <w:rPr>
                <w:rFonts w:eastAsia="Times New Roman" w:cs="Arial"/>
                <w:b/>
                <w:color w:val="000000"/>
                <w:szCs w:val="20"/>
                <w:lang w:eastAsia="pt-BR"/>
              </w:rPr>
              <w:t>*</w:t>
            </w:r>
          </w:p>
        </w:tc>
        <w:tc>
          <w:tcPr>
            <w:tcW w:w="2028" w:type="dxa"/>
            <w:tcBorders>
              <w:top w:val="nil"/>
              <w:left w:val="nil"/>
              <w:bottom w:val="nil"/>
              <w:right w:val="single" w:sz="8" w:space="0" w:color="auto"/>
            </w:tcBorders>
            <w:shd w:val="clear" w:color="D9D9D9" w:fill="D9D9D9"/>
          </w:tcPr>
          <w:p w:rsidR="00C07190" w:rsidRDefault="00C07190" w:rsidP="008F4251">
            <w:pPr>
              <w:jc w:val="right"/>
              <w:rPr>
                <w:rFonts w:eastAsia="Times New Roman" w:cs="Arial"/>
                <w:color w:val="000000"/>
                <w:szCs w:val="20"/>
                <w:lang w:eastAsia="pt-BR"/>
              </w:rPr>
            </w:pPr>
            <w:r>
              <w:rPr>
                <w:rFonts w:eastAsia="Times New Roman" w:cs="Arial"/>
                <w:color w:val="000000"/>
                <w:szCs w:val="20"/>
                <w:lang w:eastAsia="pt-BR"/>
              </w:rPr>
              <w:t>148.110,96</w:t>
            </w:r>
          </w:p>
        </w:tc>
      </w:tr>
      <w:tr w:rsidR="00C07190" w:rsidRPr="00833F42" w:rsidTr="008F4251">
        <w:trPr>
          <w:trHeight w:val="533"/>
        </w:trPr>
        <w:tc>
          <w:tcPr>
            <w:tcW w:w="1735" w:type="dxa"/>
            <w:tcBorders>
              <w:top w:val="nil"/>
              <w:left w:val="single" w:sz="8" w:space="0" w:color="000000"/>
              <w:bottom w:val="nil"/>
              <w:right w:val="single" w:sz="8" w:space="0" w:color="auto"/>
            </w:tcBorders>
            <w:shd w:val="clear" w:color="D9D9D9" w:fill="D9D9D9"/>
            <w:vAlign w:val="center"/>
          </w:tcPr>
          <w:p w:rsidR="00C07190" w:rsidRDefault="00C07190" w:rsidP="008F4251">
            <w:pPr>
              <w:jc w:val="center"/>
              <w:rPr>
                <w:rFonts w:eastAsia="Times New Roman" w:cs="Arial"/>
                <w:color w:val="000000"/>
                <w:szCs w:val="20"/>
                <w:lang w:eastAsia="pt-BR"/>
              </w:rPr>
            </w:pPr>
            <w:r>
              <w:rPr>
                <w:rFonts w:eastAsia="Times New Roman" w:cs="Arial"/>
                <w:color w:val="000000"/>
                <w:szCs w:val="20"/>
                <w:lang w:eastAsia="pt-BR"/>
              </w:rPr>
              <w:t>320058</w:t>
            </w:r>
          </w:p>
        </w:tc>
        <w:tc>
          <w:tcPr>
            <w:tcW w:w="3064" w:type="dxa"/>
            <w:tcBorders>
              <w:top w:val="nil"/>
              <w:left w:val="nil"/>
              <w:bottom w:val="nil"/>
              <w:right w:val="single" w:sz="8" w:space="0" w:color="auto"/>
            </w:tcBorders>
            <w:shd w:val="clear" w:color="D9D9D9" w:fill="D9D9D9"/>
            <w:vAlign w:val="center"/>
          </w:tcPr>
          <w:p w:rsidR="00C07190" w:rsidRDefault="00C07190" w:rsidP="008F4251">
            <w:pPr>
              <w:jc w:val="left"/>
              <w:rPr>
                <w:rFonts w:eastAsia="Times New Roman" w:cs="Arial"/>
                <w:color w:val="000000"/>
                <w:szCs w:val="20"/>
                <w:lang w:eastAsia="pt-BR"/>
              </w:rPr>
            </w:pPr>
            <w:proofErr w:type="spellStart"/>
            <w:r>
              <w:rPr>
                <w:rFonts w:eastAsia="Times New Roman" w:cs="Arial"/>
                <w:color w:val="000000"/>
                <w:szCs w:val="20"/>
                <w:lang w:eastAsia="pt-BR"/>
              </w:rPr>
              <w:t>Av</w:t>
            </w:r>
            <w:proofErr w:type="spellEnd"/>
            <w:r>
              <w:rPr>
                <w:rFonts w:eastAsia="Times New Roman" w:cs="Arial"/>
                <w:color w:val="000000"/>
                <w:szCs w:val="20"/>
                <w:lang w:eastAsia="pt-BR"/>
              </w:rPr>
              <w:t xml:space="preserve"> Afonso Pena 867 - Centro </w:t>
            </w:r>
          </w:p>
        </w:tc>
        <w:tc>
          <w:tcPr>
            <w:tcW w:w="2377" w:type="dxa"/>
            <w:tcBorders>
              <w:top w:val="nil"/>
              <w:left w:val="nil"/>
              <w:bottom w:val="nil"/>
              <w:right w:val="single" w:sz="8" w:space="0" w:color="auto"/>
            </w:tcBorders>
            <w:shd w:val="clear" w:color="D9D9D9" w:fill="D9D9D9"/>
            <w:noWrap/>
            <w:vAlign w:val="center"/>
          </w:tcPr>
          <w:p w:rsidR="00C07190" w:rsidRDefault="00C07190" w:rsidP="008F4251">
            <w:pPr>
              <w:jc w:val="right"/>
              <w:rPr>
                <w:rFonts w:eastAsia="Times New Roman" w:cs="Arial"/>
                <w:color w:val="000000"/>
                <w:szCs w:val="20"/>
                <w:lang w:eastAsia="pt-BR"/>
              </w:rPr>
            </w:pPr>
            <w:r>
              <w:rPr>
                <w:rFonts w:eastAsia="Times New Roman" w:cs="Arial"/>
                <w:color w:val="000000"/>
                <w:szCs w:val="20"/>
                <w:lang w:eastAsia="pt-BR"/>
              </w:rPr>
              <w:t>NBH - Escritório de Belo Horizonte</w:t>
            </w:r>
          </w:p>
        </w:tc>
        <w:tc>
          <w:tcPr>
            <w:tcW w:w="2028" w:type="dxa"/>
            <w:tcBorders>
              <w:top w:val="nil"/>
              <w:left w:val="nil"/>
              <w:bottom w:val="nil"/>
              <w:right w:val="single" w:sz="8" w:space="0" w:color="auto"/>
            </w:tcBorders>
            <w:shd w:val="clear" w:color="D9D9D9" w:fill="D9D9D9"/>
          </w:tcPr>
          <w:p w:rsidR="00C07190" w:rsidRDefault="00C07190" w:rsidP="008F4251">
            <w:pPr>
              <w:jc w:val="right"/>
              <w:rPr>
                <w:rFonts w:eastAsia="Times New Roman" w:cs="Arial"/>
                <w:color w:val="000000"/>
                <w:szCs w:val="20"/>
                <w:lang w:eastAsia="pt-BR"/>
              </w:rPr>
            </w:pPr>
            <w:r>
              <w:rPr>
                <w:rFonts w:eastAsia="Times New Roman" w:cs="Arial"/>
                <w:color w:val="000000"/>
                <w:szCs w:val="20"/>
                <w:lang w:eastAsia="pt-BR"/>
              </w:rPr>
              <w:t>229.582,67</w:t>
            </w:r>
          </w:p>
        </w:tc>
      </w:tr>
      <w:tr w:rsidR="00C07190" w:rsidRPr="00833F42" w:rsidTr="008F4251">
        <w:trPr>
          <w:trHeight w:val="533"/>
        </w:trPr>
        <w:tc>
          <w:tcPr>
            <w:tcW w:w="1735" w:type="dxa"/>
            <w:tcBorders>
              <w:top w:val="nil"/>
              <w:left w:val="single" w:sz="8" w:space="0" w:color="000000"/>
              <w:bottom w:val="nil"/>
              <w:right w:val="single" w:sz="8" w:space="0" w:color="auto"/>
            </w:tcBorders>
            <w:shd w:val="clear" w:color="auto" w:fill="auto"/>
            <w:vAlign w:val="center"/>
          </w:tcPr>
          <w:p w:rsidR="00C07190" w:rsidRDefault="00C07190" w:rsidP="008F4251">
            <w:pPr>
              <w:jc w:val="center"/>
              <w:rPr>
                <w:rFonts w:eastAsia="Times New Roman" w:cs="Arial"/>
                <w:color w:val="000000"/>
                <w:szCs w:val="20"/>
                <w:lang w:eastAsia="pt-BR"/>
              </w:rPr>
            </w:pPr>
            <w:r>
              <w:rPr>
                <w:rFonts w:eastAsia="Times New Roman" w:cs="Arial"/>
                <w:color w:val="000000"/>
                <w:szCs w:val="20"/>
                <w:lang w:eastAsia="pt-BR"/>
              </w:rPr>
              <w:t>---</w:t>
            </w:r>
          </w:p>
        </w:tc>
        <w:tc>
          <w:tcPr>
            <w:tcW w:w="3064" w:type="dxa"/>
            <w:tcBorders>
              <w:top w:val="nil"/>
              <w:left w:val="nil"/>
              <w:bottom w:val="nil"/>
              <w:right w:val="single" w:sz="8" w:space="0" w:color="auto"/>
            </w:tcBorders>
            <w:shd w:val="clear" w:color="auto" w:fill="auto"/>
            <w:vAlign w:val="center"/>
          </w:tcPr>
          <w:p w:rsidR="00C07190" w:rsidRDefault="00C07190" w:rsidP="008F4251">
            <w:pPr>
              <w:jc w:val="left"/>
              <w:rPr>
                <w:rFonts w:eastAsia="Times New Roman" w:cs="Arial"/>
                <w:color w:val="000000"/>
                <w:szCs w:val="20"/>
                <w:lang w:eastAsia="pt-BR"/>
              </w:rPr>
            </w:pPr>
            <w:proofErr w:type="spellStart"/>
            <w:r>
              <w:rPr>
                <w:rFonts w:eastAsia="Times New Roman" w:cs="Arial"/>
                <w:color w:val="000000"/>
                <w:szCs w:val="20"/>
                <w:lang w:eastAsia="pt-BR"/>
              </w:rPr>
              <w:t>Av</w:t>
            </w:r>
            <w:proofErr w:type="spellEnd"/>
            <w:r>
              <w:rPr>
                <w:rFonts w:eastAsia="Times New Roman" w:cs="Arial"/>
                <w:color w:val="000000"/>
                <w:szCs w:val="20"/>
                <w:lang w:eastAsia="pt-BR"/>
              </w:rPr>
              <w:t xml:space="preserve"> Pasteur 404 Bloco A4 - Urca</w:t>
            </w:r>
          </w:p>
        </w:tc>
        <w:tc>
          <w:tcPr>
            <w:tcW w:w="2377" w:type="dxa"/>
            <w:tcBorders>
              <w:top w:val="nil"/>
              <w:left w:val="nil"/>
              <w:bottom w:val="nil"/>
              <w:right w:val="single" w:sz="8" w:space="0" w:color="auto"/>
            </w:tcBorders>
            <w:shd w:val="clear" w:color="auto" w:fill="auto"/>
            <w:noWrap/>
            <w:vAlign w:val="center"/>
          </w:tcPr>
          <w:p w:rsidR="00C07190" w:rsidRDefault="00C07190" w:rsidP="008F4251">
            <w:pPr>
              <w:jc w:val="right"/>
              <w:rPr>
                <w:rFonts w:eastAsia="Times New Roman" w:cs="Arial"/>
                <w:color w:val="000000"/>
                <w:szCs w:val="20"/>
                <w:lang w:eastAsia="pt-BR"/>
              </w:rPr>
            </w:pPr>
            <w:r>
              <w:rPr>
                <w:rFonts w:eastAsia="Times New Roman" w:cs="Arial"/>
                <w:color w:val="000000"/>
                <w:szCs w:val="20"/>
                <w:lang w:eastAsia="pt-BR"/>
              </w:rPr>
              <w:t xml:space="preserve">BDEP </w:t>
            </w:r>
          </w:p>
        </w:tc>
        <w:tc>
          <w:tcPr>
            <w:tcW w:w="2028" w:type="dxa"/>
            <w:tcBorders>
              <w:top w:val="nil"/>
              <w:left w:val="nil"/>
              <w:bottom w:val="nil"/>
              <w:right w:val="single" w:sz="8" w:space="0" w:color="auto"/>
            </w:tcBorders>
          </w:tcPr>
          <w:p w:rsidR="00C07190" w:rsidRDefault="00C07190" w:rsidP="008F4251">
            <w:pPr>
              <w:jc w:val="right"/>
              <w:rPr>
                <w:rFonts w:eastAsia="Times New Roman" w:cs="Arial"/>
                <w:color w:val="000000"/>
                <w:szCs w:val="20"/>
                <w:lang w:eastAsia="pt-BR"/>
              </w:rPr>
            </w:pPr>
            <w:r>
              <w:rPr>
                <w:rFonts w:eastAsia="Times New Roman" w:cs="Arial"/>
                <w:color w:val="000000"/>
                <w:szCs w:val="20"/>
                <w:lang w:eastAsia="pt-BR"/>
              </w:rPr>
              <w:t>3.889.108,46</w:t>
            </w:r>
          </w:p>
        </w:tc>
      </w:tr>
      <w:tr w:rsidR="00C07190" w:rsidRPr="009928B1" w:rsidTr="008F4251">
        <w:trPr>
          <w:trHeight w:val="533"/>
        </w:trPr>
        <w:tc>
          <w:tcPr>
            <w:tcW w:w="1735" w:type="dxa"/>
            <w:tcBorders>
              <w:top w:val="nil"/>
              <w:left w:val="single" w:sz="8" w:space="0" w:color="000000"/>
              <w:bottom w:val="single" w:sz="8" w:space="0" w:color="auto"/>
              <w:right w:val="single" w:sz="8" w:space="0" w:color="auto"/>
            </w:tcBorders>
            <w:shd w:val="clear" w:color="auto" w:fill="D9D9D9" w:themeFill="background1" w:themeFillShade="D9"/>
            <w:vAlign w:val="center"/>
          </w:tcPr>
          <w:p w:rsidR="00C07190" w:rsidRPr="009928B1" w:rsidRDefault="00C07190" w:rsidP="008F4251">
            <w:pPr>
              <w:jc w:val="center"/>
              <w:rPr>
                <w:rFonts w:eastAsia="Times New Roman" w:cs="Arial"/>
                <w:b/>
                <w:color w:val="000000"/>
                <w:szCs w:val="20"/>
                <w:lang w:eastAsia="pt-BR"/>
              </w:rPr>
            </w:pPr>
            <w:r w:rsidRPr="009928B1">
              <w:rPr>
                <w:rFonts w:eastAsia="Times New Roman" w:cs="Arial"/>
                <w:b/>
                <w:color w:val="000000"/>
                <w:szCs w:val="20"/>
                <w:lang w:eastAsia="pt-BR"/>
              </w:rPr>
              <w:t>TOTAL</w:t>
            </w:r>
          </w:p>
        </w:tc>
        <w:tc>
          <w:tcPr>
            <w:tcW w:w="3064" w:type="dxa"/>
            <w:tcBorders>
              <w:top w:val="nil"/>
              <w:left w:val="nil"/>
              <w:bottom w:val="single" w:sz="8" w:space="0" w:color="auto"/>
              <w:right w:val="single" w:sz="8" w:space="0" w:color="auto"/>
            </w:tcBorders>
            <w:shd w:val="clear" w:color="auto" w:fill="D9D9D9" w:themeFill="background1" w:themeFillShade="D9"/>
            <w:vAlign w:val="center"/>
          </w:tcPr>
          <w:p w:rsidR="00C07190" w:rsidRPr="009928B1" w:rsidRDefault="00C07190" w:rsidP="008F4251">
            <w:pPr>
              <w:jc w:val="left"/>
              <w:rPr>
                <w:rFonts w:eastAsia="Times New Roman" w:cs="Arial"/>
                <w:b/>
                <w:color w:val="000000"/>
                <w:szCs w:val="20"/>
                <w:lang w:eastAsia="pt-BR"/>
              </w:rPr>
            </w:pPr>
          </w:p>
        </w:tc>
        <w:tc>
          <w:tcPr>
            <w:tcW w:w="2377" w:type="dxa"/>
            <w:tcBorders>
              <w:top w:val="nil"/>
              <w:left w:val="nil"/>
              <w:bottom w:val="single" w:sz="8" w:space="0" w:color="auto"/>
              <w:right w:val="single" w:sz="8" w:space="0" w:color="auto"/>
            </w:tcBorders>
            <w:shd w:val="clear" w:color="auto" w:fill="D9D9D9" w:themeFill="background1" w:themeFillShade="D9"/>
            <w:noWrap/>
            <w:vAlign w:val="center"/>
          </w:tcPr>
          <w:p w:rsidR="00C07190" w:rsidRPr="009928B1" w:rsidRDefault="00C07190" w:rsidP="008F4251">
            <w:pPr>
              <w:jc w:val="right"/>
              <w:rPr>
                <w:rFonts w:eastAsia="Times New Roman" w:cs="Arial"/>
                <w:b/>
                <w:color w:val="000000"/>
                <w:szCs w:val="20"/>
                <w:lang w:eastAsia="pt-BR"/>
              </w:rPr>
            </w:pPr>
          </w:p>
        </w:tc>
        <w:tc>
          <w:tcPr>
            <w:tcW w:w="2028" w:type="dxa"/>
            <w:tcBorders>
              <w:top w:val="nil"/>
              <w:left w:val="nil"/>
              <w:bottom w:val="single" w:sz="8" w:space="0" w:color="auto"/>
              <w:right w:val="single" w:sz="8" w:space="0" w:color="auto"/>
            </w:tcBorders>
            <w:shd w:val="clear" w:color="auto" w:fill="D9D9D9" w:themeFill="background1" w:themeFillShade="D9"/>
          </w:tcPr>
          <w:p w:rsidR="00C07190" w:rsidRPr="009928B1" w:rsidRDefault="00C07190" w:rsidP="008F4251">
            <w:pPr>
              <w:jc w:val="right"/>
              <w:rPr>
                <w:rFonts w:eastAsia="Times New Roman" w:cs="Arial"/>
                <w:b/>
                <w:color w:val="000000"/>
                <w:szCs w:val="20"/>
                <w:lang w:eastAsia="pt-BR"/>
              </w:rPr>
            </w:pPr>
            <w:r>
              <w:rPr>
                <w:rFonts w:eastAsia="Times New Roman" w:cs="Arial"/>
                <w:b/>
                <w:color w:val="000000"/>
                <w:szCs w:val="20"/>
                <w:lang w:eastAsia="pt-BR"/>
              </w:rPr>
              <w:t>5.008.060,42</w:t>
            </w:r>
          </w:p>
        </w:tc>
      </w:tr>
    </w:tbl>
    <w:p w:rsidR="00C07190" w:rsidRPr="00056D32" w:rsidRDefault="00C07190" w:rsidP="00C07190">
      <w:pPr>
        <w:pStyle w:val="PargrafodaLista"/>
        <w:rPr>
          <w:rFonts w:cs="Arial"/>
          <w:b/>
          <w:sz w:val="18"/>
          <w:szCs w:val="18"/>
        </w:rPr>
      </w:pPr>
      <w:r w:rsidRPr="00056D32">
        <w:rPr>
          <w:rFonts w:cs="Arial"/>
          <w:b/>
          <w:sz w:val="18"/>
          <w:szCs w:val="18"/>
        </w:rPr>
        <w:t>* Em fase de devolução</w:t>
      </w:r>
    </w:p>
    <w:p w:rsidR="00C07190" w:rsidRDefault="00C07190" w:rsidP="00C07190">
      <w:pPr>
        <w:rPr>
          <w:rFonts w:cs="Arial"/>
          <w:b/>
          <w:sz w:val="22"/>
        </w:rPr>
      </w:pPr>
    </w:p>
    <w:p w:rsidR="00C07190" w:rsidRPr="009928B1" w:rsidRDefault="00C07190" w:rsidP="00C07190">
      <w:pPr>
        <w:rPr>
          <w:rFonts w:cs="Arial"/>
          <w:sz w:val="22"/>
        </w:rPr>
      </w:pPr>
      <w:r w:rsidRPr="009928B1">
        <w:rPr>
          <w:rFonts w:cs="Arial"/>
          <w:sz w:val="22"/>
        </w:rPr>
        <w:t>Os valores representam o percentual em metros quadrados que a ANP ocupa em relação ao valor do imóvel disponível no SPIU e/ou do valor venal do imóvel.</w:t>
      </w:r>
    </w:p>
    <w:p w:rsidR="00C07190" w:rsidRDefault="00C07190" w:rsidP="00C07190">
      <w:pPr>
        <w:rPr>
          <w:rFonts w:cs="Arial"/>
          <w:b/>
          <w:sz w:val="22"/>
        </w:rPr>
      </w:pPr>
    </w:p>
    <w:p w:rsidR="00C07190" w:rsidRPr="009928B1" w:rsidRDefault="00C07190" w:rsidP="00C07190">
      <w:pPr>
        <w:rPr>
          <w:rFonts w:cs="Arial"/>
          <w:sz w:val="22"/>
        </w:rPr>
      </w:pPr>
      <w:r w:rsidRPr="009928B1">
        <w:rPr>
          <w:rFonts w:cs="Arial"/>
          <w:sz w:val="22"/>
        </w:rPr>
        <w:t>O núcleo de Manaus – não possui esse registro pois o imóvel cedido pelo CENSIPAM ainda se encontra registrado em nome da União.</w:t>
      </w:r>
    </w:p>
    <w:p w:rsidR="00C07190" w:rsidRDefault="00C07190" w:rsidP="00C07190">
      <w:pPr>
        <w:rPr>
          <w:rFonts w:cs="Arial"/>
          <w:b/>
          <w:sz w:val="22"/>
        </w:rPr>
      </w:pPr>
    </w:p>
    <w:p w:rsidR="00C07190" w:rsidRDefault="00C07190" w:rsidP="00C07190">
      <w:pPr>
        <w:rPr>
          <w:rFonts w:cs="Arial"/>
          <w:b/>
          <w:sz w:val="22"/>
        </w:rPr>
      </w:pPr>
      <w:r>
        <w:rPr>
          <w:rFonts w:cs="Arial"/>
          <w:b/>
          <w:sz w:val="22"/>
        </w:rPr>
        <w:t xml:space="preserve">6.6 Diversos Responsáveis (Desfalques, Desvios e Pagamentos sem respaldo </w:t>
      </w:r>
      <w:proofErr w:type="gramStart"/>
      <w:r>
        <w:rPr>
          <w:rFonts w:cs="Arial"/>
          <w:b/>
          <w:sz w:val="22"/>
        </w:rPr>
        <w:t>Orçamentário )</w:t>
      </w:r>
      <w:proofErr w:type="gramEnd"/>
    </w:p>
    <w:p w:rsidR="00C07190" w:rsidRDefault="00C07190" w:rsidP="00C07190">
      <w:pPr>
        <w:rPr>
          <w:rFonts w:cs="Arial"/>
          <w:b/>
          <w:sz w:val="22"/>
        </w:rPr>
      </w:pPr>
    </w:p>
    <w:p w:rsidR="00C07190" w:rsidRDefault="00C07190" w:rsidP="00C07190">
      <w:pPr>
        <w:rPr>
          <w:rFonts w:cs="Arial"/>
          <w:sz w:val="22"/>
        </w:rPr>
      </w:pPr>
      <w:r w:rsidRPr="005E406D">
        <w:rPr>
          <w:rFonts w:cs="Arial"/>
          <w:sz w:val="22"/>
        </w:rPr>
        <w:t>Em 31/12/201</w:t>
      </w:r>
      <w:r>
        <w:rPr>
          <w:rFonts w:cs="Arial"/>
          <w:sz w:val="22"/>
        </w:rPr>
        <w:t>9</w:t>
      </w:r>
      <w:r w:rsidRPr="005E406D">
        <w:rPr>
          <w:rFonts w:cs="Arial"/>
          <w:sz w:val="22"/>
        </w:rPr>
        <w:t xml:space="preserve">, a ANP possuía junto ao TCU dois processos </w:t>
      </w:r>
      <w:r>
        <w:rPr>
          <w:rFonts w:cs="Arial"/>
          <w:sz w:val="22"/>
        </w:rPr>
        <w:t>pendentes de julgamento</w:t>
      </w:r>
      <w:r w:rsidRPr="005E406D">
        <w:rPr>
          <w:rFonts w:cs="Arial"/>
          <w:sz w:val="22"/>
        </w:rPr>
        <w:t>, totalizando R$ 223.243,55</w:t>
      </w:r>
      <w:r>
        <w:rPr>
          <w:rFonts w:cs="Arial"/>
          <w:sz w:val="22"/>
        </w:rPr>
        <w:t>.</w:t>
      </w:r>
    </w:p>
    <w:p w:rsidR="00C07190" w:rsidRDefault="00C07190" w:rsidP="00C07190">
      <w:pPr>
        <w:rPr>
          <w:rFonts w:cs="Arial"/>
          <w:b/>
          <w:sz w:val="22"/>
        </w:rPr>
      </w:pPr>
    </w:p>
    <w:p w:rsidR="00C07190" w:rsidRDefault="00C07190" w:rsidP="00C07190">
      <w:pPr>
        <w:rPr>
          <w:rFonts w:cs="Arial"/>
          <w:b/>
          <w:sz w:val="22"/>
        </w:rPr>
      </w:pPr>
      <w:r>
        <w:rPr>
          <w:rFonts w:cs="Arial"/>
          <w:b/>
          <w:sz w:val="22"/>
        </w:rPr>
        <w:t>6.7 Precatórios – Ver Nota Explicativa 5, item 5.3</w:t>
      </w:r>
    </w:p>
    <w:p w:rsidR="00C07190" w:rsidRDefault="00C07190" w:rsidP="00C07190">
      <w:pPr>
        <w:rPr>
          <w:rFonts w:cs="Arial"/>
          <w:b/>
          <w:sz w:val="22"/>
        </w:rPr>
      </w:pPr>
    </w:p>
    <w:p w:rsidR="00C07190" w:rsidRDefault="00C07190" w:rsidP="00C07190">
      <w:pPr>
        <w:rPr>
          <w:rFonts w:cs="Arial"/>
          <w:b/>
          <w:sz w:val="22"/>
        </w:rPr>
      </w:pPr>
      <w:r>
        <w:rPr>
          <w:rFonts w:cs="Arial"/>
          <w:b/>
          <w:sz w:val="22"/>
        </w:rPr>
        <w:t>6.8 Execução de Riscos Fiscais (Subvenção óleo Diesel)</w:t>
      </w:r>
    </w:p>
    <w:p w:rsidR="00C07190" w:rsidRDefault="00C07190" w:rsidP="00C07190">
      <w:pPr>
        <w:rPr>
          <w:rFonts w:cs="Arial"/>
          <w:b/>
          <w:sz w:val="22"/>
        </w:rPr>
      </w:pPr>
    </w:p>
    <w:p w:rsidR="00C07190" w:rsidRPr="000824D7" w:rsidRDefault="00C07190" w:rsidP="00C07190">
      <w:pPr>
        <w:rPr>
          <w:rFonts w:cs="Arial"/>
          <w:sz w:val="22"/>
        </w:rPr>
      </w:pPr>
      <w:r w:rsidRPr="000824D7">
        <w:rPr>
          <w:rFonts w:cs="Arial"/>
          <w:sz w:val="22"/>
        </w:rPr>
        <w:t>Em conform</w:t>
      </w:r>
      <w:r>
        <w:rPr>
          <w:rFonts w:cs="Arial"/>
          <w:sz w:val="22"/>
        </w:rPr>
        <w:t xml:space="preserve">idade com a </w:t>
      </w:r>
      <w:r w:rsidRPr="000824D7">
        <w:rPr>
          <w:rFonts w:cs="Arial"/>
          <w:sz w:val="22"/>
        </w:rPr>
        <w:t>MP</w:t>
      </w:r>
      <w:r>
        <w:rPr>
          <w:rFonts w:cs="Arial"/>
          <w:sz w:val="22"/>
        </w:rPr>
        <w:t xml:space="preserve"> 838/2018, regulamentada pelo </w:t>
      </w:r>
      <w:r w:rsidRPr="000824D7">
        <w:rPr>
          <w:rFonts w:cs="Arial"/>
          <w:sz w:val="22"/>
        </w:rPr>
        <w:t>decreto</w:t>
      </w:r>
      <w:r>
        <w:rPr>
          <w:rFonts w:cs="Arial"/>
          <w:sz w:val="22"/>
        </w:rPr>
        <w:t xml:space="preserve"> 9403/2018 e Regulamento Interno da ANP, </w:t>
      </w:r>
      <w:r w:rsidRPr="000824D7">
        <w:rPr>
          <w:rFonts w:cs="Arial"/>
          <w:sz w:val="22"/>
        </w:rPr>
        <w:t>foi</w:t>
      </w:r>
      <w:r>
        <w:rPr>
          <w:rFonts w:cs="Arial"/>
          <w:sz w:val="22"/>
        </w:rPr>
        <w:t xml:space="preserve"> determinada a </w:t>
      </w:r>
      <w:r w:rsidRPr="000824D7">
        <w:rPr>
          <w:rFonts w:cs="Arial"/>
          <w:sz w:val="22"/>
        </w:rPr>
        <w:t>concessão de subvenção econômica à</w:t>
      </w:r>
      <w:r>
        <w:rPr>
          <w:rFonts w:cs="Arial"/>
          <w:sz w:val="22"/>
        </w:rPr>
        <w:t xml:space="preserve"> comercialização de óleo diesel. Segundo o artigo 5º da referida MP, o valor máximo para tal subsídio é de </w:t>
      </w:r>
      <w:r w:rsidRPr="000824D7">
        <w:rPr>
          <w:rFonts w:cs="Arial"/>
          <w:sz w:val="22"/>
        </w:rPr>
        <w:t>R$ 9</w:t>
      </w:r>
      <w:r>
        <w:rPr>
          <w:rFonts w:cs="Arial"/>
          <w:sz w:val="22"/>
        </w:rPr>
        <w:t>,</w:t>
      </w:r>
      <w:r w:rsidRPr="000824D7">
        <w:rPr>
          <w:rFonts w:cs="Arial"/>
          <w:sz w:val="22"/>
        </w:rPr>
        <w:t>5</w:t>
      </w:r>
      <w:r>
        <w:rPr>
          <w:rFonts w:cs="Arial"/>
          <w:sz w:val="22"/>
        </w:rPr>
        <w:t xml:space="preserve"> bilhão.</w:t>
      </w:r>
    </w:p>
    <w:p w:rsidR="00C07190" w:rsidRPr="000824D7" w:rsidRDefault="00C07190" w:rsidP="00C07190">
      <w:pPr>
        <w:rPr>
          <w:rFonts w:cs="Arial"/>
          <w:sz w:val="22"/>
        </w:rPr>
      </w:pPr>
    </w:p>
    <w:p w:rsidR="00C07190" w:rsidRDefault="00C07190" w:rsidP="00C07190">
      <w:pPr>
        <w:rPr>
          <w:rFonts w:cs="Arial"/>
          <w:sz w:val="22"/>
        </w:rPr>
      </w:pPr>
      <w:r>
        <w:rPr>
          <w:rFonts w:cs="Arial"/>
          <w:sz w:val="22"/>
        </w:rPr>
        <w:t xml:space="preserve">No exercício de </w:t>
      </w:r>
      <w:r w:rsidRPr="000824D7">
        <w:rPr>
          <w:rFonts w:cs="Arial"/>
          <w:sz w:val="22"/>
        </w:rPr>
        <w:t>201</w:t>
      </w:r>
      <w:r>
        <w:rPr>
          <w:rFonts w:cs="Arial"/>
          <w:sz w:val="22"/>
        </w:rPr>
        <w:t>9</w:t>
      </w:r>
      <w:r w:rsidRPr="000824D7">
        <w:rPr>
          <w:rFonts w:cs="Arial"/>
          <w:sz w:val="22"/>
        </w:rPr>
        <w:t xml:space="preserve">, foram pagos </w:t>
      </w:r>
      <w:r>
        <w:rPr>
          <w:rFonts w:cs="Arial"/>
          <w:sz w:val="22"/>
        </w:rPr>
        <w:t xml:space="preserve">mais de </w:t>
      </w:r>
      <w:r w:rsidRPr="000824D7">
        <w:rPr>
          <w:rFonts w:cs="Arial"/>
          <w:sz w:val="22"/>
        </w:rPr>
        <w:t xml:space="preserve">R$ </w:t>
      </w:r>
      <w:r>
        <w:rPr>
          <w:rFonts w:cs="Arial"/>
          <w:sz w:val="22"/>
        </w:rPr>
        <w:t xml:space="preserve">1,9 bilhões </w:t>
      </w:r>
      <w:r w:rsidRPr="000824D7">
        <w:rPr>
          <w:rFonts w:cs="Arial"/>
          <w:sz w:val="22"/>
        </w:rPr>
        <w:t xml:space="preserve">em </w:t>
      </w:r>
      <w:r>
        <w:rPr>
          <w:rFonts w:cs="Arial"/>
          <w:sz w:val="22"/>
        </w:rPr>
        <w:t>s</w:t>
      </w:r>
      <w:r w:rsidRPr="000824D7">
        <w:rPr>
          <w:rFonts w:cs="Arial"/>
          <w:sz w:val="22"/>
        </w:rPr>
        <w:t>ubvenções às empresas que fizeram jus mediante as condições estabelecidas na legislação. Esse valor pode ser demonstrado da seguinte forma:</w:t>
      </w:r>
    </w:p>
    <w:p w:rsidR="00C07190" w:rsidRDefault="00C07190" w:rsidP="00C07190">
      <w:pPr>
        <w:rPr>
          <w:rFonts w:cs="Arial"/>
          <w:sz w:val="22"/>
        </w:rPr>
      </w:pPr>
    </w:p>
    <w:tbl>
      <w:tblPr>
        <w:tblW w:w="6341" w:type="dxa"/>
        <w:tblCellMar>
          <w:left w:w="70" w:type="dxa"/>
          <w:right w:w="70" w:type="dxa"/>
        </w:tblCellMar>
        <w:tblLook w:val="04A0" w:firstRow="1" w:lastRow="0" w:firstColumn="1" w:lastColumn="0" w:noHBand="0" w:noVBand="1"/>
      </w:tblPr>
      <w:tblGrid>
        <w:gridCol w:w="3119"/>
        <w:gridCol w:w="2161"/>
        <w:gridCol w:w="1061"/>
      </w:tblGrid>
      <w:tr w:rsidR="00C07190" w:rsidRPr="00FF5ACF" w:rsidTr="008F4251">
        <w:trPr>
          <w:trHeight w:val="255"/>
        </w:trPr>
        <w:tc>
          <w:tcPr>
            <w:tcW w:w="3119" w:type="dxa"/>
            <w:tcBorders>
              <w:top w:val="single" w:sz="4" w:space="0" w:color="000000"/>
              <w:left w:val="nil"/>
              <w:bottom w:val="single" w:sz="4" w:space="0" w:color="000000"/>
              <w:right w:val="nil"/>
            </w:tcBorders>
            <w:shd w:val="clear" w:color="auto" w:fill="auto"/>
            <w:noWrap/>
            <w:vAlign w:val="bottom"/>
          </w:tcPr>
          <w:p w:rsidR="00C07190" w:rsidRPr="00B03A36" w:rsidRDefault="00C07190" w:rsidP="008F4251">
            <w:pPr>
              <w:jc w:val="left"/>
              <w:rPr>
                <w:rFonts w:eastAsia="Times New Roman" w:cs="Arial"/>
                <w:b/>
                <w:bCs/>
                <w:szCs w:val="20"/>
                <w:lang w:eastAsia="pt-BR"/>
              </w:rPr>
            </w:pPr>
            <w:r>
              <w:rPr>
                <w:rFonts w:cs="Arial"/>
                <w:b/>
                <w:sz w:val="22"/>
              </w:rPr>
              <w:t xml:space="preserve"> </w:t>
            </w:r>
            <w:r w:rsidRPr="00B03A36">
              <w:rPr>
                <w:rFonts w:eastAsia="Times New Roman" w:cs="Arial"/>
                <w:b/>
                <w:bCs/>
                <w:szCs w:val="20"/>
                <w:lang w:eastAsia="pt-BR"/>
              </w:rPr>
              <w:t>TIPO</w:t>
            </w:r>
          </w:p>
        </w:tc>
        <w:tc>
          <w:tcPr>
            <w:tcW w:w="2161" w:type="dxa"/>
            <w:tcBorders>
              <w:top w:val="single" w:sz="4" w:space="0" w:color="000000"/>
              <w:left w:val="nil"/>
              <w:bottom w:val="single" w:sz="4" w:space="0" w:color="000000"/>
              <w:right w:val="nil"/>
            </w:tcBorders>
            <w:shd w:val="clear" w:color="auto" w:fill="auto"/>
            <w:noWrap/>
            <w:vAlign w:val="bottom"/>
            <w:hideMark/>
          </w:tcPr>
          <w:p w:rsidR="00C07190" w:rsidRPr="00B03A36" w:rsidRDefault="00C07190" w:rsidP="008F4251">
            <w:pPr>
              <w:jc w:val="right"/>
              <w:rPr>
                <w:rFonts w:eastAsia="Times New Roman" w:cs="Arial"/>
                <w:b/>
                <w:bCs/>
                <w:color w:val="000000"/>
                <w:szCs w:val="20"/>
                <w:lang w:eastAsia="pt-BR"/>
              </w:rPr>
            </w:pPr>
            <w:r w:rsidRPr="00B03A36">
              <w:rPr>
                <w:rFonts w:eastAsia="Times New Roman" w:cs="Arial"/>
                <w:b/>
                <w:bCs/>
                <w:color w:val="000000"/>
                <w:szCs w:val="20"/>
                <w:lang w:eastAsia="pt-BR"/>
              </w:rPr>
              <w:t>31/12/201</w:t>
            </w:r>
            <w:r>
              <w:rPr>
                <w:rFonts w:eastAsia="Times New Roman" w:cs="Arial"/>
                <w:b/>
                <w:bCs/>
                <w:color w:val="000000"/>
                <w:szCs w:val="20"/>
                <w:lang w:eastAsia="pt-BR"/>
              </w:rPr>
              <w:t>9</w:t>
            </w:r>
          </w:p>
        </w:tc>
        <w:tc>
          <w:tcPr>
            <w:tcW w:w="1061" w:type="dxa"/>
            <w:tcBorders>
              <w:top w:val="single" w:sz="4" w:space="0" w:color="000000"/>
              <w:left w:val="nil"/>
              <w:bottom w:val="single" w:sz="4" w:space="0" w:color="000000"/>
              <w:right w:val="nil"/>
            </w:tcBorders>
            <w:shd w:val="clear" w:color="auto" w:fill="auto"/>
            <w:noWrap/>
            <w:vAlign w:val="bottom"/>
            <w:hideMark/>
          </w:tcPr>
          <w:p w:rsidR="00C07190" w:rsidRPr="00FF5ACF" w:rsidRDefault="00C07190" w:rsidP="008F4251">
            <w:pPr>
              <w:jc w:val="right"/>
              <w:rPr>
                <w:rFonts w:eastAsia="Times New Roman" w:cs="Arial"/>
                <w:b/>
                <w:bCs/>
                <w:color w:val="000000"/>
                <w:szCs w:val="20"/>
                <w:lang w:eastAsia="pt-BR"/>
              </w:rPr>
            </w:pPr>
            <w:r w:rsidRPr="00B03A36">
              <w:rPr>
                <w:rFonts w:eastAsia="Times New Roman" w:cs="Arial"/>
                <w:b/>
                <w:bCs/>
                <w:color w:val="000000"/>
                <w:szCs w:val="20"/>
                <w:lang w:eastAsia="pt-BR"/>
              </w:rPr>
              <w:t>AV (%)</w:t>
            </w:r>
          </w:p>
        </w:tc>
      </w:tr>
      <w:tr w:rsidR="00C07190" w:rsidRPr="00FF5ACF" w:rsidTr="008F4251">
        <w:trPr>
          <w:trHeight w:val="510"/>
        </w:trPr>
        <w:tc>
          <w:tcPr>
            <w:tcW w:w="3119" w:type="dxa"/>
            <w:tcBorders>
              <w:top w:val="nil"/>
              <w:left w:val="nil"/>
              <w:bottom w:val="nil"/>
              <w:right w:val="nil"/>
            </w:tcBorders>
            <w:shd w:val="clear" w:color="auto" w:fill="D9D9D9" w:themeFill="background1" w:themeFillShade="D9"/>
            <w:noWrap/>
            <w:vAlign w:val="bottom"/>
            <w:hideMark/>
          </w:tcPr>
          <w:p w:rsidR="00C07190" w:rsidRPr="00FF5ACF" w:rsidRDefault="00C07190" w:rsidP="008F4251">
            <w:pPr>
              <w:jc w:val="left"/>
              <w:rPr>
                <w:rFonts w:eastAsia="Times New Roman" w:cs="Arial"/>
                <w:color w:val="000000"/>
                <w:szCs w:val="20"/>
                <w:lang w:eastAsia="pt-BR"/>
              </w:rPr>
            </w:pPr>
            <w:r>
              <w:rPr>
                <w:rFonts w:eastAsia="Times New Roman" w:cs="Arial"/>
                <w:color w:val="000000"/>
                <w:szCs w:val="20"/>
                <w:lang w:eastAsia="pt-BR"/>
              </w:rPr>
              <w:t>Subvenção</w:t>
            </w:r>
          </w:p>
        </w:tc>
        <w:tc>
          <w:tcPr>
            <w:tcW w:w="2161" w:type="dxa"/>
            <w:tcBorders>
              <w:top w:val="nil"/>
              <w:left w:val="nil"/>
              <w:bottom w:val="nil"/>
              <w:right w:val="nil"/>
            </w:tcBorders>
            <w:shd w:val="clear" w:color="auto" w:fill="D9D9D9" w:themeFill="background1" w:themeFillShade="D9"/>
            <w:noWrap/>
            <w:vAlign w:val="bottom"/>
            <w:hideMark/>
          </w:tcPr>
          <w:p w:rsidR="00C07190" w:rsidRPr="00FF5ACF" w:rsidRDefault="00C07190" w:rsidP="008F4251">
            <w:pPr>
              <w:jc w:val="right"/>
              <w:rPr>
                <w:rFonts w:eastAsia="Times New Roman" w:cs="Arial"/>
                <w:color w:val="000000"/>
                <w:szCs w:val="20"/>
                <w:lang w:eastAsia="pt-BR"/>
              </w:rPr>
            </w:pPr>
            <w:r>
              <w:rPr>
                <w:rFonts w:ascii="Calibri" w:hAnsi="Calibri" w:cs="Calibri"/>
                <w:color w:val="000000"/>
                <w:sz w:val="22"/>
              </w:rPr>
              <w:t>1.973.536.392,94</w:t>
            </w:r>
          </w:p>
        </w:tc>
        <w:tc>
          <w:tcPr>
            <w:tcW w:w="1061" w:type="dxa"/>
            <w:tcBorders>
              <w:top w:val="nil"/>
              <w:left w:val="nil"/>
              <w:bottom w:val="nil"/>
              <w:right w:val="nil"/>
            </w:tcBorders>
            <w:shd w:val="clear" w:color="auto" w:fill="D9D9D9" w:themeFill="background1" w:themeFillShade="D9"/>
            <w:noWrap/>
            <w:vAlign w:val="bottom"/>
            <w:hideMark/>
          </w:tcPr>
          <w:p w:rsidR="00C07190" w:rsidRPr="00FF5ACF" w:rsidRDefault="00C07190" w:rsidP="008F4251">
            <w:pPr>
              <w:jc w:val="right"/>
              <w:rPr>
                <w:rFonts w:eastAsia="Times New Roman" w:cs="Arial"/>
                <w:color w:val="000000"/>
                <w:szCs w:val="20"/>
                <w:lang w:eastAsia="pt-BR"/>
              </w:rPr>
            </w:pPr>
            <w:r>
              <w:rPr>
                <w:rFonts w:eastAsia="Times New Roman" w:cs="Arial"/>
                <w:color w:val="000000"/>
                <w:szCs w:val="20"/>
                <w:lang w:eastAsia="pt-BR"/>
              </w:rPr>
              <w:t>99,92</w:t>
            </w:r>
          </w:p>
        </w:tc>
      </w:tr>
      <w:tr w:rsidR="00C07190" w:rsidRPr="00FF5ACF" w:rsidTr="008F4251">
        <w:trPr>
          <w:trHeight w:val="510"/>
        </w:trPr>
        <w:tc>
          <w:tcPr>
            <w:tcW w:w="3119" w:type="dxa"/>
            <w:tcBorders>
              <w:top w:val="nil"/>
              <w:left w:val="nil"/>
              <w:bottom w:val="nil"/>
              <w:right w:val="nil"/>
            </w:tcBorders>
            <w:shd w:val="clear" w:color="auto" w:fill="auto"/>
            <w:noWrap/>
            <w:vAlign w:val="bottom"/>
            <w:hideMark/>
          </w:tcPr>
          <w:p w:rsidR="00C07190" w:rsidRPr="00FF5ACF" w:rsidRDefault="00C07190" w:rsidP="008F4251">
            <w:pPr>
              <w:jc w:val="left"/>
              <w:rPr>
                <w:rFonts w:eastAsia="Times New Roman" w:cs="Arial"/>
                <w:color w:val="000000"/>
                <w:szCs w:val="20"/>
                <w:lang w:eastAsia="pt-BR"/>
              </w:rPr>
            </w:pPr>
            <w:r>
              <w:rPr>
                <w:rFonts w:eastAsia="Times New Roman" w:cs="Arial"/>
                <w:color w:val="000000"/>
                <w:szCs w:val="20"/>
                <w:lang w:eastAsia="pt-BR"/>
              </w:rPr>
              <w:t>Atualização Monetária - SELIC (</w:t>
            </w:r>
            <w:proofErr w:type="spellStart"/>
            <w:r>
              <w:rPr>
                <w:rFonts w:eastAsia="Times New Roman" w:cs="Arial"/>
                <w:color w:val="000000"/>
                <w:szCs w:val="20"/>
                <w:lang w:eastAsia="pt-BR"/>
              </w:rPr>
              <w:t>art</w:t>
            </w:r>
            <w:proofErr w:type="spellEnd"/>
            <w:r>
              <w:rPr>
                <w:rFonts w:eastAsia="Times New Roman" w:cs="Arial"/>
                <w:color w:val="000000"/>
                <w:szCs w:val="20"/>
                <w:lang w:eastAsia="pt-BR"/>
              </w:rPr>
              <w:t xml:space="preserve"> 6º, § 4 do decreto)</w:t>
            </w:r>
          </w:p>
        </w:tc>
        <w:tc>
          <w:tcPr>
            <w:tcW w:w="2161" w:type="dxa"/>
            <w:tcBorders>
              <w:top w:val="nil"/>
              <w:left w:val="nil"/>
              <w:bottom w:val="nil"/>
              <w:right w:val="nil"/>
            </w:tcBorders>
            <w:shd w:val="clear" w:color="auto" w:fill="auto"/>
            <w:noWrap/>
            <w:vAlign w:val="bottom"/>
            <w:hideMark/>
          </w:tcPr>
          <w:p w:rsidR="00C07190" w:rsidRPr="00FF5ACF" w:rsidRDefault="00C07190" w:rsidP="008F4251">
            <w:pPr>
              <w:jc w:val="right"/>
              <w:rPr>
                <w:rFonts w:eastAsia="Times New Roman" w:cs="Arial"/>
                <w:color w:val="000000"/>
                <w:szCs w:val="20"/>
                <w:lang w:eastAsia="pt-BR"/>
              </w:rPr>
            </w:pPr>
            <w:r w:rsidRPr="00AB016E">
              <w:rPr>
                <w:rFonts w:eastAsia="Times New Roman" w:cs="Arial"/>
                <w:color w:val="000000"/>
                <w:szCs w:val="20"/>
                <w:lang w:eastAsia="pt-BR"/>
              </w:rPr>
              <w:t>1</w:t>
            </w:r>
            <w:r>
              <w:rPr>
                <w:rFonts w:eastAsia="Times New Roman" w:cs="Arial"/>
                <w:color w:val="000000"/>
                <w:szCs w:val="20"/>
                <w:lang w:eastAsia="pt-BR"/>
              </w:rPr>
              <w:t>.</w:t>
            </w:r>
            <w:r w:rsidRPr="00AB016E">
              <w:rPr>
                <w:rFonts w:eastAsia="Times New Roman" w:cs="Arial"/>
                <w:color w:val="000000"/>
                <w:szCs w:val="20"/>
                <w:lang w:eastAsia="pt-BR"/>
              </w:rPr>
              <w:t>521</w:t>
            </w:r>
            <w:r>
              <w:rPr>
                <w:rFonts w:eastAsia="Times New Roman" w:cs="Arial"/>
                <w:color w:val="000000"/>
                <w:szCs w:val="20"/>
                <w:lang w:eastAsia="pt-BR"/>
              </w:rPr>
              <w:t>.</w:t>
            </w:r>
            <w:r w:rsidRPr="00AB016E">
              <w:rPr>
                <w:rFonts w:eastAsia="Times New Roman" w:cs="Arial"/>
                <w:color w:val="000000"/>
                <w:szCs w:val="20"/>
                <w:lang w:eastAsia="pt-BR"/>
              </w:rPr>
              <w:t>452,67</w:t>
            </w:r>
          </w:p>
        </w:tc>
        <w:tc>
          <w:tcPr>
            <w:tcW w:w="1061" w:type="dxa"/>
            <w:tcBorders>
              <w:top w:val="nil"/>
              <w:left w:val="nil"/>
              <w:bottom w:val="nil"/>
              <w:right w:val="nil"/>
            </w:tcBorders>
            <w:shd w:val="clear" w:color="auto" w:fill="auto"/>
            <w:noWrap/>
            <w:vAlign w:val="bottom"/>
            <w:hideMark/>
          </w:tcPr>
          <w:p w:rsidR="00C07190" w:rsidRPr="00FF5ACF" w:rsidRDefault="00C07190" w:rsidP="008F4251">
            <w:pPr>
              <w:jc w:val="right"/>
              <w:rPr>
                <w:rFonts w:eastAsia="Times New Roman" w:cs="Arial"/>
                <w:color w:val="000000"/>
                <w:szCs w:val="20"/>
                <w:lang w:eastAsia="pt-BR"/>
              </w:rPr>
            </w:pPr>
            <w:r>
              <w:rPr>
                <w:rFonts w:eastAsia="Times New Roman" w:cs="Arial"/>
                <w:color w:val="000000"/>
                <w:szCs w:val="20"/>
                <w:lang w:eastAsia="pt-BR"/>
              </w:rPr>
              <w:t>0,08</w:t>
            </w:r>
          </w:p>
        </w:tc>
      </w:tr>
      <w:tr w:rsidR="00C07190" w:rsidRPr="00FF5ACF" w:rsidTr="008F4251">
        <w:trPr>
          <w:trHeight w:val="510"/>
        </w:trPr>
        <w:tc>
          <w:tcPr>
            <w:tcW w:w="3119" w:type="dxa"/>
            <w:tcBorders>
              <w:top w:val="nil"/>
              <w:left w:val="nil"/>
              <w:bottom w:val="nil"/>
              <w:right w:val="nil"/>
            </w:tcBorders>
            <w:shd w:val="clear" w:color="auto" w:fill="D9D9D9" w:themeFill="background1" w:themeFillShade="D9"/>
            <w:noWrap/>
            <w:vAlign w:val="bottom"/>
          </w:tcPr>
          <w:p w:rsidR="00C07190" w:rsidRPr="000824D7" w:rsidRDefault="00C07190" w:rsidP="008F4251">
            <w:pPr>
              <w:jc w:val="left"/>
              <w:rPr>
                <w:rFonts w:eastAsia="Times New Roman" w:cs="Arial"/>
                <w:b/>
                <w:color w:val="000000"/>
                <w:szCs w:val="20"/>
                <w:lang w:eastAsia="pt-BR"/>
              </w:rPr>
            </w:pPr>
            <w:r w:rsidRPr="000824D7">
              <w:rPr>
                <w:rFonts w:eastAsia="Times New Roman" w:cs="Arial"/>
                <w:b/>
                <w:color w:val="000000"/>
                <w:szCs w:val="20"/>
                <w:lang w:eastAsia="pt-BR"/>
              </w:rPr>
              <w:t>TOTAL</w:t>
            </w:r>
          </w:p>
        </w:tc>
        <w:tc>
          <w:tcPr>
            <w:tcW w:w="2161" w:type="dxa"/>
            <w:tcBorders>
              <w:top w:val="nil"/>
              <w:left w:val="nil"/>
              <w:bottom w:val="nil"/>
              <w:right w:val="nil"/>
            </w:tcBorders>
            <w:shd w:val="clear" w:color="auto" w:fill="D9D9D9" w:themeFill="background1" w:themeFillShade="D9"/>
            <w:noWrap/>
            <w:vAlign w:val="bottom"/>
          </w:tcPr>
          <w:p w:rsidR="00C07190" w:rsidRPr="00AB016E" w:rsidRDefault="00C07190" w:rsidP="008F4251">
            <w:pPr>
              <w:jc w:val="right"/>
              <w:rPr>
                <w:rFonts w:eastAsia="Times New Roman" w:cs="Arial"/>
                <w:b/>
                <w:color w:val="000000"/>
                <w:szCs w:val="20"/>
                <w:lang w:eastAsia="pt-BR"/>
              </w:rPr>
            </w:pPr>
            <w:r>
              <w:rPr>
                <w:rFonts w:ascii="Calibri" w:hAnsi="Calibri" w:cs="Calibri"/>
                <w:b/>
                <w:bCs/>
                <w:color w:val="000000"/>
                <w:sz w:val="22"/>
              </w:rPr>
              <w:t>1.975.057.845,61</w:t>
            </w:r>
          </w:p>
        </w:tc>
        <w:tc>
          <w:tcPr>
            <w:tcW w:w="1061" w:type="dxa"/>
            <w:tcBorders>
              <w:top w:val="nil"/>
              <w:left w:val="nil"/>
              <w:bottom w:val="nil"/>
              <w:right w:val="nil"/>
            </w:tcBorders>
            <w:shd w:val="clear" w:color="auto" w:fill="D9D9D9" w:themeFill="background1" w:themeFillShade="D9"/>
            <w:noWrap/>
            <w:vAlign w:val="bottom"/>
          </w:tcPr>
          <w:p w:rsidR="00C07190" w:rsidRDefault="00C07190" w:rsidP="008F4251">
            <w:pPr>
              <w:jc w:val="right"/>
              <w:rPr>
                <w:rFonts w:eastAsia="Times New Roman" w:cs="Arial"/>
                <w:color w:val="000000"/>
                <w:szCs w:val="20"/>
                <w:lang w:eastAsia="pt-BR"/>
              </w:rPr>
            </w:pPr>
            <w:r w:rsidRPr="000824D7">
              <w:rPr>
                <w:rFonts w:eastAsia="Times New Roman" w:cs="Arial"/>
                <w:b/>
                <w:color w:val="000000"/>
                <w:szCs w:val="20"/>
                <w:lang w:eastAsia="pt-BR"/>
              </w:rPr>
              <w:t>100,00</w:t>
            </w:r>
          </w:p>
        </w:tc>
      </w:tr>
    </w:tbl>
    <w:p w:rsidR="00C07190" w:rsidRPr="001B565C" w:rsidRDefault="00C07190" w:rsidP="00C07190">
      <w:pPr>
        <w:rPr>
          <w:rFonts w:cs="Arial"/>
          <w:sz w:val="14"/>
          <w:szCs w:val="14"/>
        </w:rPr>
      </w:pPr>
      <w:r w:rsidRPr="001B565C">
        <w:rPr>
          <w:i/>
          <w:noProof/>
          <w:sz w:val="14"/>
          <w:szCs w:val="14"/>
          <w:lang w:eastAsia="pt-BR"/>
        </w:rPr>
        <w:t>Fonte: SIAFI 201</w:t>
      </w:r>
      <w:r>
        <w:rPr>
          <w:i/>
          <w:noProof/>
          <w:sz w:val="14"/>
          <w:szCs w:val="14"/>
          <w:lang w:eastAsia="pt-BR"/>
        </w:rPr>
        <w:t>9</w:t>
      </w:r>
      <w:r w:rsidRPr="001B565C">
        <w:rPr>
          <w:i/>
          <w:noProof/>
          <w:sz w:val="14"/>
          <w:szCs w:val="14"/>
          <w:lang w:eastAsia="pt-BR"/>
        </w:rPr>
        <w:t xml:space="preserve"> e Planilhas de Controle.</w:t>
      </w:r>
    </w:p>
    <w:p w:rsidR="00C07190" w:rsidRPr="002A533A" w:rsidRDefault="00C07190" w:rsidP="00C07190">
      <w:pPr>
        <w:rPr>
          <w:rFonts w:cs="Arial"/>
          <w:b/>
          <w:szCs w:val="20"/>
        </w:rPr>
      </w:pPr>
    </w:p>
    <w:p w:rsidR="00C07190" w:rsidRPr="002A533A" w:rsidRDefault="00C07190" w:rsidP="00C07190">
      <w:pPr>
        <w:rPr>
          <w:rFonts w:cs="Arial"/>
          <w:b/>
          <w:szCs w:val="20"/>
        </w:rPr>
      </w:pPr>
      <w:r w:rsidRPr="002A533A">
        <w:rPr>
          <w:rFonts w:cs="Arial"/>
          <w:b/>
          <w:szCs w:val="20"/>
        </w:rPr>
        <w:t>Nota 0</w:t>
      </w:r>
      <w:r>
        <w:rPr>
          <w:rFonts w:cs="Arial"/>
          <w:b/>
          <w:szCs w:val="20"/>
        </w:rPr>
        <w:t>7</w:t>
      </w:r>
      <w:r w:rsidRPr="002A533A">
        <w:rPr>
          <w:rFonts w:cs="Arial"/>
          <w:b/>
          <w:szCs w:val="20"/>
        </w:rPr>
        <w:t xml:space="preserve"> – Ajustes de Exercícios Anteriores</w:t>
      </w:r>
    </w:p>
    <w:p w:rsidR="00C07190" w:rsidRPr="002A533A" w:rsidRDefault="00C07190" w:rsidP="00C07190">
      <w:pPr>
        <w:rPr>
          <w:rFonts w:cs="Arial"/>
          <w:szCs w:val="20"/>
        </w:rPr>
      </w:pPr>
    </w:p>
    <w:p w:rsidR="00C07190" w:rsidRPr="002A533A" w:rsidRDefault="00C07190" w:rsidP="00C07190">
      <w:pPr>
        <w:rPr>
          <w:rFonts w:cs="Arial"/>
          <w:szCs w:val="20"/>
        </w:rPr>
      </w:pPr>
      <w:r w:rsidRPr="002A533A">
        <w:rPr>
          <w:rFonts w:cs="Arial"/>
          <w:szCs w:val="20"/>
        </w:rPr>
        <w:t>Os ajustes de exercícios anteriores reconhecidos do exercício de 201</w:t>
      </w:r>
      <w:r>
        <w:rPr>
          <w:rFonts w:cs="Arial"/>
          <w:szCs w:val="20"/>
        </w:rPr>
        <w:t>9</w:t>
      </w:r>
      <w:r w:rsidRPr="002A533A">
        <w:rPr>
          <w:rFonts w:cs="Arial"/>
          <w:szCs w:val="20"/>
        </w:rPr>
        <w:t xml:space="preserve"> referem-se a erros imputados a exercícios anteriores bem como à mudança de política contábil. </w:t>
      </w:r>
    </w:p>
    <w:p w:rsidR="00C07190" w:rsidRPr="002A533A" w:rsidRDefault="00C07190" w:rsidP="00C07190">
      <w:pPr>
        <w:rPr>
          <w:rFonts w:cs="Arial"/>
          <w:szCs w:val="20"/>
        </w:rPr>
      </w:pPr>
    </w:p>
    <w:p w:rsidR="00C07190" w:rsidRPr="002A533A" w:rsidRDefault="00C07190" w:rsidP="00C07190">
      <w:pPr>
        <w:rPr>
          <w:rFonts w:cs="Arial"/>
          <w:szCs w:val="20"/>
        </w:rPr>
      </w:pPr>
      <w:r w:rsidRPr="002A533A">
        <w:rPr>
          <w:rFonts w:cs="Arial"/>
          <w:szCs w:val="20"/>
        </w:rPr>
        <w:t>A seguir, apresenta-se a tabela com a variações dos Ajustes de Exercícios Anteriores:</w:t>
      </w:r>
    </w:p>
    <w:p w:rsidR="00C07190" w:rsidRPr="002A533A" w:rsidRDefault="00C07190" w:rsidP="00C07190">
      <w:pPr>
        <w:rPr>
          <w:rFonts w:cs="Arial"/>
          <w:szCs w:val="20"/>
        </w:rPr>
      </w:pPr>
    </w:p>
    <w:p w:rsidR="00C07190" w:rsidRPr="002A533A" w:rsidRDefault="00C07190" w:rsidP="00C07190">
      <w:pPr>
        <w:rPr>
          <w:rFonts w:cs="Arial"/>
          <w:b/>
          <w:szCs w:val="20"/>
        </w:rPr>
      </w:pPr>
      <w:r w:rsidRPr="002A533A">
        <w:rPr>
          <w:rFonts w:cs="Arial"/>
          <w:b/>
          <w:szCs w:val="20"/>
        </w:rPr>
        <w:t>Tabela</w:t>
      </w:r>
      <w:r>
        <w:rPr>
          <w:rFonts w:cs="Arial"/>
          <w:b/>
          <w:szCs w:val="20"/>
        </w:rPr>
        <w:t xml:space="preserve"> 26</w:t>
      </w:r>
      <w:r w:rsidRPr="002A533A">
        <w:rPr>
          <w:rFonts w:cs="Arial"/>
          <w:b/>
          <w:szCs w:val="20"/>
        </w:rPr>
        <w:t xml:space="preserve"> – Ajustes de Exercícios Anteriores – Variação.</w:t>
      </w:r>
    </w:p>
    <w:p w:rsidR="00C07190" w:rsidRPr="002A533A" w:rsidRDefault="00C07190" w:rsidP="00C07190">
      <w:pPr>
        <w:jc w:val="center"/>
        <w:rPr>
          <w:rFonts w:cs="Arial"/>
          <w:szCs w:val="20"/>
        </w:rPr>
      </w:pPr>
      <w:r w:rsidRPr="002A533A">
        <w:rPr>
          <w:rFonts w:cs="Arial"/>
          <w:szCs w:val="20"/>
        </w:rPr>
        <w:t xml:space="preserve">                                                                                                                                            R$</w:t>
      </w:r>
    </w:p>
    <w:tbl>
      <w:tblPr>
        <w:tblW w:w="9038" w:type="dxa"/>
        <w:tblCellMar>
          <w:left w:w="70" w:type="dxa"/>
          <w:right w:w="70" w:type="dxa"/>
        </w:tblCellMar>
        <w:tblLook w:val="04A0" w:firstRow="1" w:lastRow="0" w:firstColumn="1" w:lastColumn="0" w:noHBand="0" w:noVBand="1"/>
      </w:tblPr>
      <w:tblGrid>
        <w:gridCol w:w="3550"/>
        <w:gridCol w:w="2162"/>
        <w:gridCol w:w="2162"/>
        <w:gridCol w:w="1164"/>
      </w:tblGrid>
      <w:tr w:rsidR="00C07190" w:rsidRPr="002A533A" w:rsidTr="008F4251">
        <w:trPr>
          <w:trHeight w:val="317"/>
        </w:trPr>
        <w:tc>
          <w:tcPr>
            <w:tcW w:w="3550" w:type="dxa"/>
            <w:tcBorders>
              <w:top w:val="single" w:sz="4" w:space="0" w:color="000000"/>
              <w:left w:val="nil"/>
              <w:bottom w:val="single" w:sz="4" w:space="0" w:color="000000"/>
              <w:right w:val="nil"/>
            </w:tcBorders>
            <w:shd w:val="clear" w:color="auto" w:fill="auto"/>
            <w:noWrap/>
            <w:vAlign w:val="bottom"/>
            <w:hideMark/>
          </w:tcPr>
          <w:p w:rsidR="00C07190" w:rsidRPr="002A533A" w:rsidRDefault="00C07190" w:rsidP="008F4251">
            <w:pPr>
              <w:jc w:val="left"/>
              <w:rPr>
                <w:rFonts w:eastAsia="Times New Roman" w:cs="Arial"/>
                <w:b/>
                <w:bCs/>
                <w:color w:val="FFFFFF"/>
                <w:szCs w:val="20"/>
                <w:lang w:eastAsia="pt-BR"/>
              </w:rPr>
            </w:pPr>
            <w:r w:rsidRPr="002A533A">
              <w:rPr>
                <w:rFonts w:eastAsia="Times New Roman" w:cs="Arial"/>
                <w:b/>
                <w:bCs/>
                <w:color w:val="FFFFFF"/>
                <w:szCs w:val="20"/>
                <w:lang w:eastAsia="pt-BR"/>
              </w:rPr>
              <w:t>Colunas1</w:t>
            </w:r>
          </w:p>
        </w:tc>
        <w:tc>
          <w:tcPr>
            <w:tcW w:w="2162" w:type="dxa"/>
            <w:tcBorders>
              <w:top w:val="single" w:sz="4" w:space="0" w:color="000000"/>
              <w:left w:val="nil"/>
              <w:bottom w:val="single" w:sz="4" w:space="0" w:color="000000"/>
              <w:right w:val="nil"/>
            </w:tcBorders>
            <w:shd w:val="clear" w:color="auto" w:fill="auto"/>
            <w:noWrap/>
            <w:vAlign w:val="bottom"/>
            <w:hideMark/>
          </w:tcPr>
          <w:p w:rsidR="00C07190" w:rsidRPr="002A533A" w:rsidRDefault="00C07190" w:rsidP="008F4251">
            <w:pPr>
              <w:jc w:val="right"/>
              <w:rPr>
                <w:rFonts w:eastAsia="Times New Roman" w:cs="Arial"/>
                <w:b/>
                <w:bCs/>
                <w:color w:val="000000"/>
                <w:szCs w:val="20"/>
                <w:lang w:eastAsia="pt-BR"/>
              </w:rPr>
            </w:pPr>
            <w:r w:rsidRPr="002A533A">
              <w:rPr>
                <w:rFonts w:eastAsia="Times New Roman" w:cs="Arial"/>
                <w:b/>
                <w:bCs/>
                <w:color w:val="000000"/>
                <w:szCs w:val="20"/>
                <w:lang w:eastAsia="pt-BR"/>
              </w:rPr>
              <w:t>31/12/201</w:t>
            </w:r>
            <w:r>
              <w:rPr>
                <w:rFonts w:eastAsia="Times New Roman" w:cs="Arial"/>
                <w:b/>
                <w:bCs/>
                <w:color w:val="000000"/>
                <w:szCs w:val="20"/>
                <w:lang w:eastAsia="pt-BR"/>
              </w:rPr>
              <w:t>9</w:t>
            </w:r>
          </w:p>
        </w:tc>
        <w:tc>
          <w:tcPr>
            <w:tcW w:w="2162" w:type="dxa"/>
            <w:tcBorders>
              <w:top w:val="single" w:sz="4" w:space="0" w:color="000000"/>
              <w:left w:val="nil"/>
              <w:bottom w:val="single" w:sz="4" w:space="0" w:color="000000"/>
              <w:right w:val="nil"/>
            </w:tcBorders>
            <w:shd w:val="clear" w:color="auto" w:fill="auto"/>
            <w:noWrap/>
            <w:vAlign w:val="bottom"/>
            <w:hideMark/>
          </w:tcPr>
          <w:p w:rsidR="00C07190" w:rsidRPr="002A533A" w:rsidRDefault="00C07190" w:rsidP="008F4251">
            <w:pPr>
              <w:jc w:val="right"/>
              <w:rPr>
                <w:rFonts w:eastAsia="Times New Roman" w:cs="Arial"/>
                <w:b/>
                <w:bCs/>
                <w:color w:val="000000"/>
                <w:szCs w:val="20"/>
                <w:lang w:eastAsia="pt-BR"/>
              </w:rPr>
            </w:pPr>
            <w:r>
              <w:rPr>
                <w:rFonts w:eastAsia="Times New Roman" w:cs="Arial"/>
                <w:b/>
                <w:bCs/>
                <w:color w:val="000000"/>
                <w:szCs w:val="20"/>
                <w:lang w:eastAsia="pt-BR"/>
              </w:rPr>
              <w:t>31/12/2018</w:t>
            </w:r>
          </w:p>
        </w:tc>
        <w:tc>
          <w:tcPr>
            <w:tcW w:w="1164" w:type="dxa"/>
            <w:tcBorders>
              <w:top w:val="single" w:sz="4" w:space="0" w:color="000000"/>
              <w:left w:val="nil"/>
              <w:bottom w:val="single" w:sz="4" w:space="0" w:color="000000"/>
              <w:right w:val="nil"/>
            </w:tcBorders>
            <w:shd w:val="clear" w:color="auto" w:fill="auto"/>
            <w:noWrap/>
            <w:vAlign w:val="bottom"/>
            <w:hideMark/>
          </w:tcPr>
          <w:p w:rsidR="00C07190" w:rsidRPr="002A533A" w:rsidRDefault="00C07190" w:rsidP="008F4251">
            <w:pPr>
              <w:jc w:val="right"/>
              <w:rPr>
                <w:rFonts w:eastAsia="Times New Roman" w:cs="Arial"/>
                <w:b/>
                <w:bCs/>
                <w:color w:val="000000"/>
                <w:szCs w:val="20"/>
                <w:lang w:eastAsia="pt-BR"/>
              </w:rPr>
            </w:pPr>
            <w:r w:rsidRPr="002A533A">
              <w:rPr>
                <w:rFonts w:eastAsia="Times New Roman" w:cs="Arial"/>
                <w:b/>
                <w:bCs/>
                <w:color w:val="000000"/>
                <w:szCs w:val="20"/>
                <w:lang w:eastAsia="pt-BR"/>
              </w:rPr>
              <w:t>AH (%)</w:t>
            </w:r>
          </w:p>
        </w:tc>
      </w:tr>
      <w:tr w:rsidR="00C07190" w:rsidRPr="002A533A" w:rsidTr="008F4251">
        <w:trPr>
          <w:trHeight w:val="317"/>
        </w:trPr>
        <w:tc>
          <w:tcPr>
            <w:tcW w:w="3550" w:type="dxa"/>
            <w:tcBorders>
              <w:top w:val="nil"/>
              <w:left w:val="nil"/>
              <w:bottom w:val="nil"/>
              <w:right w:val="nil"/>
            </w:tcBorders>
            <w:shd w:val="clear" w:color="D9D9D9" w:fill="D9D9D9"/>
            <w:noWrap/>
            <w:vAlign w:val="bottom"/>
            <w:hideMark/>
          </w:tcPr>
          <w:p w:rsidR="00C07190" w:rsidRPr="002A533A" w:rsidRDefault="00C07190" w:rsidP="008F4251">
            <w:pPr>
              <w:jc w:val="left"/>
              <w:rPr>
                <w:rFonts w:eastAsia="Times New Roman" w:cs="Arial"/>
                <w:color w:val="000000"/>
                <w:szCs w:val="20"/>
                <w:lang w:eastAsia="pt-BR"/>
              </w:rPr>
            </w:pPr>
            <w:r w:rsidRPr="002A533A">
              <w:rPr>
                <w:rFonts w:eastAsia="Times New Roman" w:cs="Arial"/>
                <w:color w:val="000000"/>
                <w:szCs w:val="20"/>
                <w:lang w:eastAsia="pt-BR"/>
              </w:rPr>
              <w:t>Ajustes de Exercícios Anteriores</w:t>
            </w:r>
          </w:p>
        </w:tc>
        <w:tc>
          <w:tcPr>
            <w:tcW w:w="2162" w:type="dxa"/>
            <w:tcBorders>
              <w:top w:val="nil"/>
              <w:left w:val="nil"/>
              <w:bottom w:val="nil"/>
              <w:right w:val="nil"/>
            </w:tcBorders>
            <w:shd w:val="clear" w:color="D9D9D9" w:fill="D9D9D9"/>
            <w:noWrap/>
            <w:vAlign w:val="bottom"/>
            <w:hideMark/>
          </w:tcPr>
          <w:p w:rsidR="00C07190" w:rsidRPr="002A533A" w:rsidRDefault="00C07190" w:rsidP="008F4251">
            <w:pPr>
              <w:jc w:val="right"/>
              <w:rPr>
                <w:rFonts w:eastAsia="Times New Roman" w:cs="Arial"/>
                <w:color w:val="000000"/>
                <w:szCs w:val="20"/>
                <w:lang w:eastAsia="pt-BR"/>
              </w:rPr>
            </w:pPr>
            <w:r>
              <w:rPr>
                <w:rFonts w:eastAsia="Times New Roman" w:cs="Arial"/>
                <w:color w:val="000000"/>
                <w:szCs w:val="20"/>
                <w:lang w:eastAsia="pt-BR"/>
              </w:rPr>
              <w:t xml:space="preserve"> </w:t>
            </w:r>
            <w:r w:rsidRPr="00F81369">
              <w:rPr>
                <w:rFonts w:eastAsia="Times New Roman" w:cs="Arial"/>
                <w:color w:val="000000"/>
                <w:szCs w:val="20"/>
                <w:lang w:eastAsia="pt-BR"/>
              </w:rPr>
              <w:t>723</w:t>
            </w:r>
            <w:r>
              <w:rPr>
                <w:rFonts w:eastAsia="Times New Roman" w:cs="Arial"/>
                <w:color w:val="000000"/>
                <w:szCs w:val="20"/>
                <w:lang w:eastAsia="pt-BR"/>
              </w:rPr>
              <w:t>.</w:t>
            </w:r>
            <w:r w:rsidRPr="00F81369">
              <w:rPr>
                <w:rFonts w:eastAsia="Times New Roman" w:cs="Arial"/>
                <w:color w:val="000000"/>
                <w:szCs w:val="20"/>
                <w:lang w:eastAsia="pt-BR"/>
              </w:rPr>
              <w:t>606,79</w:t>
            </w:r>
          </w:p>
        </w:tc>
        <w:tc>
          <w:tcPr>
            <w:tcW w:w="2162" w:type="dxa"/>
            <w:tcBorders>
              <w:top w:val="nil"/>
              <w:left w:val="nil"/>
              <w:bottom w:val="nil"/>
              <w:right w:val="nil"/>
            </w:tcBorders>
            <w:shd w:val="clear" w:color="D9D9D9" w:fill="D9D9D9"/>
            <w:noWrap/>
            <w:vAlign w:val="bottom"/>
            <w:hideMark/>
          </w:tcPr>
          <w:p w:rsidR="00C07190" w:rsidRPr="002A533A" w:rsidRDefault="00C07190" w:rsidP="008F4251">
            <w:pPr>
              <w:jc w:val="right"/>
              <w:rPr>
                <w:rFonts w:eastAsia="Times New Roman" w:cs="Arial"/>
                <w:color w:val="000000"/>
                <w:szCs w:val="20"/>
                <w:lang w:eastAsia="pt-BR"/>
              </w:rPr>
            </w:pPr>
            <w:r>
              <w:rPr>
                <w:rFonts w:eastAsia="Times New Roman" w:cs="Arial"/>
                <w:color w:val="000000"/>
                <w:szCs w:val="20"/>
                <w:lang w:eastAsia="pt-BR"/>
              </w:rPr>
              <w:t xml:space="preserve">- </w:t>
            </w:r>
            <w:r w:rsidRPr="003330C9">
              <w:rPr>
                <w:rFonts w:eastAsia="Times New Roman" w:cs="Arial"/>
                <w:color w:val="000000"/>
                <w:szCs w:val="20"/>
                <w:lang w:eastAsia="pt-BR"/>
              </w:rPr>
              <w:t>5</w:t>
            </w:r>
            <w:r>
              <w:rPr>
                <w:rFonts w:eastAsia="Times New Roman" w:cs="Arial"/>
                <w:color w:val="000000"/>
                <w:szCs w:val="20"/>
                <w:lang w:eastAsia="pt-BR"/>
              </w:rPr>
              <w:t>.</w:t>
            </w:r>
            <w:r w:rsidRPr="003330C9">
              <w:rPr>
                <w:rFonts w:eastAsia="Times New Roman" w:cs="Arial"/>
                <w:color w:val="000000"/>
                <w:szCs w:val="20"/>
                <w:lang w:eastAsia="pt-BR"/>
              </w:rPr>
              <w:t>859</w:t>
            </w:r>
            <w:r>
              <w:rPr>
                <w:rFonts w:eastAsia="Times New Roman" w:cs="Arial"/>
                <w:color w:val="000000"/>
                <w:szCs w:val="20"/>
                <w:lang w:eastAsia="pt-BR"/>
              </w:rPr>
              <w:t>.</w:t>
            </w:r>
            <w:r w:rsidRPr="003330C9">
              <w:rPr>
                <w:rFonts w:eastAsia="Times New Roman" w:cs="Arial"/>
                <w:color w:val="000000"/>
                <w:szCs w:val="20"/>
                <w:lang w:eastAsia="pt-BR"/>
              </w:rPr>
              <w:t>380,01</w:t>
            </w:r>
          </w:p>
        </w:tc>
        <w:tc>
          <w:tcPr>
            <w:tcW w:w="1164" w:type="dxa"/>
            <w:tcBorders>
              <w:top w:val="nil"/>
              <w:left w:val="nil"/>
              <w:bottom w:val="nil"/>
              <w:right w:val="nil"/>
            </w:tcBorders>
            <w:shd w:val="clear" w:color="D9D9D9" w:fill="D9D9D9"/>
            <w:noWrap/>
            <w:vAlign w:val="bottom"/>
            <w:hideMark/>
          </w:tcPr>
          <w:p w:rsidR="00C07190" w:rsidRPr="002A533A" w:rsidRDefault="00C07190" w:rsidP="008F4251">
            <w:pPr>
              <w:jc w:val="right"/>
              <w:rPr>
                <w:rFonts w:eastAsia="Times New Roman" w:cs="Arial"/>
                <w:color w:val="000000"/>
                <w:szCs w:val="20"/>
                <w:lang w:eastAsia="pt-BR"/>
              </w:rPr>
            </w:pPr>
            <w:r w:rsidRPr="002A533A">
              <w:rPr>
                <w:rFonts w:eastAsia="Times New Roman" w:cs="Arial"/>
                <w:color w:val="000000"/>
                <w:szCs w:val="20"/>
                <w:lang w:eastAsia="pt-BR"/>
              </w:rPr>
              <w:t>-</w:t>
            </w:r>
            <w:r>
              <w:rPr>
                <w:rFonts w:eastAsia="Times New Roman" w:cs="Arial"/>
                <w:color w:val="000000"/>
                <w:szCs w:val="20"/>
                <w:lang w:eastAsia="pt-BR"/>
              </w:rPr>
              <w:t>112</w:t>
            </w:r>
            <w:r w:rsidRPr="002A533A">
              <w:rPr>
                <w:rFonts w:eastAsia="Times New Roman" w:cs="Arial"/>
                <w:color w:val="000000"/>
                <w:szCs w:val="20"/>
                <w:lang w:eastAsia="pt-BR"/>
              </w:rPr>
              <w:t>,</w:t>
            </w:r>
            <w:r>
              <w:rPr>
                <w:rFonts w:eastAsia="Times New Roman" w:cs="Arial"/>
                <w:color w:val="000000"/>
                <w:szCs w:val="20"/>
                <w:lang w:eastAsia="pt-BR"/>
              </w:rPr>
              <w:t>35</w:t>
            </w:r>
          </w:p>
        </w:tc>
      </w:tr>
      <w:tr w:rsidR="00C07190" w:rsidRPr="002A533A" w:rsidTr="008F4251">
        <w:trPr>
          <w:trHeight w:val="317"/>
        </w:trPr>
        <w:tc>
          <w:tcPr>
            <w:tcW w:w="3550" w:type="dxa"/>
            <w:tcBorders>
              <w:top w:val="nil"/>
              <w:left w:val="nil"/>
              <w:bottom w:val="single" w:sz="4" w:space="0" w:color="000000"/>
              <w:right w:val="nil"/>
            </w:tcBorders>
            <w:shd w:val="clear" w:color="auto" w:fill="auto"/>
            <w:noWrap/>
            <w:vAlign w:val="bottom"/>
            <w:hideMark/>
          </w:tcPr>
          <w:p w:rsidR="00C07190" w:rsidRPr="002A533A" w:rsidRDefault="00C07190" w:rsidP="008F4251">
            <w:pPr>
              <w:jc w:val="left"/>
              <w:rPr>
                <w:rFonts w:eastAsia="Times New Roman" w:cs="Arial"/>
                <w:b/>
                <w:bCs/>
                <w:color w:val="000000"/>
                <w:szCs w:val="20"/>
                <w:lang w:eastAsia="pt-BR"/>
              </w:rPr>
            </w:pPr>
            <w:r w:rsidRPr="002A533A">
              <w:rPr>
                <w:rFonts w:eastAsia="Times New Roman" w:cs="Arial"/>
                <w:b/>
                <w:bCs/>
                <w:color w:val="000000"/>
                <w:szCs w:val="20"/>
                <w:lang w:eastAsia="pt-BR"/>
              </w:rPr>
              <w:t>Total</w:t>
            </w:r>
          </w:p>
        </w:tc>
        <w:tc>
          <w:tcPr>
            <w:tcW w:w="2162" w:type="dxa"/>
            <w:tcBorders>
              <w:top w:val="nil"/>
              <w:left w:val="nil"/>
              <w:bottom w:val="single" w:sz="4" w:space="0" w:color="000000"/>
              <w:right w:val="nil"/>
            </w:tcBorders>
            <w:shd w:val="clear" w:color="auto" w:fill="auto"/>
            <w:noWrap/>
            <w:vAlign w:val="bottom"/>
            <w:hideMark/>
          </w:tcPr>
          <w:p w:rsidR="00C07190" w:rsidRPr="002A533A" w:rsidRDefault="00C07190" w:rsidP="008F4251">
            <w:pPr>
              <w:jc w:val="right"/>
              <w:rPr>
                <w:rFonts w:eastAsia="Times New Roman" w:cs="Arial"/>
                <w:b/>
                <w:bCs/>
                <w:color w:val="000000"/>
                <w:szCs w:val="20"/>
                <w:lang w:eastAsia="pt-BR"/>
              </w:rPr>
            </w:pPr>
            <w:r>
              <w:rPr>
                <w:rFonts w:eastAsia="Times New Roman" w:cs="Arial"/>
                <w:b/>
                <w:color w:val="000000"/>
                <w:szCs w:val="20"/>
                <w:lang w:eastAsia="pt-BR"/>
              </w:rPr>
              <w:t xml:space="preserve"> </w:t>
            </w:r>
            <w:r w:rsidRPr="00F81369">
              <w:rPr>
                <w:rFonts w:eastAsia="Times New Roman" w:cs="Arial"/>
                <w:b/>
                <w:color w:val="000000"/>
                <w:szCs w:val="20"/>
                <w:lang w:eastAsia="pt-BR"/>
              </w:rPr>
              <w:t>723</w:t>
            </w:r>
            <w:r>
              <w:rPr>
                <w:rFonts w:eastAsia="Times New Roman" w:cs="Arial"/>
                <w:b/>
                <w:color w:val="000000"/>
                <w:szCs w:val="20"/>
                <w:lang w:eastAsia="pt-BR"/>
              </w:rPr>
              <w:t>.</w:t>
            </w:r>
            <w:r w:rsidRPr="00F81369">
              <w:rPr>
                <w:rFonts w:eastAsia="Times New Roman" w:cs="Arial"/>
                <w:b/>
                <w:color w:val="000000"/>
                <w:szCs w:val="20"/>
                <w:lang w:eastAsia="pt-BR"/>
              </w:rPr>
              <w:t>606,79</w:t>
            </w:r>
          </w:p>
        </w:tc>
        <w:tc>
          <w:tcPr>
            <w:tcW w:w="2162" w:type="dxa"/>
            <w:tcBorders>
              <w:top w:val="nil"/>
              <w:left w:val="nil"/>
              <w:bottom w:val="single" w:sz="4" w:space="0" w:color="000000"/>
              <w:right w:val="nil"/>
            </w:tcBorders>
            <w:shd w:val="clear" w:color="auto" w:fill="auto"/>
            <w:noWrap/>
            <w:vAlign w:val="bottom"/>
            <w:hideMark/>
          </w:tcPr>
          <w:p w:rsidR="00C07190" w:rsidRPr="002A533A" w:rsidRDefault="00C07190" w:rsidP="008F4251">
            <w:pPr>
              <w:jc w:val="right"/>
              <w:rPr>
                <w:rFonts w:eastAsia="Times New Roman" w:cs="Arial"/>
                <w:b/>
                <w:bCs/>
                <w:color w:val="000000"/>
                <w:szCs w:val="20"/>
                <w:lang w:eastAsia="pt-BR"/>
              </w:rPr>
            </w:pPr>
            <w:r>
              <w:rPr>
                <w:rFonts w:eastAsia="Times New Roman" w:cs="Arial"/>
                <w:b/>
                <w:color w:val="000000"/>
                <w:szCs w:val="20"/>
                <w:lang w:eastAsia="pt-BR"/>
              </w:rPr>
              <w:t xml:space="preserve">- </w:t>
            </w:r>
            <w:r w:rsidRPr="003330C9">
              <w:rPr>
                <w:rFonts w:eastAsia="Times New Roman" w:cs="Arial"/>
                <w:b/>
                <w:color w:val="000000"/>
                <w:szCs w:val="20"/>
                <w:lang w:eastAsia="pt-BR"/>
              </w:rPr>
              <w:t>5.859.380,01</w:t>
            </w:r>
          </w:p>
        </w:tc>
        <w:tc>
          <w:tcPr>
            <w:tcW w:w="1164" w:type="dxa"/>
            <w:tcBorders>
              <w:top w:val="nil"/>
              <w:left w:val="nil"/>
              <w:bottom w:val="single" w:sz="4" w:space="0" w:color="000000"/>
              <w:right w:val="nil"/>
            </w:tcBorders>
            <w:shd w:val="clear" w:color="auto" w:fill="auto"/>
            <w:noWrap/>
            <w:vAlign w:val="bottom"/>
            <w:hideMark/>
          </w:tcPr>
          <w:p w:rsidR="00C07190" w:rsidRPr="002A533A" w:rsidRDefault="00C07190" w:rsidP="008F4251">
            <w:pPr>
              <w:jc w:val="right"/>
              <w:rPr>
                <w:rFonts w:eastAsia="Times New Roman" w:cs="Arial"/>
                <w:b/>
                <w:bCs/>
                <w:color w:val="000000"/>
                <w:szCs w:val="20"/>
                <w:lang w:eastAsia="pt-BR"/>
              </w:rPr>
            </w:pPr>
            <w:r w:rsidRPr="002A533A">
              <w:rPr>
                <w:rFonts w:eastAsia="Times New Roman" w:cs="Arial"/>
                <w:b/>
                <w:bCs/>
                <w:color w:val="000000"/>
                <w:szCs w:val="20"/>
                <w:lang w:eastAsia="pt-BR"/>
              </w:rPr>
              <w:t>-</w:t>
            </w:r>
            <w:r>
              <w:rPr>
                <w:rFonts w:eastAsia="Times New Roman" w:cs="Arial"/>
                <w:b/>
                <w:bCs/>
                <w:color w:val="000000"/>
                <w:szCs w:val="20"/>
                <w:lang w:eastAsia="pt-BR"/>
              </w:rPr>
              <w:t>112</w:t>
            </w:r>
            <w:r w:rsidRPr="002A533A">
              <w:rPr>
                <w:rFonts w:eastAsia="Times New Roman" w:cs="Arial"/>
                <w:b/>
                <w:bCs/>
                <w:color w:val="000000"/>
                <w:szCs w:val="20"/>
                <w:lang w:eastAsia="pt-BR"/>
              </w:rPr>
              <w:t>,</w:t>
            </w:r>
            <w:r>
              <w:rPr>
                <w:rFonts w:eastAsia="Times New Roman" w:cs="Arial"/>
                <w:b/>
                <w:bCs/>
                <w:color w:val="000000"/>
                <w:szCs w:val="20"/>
                <w:lang w:eastAsia="pt-BR"/>
              </w:rPr>
              <w:t>35</w:t>
            </w:r>
          </w:p>
        </w:tc>
      </w:tr>
    </w:tbl>
    <w:p w:rsidR="00C07190" w:rsidRPr="002A533A" w:rsidRDefault="00C07190" w:rsidP="00C07190">
      <w:pPr>
        <w:rPr>
          <w:rFonts w:cs="Arial"/>
          <w:i/>
          <w:szCs w:val="20"/>
        </w:rPr>
      </w:pPr>
      <w:r w:rsidRPr="002A533A">
        <w:rPr>
          <w:rFonts w:cs="Arial"/>
          <w:i/>
          <w:szCs w:val="20"/>
        </w:rPr>
        <w:t>Fonte: SIAFI, 201</w:t>
      </w:r>
      <w:r>
        <w:rPr>
          <w:rFonts w:cs="Arial"/>
          <w:i/>
          <w:szCs w:val="20"/>
        </w:rPr>
        <w:t>9</w:t>
      </w:r>
      <w:r w:rsidRPr="002A533A">
        <w:rPr>
          <w:rFonts w:cs="Arial"/>
          <w:i/>
          <w:szCs w:val="20"/>
        </w:rPr>
        <w:t xml:space="preserve"> e 201</w:t>
      </w:r>
      <w:r>
        <w:rPr>
          <w:rFonts w:cs="Arial"/>
          <w:i/>
          <w:szCs w:val="20"/>
        </w:rPr>
        <w:t>8</w:t>
      </w:r>
      <w:r w:rsidRPr="002A533A">
        <w:rPr>
          <w:rFonts w:cs="Arial"/>
          <w:i/>
          <w:szCs w:val="20"/>
        </w:rPr>
        <w:t>.</w:t>
      </w:r>
    </w:p>
    <w:p w:rsidR="00C07190" w:rsidRPr="002A533A" w:rsidRDefault="00C07190" w:rsidP="00C07190">
      <w:pPr>
        <w:rPr>
          <w:rFonts w:cs="Arial"/>
          <w:szCs w:val="20"/>
        </w:rPr>
      </w:pPr>
    </w:p>
    <w:p w:rsidR="00C07190" w:rsidRDefault="00C07190" w:rsidP="00C07190">
      <w:pPr>
        <w:rPr>
          <w:rFonts w:cs="Arial"/>
          <w:szCs w:val="20"/>
        </w:rPr>
      </w:pPr>
      <w:r>
        <w:rPr>
          <w:rFonts w:cs="Arial"/>
          <w:szCs w:val="20"/>
        </w:rPr>
        <w:t xml:space="preserve">A parte mais significativa dos valores </w:t>
      </w:r>
      <w:r w:rsidRPr="002A533A">
        <w:rPr>
          <w:rFonts w:cs="Arial"/>
          <w:szCs w:val="20"/>
        </w:rPr>
        <w:t xml:space="preserve">correspondem </w:t>
      </w:r>
      <w:r>
        <w:rPr>
          <w:rFonts w:cs="Arial"/>
          <w:szCs w:val="20"/>
        </w:rPr>
        <w:t xml:space="preserve">aos ajustes das contas de intangíveis e à amortização de softwares com vida útil definida que já haviam expirados antes de 2019, </w:t>
      </w:r>
      <w:proofErr w:type="gramStart"/>
      <w:r>
        <w:rPr>
          <w:rFonts w:cs="Arial"/>
          <w:szCs w:val="20"/>
        </w:rPr>
        <w:t>como  também</w:t>
      </w:r>
      <w:proofErr w:type="gramEnd"/>
      <w:r>
        <w:rPr>
          <w:rFonts w:cs="Arial"/>
          <w:szCs w:val="20"/>
        </w:rPr>
        <w:t xml:space="preserve"> aos ajustes de depreciação ocorridos antes de 2019.</w:t>
      </w:r>
    </w:p>
    <w:p w:rsidR="00C07190" w:rsidRDefault="00C07190" w:rsidP="00C07190">
      <w:pPr>
        <w:rPr>
          <w:rFonts w:cs="Arial"/>
          <w:szCs w:val="20"/>
        </w:rPr>
      </w:pPr>
    </w:p>
    <w:p w:rsidR="00C07190" w:rsidRDefault="00C07190" w:rsidP="00C07190">
      <w:pPr>
        <w:rPr>
          <w:rFonts w:cs="Arial"/>
          <w:szCs w:val="20"/>
        </w:rPr>
      </w:pPr>
      <w:r w:rsidRPr="002A533A">
        <w:rPr>
          <w:rFonts w:cs="Arial"/>
          <w:szCs w:val="20"/>
        </w:rPr>
        <w:t>O</w:t>
      </w:r>
      <w:r>
        <w:rPr>
          <w:rFonts w:cs="Arial"/>
          <w:szCs w:val="20"/>
        </w:rPr>
        <w:t xml:space="preserve"> restante do</w:t>
      </w:r>
      <w:r w:rsidRPr="002A533A">
        <w:rPr>
          <w:rFonts w:cs="Arial"/>
          <w:szCs w:val="20"/>
        </w:rPr>
        <w:t xml:space="preserve">s </w:t>
      </w:r>
      <w:r>
        <w:rPr>
          <w:rFonts w:cs="Arial"/>
          <w:szCs w:val="20"/>
        </w:rPr>
        <w:t xml:space="preserve">valores refere-se </w:t>
      </w:r>
      <w:r w:rsidRPr="002A533A">
        <w:rPr>
          <w:rFonts w:cs="Arial"/>
          <w:szCs w:val="20"/>
        </w:rPr>
        <w:t xml:space="preserve">às omissões de despesas (as informações não estavam disponíveis quando da elaboração das demonstrações contábeis do período a que se referem), cujos fatos geradores ocorreram em exercícios anteriores e somente foram </w:t>
      </w:r>
      <w:r>
        <w:rPr>
          <w:rFonts w:cs="Arial"/>
          <w:szCs w:val="20"/>
        </w:rPr>
        <w:t xml:space="preserve">empenhados em 2019, pois não havia crédito suficiente </w:t>
      </w:r>
      <w:r w:rsidRPr="002A533A">
        <w:rPr>
          <w:rFonts w:cs="Arial"/>
          <w:szCs w:val="20"/>
        </w:rPr>
        <w:t>durante o exercício de 201</w:t>
      </w:r>
      <w:r>
        <w:rPr>
          <w:rFonts w:cs="Arial"/>
          <w:szCs w:val="20"/>
        </w:rPr>
        <w:t>8</w:t>
      </w:r>
      <w:r w:rsidRPr="002A533A">
        <w:rPr>
          <w:rFonts w:cs="Arial"/>
          <w:szCs w:val="20"/>
        </w:rPr>
        <w:t>. Estes ajustes correspondem aos reconhecimentos de passivos relacionados a despesa orçamentária classificada como Despesa de Exercícios Anteriores – DEA. Mormente, os passivos reconhecidos referem-se a despesas de exercícios encerrados, para os quais o orçamento consignava crédito próprio, com saldo suficiente para atendê-las, mas que não foram processados em época própria.</w:t>
      </w:r>
    </w:p>
    <w:p w:rsidR="00C07190" w:rsidRDefault="00C07190" w:rsidP="00C07190">
      <w:pPr>
        <w:rPr>
          <w:rFonts w:cs="Arial"/>
          <w:szCs w:val="20"/>
        </w:rPr>
      </w:pPr>
    </w:p>
    <w:p w:rsidR="00C07190" w:rsidRDefault="00C07190" w:rsidP="00C07190">
      <w:pPr>
        <w:rPr>
          <w:rFonts w:cs="Arial"/>
          <w:szCs w:val="20"/>
        </w:rPr>
      </w:pPr>
    </w:p>
    <w:p w:rsidR="00C07190" w:rsidRDefault="00C07190" w:rsidP="00C07190">
      <w:pPr>
        <w:rPr>
          <w:rFonts w:cs="Arial"/>
          <w:szCs w:val="20"/>
        </w:rPr>
      </w:pPr>
      <w:r>
        <w:rPr>
          <w:rFonts w:cs="Arial"/>
          <w:szCs w:val="20"/>
        </w:rPr>
        <w:t xml:space="preserve">A notável redução do uso dessa conta é referenciada pelo melhor planejamento do tocante à adequação das dotações orçamentárias e aos ajustes promovidos por essa contabilidade nos bens do imobilizado. </w:t>
      </w:r>
    </w:p>
    <w:p w:rsidR="00C07190" w:rsidRDefault="00C07190" w:rsidP="00C07190">
      <w:pPr>
        <w:rPr>
          <w:rFonts w:cs="Arial"/>
          <w:szCs w:val="20"/>
        </w:rPr>
      </w:pPr>
    </w:p>
    <w:p w:rsidR="00C07190" w:rsidRPr="002A533A" w:rsidRDefault="00C07190" w:rsidP="00C07190">
      <w:pPr>
        <w:rPr>
          <w:rFonts w:cs="Arial"/>
          <w:b/>
          <w:szCs w:val="20"/>
        </w:rPr>
      </w:pPr>
    </w:p>
    <w:p w:rsidR="00D226EA" w:rsidRPr="00F43675" w:rsidRDefault="00D226EA" w:rsidP="00D226EA">
      <w:pPr>
        <w:jc w:val="left"/>
        <w:rPr>
          <w:rFonts w:cs="Arial"/>
          <w:i/>
          <w:szCs w:val="20"/>
        </w:rPr>
      </w:pPr>
    </w:p>
    <w:p w:rsidR="00D226EA" w:rsidRPr="006A52C4" w:rsidRDefault="00D226EA" w:rsidP="00D226EA">
      <w:pPr>
        <w:jc w:val="left"/>
        <w:rPr>
          <w:rFonts w:cs="Arial"/>
          <w:szCs w:val="20"/>
        </w:rPr>
      </w:pPr>
    </w:p>
    <w:p w:rsidR="00D226EA" w:rsidRPr="004015BE" w:rsidRDefault="00D226EA" w:rsidP="00D226EA">
      <w:pPr>
        <w:rPr>
          <w:rFonts w:cs="Arial"/>
          <w:sz w:val="22"/>
        </w:rPr>
      </w:pPr>
    </w:p>
    <w:p w:rsidR="00D226EA" w:rsidRPr="004015BE" w:rsidRDefault="00D226EA" w:rsidP="00D226EA">
      <w:pPr>
        <w:rPr>
          <w:rFonts w:cs="Arial"/>
          <w:sz w:val="22"/>
        </w:rPr>
      </w:pPr>
    </w:p>
    <w:p w:rsidR="00D226EA" w:rsidRPr="004015BE" w:rsidRDefault="00D226EA" w:rsidP="00D226EA">
      <w:pPr>
        <w:rPr>
          <w:rFonts w:cs="Arial"/>
          <w:sz w:val="22"/>
        </w:rPr>
      </w:pPr>
    </w:p>
    <w:p w:rsidR="00D226EA" w:rsidRPr="004015BE" w:rsidRDefault="00D226EA" w:rsidP="00D226EA">
      <w:pPr>
        <w:rPr>
          <w:rFonts w:cs="Arial"/>
          <w:sz w:val="22"/>
        </w:rPr>
      </w:pPr>
    </w:p>
    <w:p w:rsidR="00D226EA" w:rsidRPr="004015BE" w:rsidRDefault="00D226EA" w:rsidP="00D226EA">
      <w:pPr>
        <w:rPr>
          <w:rFonts w:cs="Arial"/>
          <w:sz w:val="22"/>
        </w:rPr>
      </w:pPr>
    </w:p>
    <w:p w:rsidR="00D226EA" w:rsidRPr="004015BE" w:rsidRDefault="00D226EA" w:rsidP="00D226EA">
      <w:pPr>
        <w:rPr>
          <w:rFonts w:cs="Arial"/>
          <w:sz w:val="22"/>
        </w:rPr>
      </w:pPr>
    </w:p>
    <w:p w:rsidR="00D226EA" w:rsidRPr="004015BE" w:rsidRDefault="00D226EA" w:rsidP="00D226EA">
      <w:pPr>
        <w:rPr>
          <w:rFonts w:cs="Arial"/>
          <w:sz w:val="22"/>
        </w:rPr>
      </w:pPr>
    </w:p>
    <w:p w:rsidR="00D226EA" w:rsidRPr="004015BE" w:rsidRDefault="00D226EA" w:rsidP="00D226EA">
      <w:pPr>
        <w:rPr>
          <w:rFonts w:cs="Arial"/>
          <w:sz w:val="22"/>
        </w:rPr>
      </w:pPr>
    </w:p>
    <w:p w:rsidR="0041147E" w:rsidRDefault="0041147E" w:rsidP="0041147E">
      <w:pPr>
        <w:rPr>
          <w:rFonts w:cs="Arial"/>
          <w:b/>
          <w:color w:val="FF0000"/>
          <w:sz w:val="22"/>
        </w:rPr>
      </w:pPr>
    </w:p>
    <w:p w:rsidR="0041147E" w:rsidRPr="000F090C" w:rsidRDefault="0041147E" w:rsidP="0041147E">
      <w:pPr>
        <w:rPr>
          <w:sz w:val="22"/>
        </w:rPr>
      </w:pPr>
    </w:p>
    <w:p w:rsidR="0041147E" w:rsidRPr="004028B5" w:rsidRDefault="0041147E" w:rsidP="0041147E">
      <w:pPr>
        <w:rPr>
          <w:rFonts w:eastAsia="Times New Roman" w:cs="Arial"/>
          <w:sz w:val="22"/>
        </w:rPr>
      </w:pPr>
    </w:p>
    <w:p w:rsidR="0041147E" w:rsidRPr="004028B5" w:rsidRDefault="0041147E" w:rsidP="0041147E">
      <w:pPr>
        <w:rPr>
          <w:rFonts w:eastAsia="Times New Roman" w:cs="Arial"/>
          <w:sz w:val="22"/>
        </w:rPr>
      </w:pPr>
    </w:p>
    <w:p w:rsidR="0041147E" w:rsidRPr="009311D1" w:rsidRDefault="0041147E" w:rsidP="009311D1"/>
    <w:sectPr w:rsidR="0041147E" w:rsidRPr="009311D1" w:rsidSect="00602F9A">
      <w:headerReference w:type="default" r:id="rId8"/>
      <w:footerReference w:type="default" r:id="rId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67E23" w:rsidRDefault="00467E23" w:rsidP="00602F9A">
      <w:r>
        <w:separator/>
      </w:r>
    </w:p>
  </w:endnote>
  <w:endnote w:type="continuationSeparator" w:id="0">
    <w:p w:rsidR="00467E23" w:rsidRDefault="00467E23" w:rsidP="00602F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Bold">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acomgrade"/>
      <w:tblW w:w="100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5530"/>
    </w:tblGrid>
    <w:tr w:rsidR="008F4251" w:rsidTr="00A51619">
      <w:tc>
        <w:tcPr>
          <w:tcW w:w="4530" w:type="dxa"/>
        </w:tcPr>
        <w:p w:rsidR="008F4251" w:rsidRDefault="008F4251" w:rsidP="00A51619">
          <w:pPr>
            <w:pStyle w:val="Rodap"/>
            <w:rPr>
              <w:rFonts w:ascii="Helvetica-Bold" w:hAnsi="Helvetica-Bold" w:cs="Helvetica-Bold"/>
              <w:b/>
              <w:bCs/>
              <w:sz w:val="16"/>
              <w:szCs w:val="16"/>
            </w:rPr>
          </w:pPr>
        </w:p>
      </w:tc>
      <w:tc>
        <w:tcPr>
          <w:tcW w:w="5530" w:type="dxa"/>
        </w:tcPr>
        <w:p w:rsidR="008F4251" w:rsidRDefault="008F4251" w:rsidP="007E08F5">
          <w:pPr>
            <w:pStyle w:val="Rodap"/>
            <w:jc w:val="right"/>
            <w:rPr>
              <w:rFonts w:ascii="Helvetica-Bold" w:hAnsi="Helvetica-Bold" w:cs="Helvetica-Bold"/>
              <w:b/>
              <w:bCs/>
              <w:sz w:val="16"/>
              <w:szCs w:val="16"/>
            </w:rPr>
          </w:pPr>
          <w:r>
            <w:rPr>
              <w:rFonts w:ascii="Helvetica-Bold" w:hAnsi="Helvetica-Bold" w:cs="Helvetica-Bold"/>
              <w:b/>
              <w:bCs/>
              <w:sz w:val="16"/>
              <w:szCs w:val="16"/>
            </w:rPr>
            <w:t>2019</w:t>
          </w:r>
        </w:p>
      </w:tc>
    </w:tr>
  </w:tbl>
  <w:p w:rsidR="008F4251" w:rsidRDefault="008F4251" w:rsidP="00A51619">
    <w:pPr>
      <w:pStyle w:val="Rodap"/>
    </w:pPr>
    <w:r>
      <w:rPr>
        <w:rFonts w:ascii="Helvetica-Bold" w:hAnsi="Helvetica-Bold" w:cs="Helvetica-Bold"/>
        <w:b/>
        <w:bCs/>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67E23" w:rsidRDefault="00467E23" w:rsidP="00602F9A">
      <w:r>
        <w:separator/>
      </w:r>
    </w:p>
  </w:footnote>
  <w:footnote w:type="continuationSeparator" w:id="0">
    <w:p w:rsidR="00467E23" w:rsidRDefault="00467E23" w:rsidP="00602F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3" w:name="_MON_1171267988"/>
  <w:bookmarkEnd w:id="3"/>
  <w:p w:rsidR="008F4251" w:rsidRPr="00B47CD5" w:rsidRDefault="008F4251" w:rsidP="00A31B04">
    <w:pPr>
      <w:tabs>
        <w:tab w:val="left" w:pos="567"/>
      </w:tabs>
      <w:jc w:val="left"/>
      <w:rPr>
        <w:b/>
        <w:sz w:val="16"/>
        <w:szCs w:val="16"/>
      </w:rPr>
    </w:pPr>
    <w:r>
      <w:rPr>
        <w:snapToGrid w:val="0"/>
      </w:rPr>
      <w:object w:dxaOrig="885" w:dyaOrig="14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25pt;height:74.25pt" fillcolor="window">
          <v:imagedata r:id="rId1" o:title=""/>
        </v:shape>
        <o:OLEObject Type="Embed" ProgID="Word.Picture.8" ShapeID="_x0000_i1025" DrawAspect="Content" ObjectID="_1642335941" r:id="rId2"/>
      </w:object>
    </w:r>
  </w:p>
  <w:p w:rsidR="008F4251" w:rsidRPr="00602F9A" w:rsidRDefault="008F4251" w:rsidP="00602F9A">
    <w:pPr>
      <w:pStyle w:val="Cabealho"/>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F25BC4"/>
    <w:multiLevelType w:val="hybridMultilevel"/>
    <w:tmpl w:val="89945BA8"/>
    <w:lvl w:ilvl="0" w:tplc="0416000D">
      <w:start w:val="1"/>
      <w:numFmt w:val="bullet"/>
      <w:lvlText w:val=""/>
      <w:lvlJc w:val="left"/>
      <w:pPr>
        <w:ind w:left="2205" w:hanging="360"/>
      </w:pPr>
      <w:rPr>
        <w:rFonts w:ascii="Wingdings" w:hAnsi="Wingdings" w:hint="default"/>
      </w:rPr>
    </w:lvl>
    <w:lvl w:ilvl="1" w:tplc="04160003" w:tentative="1">
      <w:start w:val="1"/>
      <w:numFmt w:val="bullet"/>
      <w:lvlText w:val="o"/>
      <w:lvlJc w:val="left"/>
      <w:pPr>
        <w:ind w:left="2925" w:hanging="360"/>
      </w:pPr>
      <w:rPr>
        <w:rFonts w:ascii="Courier New" w:hAnsi="Courier New" w:cs="Courier New" w:hint="default"/>
      </w:rPr>
    </w:lvl>
    <w:lvl w:ilvl="2" w:tplc="04160005" w:tentative="1">
      <w:start w:val="1"/>
      <w:numFmt w:val="bullet"/>
      <w:lvlText w:val=""/>
      <w:lvlJc w:val="left"/>
      <w:pPr>
        <w:ind w:left="3645" w:hanging="360"/>
      </w:pPr>
      <w:rPr>
        <w:rFonts w:ascii="Wingdings" w:hAnsi="Wingdings" w:hint="default"/>
      </w:rPr>
    </w:lvl>
    <w:lvl w:ilvl="3" w:tplc="04160001" w:tentative="1">
      <w:start w:val="1"/>
      <w:numFmt w:val="bullet"/>
      <w:lvlText w:val=""/>
      <w:lvlJc w:val="left"/>
      <w:pPr>
        <w:ind w:left="4365" w:hanging="360"/>
      </w:pPr>
      <w:rPr>
        <w:rFonts w:ascii="Symbol" w:hAnsi="Symbol" w:hint="default"/>
      </w:rPr>
    </w:lvl>
    <w:lvl w:ilvl="4" w:tplc="04160003" w:tentative="1">
      <w:start w:val="1"/>
      <w:numFmt w:val="bullet"/>
      <w:lvlText w:val="o"/>
      <w:lvlJc w:val="left"/>
      <w:pPr>
        <w:ind w:left="5085" w:hanging="360"/>
      </w:pPr>
      <w:rPr>
        <w:rFonts w:ascii="Courier New" w:hAnsi="Courier New" w:cs="Courier New" w:hint="default"/>
      </w:rPr>
    </w:lvl>
    <w:lvl w:ilvl="5" w:tplc="04160005" w:tentative="1">
      <w:start w:val="1"/>
      <w:numFmt w:val="bullet"/>
      <w:lvlText w:val=""/>
      <w:lvlJc w:val="left"/>
      <w:pPr>
        <w:ind w:left="5805" w:hanging="360"/>
      </w:pPr>
      <w:rPr>
        <w:rFonts w:ascii="Wingdings" w:hAnsi="Wingdings" w:hint="default"/>
      </w:rPr>
    </w:lvl>
    <w:lvl w:ilvl="6" w:tplc="04160001" w:tentative="1">
      <w:start w:val="1"/>
      <w:numFmt w:val="bullet"/>
      <w:lvlText w:val=""/>
      <w:lvlJc w:val="left"/>
      <w:pPr>
        <w:ind w:left="6525" w:hanging="360"/>
      </w:pPr>
      <w:rPr>
        <w:rFonts w:ascii="Symbol" w:hAnsi="Symbol" w:hint="default"/>
      </w:rPr>
    </w:lvl>
    <w:lvl w:ilvl="7" w:tplc="04160003" w:tentative="1">
      <w:start w:val="1"/>
      <w:numFmt w:val="bullet"/>
      <w:lvlText w:val="o"/>
      <w:lvlJc w:val="left"/>
      <w:pPr>
        <w:ind w:left="7245" w:hanging="360"/>
      </w:pPr>
      <w:rPr>
        <w:rFonts w:ascii="Courier New" w:hAnsi="Courier New" w:cs="Courier New" w:hint="default"/>
      </w:rPr>
    </w:lvl>
    <w:lvl w:ilvl="8" w:tplc="04160005" w:tentative="1">
      <w:start w:val="1"/>
      <w:numFmt w:val="bullet"/>
      <w:lvlText w:val=""/>
      <w:lvlJc w:val="left"/>
      <w:pPr>
        <w:ind w:left="7965" w:hanging="360"/>
      </w:pPr>
      <w:rPr>
        <w:rFonts w:ascii="Wingdings" w:hAnsi="Wingdings" w:hint="default"/>
      </w:rPr>
    </w:lvl>
  </w:abstractNum>
  <w:abstractNum w:abstractNumId="1" w15:restartNumberingAfterBreak="0">
    <w:nsid w:val="167B2303"/>
    <w:multiLevelType w:val="hybridMultilevel"/>
    <w:tmpl w:val="D7CE7C28"/>
    <w:lvl w:ilvl="0" w:tplc="0416000F">
      <w:start w:val="1"/>
      <w:numFmt w:val="decimal"/>
      <w:lvlText w:val="%1."/>
      <w:lvlJc w:val="left"/>
      <w:pPr>
        <w:ind w:left="774" w:hanging="360"/>
      </w:pPr>
    </w:lvl>
    <w:lvl w:ilvl="1" w:tplc="04160019" w:tentative="1">
      <w:start w:val="1"/>
      <w:numFmt w:val="lowerLetter"/>
      <w:lvlText w:val="%2."/>
      <w:lvlJc w:val="left"/>
      <w:pPr>
        <w:ind w:left="1494" w:hanging="360"/>
      </w:pPr>
    </w:lvl>
    <w:lvl w:ilvl="2" w:tplc="0416001B" w:tentative="1">
      <w:start w:val="1"/>
      <w:numFmt w:val="lowerRoman"/>
      <w:lvlText w:val="%3."/>
      <w:lvlJc w:val="right"/>
      <w:pPr>
        <w:ind w:left="2214" w:hanging="180"/>
      </w:pPr>
    </w:lvl>
    <w:lvl w:ilvl="3" w:tplc="0416000F" w:tentative="1">
      <w:start w:val="1"/>
      <w:numFmt w:val="decimal"/>
      <w:lvlText w:val="%4."/>
      <w:lvlJc w:val="left"/>
      <w:pPr>
        <w:ind w:left="2934" w:hanging="360"/>
      </w:pPr>
    </w:lvl>
    <w:lvl w:ilvl="4" w:tplc="04160019" w:tentative="1">
      <w:start w:val="1"/>
      <w:numFmt w:val="lowerLetter"/>
      <w:lvlText w:val="%5."/>
      <w:lvlJc w:val="left"/>
      <w:pPr>
        <w:ind w:left="3654" w:hanging="360"/>
      </w:pPr>
    </w:lvl>
    <w:lvl w:ilvl="5" w:tplc="0416001B" w:tentative="1">
      <w:start w:val="1"/>
      <w:numFmt w:val="lowerRoman"/>
      <w:lvlText w:val="%6."/>
      <w:lvlJc w:val="right"/>
      <w:pPr>
        <w:ind w:left="4374" w:hanging="180"/>
      </w:pPr>
    </w:lvl>
    <w:lvl w:ilvl="6" w:tplc="0416000F" w:tentative="1">
      <w:start w:val="1"/>
      <w:numFmt w:val="decimal"/>
      <w:lvlText w:val="%7."/>
      <w:lvlJc w:val="left"/>
      <w:pPr>
        <w:ind w:left="5094" w:hanging="360"/>
      </w:pPr>
    </w:lvl>
    <w:lvl w:ilvl="7" w:tplc="04160019" w:tentative="1">
      <w:start w:val="1"/>
      <w:numFmt w:val="lowerLetter"/>
      <w:lvlText w:val="%8."/>
      <w:lvlJc w:val="left"/>
      <w:pPr>
        <w:ind w:left="5814" w:hanging="360"/>
      </w:pPr>
    </w:lvl>
    <w:lvl w:ilvl="8" w:tplc="0416001B" w:tentative="1">
      <w:start w:val="1"/>
      <w:numFmt w:val="lowerRoman"/>
      <w:lvlText w:val="%9."/>
      <w:lvlJc w:val="right"/>
      <w:pPr>
        <w:ind w:left="6534" w:hanging="180"/>
      </w:pPr>
    </w:lvl>
  </w:abstractNum>
  <w:abstractNum w:abstractNumId="2" w15:restartNumberingAfterBreak="0">
    <w:nsid w:val="178F0E3B"/>
    <w:multiLevelType w:val="hybridMultilevel"/>
    <w:tmpl w:val="DBF6F1D4"/>
    <w:lvl w:ilvl="0" w:tplc="0416000F">
      <w:start w:val="1"/>
      <w:numFmt w:val="decimal"/>
      <w:lvlText w:val="%1."/>
      <w:lvlJc w:val="left"/>
      <w:pPr>
        <w:tabs>
          <w:tab w:val="num" w:pos="578"/>
        </w:tabs>
        <w:ind w:left="578" w:hanging="360"/>
      </w:pPr>
    </w:lvl>
    <w:lvl w:ilvl="1" w:tplc="04160019" w:tentative="1">
      <w:start w:val="1"/>
      <w:numFmt w:val="lowerLetter"/>
      <w:lvlText w:val="%2."/>
      <w:lvlJc w:val="left"/>
      <w:pPr>
        <w:tabs>
          <w:tab w:val="num" w:pos="1298"/>
        </w:tabs>
        <w:ind w:left="1298" w:hanging="360"/>
      </w:pPr>
    </w:lvl>
    <w:lvl w:ilvl="2" w:tplc="0416001B" w:tentative="1">
      <w:start w:val="1"/>
      <w:numFmt w:val="lowerRoman"/>
      <w:lvlText w:val="%3."/>
      <w:lvlJc w:val="right"/>
      <w:pPr>
        <w:tabs>
          <w:tab w:val="num" w:pos="2018"/>
        </w:tabs>
        <w:ind w:left="2018" w:hanging="180"/>
      </w:pPr>
    </w:lvl>
    <w:lvl w:ilvl="3" w:tplc="0416000F" w:tentative="1">
      <w:start w:val="1"/>
      <w:numFmt w:val="decimal"/>
      <w:lvlText w:val="%4."/>
      <w:lvlJc w:val="left"/>
      <w:pPr>
        <w:tabs>
          <w:tab w:val="num" w:pos="2738"/>
        </w:tabs>
        <w:ind w:left="2738" w:hanging="360"/>
      </w:pPr>
    </w:lvl>
    <w:lvl w:ilvl="4" w:tplc="04160019" w:tentative="1">
      <w:start w:val="1"/>
      <w:numFmt w:val="lowerLetter"/>
      <w:lvlText w:val="%5."/>
      <w:lvlJc w:val="left"/>
      <w:pPr>
        <w:tabs>
          <w:tab w:val="num" w:pos="3458"/>
        </w:tabs>
        <w:ind w:left="3458" w:hanging="360"/>
      </w:pPr>
    </w:lvl>
    <w:lvl w:ilvl="5" w:tplc="0416001B" w:tentative="1">
      <w:start w:val="1"/>
      <w:numFmt w:val="lowerRoman"/>
      <w:lvlText w:val="%6."/>
      <w:lvlJc w:val="right"/>
      <w:pPr>
        <w:tabs>
          <w:tab w:val="num" w:pos="4178"/>
        </w:tabs>
        <w:ind w:left="4178" w:hanging="180"/>
      </w:pPr>
    </w:lvl>
    <w:lvl w:ilvl="6" w:tplc="0416000F" w:tentative="1">
      <w:start w:val="1"/>
      <w:numFmt w:val="decimal"/>
      <w:lvlText w:val="%7."/>
      <w:lvlJc w:val="left"/>
      <w:pPr>
        <w:tabs>
          <w:tab w:val="num" w:pos="4898"/>
        </w:tabs>
        <w:ind w:left="4898" w:hanging="360"/>
      </w:pPr>
    </w:lvl>
    <w:lvl w:ilvl="7" w:tplc="04160019" w:tentative="1">
      <w:start w:val="1"/>
      <w:numFmt w:val="lowerLetter"/>
      <w:lvlText w:val="%8."/>
      <w:lvlJc w:val="left"/>
      <w:pPr>
        <w:tabs>
          <w:tab w:val="num" w:pos="5618"/>
        </w:tabs>
        <w:ind w:left="5618" w:hanging="360"/>
      </w:pPr>
    </w:lvl>
    <w:lvl w:ilvl="8" w:tplc="0416001B" w:tentative="1">
      <w:start w:val="1"/>
      <w:numFmt w:val="lowerRoman"/>
      <w:lvlText w:val="%9."/>
      <w:lvlJc w:val="right"/>
      <w:pPr>
        <w:tabs>
          <w:tab w:val="num" w:pos="6338"/>
        </w:tabs>
        <w:ind w:left="6338" w:hanging="180"/>
      </w:pPr>
    </w:lvl>
  </w:abstractNum>
  <w:abstractNum w:abstractNumId="3" w15:restartNumberingAfterBreak="0">
    <w:nsid w:val="19F6330D"/>
    <w:multiLevelType w:val="hybridMultilevel"/>
    <w:tmpl w:val="7D209A3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D5E621C"/>
    <w:multiLevelType w:val="hybridMultilevel"/>
    <w:tmpl w:val="43D23D42"/>
    <w:lvl w:ilvl="0" w:tplc="0416000F">
      <w:start w:val="1"/>
      <w:numFmt w:val="decimal"/>
      <w:lvlText w:val="%1."/>
      <w:lvlJc w:val="left"/>
      <w:pPr>
        <w:ind w:left="644"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5" w15:restartNumberingAfterBreak="0">
    <w:nsid w:val="23E9594F"/>
    <w:multiLevelType w:val="hybridMultilevel"/>
    <w:tmpl w:val="8A8EF510"/>
    <w:lvl w:ilvl="0" w:tplc="0416000F">
      <w:start w:val="1"/>
      <w:numFmt w:val="decimal"/>
      <w:lvlText w:val="%1."/>
      <w:lvlJc w:val="left"/>
      <w:pPr>
        <w:tabs>
          <w:tab w:val="num" w:pos="720"/>
        </w:tabs>
        <w:ind w:left="720" w:hanging="360"/>
      </w:pPr>
    </w:lvl>
    <w:lvl w:ilvl="1" w:tplc="04160019">
      <w:start w:val="1"/>
      <w:numFmt w:val="decimal"/>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6" w15:restartNumberingAfterBreak="0">
    <w:nsid w:val="242C5E2D"/>
    <w:multiLevelType w:val="hybridMultilevel"/>
    <w:tmpl w:val="2B70C2B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2A430411"/>
    <w:multiLevelType w:val="hybridMultilevel"/>
    <w:tmpl w:val="3CD075A2"/>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15:restartNumberingAfterBreak="0">
    <w:nsid w:val="2AB94008"/>
    <w:multiLevelType w:val="hybridMultilevel"/>
    <w:tmpl w:val="8014F3F0"/>
    <w:lvl w:ilvl="0" w:tplc="04160001">
      <w:start w:val="1"/>
      <w:numFmt w:val="bullet"/>
      <w:lvlText w:val=""/>
      <w:lvlJc w:val="left"/>
      <w:pPr>
        <w:ind w:left="774" w:hanging="360"/>
      </w:pPr>
      <w:rPr>
        <w:rFonts w:ascii="Symbol" w:hAnsi="Symbol" w:hint="default"/>
      </w:rPr>
    </w:lvl>
    <w:lvl w:ilvl="1" w:tplc="04160003" w:tentative="1">
      <w:start w:val="1"/>
      <w:numFmt w:val="bullet"/>
      <w:lvlText w:val="o"/>
      <w:lvlJc w:val="left"/>
      <w:pPr>
        <w:ind w:left="1494" w:hanging="360"/>
      </w:pPr>
      <w:rPr>
        <w:rFonts w:ascii="Courier New" w:hAnsi="Courier New" w:cs="Courier New" w:hint="default"/>
      </w:rPr>
    </w:lvl>
    <w:lvl w:ilvl="2" w:tplc="04160005" w:tentative="1">
      <w:start w:val="1"/>
      <w:numFmt w:val="bullet"/>
      <w:lvlText w:val=""/>
      <w:lvlJc w:val="left"/>
      <w:pPr>
        <w:ind w:left="2214" w:hanging="360"/>
      </w:pPr>
      <w:rPr>
        <w:rFonts w:ascii="Wingdings" w:hAnsi="Wingdings" w:hint="default"/>
      </w:rPr>
    </w:lvl>
    <w:lvl w:ilvl="3" w:tplc="04160001" w:tentative="1">
      <w:start w:val="1"/>
      <w:numFmt w:val="bullet"/>
      <w:lvlText w:val=""/>
      <w:lvlJc w:val="left"/>
      <w:pPr>
        <w:ind w:left="2934" w:hanging="360"/>
      </w:pPr>
      <w:rPr>
        <w:rFonts w:ascii="Symbol" w:hAnsi="Symbol" w:hint="default"/>
      </w:rPr>
    </w:lvl>
    <w:lvl w:ilvl="4" w:tplc="04160003" w:tentative="1">
      <w:start w:val="1"/>
      <w:numFmt w:val="bullet"/>
      <w:lvlText w:val="o"/>
      <w:lvlJc w:val="left"/>
      <w:pPr>
        <w:ind w:left="3654" w:hanging="360"/>
      </w:pPr>
      <w:rPr>
        <w:rFonts w:ascii="Courier New" w:hAnsi="Courier New" w:cs="Courier New" w:hint="default"/>
      </w:rPr>
    </w:lvl>
    <w:lvl w:ilvl="5" w:tplc="04160005" w:tentative="1">
      <w:start w:val="1"/>
      <w:numFmt w:val="bullet"/>
      <w:lvlText w:val=""/>
      <w:lvlJc w:val="left"/>
      <w:pPr>
        <w:ind w:left="4374" w:hanging="360"/>
      </w:pPr>
      <w:rPr>
        <w:rFonts w:ascii="Wingdings" w:hAnsi="Wingdings" w:hint="default"/>
      </w:rPr>
    </w:lvl>
    <w:lvl w:ilvl="6" w:tplc="04160001" w:tentative="1">
      <w:start w:val="1"/>
      <w:numFmt w:val="bullet"/>
      <w:lvlText w:val=""/>
      <w:lvlJc w:val="left"/>
      <w:pPr>
        <w:ind w:left="5094" w:hanging="360"/>
      </w:pPr>
      <w:rPr>
        <w:rFonts w:ascii="Symbol" w:hAnsi="Symbol" w:hint="default"/>
      </w:rPr>
    </w:lvl>
    <w:lvl w:ilvl="7" w:tplc="04160003" w:tentative="1">
      <w:start w:val="1"/>
      <w:numFmt w:val="bullet"/>
      <w:lvlText w:val="o"/>
      <w:lvlJc w:val="left"/>
      <w:pPr>
        <w:ind w:left="5814" w:hanging="360"/>
      </w:pPr>
      <w:rPr>
        <w:rFonts w:ascii="Courier New" w:hAnsi="Courier New" w:cs="Courier New" w:hint="default"/>
      </w:rPr>
    </w:lvl>
    <w:lvl w:ilvl="8" w:tplc="04160005" w:tentative="1">
      <w:start w:val="1"/>
      <w:numFmt w:val="bullet"/>
      <w:lvlText w:val=""/>
      <w:lvlJc w:val="left"/>
      <w:pPr>
        <w:ind w:left="6534" w:hanging="360"/>
      </w:pPr>
      <w:rPr>
        <w:rFonts w:ascii="Wingdings" w:hAnsi="Wingdings" w:hint="default"/>
      </w:rPr>
    </w:lvl>
  </w:abstractNum>
  <w:abstractNum w:abstractNumId="9" w15:restartNumberingAfterBreak="0">
    <w:nsid w:val="2F4A74C5"/>
    <w:multiLevelType w:val="hybridMultilevel"/>
    <w:tmpl w:val="E7B84354"/>
    <w:lvl w:ilvl="0" w:tplc="83BC59F8">
      <w:start w:val="1"/>
      <w:numFmt w:val="decimal"/>
      <w:lvlText w:val="%1."/>
      <w:lvlJc w:val="left"/>
      <w:pPr>
        <w:ind w:left="1140" w:hanging="360"/>
      </w:pPr>
      <w:rPr>
        <w:rFonts w:ascii="Times New Roman" w:eastAsia="Times New Roman" w:hAnsi="Times New Roman" w:cs="Times New Roman"/>
      </w:rPr>
    </w:lvl>
    <w:lvl w:ilvl="1" w:tplc="04160019" w:tentative="1">
      <w:start w:val="1"/>
      <w:numFmt w:val="lowerLetter"/>
      <w:lvlText w:val="%2."/>
      <w:lvlJc w:val="left"/>
      <w:pPr>
        <w:ind w:left="1860" w:hanging="360"/>
      </w:pPr>
    </w:lvl>
    <w:lvl w:ilvl="2" w:tplc="0416001B" w:tentative="1">
      <w:start w:val="1"/>
      <w:numFmt w:val="lowerRoman"/>
      <w:lvlText w:val="%3."/>
      <w:lvlJc w:val="right"/>
      <w:pPr>
        <w:ind w:left="2580" w:hanging="180"/>
      </w:pPr>
    </w:lvl>
    <w:lvl w:ilvl="3" w:tplc="0416000F" w:tentative="1">
      <w:start w:val="1"/>
      <w:numFmt w:val="decimal"/>
      <w:lvlText w:val="%4."/>
      <w:lvlJc w:val="left"/>
      <w:pPr>
        <w:ind w:left="3300" w:hanging="360"/>
      </w:pPr>
    </w:lvl>
    <w:lvl w:ilvl="4" w:tplc="04160019" w:tentative="1">
      <w:start w:val="1"/>
      <w:numFmt w:val="lowerLetter"/>
      <w:lvlText w:val="%5."/>
      <w:lvlJc w:val="left"/>
      <w:pPr>
        <w:ind w:left="4020" w:hanging="360"/>
      </w:pPr>
    </w:lvl>
    <w:lvl w:ilvl="5" w:tplc="0416001B" w:tentative="1">
      <w:start w:val="1"/>
      <w:numFmt w:val="lowerRoman"/>
      <w:lvlText w:val="%6."/>
      <w:lvlJc w:val="right"/>
      <w:pPr>
        <w:ind w:left="4740" w:hanging="180"/>
      </w:pPr>
    </w:lvl>
    <w:lvl w:ilvl="6" w:tplc="0416000F" w:tentative="1">
      <w:start w:val="1"/>
      <w:numFmt w:val="decimal"/>
      <w:lvlText w:val="%7."/>
      <w:lvlJc w:val="left"/>
      <w:pPr>
        <w:ind w:left="5460" w:hanging="360"/>
      </w:pPr>
    </w:lvl>
    <w:lvl w:ilvl="7" w:tplc="04160019" w:tentative="1">
      <w:start w:val="1"/>
      <w:numFmt w:val="lowerLetter"/>
      <w:lvlText w:val="%8."/>
      <w:lvlJc w:val="left"/>
      <w:pPr>
        <w:ind w:left="6180" w:hanging="360"/>
      </w:pPr>
    </w:lvl>
    <w:lvl w:ilvl="8" w:tplc="0416001B" w:tentative="1">
      <w:start w:val="1"/>
      <w:numFmt w:val="lowerRoman"/>
      <w:lvlText w:val="%9."/>
      <w:lvlJc w:val="right"/>
      <w:pPr>
        <w:ind w:left="6900" w:hanging="180"/>
      </w:pPr>
    </w:lvl>
  </w:abstractNum>
  <w:abstractNum w:abstractNumId="10" w15:restartNumberingAfterBreak="0">
    <w:nsid w:val="3061427A"/>
    <w:multiLevelType w:val="hybridMultilevel"/>
    <w:tmpl w:val="50BA501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3D505E64"/>
    <w:multiLevelType w:val="hybridMultilevel"/>
    <w:tmpl w:val="125E07CC"/>
    <w:lvl w:ilvl="0" w:tplc="1B2A7CBE">
      <w:numFmt w:val="bullet"/>
      <w:lvlText w:val=""/>
      <w:lvlJc w:val="left"/>
      <w:pPr>
        <w:ind w:left="720" w:hanging="360"/>
      </w:pPr>
      <w:rPr>
        <w:rFonts w:ascii="Symbol" w:eastAsiaTheme="minorHAnsi"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D6160BF"/>
    <w:multiLevelType w:val="hybridMultilevel"/>
    <w:tmpl w:val="9EFCA6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3ED3656E"/>
    <w:multiLevelType w:val="hybridMultilevel"/>
    <w:tmpl w:val="F69C4C6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3FDC0B25"/>
    <w:multiLevelType w:val="hybridMultilevel"/>
    <w:tmpl w:val="0BF4E1DC"/>
    <w:lvl w:ilvl="0" w:tplc="0416000F">
      <w:start w:val="1"/>
      <w:numFmt w:val="decimal"/>
      <w:lvlText w:val="%1."/>
      <w:lvlJc w:val="left"/>
      <w:pPr>
        <w:tabs>
          <w:tab w:val="num" w:pos="720"/>
        </w:tabs>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5" w15:restartNumberingAfterBreak="0">
    <w:nsid w:val="548F3207"/>
    <w:multiLevelType w:val="hybridMultilevel"/>
    <w:tmpl w:val="3C3AD740"/>
    <w:lvl w:ilvl="0" w:tplc="540256F8">
      <w:start w:val="1"/>
      <w:numFmt w:val="decimal"/>
      <w:lvlText w:val="%1."/>
      <w:lvlJc w:val="left"/>
      <w:pPr>
        <w:tabs>
          <w:tab w:val="num" w:pos="720"/>
        </w:tabs>
        <w:ind w:left="720" w:hanging="360"/>
      </w:pPr>
      <w:rPr>
        <w:sz w:val="22"/>
        <w:szCs w:val="22"/>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6" w15:restartNumberingAfterBreak="0">
    <w:nsid w:val="588F22E9"/>
    <w:multiLevelType w:val="hybridMultilevel"/>
    <w:tmpl w:val="6730324C"/>
    <w:lvl w:ilvl="0" w:tplc="3042DCCE">
      <w:start w:val="1"/>
      <w:numFmt w:val="decimal"/>
      <w:lvlText w:val="%1."/>
      <w:lvlJc w:val="left"/>
      <w:pPr>
        <w:ind w:left="1469" w:hanging="1185"/>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7" w15:restartNumberingAfterBreak="0">
    <w:nsid w:val="652B6A66"/>
    <w:multiLevelType w:val="hybridMultilevel"/>
    <w:tmpl w:val="69CA0224"/>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679056AC"/>
    <w:multiLevelType w:val="hybridMultilevel"/>
    <w:tmpl w:val="56AA20AA"/>
    <w:lvl w:ilvl="0" w:tplc="0416000F">
      <w:start w:val="1"/>
      <w:numFmt w:val="decimal"/>
      <w:lvlText w:val="%1."/>
      <w:lvlJc w:val="left"/>
      <w:pPr>
        <w:tabs>
          <w:tab w:val="num" w:pos="720"/>
        </w:tabs>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9" w15:restartNumberingAfterBreak="0">
    <w:nsid w:val="6F347720"/>
    <w:multiLevelType w:val="hybridMultilevel"/>
    <w:tmpl w:val="BB9E222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71D72373"/>
    <w:multiLevelType w:val="hybridMultilevel"/>
    <w:tmpl w:val="2804A7D8"/>
    <w:lvl w:ilvl="0" w:tplc="9A38DAAC">
      <w:start w:val="1"/>
      <w:numFmt w:val="decimal"/>
      <w:lvlText w:val="%1."/>
      <w:lvlJc w:val="left"/>
      <w:pPr>
        <w:tabs>
          <w:tab w:val="num" w:pos="502"/>
        </w:tabs>
        <w:ind w:left="502" w:hanging="360"/>
      </w:pPr>
      <w:rPr>
        <w:sz w:val="24"/>
        <w:szCs w:val="24"/>
      </w:rPr>
    </w:lvl>
    <w:lvl w:ilvl="1" w:tplc="04160019" w:tentative="1">
      <w:start w:val="1"/>
      <w:numFmt w:val="lowerLetter"/>
      <w:lvlText w:val="%2."/>
      <w:lvlJc w:val="left"/>
      <w:pPr>
        <w:tabs>
          <w:tab w:val="num" w:pos="1222"/>
        </w:tabs>
        <w:ind w:left="1222" w:hanging="360"/>
      </w:pPr>
    </w:lvl>
    <w:lvl w:ilvl="2" w:tplc="0416001B" w:tentative="1">
      <w:start w:val="1"/>
      <w:numFmt w:val="lowerRoman"/>
      <w:lvlText w:val="%3."/>
      <w:lvlJc w:val="right"/>
      <w:pPr>
        <w:tabs>
          <w:tab w:val="num" w:pos="1942"/>
        </w:tabs>
        <w:ind w:left="1942" w:hanging="180"/>
      </w:pPr>
    </w:lvl>
    <w:lvl w:ilvl="3" w:tplc="0416000F" w:tentative="1">
      <w:start w:val="1"/>
      <w:numFmt w:val="decimal"/>
      <w:lvlText w:val="%4."/>
      <w:lvlJc w:val="left"/>
      <w:pPr>
        <w:tabs>
          <w:tab w:val="num" w:pos="2662"/>
        </w:tabs>
        <w:ind w:left="2662" w:hanging="360"/>
      </w:pPr>
    </w:lvl>
    <w:lvl w:ilvl="4" w:tplc="04160019" w:tentative="1">
      <w:start w:val="1"/>
      <w:numFmt w:val="lowerLetter"/>
      <w:lvlText w:val="%5."/>
      <w:lvlJc w:val="left"/>
      <w:pPr>
        <w:tabs>
          <w:tab w:val="num" w:pos="3382"/>
        </w:tabs>
        <w:ind w:left="3382" w:hanging="360"/>
      </w:pPr>
    </w:lvl>
    <w:lvl w:ilvl="5" w:tplc="0416001B" w:tentative="1">
      <w:start w:val="1"/>
      <w:numFmt w:val="lowerRoman"/>
      <w:lvlText w:val="%6."/>
      <w:lvlJc w:val="right"/>
      <w:pPr>
        <w:tabs>
          <w:tab w:val="num" w:pos="4102"/>
        </w:tabs>
        <w:ind w:left="4102" w:hanging="180"/>
      </w:pPr>
    </w:lvl>
    <w:lvl w:ilvl="6" w:tplc="0416000F" w:tentative="1">
      <w:start w:val="1"/>
      <w:numFmt w:val="decimal"/>
      <w:lvlText w:val="%7."/>
      <w:lvlJc w:val="left"/>
      <w:pPr>
        <w:tabs>
          <w:tab w:val="num" w:pos="4822"/>
        </w:tabs>
        <w:ind w:left="4822" w:hanging="360"/>
      </w:pPr>
    </w:lvl>
    <w:lvl w:ilvl="7" w:tplc="04160019" w:tentative="1">
      <w:start w:val="1"/>
      <w:numFmt w:val="lowerLetter"/>
      <w:lvlText w:val="%8."/>
      <w:lvlJc w:val="left"/>
      <w:pPr>
        <w:tabs>
          <w:tab w:val="num" w:pos="5542"/>
        </w:tabs>
        <w:ind w:left="5542" w:hanging="360"/>
      </w:pPr>
    </w:lvl>
    <w:lvl w:ilvl="8" w:tplc="0416001B" w:tentative="1">
      <w:start w:val="1"/>
      <w:numFmt w:val="lowerRoman"/>
      <w:lvlText w:val="%9."/>
      <w:lvlJc w:val="right"/>
      <w:pPr>
        <w:tabs>
          <w:tab w:val="num" w:pos="6262"/>
        </w:tabs>
        <w:ind w:left="6262" w:hanging="180"/>
      </w:pPr>
    </w:lvl>
  </w:abstractNum>
  <w:abstractNum w:abstractNumId="21" w15:restartNumberingAfterBreak="0">
    <w:nsid w:val="72376EA4"/>
    <w:multiLevelType w:val="hybridMultilevel"/>
    <w:tmpl w:val="2976DC7E"/>
    <w:lvl w:ilvl="0" w:tplc="0416000F">
      <w:start w:val="1"/>
      <w:numFmt w:val="decimal"/>
      <w:lvlText w:val="%1."/>
      <w:lvlJc w:val="left"/>
      <w:pPr>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22" w15:restartNumberingAfterBreak="0">
    <w:nsid w:val="7D3D59D0"/>
    <w:multiLevelType w:val="hybridMultilevel"/>
    <w:tmpl w:val="75DACE04"/>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3" w15:restartNumberingAfterBreak="0">
    <w:nsid w:val="7D9472D4"/>
    <w:multiLevelType w:val="hybridMultilevel"/>
    <w:tmpl w:val="489285CA"/>
    <w:lvl w:ilvl="0" w:tplc="0416000F">
      <w:start w:val="1"/>
      <w:numFmt w:val="decimal"/>
      <w:lvlText w:val="%1."/>
      <w:lvlJc w:val="left"/>
      <w:pPr>
        <w:ind w:left="1724" w:hanging="360"/>
      </w:pPr>
      <w:rPr>
        <w:rFonts w:hint="default"/>
      </w:rPr>
    </w:lvl>
    <w:lvl w:ilvl="1" w:tplc="04160019">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num w:numId="1">
    <w:abstractNumId w:val="22"/>
  </w:num>
  <w:num w:numId="2">
    <w:abstractNumId w:val="19"/>
  </w:num>
  <w:num w:numId="3">
    <w:abstractNumId w:val="15"/>
  </w:num>
  <w:num w:numId="4">
    <w:abstractNumId w:val="6"/>
  </w:num>
  <w:num w:numId="5">
    <w:abstractNumId w:val="2"/>
  </w:num>
  <w:num w:numId="6">
    <w:abstractNumId w:val="7"/>
  </w:num>
  <w:num w:numId="7">
    <w:abstractNumId w:val="12"/>
  </w:num>
  <w:num w:numId="8">
    <w:abstractNumId w:val="9"/>
  </w:num>
  <w:num w:numId="9">
    <w:abstractNumId w:val="3"/>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3"/>
  </w:num>
  <w:num w:numId="19">
    <w:abstractNumId w:val="16"/>
  </w:num>
  <w:num w:numId="20">
    <w:abstractNumId w:val="0"/>
  </w:num>
  <w:num w:numId="21">
    <w:abstractNumId w:val="1"/>
  </w:num>
  <w:num w:numId="22">
    <w:abstractNumId w:val="8"/>
  </w:num>
  <w:num w:numId="23">
    <w:abstractNumId w:val="13"/>
  </w:num>
  <w:num w:numId="24">
    <w:abstractNumId w:val="10"/>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2F9A"/>
    <w:rsid w:val="0001188D"/>
    <w:rsid w:val="00023136"/>
    <w:rsid w:val="0004011E"/>
    <w:rsid w:val="00045689"/>
    <w:rsid w:val="00051094"/>
    <w:rsid w:val="00052E3C"/>
    <w:rsid w:val="00052E5D"/>
    <w:rsid w:val="00053EC3"/>
    <w:rsid w:val="00055047"/>
    <w:rsid w:val="00081374"/>
    <w:rsid w:val="00083AB8"/>
    <w:rsid w:val="000A1C26"/>
    <w:rsid w:val="000A39AD"/>
    <w:rsid w:val="000A42CA"/>
    <w:rsid w:val="000D080D"/>
    <w:rsid w:val="000D7EA7"/>
    <w:rsid w:val="000E04D4"/>
    <w:rsid w:val="00100FCD"/>
    <w:rsid w:val="0010541C"/>
    <w:rsid w:val="001067A5"/>
    <w:rsid w:val="001127BD"/>
    <w:rsid w:val="00114132"/>
    <w:rsid w:val="00122FA5"/>
    <w:rsid w:val="00133669"/>
    <w:rsid w:val="00136FBB"/>
    <w:rsid w:val="0014342D"/>
    <w:rsid w:val="001545BD"/>
    <w:rsid w:val="001547F7"/>
    <w:rsid w:val="00166CBE"/>
    <w:rsid w:val="0017280F"/>
    <w:rsid w:val="00177F91"/>
    <w:rsid w:val="0018614E"/>
    <w:rsid w:val="001867F4"/>
    <w:rsid w:val="0019104D"/>
    <w:rsid w:val="001B270D"/>
    <w:rsid w:val="001C285E"/>
    <w:rsid w:val="001D3370"/>
    <w:rsid w:val="00213AE6"/>
    <w:rsid w:val="0021732B"/>
    <w:rsid w:val="00233756"/>
    <w:rsid w:val="0023387B"/>
    <w:rsid w:val="00233CB7"/>
    <w:rsid w:val="0023590D"/>
    <w:rsid w:val="00236947"/>
    <w:rsid w:val="00242972"/>
    <w:rsid w:val="002508AC"/>
    <w:rsid w:val="0025470D"/>
    <w:rsid w:val="00270E09"/>
    <w:rsid w:val="002722C0"/>
    <w:rsid w:val="00272D57"/>
    <w:rsid w:val="00277B32"/>
    <w:rsid w:val="002A0038"/>
    <w:rsid w:val="002A087F"/>
    <w:rsid w:val="002A1399"/>
    <w:rsid w:val="002A6BE1"/>
    <w:rsid w:val="002A703F"/>
    <w:rsid w:val="002A7E22"/>
    <w:rsid w:val="002A7EA2"/>
    <w:rsid w:val="002C46AC"/>
    <w:rsid w:val="002F26B8"/>
    <w:rsid w:val="0030216A"/>
    <w:rsid w:val="003067CA"/>
    <w:rsid w:val="00306985"/>
    <w:rsid w:val="003209DB"/>
    <w:rsid w:val="003340CA"/>
    <w:rsid w:val="003345B8"/>
    <w:rsid w:val="00337497"/>
    <w:rsid w:val="0035559B"/>
    <w:rsid w:val="00361619"/>
    <w:rsid w:val="00367F84"/>
    <w:rsid w:val="003700E1"/>
    <w:rsid w:val="00372214"/>
    <w:rsid w:val="0039147A"/>
    <w:rsid w:val="00392E61"/>
    <w:rsid w:val="00395D94"/>
    <w:rsid w:val="003A0E60"/>
    <w:rsid w:val="003C5055"/>
    <w:rsid w:val="003D08B6"/>
    <w:rsid w:val="003E6934"/>
    <w:rsid w:val="003F1706"/>
    <w:rsid w:val="003F5AE6"/>
    <w:rsid w:val="003F63FC"/>
    <w:rsid w:val="0041147E"/>
    <w:rsid w:val="00423020"/>
    <w:rsid w:val="004239CB"/>
    <w:rsid w:val="004368A9"/>
    <w:rsid w:val="00450B24"/>
    <w:rsid w:val="004614F2"/>
    <w:rsid w:val="00467E23"/>
    <w:rsid w:val="004749E9"/>
    <w:rsid w:val="00480FF7"/>
    <w:rsid w:val="004853DD"/>
    <w:rsid w:val="00493C33"/>
    <w:rsid w:val="00494C80"/>
    <w:rsid w:val="00496E58"/>
    <w:rsid w:val="004B02D5"/>
    <w:rsid w:val="004C42D3"/>
    <w:rsid w:val="004E0E71"/>
    <w:rsid w:val="004E2A73"/>
    <w:rsid w:val="00515387"/>
    <w:rsid w:val="00537BCC"/>
    <w:rsid w:val="0055302F"/>
    <w:rsid w:val="005B4DAC"/>
    <w:rsid w:val="005B6845"/>
    <w:rsid w:val="005B7C2E"/>
    <w:rsid w:val="005C02EE"/>
    <w:rsid w:val="005C2CBF"/>
    <w:rsid w:val="005C5DB3"/>
    <w:rsid w:val="005C66A3"/>
    <w:rsid w:val="005E4A0C"/>
    <w:rsid w:val="005E5C7C"/>
    <w:rsid w:val="00602F9A"/>
    <w:rsid w:val="00602FA2"/>
    <w:rsid w:val="00605CA2"/>
    <w:rsid w:val="00606870"/>
    <w:rsid w:val="00623B28"/>
    <w:rsid w:val="006256C1"/>
    <w:rsid w:val="00652621"/>
    <w:rsid w:val="00663D1A"/>
    <w:rsid w:val="0066742E"/>
    <w:rsid w:val="0069052A"/>
    <w:rsid w:val="0069506A"/>
    <w:rsid w:val="006A0949"/>
    <w:rsid w:val="006A1E1A"/>
    <w:rsid w:val="006A6E6A"/>
    <w:rsid w:val="006A7E6E"/>
    <w:rsid w:val="006B33A1"/>
    <w:rsid w:val="006B3DFE"/>
    <w:rsid w:val="006C1405"/>
    <w:rsid w:val="006C25C9"/>
    <w:rsid w:val="006C370A"/>
    <w:rsid w:val="006C4951"/>
    <w:rsid w:val="006D5526"/>
    <w:rsid w:val="006E2215"/>
    <w:rsid w:val="006E6D1D"/>
    <w:rsid w:val="00705CAF"/>
    <w:rsid w:val="007127DB"/>
    <w:rsid w:val="00731874"/>
    <w:rsid w:val="007353C0"/>
    <w:rsid w:val="00755BF9"/>
    <w:rsid w:val="00762BBB"/>
    <w:rsid w:val="007815F1"/>
    <w:rsid w:val="00783CE4"/>
    <w:rsid w:val="0079409F"/>
    <w:rsid w:val="007A7F55"/>
    <w:rsid w:val="007B3628"/>
    <w:rsid w:val="007B660F"/>
    <w:rsid w:val="007C564C"/>
    <w:rsid w:val="007D0DF9"/>
    <w:rsid w:val="007E08F5"/>
    <w:rsid w:val="007F1DA9"/>
    <w:rsid w:val="00810D2C"/>
    <w:rsid w:val="0083209C"/>
    <w:rsid w:val="00832161"/>
    <w:rsid w:val="00833DB9"/>
    <w:rsid w:val="0083554E"/>
    <w:rsid w:val="00844E44"/>
    <w:rsid w:val="00845C4D"/>
    <w:rsid w:val="00847CD1"/>
    <w:rsid w:val="00847F3E"/>
    <w:rsid w:val="00857672"/>
    <w:rsid w:val="00867E8D"/>
    <w:rsid w:val="0089389A"/>
    <w:rsid w:val="008C0432"/>
    <w:rsid w:val="008C6BE1"/>
    <w:rsid w:val="008C7533"/>
    <w:rsid w:val="008D2300"/>
    <w:rsid w:val="008D434E"/>
    <w:rsid w:val="008D77EA"/>
    <w:rsid w:val="008E7357"/>
    <w:rsid w:val="008F4251"/>
    <w:rsid w:val="008F5E31"/>
    <w:rsid w:val="00901052"/>
    <w:rsid w:val="009209CF"/>
    <w:rsid w:val="009311D1"/>
    <w:rsid w:val="009357EA"/>
    <w:rsid w:val="00945E59"/>
    <w:rsid w:val="00950EFE"/>
    <w:rsid w:val="009524C5"/>
    <w:rsid w:val="00957CFC"/>
    <w:rsid w:val="00965A26"/>
    <w:rsid w:val="009A68F5"/>
    <w:rsid w:val="009A6EC9"/>
    <w:rsid w:val="009C0020"/>
    <w:rsid w:val="009C6F29"/>
    <w:rsid w:val="009D3464"/>
    <w:rsid w:val="009D7FE8"/>
    <w:rsid w:val="009F2E8F"/>
    <w:rsid w:val="00A26F8D"/>
    <w:rsid w:val="00A31B04"/>
    <w:rsid w:val="00A32568"/>
    <w:rsid w:val="00A4731B"/>
    <w:rsid w:val="00A51619"/>
    <w:rsid w:val="00A83146"/>
    <w:rsid w:val="00AA1003"/>
    <w:rsid w:val="00AB1BB8"/>
    <w:rsid w:val="00AD0A6C"/>
    <w:rsid w:val="00AD31BC"/>
    <w:rsid w:val="00AD6AB1"/>
    <w:rsid w:val="00B01256"/>
    <w:rsid w:val="00B130A8"/>
    <w:rsid w:val="00B1334C"/>
    <w:rsid w:val="00B21DF1"/>
    <w:rsid w:val="00B24922"/>
    <w:rsid w:val="00B303F2"/>
    <w:rsid w:val="00B342F4"/>
    <w:rsid w:val="00B353E4"/>
    <w:rsid w:val="00B47CD5"/>
    <w:rsid w:val="00B577B8"/>
    <w:rsid w:val="00B67405"/>
    <w:rsid w:val="00B676C0"/>
    <w:rsid w:val="00B72E73"/>
    <w:rsid w:val="00B93025"/>
    <w:rsid w:val="00B965F1"/>
    <w:rsid w:val="00BA279F"/>
    <w:rsid w:val="00BC634B"/>
    <w:rsid w:val="00BC776E"/>
    <w:rsid w:val="00BD51C4"/>
    <w:rsid w:val="00BE16B1"/>
    <w:rsid w:val="00BE3582"/>
    <w:rsid w:val="00BE6AE8"/>
    <w:rsid w:val="00BF08F4"/>
    <w:rsid w:val="00BF27FE"/>
    <w:rsid w:val="00BF550E"/>
    <w:rsid w:val="00C0371B"/>
    <w:rsid w:val="00C07190"/>
    <w:rsid w:val="00C13110"/>
    <w:rsid w:val="00C207FD"/>
    <w:rsid w:val="00C235B2"/>
    <w:rsid w:val="00C25808"/>
    <w:rsid w:val="00C30E99"/>
    <w:rsid w:val="00C349E3"/>
    <w:rsid w:val="00C52773"/>
    <w:rsid w:val="00C7231E"/>
    <w:rsid w:val="00C76145"/>
    <w:rsid w:val="00CA4B93"/>
    <w:rsid w:val="00CA7EE7"/>
    <w:rsid w:val="00CB29F6"/>
    <w:rsid w:val="00CB5CC9"/>
    <w:rsid w:val="00CC1022"/>
    <w:rsid w:val="00CD1688"/>
    <w:rsid w:val="00CE443E"/>
    <w:rsid w:val="00D117A6"/>
    <w:rsid w:val="00D12DB5"/>
    <w:rsid w:val="00D20CB1"/>
    <w:rsid w:val="00D226EA"/>
    <w:rsid w:val="00D23074"/>
    <w:rsid w:val="00D32C6D"/>
    <w:rsid w:val="00D343B8"/>
    <w:rsid w:val="00D37CD2"/>
    <w:rsid w:val="00D40142"/>
    <w:rsid w:val="00D51954"/>
    <w:rsid w:val="00D550AD"/>
    <w:rsid w:val="00D63EE3"/>
    <w:rsid w:val="00D700F8"/>
    <w:rsid w:val="00DD2A4C"/>
    <w:rsid w:val="00DD5391"/>
    <w:rsid w:val="00E0027B"/>
    <w:rsid w:val="00E0414E"/>
    <w:rsid w:val="00E47ED6"/>
    <w:rsid w:val="00E575DD"/>
    <w:rsid w:val="00E63606"/>
    <w:rsid w:val="00E80717"/>
    <w:rsid w:val="00E84315"/>
    <w:rsid w:val="00E8483A"/>
    <w:rsid w:val="00EA2859"/>
    <w:rsid w:val="00EB79E1"/>
    <w:rsid w:val="00EC1B75"/>
    <w:rsid w:val="00EC423B"/>
    <w:rsid w:val="00ED13F7"/>
    <w:rsid w:val="00EF0429"/>
    <w:rsid w:val="00EF122B"/>
    <w:rsid w:val="00F07BE7"/>
    <w:rsid w:val="00F12FDA"/>
    <w:rsid w:val="00F32546"/>
    <w:rsid w:val="00F435E1"/>
    <w:rsid w:val="00F4583C"/>
    <w:rsid w:val="00FA06EC"/>
    <w:rsid w:val="00FA4EDF"/>
    <w:rsid w:val="00FB6D4C"/>
    <w:rsid w:val="00FC4D2E"/>
    <w:rsid w:val="00FD4093"/>
    <w:rsid w:val="00FE2FB6"/>
    <w:rsid w:val="00FF1FE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4E20E0"/>
  <w15:docId w15:val="{A3696A73-DEFF-4C2C-B903-55B595F67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02F9A"/>
    <w:pPr>
      <w:spacing w:after="0" w:line="240" w:lineRule="auto"/>
      <w:jc w:val="both"/>
    </w:pPr>
    <w:rPr>
      <w:rFonts w:ascii="Arial" w:hAnsi="Arial"/>
      <w:sz w:val="20"/>
    </w:rPr>
  </w:style>
  <w:style w:type="paragraph" w:styleId="Ttulo3">
    <w:name w:val="heading 3"/>
    <w:basedOn w:val="Normal"/>
    <w:next w:val="Normal"/>
    <w:link w:val="Ttulo3Char"/>
    <w:qFormat/>
    <w:rsid w:val="00B47CD5"/>
    <w:pPr>
      <w:keepNext/>
      <w:jc w:val="center"/>
      <w:outlineLvl w:val="2"/>
    </w:pPr>
    <w:rPr>
      <w:rFonts w:ascii="Times New Roman" w:eastAsia="Times New Roman" w:hAnsi="Times New Roman" w:cs="Times New Roman"/>
      <w:sz w:val="28"/>
      <w:szCs w:val="20"/>
      <w:lang w:eastAsia="pt-BR"/>
    </w:rPr>
  </w:style>
  <w:style w:type="paragraph" w:styleId="Ttulo4">
    <w:name w:val="heading 4"/>
    <w:basedOn w:val="Normal"/>
    <w:next w:val="Normal"/>
    <w:link w:val="Ttulo4Char"/>
    <w:qFormat/>
    <w:rsid w:val="00B47CD5"/>
    <w:pPr>
      <w:keepNext/>
      <w:jc w:val="center"/>
      <w:outlineLvl w:val="3"/>
    </w:pPr>
    <w:rPr>
      <w:rFonts w:eastAsia="Times New Roman" w:cs="Times New Roman"/>
      <w:b/>
      <w:bCs/>
      <w:sz w:val="28"/>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602F9A"/>
    <w:pPr>
      <w:tabs>
        <w:tab w:val="center" w:pos="4252"/>
        <w:tab w:val="right" w:pos="8504"/>
      </w:tabs>
    </w:pPr>
  </w:style>
  <w:style w:type="character" w:customStyle="1" w:styleId="CabealhoChar">
    <w:name w:val="Cabeçalho Char"/>
    <w:basedOn w:val="Fontepargpadro"/>
    <w:link w:val="Cabealho"/>
    <w:rsid w:val="00602F9A"/>
    <w:rPr>
      <w:rFonts w:ascii="Arial" w:hAnsi="Arial"/>
      <w:sz w:val="20"/>
    </w:rPr>
  </w:style>
  <w:style w:type="paragraph" w:styleId="Rodap">
    <w:name w:val="footer"/>
    <w:basedOn w:val="Normal"/>
    <w:link w:val="RodapChar"/>
    <w:unhideWhenUsed/>
    <w:rsid w:val="00602F9A"/>
    <w:pPr>
      <w:tabs>
        <w:tab w:val="center" w:pos="4252"/>
        <w:tab w:val="right" w:pos="8504"/>
      </w:tabs>
    </w:pPr>
  </w:style>
  <w:style w:type="character" w:customStyle="1" w:styleId="RodapChar">
    <w:name w:val="Rodapé Char"/>
    <w:basedOn w:val="Fontepargpadro"/>
    <w:link w:val="Rodap"/>
    <w:rsid w:val="00602F9A"/>
    <w:rPr>
      <w:rFonts w:ascii="Arial" w:hAnsi="Arial"/>
      <w:sz w:val="20"/>
    </w:rPr>
  </w:style>
  <w:style w:type="table" w:styleId="Tabelacomgrade">
    <w:name w:val="Table Grid"/>
    <w:basedOn w:val="Tabelanormal"/>
    <w:uiPriority w:val="39"/>
    <w:rsid w:val="00602F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6A6E6A"/>
    <w:pPr>
      <w:ind w:left="720"/>
      <w:contextualSpacing/>
    </w:pPr>
  </w:style>
  <w:style w:type="character" w:customStyle="1" w:styleId="Ttulo3Char">
    <w:name w:val="Título 3 Char"/>
    <w:basedOn w:val="Fontepargpadro"/>
    <w:link w:val="Ttulo3"/>
    <w:rsid w:val="00B47CD5"/>
    <w:rPr>
      <w:rFonts w:ascii="Times New Roman" w:eastAsia="Times New Roman" w:hAnsi="Times New Roman" w:cs="Times New Roman"/>
      <w:sz w:val="28"/>
      <w:szCs w:val="20"/>
      <w:lang w:eastAsia="pt-BR"/>
    </w:rPr>
  </w:style>
  <w:style w:type="character" w:customStyle="1" w:styleId="Ttulo4Char">
    <w:name w:val="Título 4 Char"/>
    <w:basedOn w:val="Fontepargpadro"/>
    <w:link w:val="Ttulo4"/>
    <w:rsid w:val="00B47CD5"/>
    <w:rPr>
      <w:rFonts w:ascii="Arial" w:eastAsia="Times New Roman" w:hAnsi="Arial" w:cs="Times New Roman"/>
      <w:b/>
      <w:bCs/>
      <w:sz w:val="28"/>
      <w:szCs w:val="20"/>
      <w:lang w:eastAsia="pt-BR"/>
    </w:rPr>
  </w:style>
  <w:style w:type="character" w:styleId="Forte">
    <w:name w:val="Strong"/>
    <w:basedOn w:val="Fontepargpadro"/>
    <w:uiPriority w:val="22"/>
    <w:qFormat/>
    <w:rsid w:val="00B47CD5"/>
    <w:rPr>
      <w:b/>
      <w:bCs/>
    </w:rPr>
  </w:style>
  <w:style w:type="paragraph" w:styleId="Textodebalo">
    <w:name w:val="Balloon Text"/>
    <w:basedOn w:val="Normal"/>
    <w:link w:val="TextodebaloChar"/>
    <w:rsid w:val="00B47CD5"/>
    <w:pPr>
      <w:jc w:val="left"/>
    </w:pPr>
    <w:rPr>
      <w:rFonts w:ascii="Tahoma" w:eastAsia="Times New Roman" w:hAnsi="Tahoma" w:cs="Tahoma"/>
      <w:sz w:val="16"/>
      <w:szCs w:val="16"/>
      <w:lang w:eastAsia="pt-BR"/>
    </w:rPr>
  </w:style>
  <w:style w:type="character" w:customStyle="1" w:styleId="TextodebaloChar">
    <w:name w:val="Texto de balão Char"/>
    <w:basedOn w:val="Fontepargpadro"/>
    <w:link w:val="Textodebalo"/>
    <w:rsid w:val="00B47CD5"/>
    <w:rPr>
      <w:rFonts w:ascii="Tahoma" w:eastAsia="Times New Roman" w:hAnsi="Tahoma" w:cs="Tahoma"/>
      <w:sz w:val="16"/>
      <w:szCs w:val="16"/>
      <w:lang w:eastAsia="pt-BR"/>
    </w:rPr>
  </w:style>
  <w:style w:type="paragraph" w:customStyle="1" w:styleId="Default">
    <w:name w:val="Default"/>
    <w:rsid w:val="00B47CD5"/>
    <w:pPr>
      <w:autoSpaceDE w:val="0"/>
      <w:autoSpaceDN w:val="0"/>
      <w:adjustRightInd w:val="0"/>
      <w:spacing w:after="0" w:line="240" w:lineRule="auto"/>
    </w:pPr>
    <w:rPr>
      <w:rFonts w:ascii="Calibri" w:eastAsia="Times New Roman" w:hAnsi="Calibri" w:cs="Calibri"/>
      <w:color w:val="000000"/>
      <w:sz w:val="24"/>
      <w:szCs w:val="24"/>
      <w:lang w:eastAsia="pt-BR"/>
    </w:rPr>
  </w:style>
  <w:style w:type="character" w:customStyle="1" w:styleId="apple-converted-space">
    <w:name w:val="apple-converted-space"/>
    <w:basedOn w:val="Fontepargpadro"/>
    <w:rsid w:val="00B47CD5"/>
  </w:style>
  <w:style w:type="character" w:customStyle="1" w:styleId="unit">
    <w:name w:val="unit"/>
    <w:basedOn w:val="Fontepargpadro"/>
    <w:rsid w:val="00B47CD5"/>
  </w:style>
  <w:style w:type="paragraph" w:styleId="NormalWeb">
    <w:name w:val="Normal (Web)"/>
    <w:basedOn w:val="Normal"/>
    <w:uiPriority w:val="99"/>
    <w:semiHidden/>
    <w:unhideWhenUsed/>
    <w:rsid w:val="00B47CD5"/>
    <w:pPr>
      <w:spacing w:before="100" w:beforeAutospacing="1" w:after="100" w:afterAutospacing="1"/>
      <w:jc w:val="left"/>
    </w:pPr>
    <w:rPr>
      <w:rFonts w:ascii="Times New Roman" w:eastAsiaTheme="minorEastAsia"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29795">
      <w:bodyDiv w:val="1"/>
      <w:marLeft w:val="0"/>
      <w:marRight w:val="0"/>
      <w:marTop w:val="0"/>
      <w:marBottom w:val="0"/>
      <w:divBdr>
        <w:top w:val="none" w:sz="0" w:space="0" w:color="auto"/>
        <w:left w:val="none" w:sz="0" w:space="0" w:color="auto"/>
        <w:bottom w:val="none" w:sz="0" w:space="0" w:color="auto"/>
        <w:right w:val="none" w:sz="0" w:space="0" w:color="auto"/>
      </w:divBdr>
    </w:div>
    <w:div w:id="233783093">
      <w:bodyDiv w:val="1"/>
      <w:marLeft w:val="0"/>
      <w:marRight w:val="0"/>
      <w:marTop w:val="0"/>
      <w:marBottom w:val="0"/>
      <w:divBdr>
        <w:top w:val="none" w:sz="0" w:space="0" w:color="auto"/>
        <w:left w:val="none" w:sz="0" w:space="0" w:color="auto"/>
        <w:bottom w:val="none" w:sz="0" w:space="0" w:color="auto"/>
        <w:right w:val="none" w:sz="0" w:space="0" w:color="auto"/>
      </w:divBdr>
    </w:div>
    <w:div w:id="281115818">
      <w:bodyDiv w:val="1"/>
      <w:marLeft w:val="0"/>
      <w:marRight w:val="0"/>
      <w:marTop w:val="0"/>
      <w:marBottom w:val="0"/>
      <w:divBdr>
        <w:top w:val="none" w:sz="0" w:space="0" w:color="auto"/>
        <w:left w:val="none" w:sz="0" w:space="0" w:color="auto"/>
        <w:bottom w:val="none" w:sz="0" w:space="0" w:color="auto"/>
        <w:right w:val="none" w:sz="0" w:space="0" w:color="auto"/>
      </w:divBdr>
    </w:div>
    <w:div w:id="515777124">
      <w:bodyDiv w:val="1"/>
      <w:marLeft w:val="0"/>
      <w:marRight w:val="0"/>
      <w:marTop w:val="0"/>
      <w:marBottom w:val="0"/>
      <w:divBdr>
        <w:top w:val="none" w:sz="0" w:space="0" w:color="auto"/>
        <w:left w:val="none" w:sz="0" w:space="0" w:color="auto"/>
        <w:bottom w:val="none" w:sz="0" w:space="0" w:color="auto"/>
        <w:right w:val="none" w:sz="0" w:space="0" w:color="auto"/>
      </w:divBdr>
    </w:div>
    <w:div w:id="638606002">
      <w:bodyDiv w:val="1"/>
      <w:marLeft w:val="0"/>
      <w:marRight w:val="0"/>
      <w:marTop w:val="0"/>
      <w:marBottom w:val="0"/>
      <w:divBdr>
        <w:top w:val="none" w:sz="0" w:space="0" w:color="auto"/>
        <w:left w:val="none" w:sz="0" w:space="0" w:color="auto"/>
        <w:bottom w:val="none" w:sz="0" w:space="0" w:color="auto"/>
        <w:right w:val="none" w:sz="0" w:space="0" w:color="auto"/>
      </w:divBdr>
    </w:div>
    <w:div w:id="678774646">
      <w:bodyDiv w:val="1"/>
      <w:marLeft w:val="0"/>
      <w:marRight w:val="0"/>
      <w:marTop w:val="0"/>
      <w:marBottom w:val="0"/>
      <w:divBdr>
        <w:top w:val="none" w:sz="0" w:space="0" w:color="auto"/>
        <w:left w:val="none" w:sz="0" w:space="0" w:color="auto"/>
        <w:bottom w:val="none" w:sz="0" w:space="0" w:color="auto"/>
        <w:right w:val="none" w:sz="0" w:space="0" w:color="auto"/>
      </w:divBdr>
    </w:div>
    <w:div w:id="716972137">
      <w:bodyDiv w:val="1"/>
      <w:marLeft w:val="0"/>
      <w:marRight w:val="0"/>
      <w:marTop w:val="0"/>
      <w:marBottom w:val="0"/>
      <w:divBdr>
        <w:top w:val="none" w:sz="0" w:space="0" w:color="auto"/>
        <w:left w:val="none" w:sz="0" w:space="0" w:color="auto"/>
        <w:bottom w:val="none" w:sz="0" w:space="0" w:color="auto"/>
        <w:right w:val="none" w:sz="0" w:space="0" w:color="auto"/>
      </w:divBdr>
    </w:div>
    <w:div w:id="726732521">
      <w:bodyDiv w:val="1"/>
      <w:marLeft w:val="0"/>
      <w:marRight w:val="0"/>
      <w:marTop w:val="0"/>
      <w:marBottom w:val="0"/>
      <w:divBdr>
        <w:top w:val="none" w:sz="0" w:space="0" w:color="auto"/>
        <w:left w:val="none" w:sz="0" w:space="0" w:color="auto"/>
        <w:bottom w:val="none" w:sz="0" w:space="0" w:color="auto"/>
        <w:right w:val="none" w:sz="0" w:space="0" w:color="auto"/>
      </w:divBdr>
    </w:div>
    <w:div w:id="728501381">
      <w:bodyDiv w:val="1"/>
      <w:marLeft w:val="0"/>
      <w:marRight w:val="0"/>
      <w:marTop w:val="0"/>
      <w:marBottom w:val="0"/>
      <w:divBdr>
        <w:top w:val="none" w:sz="0" w:space="0" w:color="auto"/>
        <w:left w:val="none" w:sz="0" w:space="0" w:color="auto"/>
        <w:bottom w:val="none" w:sz="0" w:space="0" w:color="auto"/>
        <w:right w:val="none" w:sz="0" w:space="0" w:color="auto"/>
      </w:divBdr>
    </w:div>
    <w:div w:id="743335213">
      <w:bodyDiv w:val="1"/>
      <w:marLeft w:val="0"/>
      <w:marRight w:val="0"/>
      <w:marTop w:val="0"/>
      <w:marBottom w:val="0"/>
      <w:divBdr>
        <w:top w:val="none" w:sz="0" w:space="0" w:color="auto"/>
        <w:left w:val="none" w:sz="0" w:space="0" w:color="auto"/>
        <w:bottom w:val="none" w:sz="0" w:space="0" w:color="auto"/>
        <w:right w:val="none" w:sz="0" w:space="0" w:color="auto"/>
      </w:divBdr>
    </w:div>
    <w:div w:id="774206231">
      <w:bodyDiv w:val="1"/>
      <w:marLeft w:val="0"/>
      <w:marRight w:val="0"/>
      <w:marTop w:val="0"/>
      <w:marBottom w:val="0"/>
      <w:divBdr>
        <w:top w:val="none" w:sz="0" w:space="0" w:color="auto"/>
        <w:left w:val="none" w:sz="0" w:space="0" w:color="auto"/>
        <w:bottom w:val="none" w:sz="0" w:space="0" w:color="auto"/>
        <w:right w:val="none" w:sz="0" w:space="0" w:color="auto"/>
      </w:divBdr>
    </w:div>
    <w:div w:id="825365867">
      <w:bodyDiv w:val="1"/>
      <w:marLeft w:val="0"/>
      <w:marRight w:val="0"/>
      <w:marTop w:val="0"/>
      <w:marBottom w:val="0"/>
      <w:divBdr>
        <w:top w:val="none" w:sz="0" w:space="0" w:color="auto"/>
        <w:left w:val="none" w:sz="0" w:space="0" w:color="auto"/>
        <w:bottom w:val="none" w:sz="0" w:space="0" w:color="auto"/>
        <w:right w:val="none" w:sz="0" w:space="0" w:color="auto"/>
      </w:divBdr>
    </w:div>
    <w:div w:id="844787668">
      <w:bodyDiv w:val="1"/>
      <w:marLeft w:val="0"/>
      <w:marRight w:val="0"/>
      <w:marTop w:val="0"/>
      <w:marBottom w:val="0"/>
      <w:divBdr>
        <w:top w:val="none" w:sz="0" w:space="0" w:color="auto"/>
        <w:left w:val="none" w:sz="0" w:space="0" w:color="auto"/>
        <w:bottom w:val="none" w:sz="0" w:space="0" w:color="auto"/>
        <w:right w:val="none" w:sz="0" w:space="0" w:color="auto"/>
      </w:divBdr>
    </w:div>
    <w:div w:id="918488966">
      <w:bodyDiv w:val="1"/>
      <w:marLeft w:val="0"/>
      <w:marRight w:val="0"/>
      <w:marTop w:val="0"/>
      <w:marBottom w:val="0"/>
      <w:divBdr>
        <w:top w:val="none" w:sz="0" w:space="0" w:color="auto"/>
        <w:left w:val="none" w:sz="0" w:space="0" w:color="auto"/>
        <w:bottom w:val="none" w:sz="0" w:space="0" w:color="auto"/>
        <w:right w:val="none" w:sz="0" w:space="0" w:color="auto"/>
      </w:divBdr>
    </w:div>
    <w:div w:id="1015811842">
      <w:bodyDiv w:val="1"/>
      <w:marLeft w:val="0"/>
      <w:marRight w:val="0"/>
      <w:marTop w:val="0"/>
      <w:marBottom w:val="0"/>
      <w:divBdr>
        <w:top w:val="none" w:sz="0" w:space="0" w:color="auto"/>
        <w:left w:val="none" w:sz="0" w:space="0" w:color="auto"/>
        <w:bottom w:val="none" w:sz="0" w:space="0" w:color="auto"/>
        <w:right w:val="none" w:sz="0" w:space="0" w:color="auto"/>
      </w:divBdr>
    </w:div>
    <w:div w:id="1030954945">
      <w:bodyDiv w:val="1"/>
      <w:marLeft w:val="0"/>
      <w:marRight w:val="0"/>
      <w:marTop w:val="0"/>
      <w:marBottom w:val="0"/>
      <w:divBdr>
        <w:top w:val="none" w:sz="0" w:space="0" w:color="auto"/>
        <w:left w:val="none" w:sz="0" w:space="0" w:color="auto"/>
        <w:bottom w:val="none" w:sz="0" w:space="0" w:color="auto"/>
        <w:right w:val="none" w:sz="0" w:space="0" w:color="auto"/>
      </w:divBdr>
    </w:div>
    <w:div w:id="1035889983">
      <w:bodyDiv w:val="1"/>
      <w:marLeft w:val="0"/>
      <w:marRight w:val="0"/>
      <w:marTop w:val="0"/>
      <w:marBottom w:val="0"/>
      <w:divBdr>
        <w:top w:val="none" w:sz="0" w:space="0" w:color="auto"/>
        <w:left w:val="none" w:sz="0" w:space="0" w:color="auto"/>
        <w:bottom w:val="none" w:sz="0" w:space="0" w:color="auto"/>
        <w:right w:val="none" w:sz="0" w:space="0" w:color="auto"/>
      </w:divBdr>
    </w:div>
    <w:div w:id="1180315124">
      <w:bodyDiv w:val="1"/>
      <w:marLeft w:val="0"/>
      <w:marRight w:val="0"/>
      <w:marTop w:val="0"/>
      <w:marBottom w:val="0"/>
      <w:divBdr>
        <w:top w:val="none" w:sz="0" w:space="0" w:color="auto"/>
        <w:left w:val="none" w:sz="0" w:space="0" w:color="auto"/>
        <w:bottom w:val="none" w:sz="0" w:space="0" w:color="auto"/>
        <w:right w:val="none" w:sz="0" w:space="0" w:color="auto"/>
      </w:divBdr>
    </w:div>
    <w:div w:id="1185361552">
      <w:bodyDiv w:val="1"/>
      <w:marLeft w:val="0"/>
      <w:marRight w:val="0"/>
      <w:marTop w:val="0"/>
      <w:marBottom w:val="0"/>
      <w:divBdr>
        <w:top w:val="none" w:sz="0" w:space="0" w:color="auto"/>
        <w:left w:val="none" w:sz="0" w:space="0" w:color="auto"/>
        <w:bottom w:val="none" w:sz="0" w:space="0" w:color="auto"/>
        <w:right w:val="none" w:sz="0" w:space="0" w:color="auto"/>
      </w:divBdr>
    </w:div>
    <w:div w:id="1463578218">
      <w:bodyDiv w:val="1"/>
      <w:marLeft w:val="0"/>
      <w:marRight w:val="0"/>
      <w:marTop w:val="0"/>
      <w:marBottom w:val="0"/>
      <w:divBdr>
        <w:top w:val="none" w:sz="0" w:space="0" w:color="auto"/>
        <w:left w:val="none" w:sz="0" w:space="0" w:color="auto"/>
        <w:bottom w:val="none" w:sz="0" w:space="0" w:color="auto"/>
        <w:right w:val="none" w:sz="0" w:space="0" w:color="auto"/>
      </w:divBdr>
    </w:div>
    <w:div w:id="1510176395">
      <w:bodyDiv w:val="1"/>
      <w:marLeft w:val="0"/>
      <w:marRight w:val="0"/>
      <w:marTop w:val="0"/>
      <w:marBottom w:val="0"/>
      <w:divBdr>
        <w:top w:val="none" w:sz="0" w:space="0" w:color="auto"/>
        <w:left w:val="none" w:sz="0" w:space="0" w:color="auto"/>
        <w:bottom w:val="none" w:sz="0" w:space="0" w:color="auto"/>
        <w:right w:val="none" w:sz="0" w:space="0" w:color="auto"/>
      </w:divBdr>
    </w:div>
    <w:div w:id="1552882420">
      <w:bodyDiv w:val="1"/>
      <w:marLeft w:val="0"/>
      <w:marRight w:val="0"/>
      <w:marTop w:val="0"/>
      <w:marBottom w:val="0"/>
      <w:divBdr>
        <w:top w:val="none" w:sz="0" w:space="0" w:color="auto"/>
        <w:left w:val="none" w:sz="0" w:space="0" w:color="auto"/>
        <w:bottom w:val="none" w:sz="0" w:space="0" w:color="auto"/>
        <w:right w:val="none" w:sz="0" w:space="0" w:color="auto"/>
      </w:divBdr>
    </w:div>
    <w:div w:id="1678001912">
      <w:bodyDiv w:val="1"/>
      <w:marLeft w:val="0"/>
      <w:marRight w:val="0"/>
      <w:marTop w:val="0"/>
      <w:marBottom w:val="0"/>
      <w:divBdr>
        <w:top w:val="none" w:sz="0" w:space="0" w:color="auto"/>
        <w:left w:val="none" w:sz="0" w:space="0" w:color="auto"/>
        <w:bottom w:val="none" w:sz="0" w:space="0" w:color="auto"/>
        <w:right w:val="none" w:sz="0" w:space="0" w:color="auto"/>
      </w:divBdr>
    </w:div>
    <w:div w:id="1712731670">
      <w:bodyDiv w:val="1"/>
      <w:marLeft w:val="0"/>
      <w:marRight w:val="0"/>
      <w:marTop w:val="0"/>
      <w:marBottom w:val="0"/>
      <w:divBdr>
        <w:top w:val="none" w:sz="0" w:space="0" w:color="auto"/>
        <w:left w:val="none" w:sz="0" w:space="0" w:color="auto"/>
        <w:bottom w:val="none" w:sz="0" w:space="0" w:color="auto"/>
        <w:right w:val="none" w:sz="0" w:space="0" w:color="auto"/>
      </w:divBdr>
    </w:div>
    <w:div w:id="1881548634">
      <w:bodyDiv w:val="1"/>
      <w:marLeft w:val="0"/>
      <w:marRight w:val="0"/>
      <w:marTop w:val="0"/>
      <w:marBottom w:val="0"/>
      <w:divBdr>
        <w:top w:val="none" w:sz="0" w:space="0" w:color="auto"/>
        <w:left w:val="none" w:sz="0" w:space="0" w:color="auto"/>
        <w:bottom w:val="none" w:sz="0" w:space="0" w:color="auto"/>
        <w:right w:val="none" w:sz="0" w:space="0" w:color="auto"/>
      </w:divBdr>
    </w:div>
    <w:div w:id="1881670335">
      <w:bodyDiv w:val="1"/>
      <w:marLeft w:val="0"/>
      <w:marRight w:val="0"/>
      <w:marTop w:val="0"/>
      <w:marBottom w:val="0"/>
      <w:divBdr>
        <w:top w:val="none" w:sz="0" w:space="0" w:color="auto"/>
        <w:left w:val="none" w:sz="0" w:space="0" w:color="auto"/>
        <w:bottom w:val="none" w:sz="0" w:space="0" w:color="auto"/>
        <w:right w:val="none" w:sz="0" w:space="0" w:color="auto"/>
      </w:divBdr>
    </w:div>
    <w:div w:id="2008903304">
      <w:bodyDiv w:val="1"/>
      <w:marLeft w:val="0"/>
      <w:marRight w:val="0"/>
      <w:marTop w:val="0"/>
      <w:marBottom w:val="0"/>
      <w:divBdr>
        <w:top w:val="none" w:sz="0" w:space="0" w:color="auto"/>
        <w:left w:val="none" w:sz="0" w:space="0" w:color="auto"/>
        <w:bottom w:val="none" w:sz="0" w:space="0" w:color="auto"/>
        <w:right w:val="none" w:sz="0" w:space="0" w:color="auto"/>
      </w:divBdr>
    </w:div>
    <w:div w:id="2014337607">
      <w:bodyDiv w:val="1"/>
      <w:marLeft w:val="0"/>
      <w:marRight w:val="0"/>
      <w:marTop w:val="0"/>
      <w:marBottom w:val="0"/>
      <w:divBdr>
        <w:top w:val="none" w:sz="0" w:space="0" w:color="auto"/>
        <w:left w:val="none" w:sz="0" w:space="0" w:color="auto"/>
        <w:bottom w:val="none" w:sz="0" w:space="0" w:color="auto"/>
        <w:right w:val="none" w:sz="0" w:space="0" w:color="auto"/>
      </w:divBdr>
    </w:div>
    <w:div w:id="2086490911">
      <w:bodyDiv w:val="1"/>
      <w:marLeft w:val="0"/>
      <w:marRight w:val="0"/>
      <w:marTop w:val="0"/>
      <w:marBottom w:val="0"/>
      <w:divBdr>
        <w:top w:val="none" w:sz="0" w:space="0" w:color="auto"/>
        <w:left w:val="none" w:sz="0" w:space="0" w:color="auto"/>
        <w:bottom w:val="none" w:sz="0" w:space="0" w:color="auto"/>
        <w:right w:val="none" w:sz="0" w:space="0" w:color="auto"/>
      </w:divBdr>
    </w:div>
    <w:div w:id="2089039110">
      <w:bodyDiv w:val="1"/>
      <w:marLeft w:val="0"/>
      <w:marRight w:val="0"/>
      <w:marTop w:val="0"/>
      <w:marBottom w:val="0"/>
      <w:divBdr>
        <w:top w:val="none" w:sz="0" w:space="0" w:color="auto"/>
        <w:left w:val="none" w:sz="0" w:space="0" w:color="auto"/>
        <w:bottom w:val="none" w:sz="0" w:space="0" w:color="auto"/>
        <w:right w:val="none" w:sz="0" w:space="0" w:color="auto"/>
      </w:divBdr>
    </w:div>
    <w:div w:id="2098743896">
      <w:bodyDiv w:val="1"/>
      <w:marLeft w:val="0"/>
      <w:marRight w:val="0"/>
      <w:marTop w:val="0"/>
      <w:marBottom w:val="0"/>
      <w:divBdr>
        <w:top w:val="none" w:sz="0" w:space="0" w:color="auto"/>
        <w:left w:val="none" w:sz="0" w:space="0" w:color="auto"/>
        <w:bottom w:val="none" w:sz="0" w:space="0" w:color="auto"/>
        <w:right w:val="none" w:sz="0" w:space="0" w:color="auto"/>
      </w:divBdr>
    </w:div>
    <w:div w:id="2100174881">
      <w:bodyDiv w:val="1"/>
      <w:marLeft w:val="0"/>
      <w:marRight w:val="0"/>
      <w:marTop w:val="0"/>
      <w:marBottom w:val="0"/>
      <w:divBdr>
        <w:top w:val="none" w:sz="0" w:space="0" w:color="auto"/>
        <w:left w:val="none" w:sz="0" w:space="0" w:color="auto"/>
        <w:bottom w:val="none" w:sz="0" w:space="0" w:color="auto"/>
        <w:right w:val="none" w:sz="0" w:space="0" w:color="auto"/>
      </w:divBdr>
    </w:div>
    <w:div w:id="2102220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E42D86-D527-476C-9A8F-908D1EEF19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5174</Words>
  <Characters>27942</Characters>
  <Application>Microsoft Office Word</Application>
  <DocSecurity>0</DocSecurity>
  <Lines>232</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Janilson Antonio Da Silva Suzart</dc:creator>
  <cp:keywords/>
  <dc:description/>
  <cp:lastModifiedBy>Alexandre Furtado de Azevedo</cp:lastModifiedBy>
  <cp:revision>2</cp:revision>
  <cp:lastPrinted>2017-10-16T17:24:00Z</cp:lastPrinted>
  <dcterms:created xsi:type="dcterms:W3CDTF">2020-02-04T18:39:00Z</dcterms:created>
  <dcterms:modified xsi:type="dcterms:W3CDTF">2020-02-04T18:39:00Z</dcterms:modified>
</cp:coreProperties>
</file>