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93" w:rsidRDefault="00CA4B93">
      <w:pPr>
        <w:rPr>
          <w:rFonts w:cs="Arial"/>
          <w:b/>
          <w:sz w:val="22"/>
        </w:rPr>
      </w:pPr>
    </w:p>
    <w:p w:rsidR="00BC634B" w:rsidRPr="00C0371B" w:rsidRDefault="00602F9A">
      <w:pPr>
        <w:rPr>
          <w:rFonts w:cs="Arial"/>
          <w:b/>
          <w:sz w:val="22"/>
        </w:rPr>
      </w:pPr>
      <w:r w:rsidRPr="00C0371B">
        <w:rPr>
          <w:rFonts w:cs="Arial"/>
          <w:b/>
          <w:sz w:val="22"/>
        </w:rPr>
        <w:t xml:space="preserve">Nota </w:t>
      </w:r>
      <w:r w:rsidR="00213AE6" w:rsidRPr="00C0371B">
        <w:rPr>
          <w:rFonts w:cs="Arial"/>
          <w:b/>
          <w:sz w:val="22"/>
        </w:rPr>
        <w:t>01</w:t>
      </w:r>
      <w:r w:rsidRPr="00C0371B">
        <w:rPr>
          <w:rFonts w:cs="Arial"/>
          <w:b/>
          <w:sz w:val="22"/>
        </w:rPr>
        <w:t xml:space="preserve"> – </w:t>
      </w:r>
      <w:r w:rsidR="00B353E4">
        <w:rPr>
          <w:rFonts w:cs="Arial"/>
          <w:b/>
          <w:sz w:val="22"/>
        </w:rPr>
        <w:t>Resultado Patrimonial</w:t>
      </w:r>
    </w:p>
    <w:p w:rsidR="00602F9A" w:rsidRPr="00C0371B" w:rsidRDefault="00602F9A">
      <w:pPr>
        <w:rPr>
          <w:rFonts w:cs="Arial"/>
          <w:sz w:val="22"/>
        </w:rPr>
      </w:pPr>
    </w:p>
    <w:p w:rsidR="00B353E4" w:rsidRDefault="00B353E4">
      <w:pPr>
        <w:rPr>
          <w:rFonts w:cs="Arial"/>
          <w:sz w:val="22"/>
        </w:rPr>
      </w:pPr>
      <w:r>
        <w:rPr>
          <w:rFonts w:cs="Arial"/>
          <w:sz w:val="22"/>
        </w:rPr>
        <w:t>A apuração do resultado patrimonial implica na confrontação das variações patrimoniais aumentativas (VPA) e das variações patrimoniais diminutivas (VPD)</w:t>
      </w:r>
      <w:r w:rsidR="0004011E">
        <w:rPr>
          <w:rFonts w:cs="Arial"/>
          <w:sz w:val="22"/>
        </w:rPr>
        <w:t xml:space="preserve"> e se </w:t>
      </w:r>
      <w:r>
        <w:rPr>
          <w:rFonts w:cs="Arial"/>
          <w:sz w:val="22"/>
        </w:rPr>
        <w:t>dá pelo encerramento das contas de VPA e VPD, em contrapartida a uma conta de apuração. Após a apuração, o resultado é transferido para conta de Superávit/Déficit do Exercício. O detalhamento do confronto entre VPA e VPD é apresentado na Demonstração das Variações Patrimoniais.</w:t>
      </w:r>
    </w:p>
    <w:p w:rsidR="00B353E4" w:rsidRDefault="00B353E4">
      <w:pPr>
        <w:rPr>
          <w:rFonts w:cs="Arial"/>
          <w:sz w:val="22"/>
        </w:rPr>
      </w:pPr>
    </w:p>
    <w:p w:rsidR="00B353E4" w:rsidRDefault="00B353E4">
      <w:pPr>
        <w:rPr>
          <w:rFonts w:cs="Arial"/>
          <w:sz w:val="22"/>
        </w:rPr>
      </w:pPr>
      <w:r>
        <w:rPr>
          <w:rFonts w:cs="Arial"/>
          <w:sz w:val="22"/>
        </w:rPr>
        <w:t xml:space="preserve">O Resultado Patrimonial apurado </w:t>
      </w:r>
      <w:r w:rsidR="003F1706">
        <w:rPr>
          <w:rFonts w:cs="Arial"/>
          <w:sz w:val="22"/>
        </w:rPr>
        <w:t xml:space="preserve">em </w:t>
      </w:r>
      <w:r w:rsidR="00052E3C">
        <w:rPr>
          <w:rFonts w:cs="Arial"/>
          <w:sz w:val="22"/>
        </w:rPr>
        <w:t>2017</w:t>
      </w:r>
      <w:r>
        <w:rPr>
          <w:rFonts w:cs="Arial"/>
          <w:sz w:val="22"/>
        </w:rPr>
        <w:t xml:space="preserve"> foi </w:t>
      </w:r>
      <w:r w:rsidR="006B33A1">
        <w:rPr>
          <w:rFonts w:cs="Arial"/>
          <w:sz w:val="22"/>
        </w:rPr>
        <w:t>superavitário</w:t>
      </w:r>
      <w:r>
        <w:rPr>
          <w:rFonts w:cs="Arial"/>
          <w:sz w:val="22"/>
        </w:rPr>
        <w:t xml:space="preserve"> em </w:t>
      </w:r>
      <w:r w:rsidR="006B33A1">
        <w:rPr>
          <w:rFonts w:cs="Arial"/>
          <w:sz w:val="22"/>
        </w:rPr>
        <w:t xml:space="preserve">R$ </w:t>
      </w:r>
      <w:r w:rsidR="007127DB">
        <w:rPr>
          <w:rFonts w:cs="Arial"/>
          <w:sz w:val="22"/>
        </w:rPr>
        <w:t>34</w:t>
      </w:r>
      <w:r w:rsidR="006B33A1">
        <w:rPr>
          <w:rFonts w:cs="Arial"/>
          <w:sz w:val="22"/>
        </w:rPr>
        <w:t xml:space="preserve"> milhões </w:t>
      </w:r>
      <w:r>
        <w:rPr>
          <w:rFonts w:cs="Arial"/>
          <w:sz w:val="22"/>
        </w:rPr>
        <w:t>e está demonstrado na tabela abaixo</w:t>
      </w:r>
      <w:r w:rsidR="0083554E">
        <w:rPr>
          <w:rFonts w:cs="Arial"/>
          <w:sz w:val="22"/>
        </w:rPr>
        <w:t>:</w:t>
      </w:r>
    </w:p>
    <w:p w:rsidR="00B353E4" w:rsidRDefault="00B353E4">
      <w:pPr>
        <w:rPr>
          <w:rFonts w:cs="Arial"/>
          <w:sz w:val="22"/>
        </w:rPr>
      </w:pPr>
    </w:p>
    <w:p w:rsidR="008F5E31" w:rsidRDefault="00602F9A">
      <w:pPr>
        <w:rPr>
          <w:rFonts w:cs="Arial"/>
          <w:b/>
          <w:sz w:val="22"/>
        </w:rPr>
      </w:pPr>
      <w:r w:rsidRPr="00C0371B">
        <w:rPr>
          <w:rFonts w:cs="Arial"/>
          <w:b/>
          <w:sz w:val="22"/>
        </w:rPr>
        <w:t xml:space="preserve">Tabela – </w:t>
      </w:r>
      <w:r w:rsidR="00AD0A6C">
        <w:rPr>
          <w:rFonts w:cs="Arial"/>
          <w:b/>
          <w:sz w:val="22"/>
        </w:rPr>
        <w:t>Variações Patrimoniais Aumentativas x Variações Patrimoniais Diminutivas.</w:t>
      </w:r>
    </w:p>
    <w:p w:rsidR="008F5E31" w:rsidRPr="006A1E1A" w:rsidRDefault="0083554E" w:rsidP="00AD0A6C">
      <w:pPr>
        <w:ind w:left="7788" w:firstLine="708"/>
        <w:jc w:val="center"/>
        <w:rPr>
          <w:rFonts w:cs="Arial"/>
          <w:sz w:val="22"/>
        </w:rPr>
      </w:pPr>
      <w:r>
        <w:rPr>
          <w:rFonts w:cs="Arial"/>
          <w:sz w:val="22"/>
        </w:rPr>
        <w:t xml:space="preserve">  </w:t>
      </w:r>
      <w:r w:rsidR="006A1E1A" w:rsidRPr="006A1E1A">
        <w:rPr>
          <w:rFonts w:cs="Arial"/>
          <w:sz w:val="22"/>
        </w:rPr>
        <w:t>R$</w:t>
      </w:r>
    </w:p>
    <w:tbl>
      <w:tblPr>
        <w:tblW w:w="9056" w:type="dxa"/>
        <w:tblCellMar>
          <w:left w:w="70" w:type="dxa"/>
          <w:right w:w="70" w:type="dxa"/>
        </w:tblCellMar>
        <w:tblLook w:val="04A0" w:firstRow="1" w:lastRow="0" w:firstColumn="1" w:lastColumn="0" w:noHBand="0" w:noVBand="1"/>
      </w:tblPr>
      <w:tblGrid>
        <w:gridCol w:w="1164"/>
        <w:gridCol w:w="2654"/>
        <w:gridCol w:w="1804"/>
        <w:gridCol w:w="2073"/>
        <w:gridCol w:w="1375"/>
      </w:tblGrid>
      <w:tr w:rsidR="003F63FC" w:rsidRPr="003F63FC" w:rsidTr="00BF08F4">
        <w:trPr>
          <w:trHeight w:val="302"/>
        </w:trPr>
        <w:tc>
          <w:tcPr>
            <w:tcW w:w="1166" w:type="dxa"/>
            <w:tcBorders>
              <w:top w:val="single" w:sz="8" w:space="0" w:color="000000"/>
              <w:left w:val="nil"/>
              <w:bottom w:val="single" w:sz="8" w:space="0" w:color="000000"/>
              <w:right w:val="nil"/>
            </w:tcBorders>
            <w:shd w:val="clear" w:color="auto" w:fill="auto"/>
            <w:vAlign w:val="center"/>
            <w:hideMark/>
          </w:tcPr>
          <w:p w:rsidR="003F63FC" w:rsidRPr="003F63FC" w:rsidRDefault="003F63FC" w:rsidP="003F63FC">
            <w:pPr>
              <w:jc w:val="center"/>
              <w:rPr>
                <w:rFonts w:eastAsia="Times New Roman" w:cs="Arial"/>
                <w:b/>
                <w:bCs/>
                <w:color w:val="FFFFFF"/>
                <w:szCs w:val="20"/>
                <w:lang w:eastAsia="pt-BR"/>
              </w:rPr>
            </w:pPr>
            <w:r w:rsidRPr="003F63FC">
              <w:rPr>
                <w:rFonts w:eastAsia="Times New Roman" w:cs="Arial"/>
                <w:b/>
                <w:bCs/>
                <w:color w:val="FFFFFF"/>
                <w:szCs w:val="20"/>
                <w:lang w:eastAsia="pt-BR"/>
              </w:rPr>
              <w:t>Colunas1</w:t>
            </w:r>
          </w:p>
        </w:tc>
        <w:tc>
          <w:tcPr>
            <w:tcW w:w="2662" w:type="dxa"/>
            <w:tcBorders>
              <w:top w:val="single" w:sz="8" w:space="0" w:color="000000"/>
              <w:left w:val="nil"/>
              <w:bottom w:val="single" w:sz="8" w:space="0" w:color="000000"/>
              <w:right w:val="nil"/>
            </w:tcBorders>
            <w:shd w:val="clear" w:color="auto" w:fill="auto"/>
            <w:vAlign w:val="center"/>
            <w:hideMark/>
          </w:tcPr>
          <w:p w:rsidR="003F63FC" w:rsidRPr="003F63FC" w:rsidRDefault="003F63FC" w:rsidP="003F63FC">
            <w:pPr>
              <w:jc w:val="center"/>
              <w:rPr>
                <w:rFonts w:eastAsia="Times New Roman" w:cs="Arial"/>
                <w:b/>
                <w:bCs/>
                <w:color w:val="FFFFFF"/>
                <w:szCs w:val="20"/>
                <w:lang w:eastAsia="pt-BR"/>
              </w:rPr>
            </w:pPr>
            <w:r w:rsidRPr="003F63FC">
              <w:rPr>
                <w:rFonts w:eastAsia="Times New Roman" w:cs="Arial"/>
                <w:b/>
                <w:bCs/>
                <w:color w:val="FFFFFF"/>
                <w:szCs w:val="20"/>
                <w:lang w:eastAsia="pt-BR"/>
              </w:rPr>
              <w:t>Colunas2</w:t>
            </w:r>
          </w:p>
        </w:tc>
        <w:tc>
          <w:tcPr>
            <w:tcW w:w="1770" w:type="dxa"/>
            <w:tcBorders>
              <w:top w:val="single" w:sz="8" w:space="0" w:color="000000"/>
              <w:left w:val="nil"/>
              <w:bottom w:val="single" w:sz="8" w:space="0" w:color="000000"/>
              <w:right w:val="nil"/>
            </w:tcBorders>
            <w:shd w:val="clear" w:color="auto" w:fill="auto"/>
            <w:vAlign w:val="center"/>
            <w:hideMark/>
          </w:tcPr>
          <w:p w:rsidR="003F63FC" w:rsidRPr="003F63FC" w:rsidRDefault="003F63FC" w:rsidP="003F1706">
            <w:pPr>
              <w:jc w:val="right"/>
              <w:rPr>
                <w:rFonts w:eastAsia="Times New Roman" w:cs="Arial"/>
                <w:b/>
                <w:bCs/>
                <w:color w:val="000000"/>
                <w:szCs w:val="20"/>
                <w:lang w:eastAsia="pt-BR"/>
              </w:rPr>
            </w:pPr>
            <w:r w:rsidRPr="003F63FC">
              <w:rPr>
                <w:rFonts w:eastAsia="Times New Roman" w:cs="Arial"/>
                <w:b/>
                <w:bCs/>
                <w:color w:val="000000"/>
                <w:szCs w:val="20"/>
                <w:lang w:eastAsia="pt-BR"/>
              </w:rPr>
              <w:t>3</w:t>
            </w:r>
            <w:r w:rsidR="003F1706">
              <w:rPr>
                <w:rFonts w:eastAsia="Times New Roman" w:cs="Arial"/>
                <w:b/>
                <w:bCs/>
                <w:color w:val="000000"/>
                <w:szCs w:val="20"/>
                <w:lang w:eastAsia="pt-BR"/>
              </w:rPr>
              <w:t>1</w:t>
            </w:r>
            <w:r w:rsidRPr="003F63FC">
              <w:rPr>
                <w:rFonts w:eastAsia="Times New Roman" w:cs="Arial"/>
                <w:b/>
                <w:bCs/>
                <w:color w:val="000000"/>
                <w:szCs w:val="20"/>
                <w:lang w:eastAsia="pt-BR"/>
              </w:rPr>
              <w:t>/</w:t>
            </w:r>
            <w:r w:rsidR="003F1706">
              <w:rPr>
                <w:rFonts w:eastAsia="Times New Roman" w:cs="Arial"/>
                <w:b/>
                <w:bCs/>
                <w:color w:val="000000"/>
                <w:szCs w:val="20"/>
                <w:lang w:eastAsia="pt-BR"/>
              </w:rPr>
              <w:t>12</w:t>
            </w:r>
            <w:r w:rsidRPr="003F63FC">
              <w:rPr>
                <w:rFonts w:eastAsia="Times New Roman" w:cs="Arial"/>
                <w:b/>
                <w:bCs/>
                <w:color w:val="000000"/>
                <w:szCs w:val="20"/>
                <w:lang w:eastAsia="pt-BR"/>
              </w:rPr>
              <w:t>/2017</w:t>
            </w:r>
          </w:p>
        </w:tc>
        <w:tc>
          <w:tcPr>
            <w:tcW w:w="2079" w:type="dxa"/>
            <w:tcBorders>
              <w:top w:val="single" w:sz="8" w:space="0" w:color="000000"/>
              <w:left w:val="nil"/>
              <w:bottom w:val="single" w:sz="8" w:space="0" w:color="000000"/>
              <w:right w:val="nil"/>
            </w:tcBorders>
            <w:shd w:val="clear" w:color="auto" w:fill="auto"/>
            <w:vAlign w:val="center"/>
            <w:hideMark/>
          </w:tcPr>
          <w:p w:rsidR="003F63FC" w:rsidRPr="003F63FC" w:rsidRDefault="003F63FC" w:rsidP="003F1706">
            <w:pPr>
              <w:jc w:val="right"/>
              <w:rPr>
                <w:rFonts w:eastAsia="Times New Roman" w:cs="Arial"/>
                <w:b/>
                <w:bCs/>
                <w:color w:val="000000"/>
                <w:szCs w:val="20"/>
                <w:lang w:eastAsia="pt-BR"/>
              </w:rPr>
            </w:pPr>
            <w:r w:rsidRPr="003F63FC">
              <w:rPr>
                <w:rFonts w:eastAsia="Times New Roman" w:cs="Arial"/>
                <w:b/>
                <w:bCs/>
                <w:color w:val="000000"/>
                <w:szCs w:val="20"/>
                <w:lang w:eastAsia="pt-BR"/>
              </w:rPr>
              <w:t>3</w:t>
            </w:r>
            <w:r w:rsidR="003F1706">
              <w:rPr>
                <w:rFonts w:eastAsia="Times New Roman" w:cs="Arial"/>
                <w:b/>
                <w:bCs/>
                <w:color w:val="000000"/>
                <w:szCs w:val="20"/>
                <w:lang w:eastAsia="pt-BR"/>
              </w:rPr>
              <w:t>1</w:t>
            </w:r>
            <w:r w:rsidRPr="003F63FC">
              <w:rPr>
                <w:rFonts w:eastAsia="Times New Roman" w:cs="Arial"/>
                <w:b/>
                <w:bCs/>
                <w:color w:val="000000"/>
                <w:szCs w:val="20"/>
                <w:lang w:eastAsia="pt-BR"/>
              </w:rPr>
              <w:t>/</w:t>
            </w:r>
            <w:r w:rsidR="003F1706">
              <w:rPr>
                <w:rFonts w:eastAsia="Times New Roman" w:cs="Arial"/>
                <w:b/>
                <w:bCs/>
                <w:color w:val="000000"/>
                <w:szCs w:val="20"/>
                <w:lang w:eastAsia="pt-BR"/>
              </w:rPr>
              <w:t>12</w:t>
            </w:r>
            <w:r w:rsidRPr="003F63FC">
              <w:rPr>
                <w:rFonts w:eastAsia="Times New Roman" w:cs="Arial"/>
                <w:b/>
                <w:bCs/>
                <w:color w:val="000000"/>
                <w:szCs w:val="20"/>
                <w:lang w:eastAsia="pt-BR"/>
              </w:rPr>
              <w:t>/2016</w:t>
            </w:r>
          </w:p>
        </w:tc>
        <w:tc>
          <w:tcPr>
            <w:tcW w:w="1379" w:type="dxa"/>
            <w:tcBorders>
              <w:top w:val="single" w:sz="8" w:space="0" w:color="000000"/>
              <w:left w:val="nil"/>
              <w:bottom w:val="single" w:sz="8" w:space="0" w:color="000000"/>
              <w:right w:val="nil"/>
            </w:tcBorders>
            <w:shd w:val="clear" w:color="auto" w:fill="auto"/>
            <w:vAlign w:val="center"/>
            <w:hideMark/>
          </w:tcPr>
          <w:p w:rsidR="003F63FC" w:rsidRPr="003F63FC" w:rsidRDefault="003F63FC" w:rsidP="00CA4B93">
            <w:pPr>
              <w:jc w:val="right"/>
              <w:rPr>
                <w:rFonts w:eastAsia="Times New Roman" w:cs="Arial"/>
                <w:b/>
                <w:bCs/>
                <w:color w:val="000000"/>
                <w:szCs w:val="20"/>
                <w:lang w:eastAsia="pt-BR"/>
              </w:rPr>
            </w:pPr>
            <w:r w:rsidRPr="003F63FC">
              <w:rPr>
                <w:rFonts w:eastAsia="Times New Roman" w:cs="Arial"/>
                <w:b/>
                <w:bCs/>
                <w:color w:val="000000"/>
                <w:szCs w:val="20"/>
                <w:lang w:eastAsia="pt-BR"/>
              </w:rPr>
              <w:t>AH (%)</w:t>
            </w:r>
          </w:p>
        </w:tc>
      </w:tr>
      <w:tr w:rsidR="003F63FC" w:rsidRPr="003F63FC" w:rsidTr="00BF08F4">
        <w:trPr>
          <w:trHeight w:val="285"/>
        </w:trPr>
        <w:tc>
          <w:tcPr>
            <w:tcW w:w="3828" w:type="dxa"/>
            <w:gridSpan w:val="2"/>
            <w:tcBorders>
              <w:top w:val="single" w:sz="8" w:space="0" w:color="000000"/>
              <w:left w:val="nil"/>
              <w:bottom w:val="nil"/>
              <w:right w:val="nil"/>
            </w:tcBorders>
            <w:shd w:val="clear" w:color="000000" w:fill="D9D9D9"/>
            <w:noWrap/>
            <w:vAlign w:val="center"/>
            <w:hideMark/>
          </w:tcPr>
          <w:p w:rsidR="003F63FC" w:rsidRPr="003F63FC" w:rsidRDefault="003F63FC" w:rsidP="003F63FC">
            <w:pPr>
              <w:jc w:val="left"/>
              <w:rPr>
                <w:rFonts w:eastAsia="Times New Roman" w:cs="Arial"/>
                <w:color w:val="000000"/>
                <w:szCs w:val="20"/>
                <w:lang w:eastAsia="pt-BR"/>
              </w:rPr>
            </w:pPr>
            <w:r w:rsidRPr="003F63FC">
              <w:rPr>
                <w:rFonts w:eastAsia="Times New Roman" w:cs="Arial"/>
                <w:color w:val="000000"/>
                <w:szCs w:val="20"/>
                <w:lang w:eastAsia="pt-BR"/>
              </w:rPr>
              <w:t>Variações Patrimoniais Aumentativas (I)</w:t>
            </w:r>
          </w:p>
        </w:tc>
        <w:tc>
          <w:tcPr>
            <w:tcW w:w="1770" w:type="dxa"/>
            <w:tcBorders>
              <w:top w:val="single" w:sz="8" w:space="0" w:color="000000"/>
              <w:left w:val="single" w:sz="4" w:space="0" w:color="C0C0C0"/>
              <w:bottom w:val="nil"/>
              <w:right w:val="nil"/>
            </w:tcBorders>
            <w:shd w:val="clear" w:color="D9D9D9" w:fill="D9D9D9"/>
            <w:noWrap/>
            <w:vAlign w:val="center"/>
            <w:hideMark/>
          </w:tcPr>
          <w:p w:rsidR="003F63FC" w:rsidRPr="003F63FC" w:rsidRDefault="003F1706" w:rsidP="003F63FC">
            <w:pPr>
              <w:jc w:val="right"/>
              <w:rPr>
                <w:rFonts w:eastAsia="Times New Roman" w:cs="Arial"/>
                <w:color w:val="000000"/>
                <w:szCs w:val="20"/>
                <w:lang w:eastAsia="pt-BR"/>
              </w:rPr>
            </w:pPr>
            <w:r w:rsidRPr="003F1706">
              <w:rPr>
                <w:rFonts w:eastAsia="Times New Roman" w:cs="Arial"/>
                <w:color w:val="000000"/>
                <w:szCs w:val="20"/>
                <w:lang w:eastAsia="pt-BR"/>
              </w:rPr>
              <w:t>13</w:t>
            </w:r>
            <w:r>
              <w:rPr>
                <w:rFonts w:eastAsia="Times New Roman" w:cs="Arial"/>
                <w:color w:val="000000"/>
                <w:szCs w:val="20"/>
                <w:lang w:eastAsia="pt-BR"/>
              </w:rPr>
              <w:t>.</w:t>
            </w:r>
            <w:r w:rsidRPr="003F1706">
              <w:rPr>
                <w:rFonts w:eastAsia="Times New Roman" w:cs="Arial"/>
                <w:color w:val="000000"/>
                <w:szCs w:val="20"/>
                <w:lang w:eastAsia="pt-BR"/>
              </w:rPr>
              <w:t>098</w:t>
            </w:r>
            <w:r>
              <w:rPr>
                <w:rFonts w:eastAsia="Times New Roman" w:cs="Arial"/>
                <w:color w:val="000000"/>
                <w:szCs w:val="20"/>
                <w:lang w:eastAsia="pt-BR"/>
              </w:rPr>
              <w:t>.</w:t>
            </w:r>
            <w:r w:rsidRPr="003F1706">
              <w:rPr>
                <w:rFonts w:eastAsia="Times New Roman" w:cs="Arial"/>
                <w:color w:val="000000"/>
                <w:szCs w:val="20"/>
                <w:lang w:eastAsia="pt-BR"/>
              </w:rPr>
              <w:t>358</w:t>
            </w:r>
            <w:r>
              <w:rPr>
                <w:rFonts w:eastAsia="Times New Roman" w:cs="Arial"/>
                <w:color w:val="000000"/>
                <w:szCs w:val="20"/>
                <w:lang w:eastAsia="pt-BR"/>
              </w:rPr>
              <w:t>.</w:t>
            </w:r>
            <w:r w:rsidRPr="003F1706">
              <w:rPr>
                <w:rFonts w:eastAsia="Times New Roman" w:cs="Arial"/>
                <w:color w:val="000000"/>
                <w:szCs w:val="20"/>
                <w:lang w:eastAsia="pt-BR"/>
              </w:rPr>
              <w:t>312,43</w:t>
            </w:r>
          </w:p>
        </w:tc>
        <w:tc>
          <w:tcPr>
            <w:tcW w:w="2079" w:type="dxa"/>
            <w:tcBorders>
              <w:top w:val="single" w:sz="8" w:space="0" w:color="000000"/>
              <w:left w:val="nil"/>
              <w:bottom w:val="nil"/>
              <w:right w:val="nil"/>
            </w:tcBorders>
            <w:shd w:val="clear" w:color="D9D9D9" w:fill="D9D9D9"/>
            <w:noWrap/>
            <w:vAlign w:val="center"/>
            <w:hideMark/>
          </w:tcPr>
          <w:p w:rsidR="003F63FC" w:rsidRPr="003F63FC" w:rsidRDefault="003F1706" w:rsidP="003F63FC">
            <w:pPr>
              <w:jc w:val="right"/>
              <w:rPr>
                <w:rFonts w:eastAsia="Times New Roman" w:cs="Arial"/>
                <w:color w:val="000000"/>
                <w:szCs w:val="20"/>
                <w:lang w:eastAsia="pt-BR"/>
              </w:rPr>
            </w:pPr>
            <w:r w:rsidRPr="003F1706">
              <w:rPr>
                <w:rFonts w:eastAsia="Times New Roman" w:cs="Arial"/>
                <w:color w:val="000000"/>
                <w:szCs w:val="20"/>
                <w:lang w:eastAsia="pt-BR"/>
              </w:rPr>
              <w:t>1.421.778.012,19</w:t>
            </w:r>
          </w:p>
        </w:tc>
        <w:tc>
          <w:tcPr>
            <w:tcW w:w="1379" w:type="dxa"/>
            <w:tcBorders>
              <w:top w:val="nil"/>
              <w:left w:val="nil"/>
              <w:bottom w:val="nil"/>
              <w:right w:val="nil"/>
            </w:tcBorders>
            <w:shd w:val="clear" w:color="000000" w:fill="D9D9D9"/>
            <w:noWrap/>
            <w:vAlign w:val="center"/>
            <w:hideMark/>
          </w:tcPr>
          <w:p w:rsidR="003F63FC" w:rsidRPr="003F63FC" w:rsidRDefault="008E7357" w:rsidP="008E7357">
            <w:pPr>
              <w:jc w:val="right"/>
              <w:rPr>
                <w:rFonts w:eastAsia="Times New Roman" w:cs="Arial"/>
                <w:color w:val="000000"/>
                <w:szCs w:val="20"/>
                <w:lang w:eastAsia="pt-BR"/>
              </w:rPr>
            </w:pPr>
            <w:r>
              <w:rPr>
                <w:rFonts w:eastAsia="Times New Roman" w:cs="Arial"/>
                <w:color w:val="000000"/>
                <w:szCs w:val="20"/>
                <w:lang w:eastAsia="pt-BR"/>
              </w:rPr>
              <w:t>821,27</w:t>
            </w:r>
            <w:r w:rsidR="003F1706">
              <w:rPr>
                <w:rFonts w:eastAsia="Times New Roman" w:cs="Arial"/>
                <w:color w:val="000000"/>
                <w:szCs w:val="20"/>
                <w:lang w:eastAsia="pt-BR"/>
              </w:rPr>
              <w:t>%</w:t>
            </w:r>
          </w:p>
        </w:tc>
      </w:tr>
      <w:tr w:rsidR="003F63FC" w:rsidRPr="003F63FC" w:rsidTr="00BF08F4">
        <w:trPr>
          <w:trHeight w:val="285"/>
        </w:trPr>
        <w:tc>
          <w:tcPr>
            <w:tcW w:w="3828" w:type="dxa"/>
            <w:gridSpan w:val="2"/>
            <w:tcBorders>
              <w:top w:val="nil"/>
              <w:left w:val="nil"/>
              <w:bottom w:val="nil"/>
              <w:right w:val="nil"/>
            </w:tcBorders>
            <w:shd w:val="clear" w:color="auto" w:fill="auto"/>
            <w:noWrap/>
            <w:vAlign w:val="center"/>
            <w:hideMark/>
          </w:tcPr>
          <w:p w:rsidR="003F63FC" w:rsidRPr="003F63FC" w:rsidRDefault="003F63FC" w:rsidP="003F63FC">
            <w:pPr>
              <w:jc w:val="left"/>
              <w:rPr>
                <w:rFonts w:eastAsia="Times New Roman" w:cs="Arial"/>
                <w:color w:val="000000"/>
                <w:szCs w:val="20"/>
                <w:lang w:eastAsia="pt-BR"/>
              </w:rPr>
            </w:pPr>
            <w:r w:rsidRPr="003F63FC">
              <w:rPr>
                <w:rFonts w:eastAsia="Times New Roman" w:cs="Arial"/>
                <w:color w:val="000000"/>
                <w:szCs w:val="20"/>
                <w:lang w:eastAsia="pt-BR"/>
              </w:rPr>
              <w:t>Variações Patrimoniais Diminutivas (II)</w:t>
            </w:r>
          </w:p>
        </w:tc>
        <w:tc>
          <w:tcPr>
            <w:tcW w:w="1770" w:type="dxa"/>
            <w:tcBorders>
              <w:top w:val="nil"/>
              <w:left w:val="nil"/>
              <w:bottom w:val="nil"/>
              <w:right w:val="nil"/>
            </w:tcBorders>
            <w:shd w:val="clear" w:color="auto" w:fill="auto"/>
            <w:noWrap/>
            <w:vAlign w:val="center"/>
            <w:hideMark/>
          </w:tcPr>
          <w:p w:rsidR="003F63FC" w:rsidRPr="003F63FC" w:rsidRDefault="003F1706" w:rsidP="003F63FC">
            <w:pPr>
              <w:jc w:val="right"/>
              <w:rPr>
                <w:rFonts w:eastAsia="Times New Roman" w:cs="Arial"/>
                <w:color w:val="000000"/>
                <w:szCs w:val="20"/>
                <w:lang w:eastAsia="pt-BR"/>
              </w:rPr>
            </w:pPr>
            <w:r w:rsidRPr="003F1706">
              <w:rPr>
                <w:rFonts w:eastAsia="Times New Roman" w:cs="Arial"/>
                <w:color w:val="000000"/>
                <w:szCs w:val="20"/>
                <w:lang w:eastAsia="pt-BR"/>
              </w:rPr>
              <w:t>13.063.438.970,94</w:t>
            </w:r>
          </w:p>
        </w:tc>
        <w:tc>
          <w:tcPr>
            <w:tcW w:w="2079" w:type="dxa"/>
            <w:tcBorders>
              <w:top w:val="nil"/>
              <w:left w:val="nil"/>
              <w:bottom w:val="nil"/>
              <w:right w:val="nil"/>
            </w:tcBorders>
            <w:shd w:val="clear" w:color="auto" w:fill="auto"/>
            <w:noWrap/>
            <w:vAlign w:val="center"/>
            <w:hideMark/>
          </w:tcPr>
          <w:p w:rsidR="003F63FC" w:rsidRPr="003F63FC" w:rsidRDefault="003F1706" w:rsidP="003F63FC">
            <w:pPr>
              <w:jc w:val="right"/>
              <w:rPr>
                <w:rFonts w:eastAsia="Times New Roman" w:cs="Arial"/>
                <w:color w:val="000000"/>
                <w:szCs w:val="20"/>
                <w:lang w:eastAsia="pt-BR"/>
              </w:rPr>
            </w:pPr>
            <w:r w:rsidRPr="003F1706">
              <w:rPr>
                <w:rFonts w:eastAsia="Times New Roman" w:cs="Arial"/>
                <w:color w:val="000000"/>
                <w:szCs w:val="20"/>
                <w:lang w:eastAsia="pt-BR"/>
              </w:rPr>
              <w:t>971.161.664,69</w:t>
            </w:r>
          </w:p>
        </w:tc>
        <w:tc>
          <w:tcPr>
            <w:tcW w:w="1379" w:type="dxa"/>
            <w:tcBorders>
              <w:top w:val="nil"/>
              <w:left w:val="nil"/>
              <w:bottom w:val="nil"/>
              <w:right w:val="nil"/>
            </w:tcBorders>
            <w:shd w:val="clear" w:color="auto" w:fill="auto"/>
            <w:noWrap/>
            <w:vAlign w:val="center"/>
            <w:hideMark/>
          </w:tcPr>
          <w:p w:rsidR="003F63FC" w:rsidRPr="003F63FC" w:rsidRDefault="003F1706" w:rsidP="008E7357">
            <w:pPr>
              <w:jc w:val="right"/>
              <w:rPr>
                <w:rFonts w:eastAsia="Times New Roman" w:cs="Arial"/>
                <w:color w:val="000000"/>
                <w:szCs w:val="20"/>
                <w:lang w:eastAsia="pt-BR"/>
              </w:rPr>
            </w:pPr>
            <w:r>
              <w:rPr>
                <w:rFonts w:eastAsia="Times New Roman" w:cs="Arial"/>
                <w:color w:val="000000"/>
                <w:szCs w:val="20"/>
                <w:lang w:eastAsia="pt-BR"/>
              </w:rPr>
              <w:t>1</w:t>
            </w:r>
            <w:r w:rsidR="008E7357">
              <w:rPr>
                <w:rFonts w:eastAsia="Times New Roman" w:cs="Arial"/>
                <w:color w:val="000000"/>
                <w:szCs w:val="20"/>
                <w:lang w:eastAsia="pt-BR"/>
              </w:rPr>
              <w:t>2</w:t>
            </w:r>
            <w:r>
              <w:rPr>
                <w:rFonts w:eastAsia="Times New Roman" w:cs="Arial"/>
                <w:color w:val="000000"/>
                <w:szCs w:val="20"/>
                <w:lang w:eastAsia="pt-BR"/>
              </w:rPr>
              <w:t>45</w:t>
            </w:r>
            <w:r w:rsidR="008E7357">
              <w:rPr>
                <w:rFonts w:eastAsia="Times New Roman" w:cs="Arial"/>
                <w:color w:val="000000"/>
                <w:szCs w:val="20"/>
                <w:lang w:eastAsia="pt-BR"/>
              </w:rPr>
              <w:t>,14</w:t>
            </w:r>
            <w:r>
              <w:rPr>
                <w:rFonts w:eastAsia="Times New Roman" w:cs="Arial"/>
                <w:color w:val="000000"/>
                <w:szCs w:val="20"/>
                <w:lang w:eastAsia="pt-BR"/>
              </w:rPr>
              <w:t>%</w:t>
            </w:r>
          </w:p>
        </w:tc>
      </w:tr>
      <w:tr w:rsidR="003F63FC" w:rsidRPr="003F63FC" w:rsidTr="00BF08F4">
        <w:trPr>
          <w:trHeight w:val="285"/>
        </w:trPr>
        <w:tc>
          <w:tcPr>
            <w:tcW w:w="3828" w:type="dxa"/>
            <w:gridSpan w:val="2"/>
            <w:tcBorders>
              <w:top w:val="nil"/>
              <w:left w:val="nil"/>
              <w:bottom w:val="single" w:sz="8" w:space="0" w:color="000000"/>
              <w:right w:val="nil"/>
            </w:tcBorders>
            <w:shd w:val="clear" w:color="000000" w:fill="D9D9D9"/>
            <w:noWrap/>
            <w:vAlign w:val="center"/>
            <w:hideMark/>
          </w:tcPr>
          <w:p w:rsidR="003F63FC" w:rsidRPr="003F63FC" w:rsidRDefault="003F63FC" w:rsidP="003F63FC">
            <w:pPr>
              <w:jc w:val="left"/>
              <w:rPr>
                <w:rFonts w:eastAsia="Times New Roman" w:cs="Arial"/>
                <w:b/>
                <w:bCs/>
                <w:color w:val="000000"/>
                <w:szCs w:val="20"/>
                <w:lang w:eastAsia="pt-BR"/>
              </w:rPr>
            </w:pPr>
            <w:r w:rsidRPr="003F63FC">
              <w:rPr>
                <w:rFonts w:eastAsia="Times New Roman" w:cs="Arial"/>
                <w:b/>
                <w:bCs/>
                <w:color w:val="000000"/>
                <w:szCs w:val="20"/>
                <w:lang w:eastAsia="pt-BR"/>
              </w:rPr>
              <w:t>Resultado Patrimonial</w:t>
            </w:r>
          </w:p>
        </w:tc>
        <w:tc>
          <w:tcPr>
            <w:tcW w:w="1770" w:type="dxa"/>
            <w:tcBorders>
              <w:top w:val="nil"/>
              <w:left w:val="nil"/>
              <w:bottom w:val="single" w:sz="8" w:space="0" w:color="000000"/>
              <w:right w:val="nil"/>
            </w:tcBorders>
            <w:shd w:val="clear" w:color="000000" w:fill="D9D9D9"/>
            <w:noWrap/>
            <w:vAlign w:val="center"/>
            <w:hideMark/>
          </w:tcPr>
          <w:p w:rsidR="003F63FC" w:rsidRPr="003F63FC" w:rsidRDefault="003F1706" w:rsidP="003F63FC">
            <w:pPr>
              <w:jc w:val="right"/>
              <w:rPr>
                <w:rFonts w:eastAsia="Times New Roman" w:cs="Arial"/>
                <w:b/>
                <w:bCs/>
                <w:color w:val="000000"/>
                <w:szCs w:val="20"/>
                <w:lang w:eastAsia="pt-BR"/>
              </w:rPr>
            </w:pPr>
            <w:r w:rsidRPr="003F1706">
              <w:rPr>
                <w:rFonts w:eastAsia="Times New Roman" w:cs="Arial"/>
                <w:b/>
                <w:bCs/>
                <w:color w:val="000000"/>
                <w:szCs w:val="20"/>
                <w:lang w:eastAsia="pt-BR"/>
              </w:rPr>
              <w:t>34.919.341,49</w:t>
            </w:r>
          </w:p>
        </w:tc>
        <w:tc>
          <w:tcPr>
            <w:tcW w:w="2079" w:type="dxa"/>
            <w:tcBorders>
              <w:top w:val="nil"/>
              <w:left w:val="nil"/>
              <w:bottom w:val="single" w:sz="8" w:space="0" w:color="000000"/>
              <w:right w:val="nil"/>
            </w:tcBorders>
            <w:shd w:val="clear" w:color="000000" w:fill="D9D9D9"/>
            <w:noWrap/>
            <w:vAlign w:val="center"/>
            <w:hideMark/>
          </w:tcPr>
          <w:p w:rsidR="003F63FC" w:rsidRPr="003F63FC" w:rsidRDefault="003F1706" w:rsidP="003F63FC">
            <w:pPr>
              <w:jc w:val="right"/>
              <w:rPr>
                <w:rFonts w:eastAsia="Times New Roman" w:cs="Arial"/>
                <w:b/>
                <w:bCs/>
                <w:color w:val="000000"/>
                <w:szCs w:val="20"/>
                <w:lang w:eastAsia="pt-BR"/>
              </w:rPr>
            </w:pPr>
            <w:r w:rsidRPr="003F1706">
              <w:rPr>
                <w:rFonts w:eastAsia="Times New Roman" w:cs="Arial"/>
                <w:b/>
                <w:bCs/>
                <w:color w:val="000000"/>
                <w:szCs w:val="20"/>
                <w:lang w:eastAsia="pt-BR"/>
              </w:rPr>
              <w:t>450.616.347,50</w:t>
            </w:r>
          </w:p>
        </w:tc>
        <w:tc>
          <w:tcPr>
            <w:tcW w:w="1379" w:type="dxa"/>
            <w:tcBorders>
              <w:top w:val="nil"/>
              <w:left w:val="nil"/>
              <w:bottom w:val="single" w:sz="8" w:space="0" w:color="000000"/>
              <w:right w:val="nil"/>
            </w:tcBorders>
            <w:shd w:val="clear" w:color="000000" w:fill="D9D9D9"/>
            <w:noWrap/>
            <w:vAlign w:val="center"/>
            <w:hideMark/>
          </w:tcPr>
          <w:p w:rsidR="003F63FC" w:rsidRPr="003F63FC" w:rsidRDefault="003F1706" w:rsidP="008E7357">
            <w:pPr>
              <w:jc w:val="right"/>
              <w:rPr>
                <w:rFonts w:eastAsia="Times New Roman" w:cs="Arial"/>
                <w:b/>
                <w:bCs/>
                <w:color w:val="000000"/>
                <w:szCs w:val="20"/>
                <w:lang w:eastAsia="pt-BR"/>
              </w:rPr>
            </w:pPr>
            <w:r>
              <w:rPr>
                <w:rFonts w:eastAsia="Times New Roman" w:cs="Arial"/>
                <w:b/>
                <w:bCs/>
                <w:color w:val="000000"/>
                <w:szCs w:val="20"/>
                <w:lang w:eastAsia="pt-BR"/>
              </w:rPr>
              <w:t>-</w:t>
            </w:r>
            <w:r w:rsidR="008E7357">
              <w:rPr>
                <w:rFonts w:eastAsia="Times New Roman" w:cs="Arial"/>
                <w:b/>
                <w:bCs/>
                <w:color w:val="000000"/>
                <w:szCs w:val="20"/>
                <w:lang w:eastAsia="pt-BR"/>
              </w:rPr>
              <w:t>92,25</w:t>
            </w:r>
            <w:r>
              <w:rPr>
                <w:rFonts w:eastAsia="Times New Roman" w:cs="Arial"/>
                <w:b/>
                <w:bCs/>
                <w:color w:val="000000"/>
                <w:szCs w:val="20"/>
                <w:lang w:eastAsia="pt-BR"/>
              </w:rPr>
              <w:t>%</w:t>
            </w:r>
          </w:p>
        </w:tc>
      </w:tr>
    </w:tbl>
    <w:p w:rsidR="00602F9A" w:rsidRPr="004C42D3" w:rsidRDefault="001D3370">
      <w:pPr>
        <w:rPr>
          <w:rFonts w:cs="Arial"/>
          <w:i/>
          <w:szCs w:val="20"/>
        </w:rPr>
      </w:pPr>
      <w:r w:rsidRPr="004C42D3">
        <w:rPr>
          <w:rFonts w:cs="Arial"/>
          <w:i/>
          <w:szCs w:val="20"/>
        </w:rPr>
        <w:t>Fonte: SIAFI, 201</w:t>
      </w:r>
      <w:r w:rsidR="002A0038" w:rsidRPr="004C42D3">
        <w:rPr>
          <w:rFonts w:cs="Arial"/>
          <w:i/>
          <w:szCs w:val="20"/>
        </w:rPr>
        <w:t>6</w:t>
      </w:r>
      <w:r w:rsidR="00480FF7" w:rsidRPr="004C42D3">
        <w:rPr>
          <w:rFonts w:cs="Arial"/>
          <w:i/>
          <w:szCs w:val="20"/>
        </w:rPr>
        <w:t xml:space="preserve"> e 20</w:t>
      </w:r>
      <w:r w:rsidRPr="004C42D3">
        <w:rPr>
          <w:rFonts w:cs="Arial"/>
          <w:i/>
          <w:szCs w:val="20"/>
        </w:rPr>
        <w:t>1</w:t>
      </w:r>
      <w:r w:rsidR="002A0038" w:rsidRPr="004C42D3">
        <w:rPr>
          <w:rFonts w:cs="Arial"/>
          <w:i/>
          <w:szCs w:val="20"/>
        </w:rPr>
        <w:t>7</w:t>
      </w:r>
      <w:r w:rsidR="00480FF7" w:rsidRPr="004C42D3">
        <w:rPr>
          <w:rFonts w:cs="Arial"/>
          <w:i/>
          <w:szCs w:val="20"/>
        </w:rPr>
        <w:t>.</w:t>
      </w:r>
    </w:p>
    <w:p w:rsidR="00480FF7" w:rsidRPr="00C0371B" w:rsidRDefault="00480FF7">
      <w:pPr>
        <w:rPr>
          <w:rFonts w:cs="Arial"/>
          <w:sz w:val="22"/>
        </w:rPr>
      </w:pPr>
    </w:p>
    <w:p w:rsidR="00233CB7" w:rsidRPr="0035559B" w:rsidRDefault="000A39AD" w:rsidP="00A26F8D">
      <w:pPr>
        <w:rPr>
          <w:rFonts w:cs="Arial"/>
          <w:sz w:val="22"/>
        </w:rPr>
      </w:pPr>
      <w:r w:rsidRPr="0035559B">
        <w:rPr>
          <w:rFonts w:cs="Arial"/>
          <w:sz w:val="22"/>
        </w:rPr>
        <w:t>A</w:t>
      </w:r>
      <w:r w:rsidR="0004011E" w:rsidRPr="0035559B">
        <w:rPr>
          <w:rFonts w:cs="Arial"/>
          <w:sz w:val="22"/>
        </w:rPr>
        <w:t xml:space="preserve"> latente </w:t>
      </w:r>
      <w:r w:rsidRPr="0035559B">
        <w:rPr>
          <w:rFonts w:cs="Arial"/>
          <w:sz w:val="22"/>
        </w:rPr>
        <w:t xml:space="preserve">discrepância nas </w:t>
      </w:r>
      <w:r w:rsidR="008C6BE1">
        <w:rPr>
          <w:rFonts w:cs="Arial"/>
          <w:sz w:val="22"/>
        </w:rPr>
        <w:t>VPA/VPD</w:t>
      </w:r>
      <w:r w:rsidRPr="0035559B">
        <w:rPr>
          <w:rFonts w:cs="Arial"/>
          <w:sz w:val="22"/>
        </w:rPr>
        <w:t xml:space="preserve"> </w:t>
      </w:r>
      <w:r w:rsidR="0004011E" w:rsidRPr="0035559B">
        <w:rPr>
          <w:rFonts w:cs="Arial"/>
          <w:sz w:val="22"/>
        </w:rPr>
        <w:t xml:space="preserve">de 2017 com relação a 2016 foi determinada pelas rodadas de Leilão e o consequente recolhimento do Bônus de assinatura </w:t>
      </w:r>
      <w:r w:rsidR="003E6934">
        <w:rPr>
          <w:rFonts w:cs="Arial"/>
          <w:sz w:val="22"/>
        </w:rPr>
        <w:t>e Cessão/P</w:t>
      </w:r>
      <w:r w:rsidR="0004011E" w:rsidRPr="0035559B">
        <w:rPr>
          <w:rFonts w:cs="Arial"/>
          <w:sz w:val="22"/>
        </w:rPr>
        <w:t>artilhas.</w:t>
      </w:r>
    </w:p>
    <w:p w:rsidR="0004011E" w:rsidRPr="0035559B" w:rsidRDefault="0004011E" w:rsidP="00A26F8D">
      <w:pPr>
        <w:rPr>
          <w:rFonts w:cs="Arial"/>
          <w:sz w:val="22"/>
        </w:rPr>
      </w:pPr>
    </w:p>
    <w:p w:rsidR="006E6D1D" w:rsidRDefault="006E6D1D">
      <w:pPr>
        <w:spacing w:after="160" w:line="259" w:lineRule="auto"/>
        <w:jc w:val="left"/>
        <w:rPr>
          <w:rFonts w:cs="Arial"/>
          <w:sz w:val="22"/>
        </w:rPr>
      </w:pPr>
      <w:r>
        <w:rPr>
          <w:rFonts w:cs="Arial"/>
          <w:sz w:val="22"/>
        </w:rPr>
        <w:br w:type="page"/>
      </w:r>
    </w:p>
    <w:p w:rsidR="00493C33" w:rsidRDefault="00493C33" w:rsidP="00A26F8D">
      <w:pPr>
        <w:rPr>
          <w:rFonts w:cs="Arial"/>
          <w:sz w:val="22"/>
        </w:rPr>
      </w:pPr>
    </w:p>
    <w:p w:rsidR="006E6D1D" w:rsidRPr="00C0371B" w:rsidRDefault="006E6D1D" w:rsidP="006E6D1D">
      <w:pPr>
        <w:rPr>
          <w:rFonts w:cs="Arial"/>
          <w:b/>
          <w:sz w:val="22"/>
        </w:rPr>
      </w:pPr>
      <w:r w:rsidRPr="00C0371B">
        <w:rPr>
          <w:rFonts w:cs="Arial"/>
          <w:b/>
          <w:sz w:val="22"/>
        </w:rPr>
        <w:t>Nota 01 – Caixa e Equivalentes de Caixa</w:t>
      </w:r>
    </w:p>
    <w:p w:rsidR="006E6D1D" w:rsidRPr="00C0371B" w:rsidRDefault="006E6D1D" w:rsidP="006E6D1D">
      <w:pPr>
        <w:rPr>
          <w:rFonts w:cs="Arial"/>
          <w:sz w:val="22"/>
        </w:rPr>
      </w:pPr>
    </w:p>
    <w:p w:rsidR="006E6D1D" w:rsidRPr="00C0371B" w:rsidRDefault="006E6D1D" w:rsidP="006E6D1D">
      <w:pPr>
        <w:rPr>
          <w:rFonts w:cs="Arial"/>
          <w:sz w:val="22"/>
        </w:rPr>
      </w:pPr>
      <w:r w:rsidRPr="00C0371B">
        <w:rPr>
          <w:rFonts w:cs="Arial"/>
          <w:sz w:val="22"/>
        </w:rPr>
        <w:t xml:space="preserve">Este item contempla o numerário e outros bens e direitos conversíveis </w:t>
      </w:r>
      <w:r>
        <w:rPr>
          <w:rFonts w:cs="Arial"/>
          <w:sz w:val="22"/>
        </w:rPr>
        <w:t>e</w:t>
      </w:r>
      <w:r w:rsidRPr="00C0371B">
        <w:rPr>
          <w:rFonts w:cs="Arial"/>
          <w:sz w:val="22"/>
        </w:rPr>
        <w:t xml:space="preserve"> evidenciados em moeda nacional. Em 3</w:t>
      </w:r>
      <w:r>
        <w:rPr>
          <w:rFonts w:cs="Arial"/>
          <w:sz w:val="22"/>
        </w:rPr>
        <w:t>1</w:t>
      </w:r>
      <w:r w:rsidRPr="00C0371B">
        <w:rPr>
          <w:rFonts w:cs="Arial"/>
          <w:sz w:val="22"/>
        </w:rPr>
        <w:t>/</w:t>
      </w:r>
      <w:r>
        <w:rPr>
          <w:rFonts w:cs="Arial"/>
          <w:sz w:val="22"/>
        </w:rPr>
        <w:t>12</w:t>
      </w:r>
      <w:r w:rsidRPr="00C0371B">
        <w:rPr>
          <w:rFonts w:cs="Arial"/>
          <w:sz w:val="22"/>
        </w:rPr>
        <w:t>/201</w:t>
      </w:r>
      <w:r>
        <w:rPr>
          <w:rFonts w:cs="Arial"/>
          <w:sz w:val="22"/>
        </w:rPr>
        <w:t>7</w:t>
      </w:r>
      <w:r w:rsidRPr="00C0371B">
        <w:rPr>
          <w:rFonts w:cs="Arial"/>
          <w:sz w:val="22"/>
        </w:rPr>
        <w:t>, a A</w:t>
      </w:r>
      <w:r>
        <w:rPr>
          <w:rFonts w:cs="Arial"/>
          <w:sz w:val="22"/>
        </w:rPr>
        <w:t>NP</w:t>
      </w:r>
      <w:r w:rsidRPr="00C0371B">
        <w:rPr>
          <w:rFonts w:cs="Arial"/>
          <w:sz w:val="22"/>
        </w:rPr>
        <w:t xml:space="preserve"> possuía um saldo superior a R$ </w:t>
      </w:r>
      <w:r>
        <w:rPr>
          <w:rFonts w:cs="Arial"/>
          <w:sz w:val="22"/>
        </w:rPr>
        <w:t>1</w:t>
      </w:r>
      <w:r w:rsidRPr="00C0371B">
        <w:rPr>
          <w:rFonts w:cs="Arial"/>
          <w:sz w:val="22"/>
        </w:rPr>
        <w:t xml:space="preserve"> </w:t>
      </w:r>
      <w:r>
        <w:rPr>
          <w:rFonts w:cs="Arial"/>
          <w:sz w:val="22"/>
        </w:rPr>
        <w:t>bilhão</w:t>
      </w:r>
      <w:r w:rsidRPr="00C0371B">
        <w:rPr>
          <w:rFonts w:cs="Arial"/>
          <w:sz w:val="22"/>
        </w:rPr>
        <w:t xml:space="preserve"> relacionado a Caixa e Equivalentes de Caixa. </w:t>
      </w:r>
      <w:r>
        <w:rPr>
          <w:rFonts w:cs="Arial"/>
          <w:sz w:val="22"/>
        </w:rPr>
        <w:t>O detalhamento destes saldos segue:</w:t>
      </w:r>
    </w:p>
    <w:p w:rsidR="006E6D1D" w:rsidRPr="00C0371B" w:rsidRDefault="006E6D1D" w:rsidP="006E6D1D">
      <w:pPr>
        <w:rPr>
          <w:rFonts w:cs="Arial"/>
          <w:sz w:val="22"/>
        </w:rPr>
      </w:pPr>
    </w:p>
    <w:p w:rsidR="006E6D1D" w:rsidRDefault="006E6D1D" w:rsidP="006E6D1D">
      <w:pPr>
        <w:rPr>
          <w:rFonts w:cs="Arial"/>
          <w:b/>
          <w:sz w:val="22"/>
        </w:rPr>
      </w:pPr>
      <w:r w:rsidRPr="00C0371B">
        <w:rPr>
          <w:rFonts w:cs="Arial"/>
          <w:b/>
          <w:sz w:val="22"/>
        </w:rPr>
        <w:t xml:space="preserve">Tabela 1 – </w:t>
      </w:r>
      <w:r>
        <w:rPr>
          <w:rFonts w:cs="Arial"/>
          <w:b/>
          <w:sz w:val="22"/>
        </w:rPr>
        <w:t>Recursos Disponíveis</w:t>
      </w:r>
      <w:r w:rsidRPr="00C0371B">
        <w:rPr>
          <w:rFonts w:cs="Arial"/>
          <w:b/>
          <w:sz w:val="22"/>
        </w:rPr>
        <w:t xml:space="preserve"> Conta Única – Variação</w:t>
      </w:r>
      <w:r>
        <w:rPr>
          <w:rFonts w:cs="Arial"/>
          <w:b/>
          <w:sz w:val="22"/>
        </w:rPr>
        <w:t>.</w:t>
      </w:r>
    </w:p>
    <w:p w:rsidR="006E6D1D" w:rsidRDefault="006E6D1D" w:rsidP="006E6D1D">
      <w:pPr>
        <w:jc w:val="right"/>
        <w:rPr>
          <w:rFonts w:cs="Arial"/>
          <w:sz w:val="22"/>
        </w:rPr>
      </w:pPr>
      <w:r>
        <w:rPr>
          <w:rFonts w:cs="Arial"/>
          <w:sz w:val="22"/>
        </w:rPr>
        <w:t xml:space="preserve">          </w:t>
      </w:r>
      <w:r w:rsidRPr="006A1E1A">
        <w:rPr>
          <w:rFonts w:cs="Arial"/>
          <w:sz w:val="22"/>
        </w:rPr>
        <w:t>R$</w:t>
      </w:r>
    </w:p>
    <w:tbl>
      <w:tblPr>
        <w:tblW w:w="9094" w:type="dxa"/>
        <w:tblCellMar>
          <w:left w:w="70" w:type="dxa"/>
          <w:right w:w="70" w:type="dxa"/>
        </w:tblCellMar>
        <w:tblLook w:val="04A0" w:firstRow="1" w:lastRow="0" w:firstColumn="1" w:lastColumn="0" w:noHBand="0" w:noVBand="1"/>
      </w:tblPr>
      <w:tblGrid>
        <w:gridCol w:w="1267"/>
        <w:gridCol w:w="2917"/>
        <w:gridCol w:w="1913"/>
        <w:gridCol w:w="2057"/>
        <w:gridCol w:w="940"/>
      </w:tblGrid>
      <w:tr w:rsidR="006E6D1D" w:rsidRPr="00EC6F3A" w:rsidTr="008D6A91">
        <w:trPr>
          <w:trHeight w:val="517"/>
        </w:trPr>
        <w:tc>
          <w:tcPr>
            <w:tcW w:w="1267" w:type="dxa"/>
            <w:tcBorders>
              <w:top w:val="single" w:sz="4" w:space="0" w:color="000000"/>
              <w:left w:val="nil"/>
              <w:bottom w:val="single" w:sz="4" w:space="0" w:color="000000"/>
              <w:right w:val="nil"/>
            </w:tcBorders>
            <w:shd w:val="clear" w:color="auto" w:fill="auto"/>
            <w:vAlign w:val="bottom"/>
            <w:hideMark/>
          </w:tcPr>
          <w:p w:rsidR="006E6D1D" w:rsidRPr="00EC6F3A" w:rsidRDefault="006E6D1D" w:rsidP="008D6A91">
            <w:pPr>
              <w:jc w:val="center"/>
              <w:rPr>
                <w:rFonts w:eastAsia="Times New Roman" w:cs="Arial"/>
                <w:b/>
                <w:bCs/>
                <w:color w:val="000000"/>
                <w:szCs w:val="20"/>
                <w:lang w:eastAsia="pt-BR"/>
              </w:rPr>
            </w:pPr>
            <w:r w:rsidRPr="00EC6F3A">
              <w:rPr>
                <w:rFonts w:eastAsia="Times New Roman" w:cs="Arial"/>
                <w:b/>
                <w:bCs/>
                <w:color w:val="000000"/>
                <w:szCs w:val="20"/>
                <w:lang w:eastAsia="pt-BR"/>
              </w:rPr>
              <w:t xml:space="preserve">Fonte Recursos </w:t>
            </w:r>
          </w:p>
        </w:tc>
        <w:tc>
          <w:tcPr>
            <w:tcW w:w="2917" w:type="dxa"/>
            <w:tcBorders>
              <w:top w:val="single" w:sz="4" w:space="0" w:color="000000"/>
              <w:left w:val="nil"/>
              <w:bottom w:val="single" w:sz="4" w:space="0" w:color="000000"/>
              <w:right w:val="nil"/>
            </w:tcBorders>
            <w:shd w:val="clear" w:color="auto" w:fill="auto"/>
            <w:vAlign w:val="bottom"/>
            <w:hideMark/>
          </w:tcPr>
          <w:p w:rsidR="006E6D1D" w:rsidRPr="00EC6F3A" w:rsidRDefault="006E6D1D" w:rsidP="008D6A91">
            <w:pPr>
              <w:jc w:val="center"/>
              <w:rPr>
                <w:rFonts w:eastAsia="Times New Roman" w:cs="Arial"/>
                <w:b/>
                <w:bCs/>
                <w:color w:val="000000"/>
                <w:szCs w:val="20"/>
                <w:lang w:eastAsia="pt-BR"/>
              </w:rPr>
            </w:pPr>
            <w:r w:rsidRPr="00EC6F3A">
              <w:rPr>
                <w:rFonts w:eastAsia="Times New Roman" w:cs="Arial"/>
                <w:b/>
                <w:bCs/>
                <w:color w:val="000000"/>
                <w:szCs w:val="20"/>
                <w:lang w:eastAsia="pt-BR"/>
              </w:rPr>
              <w:t>Descrição da Fonte</w:t>
            </w:r>
          </w:p>
        </w:tc>
        <w:tc>
          <w:tcPr>
            <w:tcW w:w="1913" w:type="dxa"/>
            <w:tcBorders>
              <w:top w:val="single" w:sz="4" w:space="0" w:color="000000"/>
              <w:left w:val="nil"/>
              <w:bottom w:val="single" w:sz="4" w:space="0" w:color="000000"/>
              <w:right w:val="nil"/>
            </w:tcBorders>
            <w:shd w:val="clear" w:color="auto" w:fill="auto"/>
            <w:vAlign w:val="bottom"/>
            <w:hideMark/>
          </w:tcPr>
          <w:p w:rsidR="006E6D1D" w:rsidRPr="00EC6F3A" w:rsidRDefault="006E6D1D" w:rsidP="008D6A91">
            <w:pPr>
              <w:jc w:val="center"/>
              <w:rPr>
                <w:rFonts w:eastAsia="Times New Roman" w:cs="Arial"/>
                <w:b/>
                <w:bCs/>
                <w:color w:val="000000"/>
                <w:szCs w:val="20"/>
                <w:lang w:eastAsia="pt-BR"/>
              </w:rPr>
            </w:pPr>
            <w:r w:rsidRPr="00EC6F3A">
              <w:rPr>
                <w:rFonts w:eastAsia="Times New Roman" w:cs="Arial"/>
                <w:b/>
                <w:bCs/>
                <w:color w:val="000000"/>
                <w:szCs w:val="20"/>
                <w:lang w:eastAsia="pt-BR"/>
              </w:rPr>
              <w:t>3</w:t>
            </w:r>
            <w:r>
              <w:rPr>
                <w:rFonts w:eastAsia="Times New Roman" w:cs="Arial"/>
                <w:b/>
                <w:bCs/>
                <w:color w:val="000000"/>
                <w:szCs w:val="20"/>
                <w:lang w:eastAsia="pt-BR"/>
              </w:rPr>
              <w:t>1</w:t>
            </w:r>
            <w:r w:rsidRPr="00EC6F3A">
              <w:rPr>
                <w:rFonts w:eastAsia="Times New Roman" w:cs="Arial"/>
                <w:b/>
                <w:bCs/>
                <w:color w:val="000000"/>
                <w:szCs w:val="20"/>
                <w:lang w:eastAsia="pt-BR"/>
              </w:rPr>
              <w:t>/</w:t>
            </w:r>
            <w:r>
              <w:rPr>
                <w:rFonts w:eastAsia="Times New Roman" w:cs="Arial"/>
                <w:b/>
                <w:bCs/>
                <w:color w:val="000000"/>
                <w:szCs w:val="20"/>
                <w:lang w:eastAsia="pt-BR"/>
              </w:rPr>
              <w:t>12</w:t>
            </w:r>
            <w:r w:rsidRPr="00EC6F3A">
              <w:rPr>
                <w:rFonts w:eastAsia="Times New Roman" w:cs="Arial"/>
                <w:b/>
                <w:bCs/>
                <w:color w:val="000000"/>
                <w:szCs w:val="20"/>
                <w:lang w:eastAsia="pt-BR"/>
              </w:rPr>
              <w:t>/2017</w:t>
            </w:r>
          </w:p>
        </w:tc>
        <w:tc>
          <w:tcPr>
            <w:tcW w:w="2057" w:type="dxa"/>
            <w:tcBorders>
              <w:top w:val="single" w:sz="4" w:space="0" w:color="000000"/>
              <w:left w:val="nil"/>
              <w:bottom w:val="single" w:sz="4" w:space="0" w:color="000000"/>
              <w:right w:val="nil"/>
            </w:tcBorders>
            <w:shd w:val="clear" w:color="auto" w:fill="auto"/>
            <w:vAlign w:val="bottom"/>
            <w:hideMark/>
          </w:tcPr>
          <w:p w:rsidR="006E6D1D" w:rsidRPr="00EC6F3A" w:rsidRDefault="006E6D1D" w:rsidP="008D6A91">
            <w:pPr>
              <w:jc w:val="center"/>
              <w:rPr>
                <w:rFonts w:eastAsia="Times New Roman" w:cs="Arial"/>
                <w:b/>
                <w:bCs/>
                <w:color w:val="000000"/>
                <w:szCs w:val="20"/>
                <w:lang w:eastAsia="pt-BR"/>
              </w:rPr>
            </w:pPr>
            <w:r w:rsidRPr="00EC6F3A">
              <w:rPr>
                <w:rFonts w:eastAsia="Times New Roman" w:cs="Arial"/>
                <w:b/>
                <w:bCs/>
                <w:color w:val="000000"/>
                <w:szCs w:val="20"/>
                <w:lang w:eastAsia="pt-BR"/>
              </w:rPr>
              <w:t>31/12/2016</w:t>
            </w:r>
          </w:p>
        </w:tc>
        <w:tc>
          <w:tcPr>
            <w:tcW w:w="940" w:type="dxa"/>
            <w:tcBorders>
              <w:top w:val="single" w:sz="4" w:space="0" w:color="000000"/>
              <w:left w:val="nil"/>
              <w:bottom w:val="single" w:sz="4" w:space="0" w:color="000000"/>
              <w:right w:val="nil"/>
            </w:tcBorders>
            <w:shd w:val="clear" w:color="auto" w:fill="auto"/>
            <w:vAlign w:val="bottom"/>
            <w:hideMark/>
          </w:tcPr>
          <w:p w:rsidR="006E6D1D" w:rsidRPr="00EC6F3A" w:rsidRDefault="006E6D1D" w:rsidP="008D6A91">
            <w:pPr>
              <w:jc w:val="center"/>
              <w:rPr>
                <w:rFonts w:eastAsia="Times New Roman" w:cs="Arial"/>
                <w:b/>
                <w:bCs/>
                <w:color w:val="000000"/>
                <w:szCs w:val="20"/>
                <w:lang w:eastAsia="pt-BR"/>
              </w:rPr>
            </w:pPr>
            <w:r w:rsidRPr="00EC6F3A">
              <w:rPr>
                <w:rFonts w:eastAsia="Times New Roman" w:cs="Arial"/>
                <w:b/>
                <w:bCs/>
                <w:color w:val="000000"/>
                <w:szCs w:val="20"/>
                <w:lang w:eastAsia="pt-BR"/>
              </w:rPr>
              <w:t>AH (%)</w:t>
            </w:r>
          </w:p>
        </w:tc>
      </w:tr>
      <w:tr w:rsidR="006E6D1D" w:rsidRPr="00EC6F3A" w:rsidTr="008D6A91">
        <w:trPr>
          <w:trHeight w:val="258"/>
        </w:trPr>
        <w:tc>
          <w:tcPr>
            <w:tcW w:w="1267" w:type="dxa"/>
            <w:tcBorders>
              <w:top w:val="nil"/>
              <w:left w:val="nil"/>
              <w:bottom w:val="nil"/>
              <w:right w:val="nil"/>
            </w:tcBorders>
            <w:shd w:val="clear" w:color="D9D9D9" w:fill="D9D9D9"/>
            <w:noWrap/>
            <w:vAlign w:val="bottom"/>
          </w:tcPr>
          <w:p w:rsidR="006E6D1D" w:rsidRPr="004520B0" w:rsidRDefault="006E6D1D" w:rsidP="008D6A91">
            <w:pPr>
              <w:jc w:val="left"/>
              <w:rPr>
                <w:rFonts w:eastAsia="Times New Roman" w:cs="Arial"/>
                <w:color w:val="000000"/>
                <w:szCs w:val="20"/>
                <w:lang w:eastAsia="pt-BR"/>
              </w:rPr>
            </w:pPr>
            <w:r>
              <w:rPr>
                <w:rFonts w:eastAsia="Times New Roman" w:cs="Arial"/>
                <w:color w:val="000000"/>
                <w:szCs w:val="20"/>
                <w:lang w:eastAsia="pt-BR"/>
              </w:rPr>
              <w:t>0100000000</w:t>
            </w:r>
          </w:p>
        </w:tc>
        <w:tc>
          <w:tcPr>
            <w:tcW w:w="2917" w:type="dxa"/>
            <w:tcBorders>
              <w:top w:val="nil"/>
              <w:left w:val="nil"/>
              <w:bottom w:val="nil"/>
              <w:right w:val="nil"/>
            </w:tcBorders>
            <w:shd w:val="clear" w:color="000000" w:fill="D9D9D9"/>
            <w:vAlign w:val="center"/>
          </w:tcPr>
          <w:p w:rsidR="006E6D1D" w:rsidRPr="004520B0" w:rsidRDefault="006E6D1D" w:rsidP="008D6A91">
            <w:pPr>
              <w:jc w:val="left"/>
              <w:rPr>
                <w:rFonts w:eastAsia="Times New Roman" w:cs="Arial"/>
                <w:color w:val="000000"/>
                <w:szCs w:val="20"/>
                <w:lang w:eastAsia="pt-BR"/>
              </w:rPr>
            </w:pPr>
            <w:r>
              <w:rPr>
                <w:rFonts w:eastAsia="Times New Roman" w:cs="Arial"/>
                <w:color w:val="000000"/>
                <w:szCs w:val="20"/>
                <w:lang w:eastAsia="pt-BR"/>
              </w:rPr>
              <w:t>Recursos Ordinários</w:t>
            </w:r>
          </w:p>
        </w:tc>
        <w:tc>
          <w:tcPr>
            <w:tcW w:w="1913" w:type="dxa"/>
            <w:tcBorders>
              <w:top w:val="nil"/>
              <w:left w:val="nil"/>
              <w:bottom w:val="nil"/>
              <w:right w:val="nil"/>
            </w:tcBorders>
            <w:shd w:val="clear" w:color="D9D9D9" w:fill="D9D9D9"/>
            <w:noWrap/>
            <w:vAlign w:val="bottom"/>
          </w:tcPr>
          <w:p w:rsidR="006E6D1D" w:rsidRPr="004520B0" w:rsidRDefault="006E6D1D" w:rsidP="008D6A91">
            <w:pPr>
              <w:jc w:val="right"/>
              <w:rPr>
                <w:rFonts w:eastAsia="Times New Roman" w:cs="Arial"/>
                <w:color w:val="000000"/>
                <w:szCs w:val="20"/>
                <w:lang w:eastAsia="pt-BR"/>
              </w:rPr>
            </w:pPr>
            <w:r>
              <w:rPr>
                <w:rFonts w:eastAsia="Times New Roman" w:cs="Arial"/>
                <w:color w:val="000000"/>
                <w:szCs w:val="20"/>
                <w:lang w:eastAsia="pt-BR"/>
              </w:rPr>
              <w:t>920.253,07</w:t>
            </w:r>
          </w:p>
        </w:tc>
        <w:tc>
          <w:tcPr>
            <w:tcW w:w="2057" w:type="dxa"/>
            <w:tcBorders>
              <w:top w:val="nil"/>
              <w:left w:val="nil"/>
              <w:bottom w:val="nil"/>
              <w:right w:val="nil"/>
            </w:tcBorders>
            <w:shd w:val="clear" w:color="D9D9D9" w:fill="D9D9D9"/>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12.789,59</w:t>
            </w:r>
          </w:p>
        </w:tc>
        <w:tc>
          <w:tcPr>
            <w:tcW w:w="940" w:type="dxa"/>
            <w:tcBorders>
              <w:top w:val="nil"/>
              <w:left w:val="nil"/>
              <w:bottom w:val="nil"/>
              <w:right w:val="nil"/>
            </w:tcBorders>
            <w:shd w:val="clear" w:color="D9D9D9" w:fill="D9D9D9"/>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7095%</w:t>
            </w:r>
          </w:p>
        </w:tc>
      </w:tr>
      <w:tr w:rsidR="006E6D1D" w:rsidRPr="00EC6F3A" w:rsidTr="008D6A91">
        <w:trPr>
          <w:trHeight w:val="258"/>
        </w:trPr>
        <w:tc>
          <w:tcPr>
            <w:tcW w:w="1267" w:type="dxa"/>
            <w:tcBorders>
              <w:top w:val="nil"/>
              <w:left w:val="nil"/>
              <w:bottom w:val="nil"/>
              <w:right w:val="nil"/>
            </w:tcBorders>
            <w:shd w:val="clear" w:color="auto" w:fill="auto"/>
            <w:noWrap/>
            <w:vAlign w:val="bottom"/>
          </w:tcPr>
          <w:p w:rsidR="006E6D1D" w:rsidRPr="004520B0" w:rsidRDefault="006E6D1D" w:rsidP="008D6A91">
            <w:pPr>
              <w:jc w:val="left"/>
              <w:rPr>
                <w:rFonts w:eastAsia="Times New Roman" w:cs="Arial"/>
                <w:color w:val="000000"/>
                <w:szCs w:val="20"/>
                <w:lang w:eastAsia="pt-BR"/>
              </w:rPr>
            </w:pPr>
            <w:r w:rsidRPr="00D133B7">
              <w:rPr>
                <w:rFonts w:eastAsia="Times New Roman" w:cs="Arial"/>
                <w:color w:val="000000"/>
                <w:szCs w:val="20"/>
                <w:lang w:eastAsia="pt-BR"/>
              </w:rPr>
              <w:t>0129032280</w:t>
            </w:r>
          </w:p>
        </w:tc>
        <w:tc>
          <w:tcPr>
            <w:tcW w:w="2917" w:type="dxa"/>
            <w:tcBorders>
              <w:top w:val="nil"/>
              <w:left w:val="nil"/>
              <w:bottom w:val="nil"/>
              <w:right w:val="nil"/>
            </w:tcBorders>
            <w:shd w:val="clear" w:color="auto" w:fill="auto"/>
            <w:vAlign w:val="center"/>
          </w:tcPr>
          <w:p w:rsidR="006E6D1D" w:rsidRPr="004520B0" w:rsidRDefault="006E6D1D" w:rsidP="008D6A91">
            <w:pPr>
              <w:jc w:val="left"/>
              <w:rPr>
                <w:rFonts w:eastAsia="Times New Roman" w:cs="Arial"/>
                <w:color w:val="000000"/>
                <w:szCs w:val="20"/>
                <w:lang w:eastAsia="pt-BR"/>
              </w:rPr>
            </w:pPr>
            <w:r>
              <w:rPr>
                <w:rFonts w:eastAsia="Times New Roman" w:cs="Arial"/>
                <w:color w:val="000000"/>
                <w:szCs w:val="20"/>
                <w:lang w:eastAsia="pt-BR"/>
              </w:rPr>
              <w:t xml:space="preserve">Retenção de Área </w:t>
            </w:r>
            <w:proofErr w:type="spellStart"/>
            <w:r>
              <w:rPr>
                <w:rFonts w:eastAsia="Times New Roman" w:cs="Arial"/>
                <w:color w:val="000000"/>
                <w:szCs w:val="20"/>
                <w:lang w:eastAsia="pt-BR"/>
              </w:rPr>
              <w:t>Explor</w:t>
            </w:r>
            <w:proofErr w:type="spellEnd"/>
            <w:r>
              <w:rPr>
                <w:rFonts w:eastAsia="Times New Roman" w:cs="Arial"/>
                <w:color w:val="000000"/>
                <w:szCs w:val="20"/>
                <w:lang w:eastAsia="pt-BR"/>
              </w:rPr>
              <w:t>/</w:t>
            </w:r>
            <w:proofErr w:type="spellStart"/>
            <w:r>
              <w:rPr>
                <w:rFonts w:eastAsia="Times New Roman" w:cs="Arial"/>
                <w:color w:val="000000"/>
                <w:szCs w:val="20"/>
                <w:lang w:eastAsia="pt-BR"/>
              </w:rPr>
              <w:t>Prod</w:t>
            </w:r>
            <w:proofErr w:type="spellEnd"/>
          </w:p>
        </w:tc>
        <w:tc>
          <w:tcPr>
            <w:tcW w:w="1913" w:type="dxa"/>
            <w:tcBorders>
              <w:top w:val="nil"/>
              <w:left w:val="nil"/>
              <w:bottom w:val="nil"/>
              <w:right w:val="nil"/>
            </w:tcBorders>
            <w:shd w:val="clear" w:color="auto" w:fill="auto"/>
            <w:noWrap/>
            <w:vAlign w:val="bottom"/>
          </w:tcPr>
          <w:p w:rsidR="006E6D1D" w:rsidRPr="004520B0" w:rsidRDefault="006E6D1D" w:rsidP="008D6A91">
            <w:pPr>
              <w:jc w:val="right"/>
              <w:rPr>
                <w:rFonts w:eastAsia="Times New Roman" w:cs="Arial"/>
                <w:color w:val="000000"/>
                <w:szCs w:val="20"/>
                <w:lang w:eastAsia="pt-BR"/>
              </w:rPr>
            </w:pPr>
            <w:r>
              <w:rPr>
                <w:rFonts w:eastAsia="Times New Roman" w:cs="Arial"/>
                <w:color w:val="000000"/>
                <w:szCs w:val="20"/>
                <w:lang w:eastAsia="pt-BR"/>
              </w:rPr>
              <w:t>53.445,12</w:t>
            </w:r>
          </w:p>
        </w:tc>
        <w:tc>
          <w:tcPr>
            <w:tcW w:w="2057" w:type="dxa"/>
            <w:tcBorders>
              <w:top w:val="nil"/>
              <w:left w:val="nil"/>
              <w:bottom w:val="nil"/>
              <w:right w:val="nil"/>
            </w:tcBorders>
            <w:shd w:val="clear" w:color="auto" w:fill="auto"/>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777.982,87</w:t>
            </w:r>
          </w:p>
        </w:tc>
        <w:tc>
          <w:tcPr>
            <w:tcW w:w="940" w:type="dxa"/>
            <w:tcBorders>
              <w:top w:val="nil"/>
              <w:left w:val="nil"/>
              <w:bottom w:val="nil"/>
              <w:right w:val="nil"/>
            </w:tcBorders>
            <w:shd w:val="clear" w:color="auto" w:fill="auto"/>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-93,13%</w:t>
            </w:r>
          </w:p>
        </w:tc>
      </w:tr>
      <w:tr w:rsidR="006E6D1D" w:rsidRPr="00EC6F3A" w:rsidTr="008D6A91">
        <w:trPr>
          <w:trHeight w:val="258"/>
        </w:trPr>
        <w:tc>
          <w:tcPr>
            <w:tcW w:w="1267" w:type="dxa"/>
            <w:tcBorders>
              <w:top w:val="nil"/>
              <w:left w:val="nil"/>
              <w:bottom w:val="nil"/>
              <w:right w:val="nil"/>
            </w:tcBorders>
            <w:shd w:val="clear" w:color="D9D9D9" w:fill="D9D9D9"/>
            <w:noWrap/>
            <w:vAlign w:val="bottom"/>
            <w:hideMark/>
          </w:tcPr>
          <w:p w:rsidR="006E6D1D" w:rsidRPr="00EC6F3A" w:rsidRDefault="006E6D1D" w:rsidP="008D6A91">
            <w:pPr>
              <w:jc w:val="left"/>
              <w:rPr>
                <w:rFonts w:eastAsia="Times New Roman" w:cs="Arial"/>
                <w:color w:val="000000"/>
                <w:szCs w:val="20"/>
                <w:lang w:eastAsia="pt-BR"/>
              </w:rPr>
            </w:pPr>
            <w:r w:rsidRPr="004520B0">
              <w:rPr>
                <w:rFonts w:eastAsia="Times New Roman" w:cs="Arial"/>
                <w:color w:val="000000"/>
                <w:szCs w:val="20"/>
                <w:lang w:eastAsia="pt-BR"/>
              </w:rPr>
              <w:t>0142032284</w:t>
            </w:r>
          </w:p>
        </w:tc>
        <w:tc>
          <w:tcPr>
            <w:tcW w:w="2917" w:type="dxa"/>
            <w:tcBorders>
              <w:top w:val="nil"/>
              <w:left w:val="nil"/>
              <w:bottom w:val="nil"/>
              <w:right w:val="nil"/>
            </w:tcBorders>
            <w:shd w:val="clear" w:color="000000" w:fill="D9D9D9"/>
            <w:vAlign w:val="center"/>
            <w:hideMark/>
          </w:tcPr>
          <w:p w:rsidR="006E6D1D" w:rsidRPr="00EC6F3A" w:rsidRDefault="006E6D1D" w:rsidP="008D6A91">
            <w:pPr>
              <w:jc w:val="left"/>
              <w:rPr>
                <w:rFonts w:eastAsia="Times New Roman" w:cs="Arial"/>
                <w:color w:val="000000"/>
                <w:szCs w:val="20"/>
                <w:lang w:eastAsia="pt-BR"/>
              </w:rPr>
            </w:pPr>
            <w:r w:rsidRPr="004520B0">
              <w:rPr>
                <w:rFonts w:eastAsia="Times New Roman" w:cs="Arial"/>
                <w:color w:val="000000"/>
                <w:szCs w:val="20"/>
                <w:lang w:eastAsia="pt-BR"/>
              </w:rPr>
              <w:t xml:space="preserve">Royalties </w:t>
            </w:r>
            <w:proofErr w:type="spellStart"/>
            <w:r w:rsidRPr="004520B0">
              <w:rPr>
                <w:rFonts w:eastAsia="Times New Roman" w:cs="Arial"/>
                <w:color w:val="000000"/>
                <w:szCs w:val="20"/>
                <w:lang w:eastAsia="pt-BR"/>
              </w:rPr>
              <w:t>Petroleo</w:t>
            </w:r>
            <w:proofErr w:type="spellEnd"/>
            <w:r w:rsidRPr="004520B0">
              <w:rPr>
                <w:rFonts w:eastAsia="Times New Roman" w:cs="Arial"/>
                <w:color w:val="000000"/>
                <w:szCs w:val="20"/>
                <w:lang w:eastAsia="pt-BR"/>
              </w:rPr>
              <w:t xml:space="preserve"> - Est/</w:t>
            </w:r>
            <w:proofErr w:type="spellStart"/>
            <w:r w:rsidRPr="004520B0">
              <w:rPr>
                <w:rFonts w:eastAsia="Times New Roman" w:cs="Arial"/>
                <w:color w:val="000000"/>
                <w:szCs w:val="20"/>
                <w:lang w:eastAsia="pt-BR"/>
              </w:rPr>
              <w:t>Mun</w:t>
            </w:r>
            <w:proofErr w:type="spellEnd"/>
          </w:p>
        </w:tc>
        <w:tc>
          <w:tcPr>
            <w:tcW w:w="1913" w:type="dxa"/>
            <w:tcBorders>
              <w:top w:val="nil"/>
              <w:left w:val="nil"/>
              <w:bottom w:val="nil"/>
              <w:right w:val="nil"/>
            </w:tcBorders>
            <w:shd w:val="clear" w:color="D9D9D9" w:fill="D9D9D9"/>
            <w:noWrap/>
            <w:vAlign w:val="bottom"/>
            <w:hideMark/>
          </w:tcPr>
          <w:p w:rsidR="006E6D1D" w:rsidRPr="00EC6F3A" w:rsidRDefault="006E6D1D" w:rsidP="008D6A91">
            <w:pPr>
              <w:jc w:val="right"/>
              <w:rPr>
                <w:rFonts w:eastAsia="Times New Roman" w:cs="Arial"/>
                <w:color w:val="000000"/>
                <w:szCs w:val="20"/>
                <w:lang w:eastAsia="pt-BR"/>
              </w:rPr>
            </w:pPr>
            <w:r w:rsidRPr="004520B0">
              <w:rPr>
                <w:rFonts w:eastAsia="Times New Roman" w:cs="Arial"/>
                <w:color w:val="000000"/>
                <w:szCs w:val="20"/>
                <w:lang w:eastAsia="pt-BR"/>
              </w:rPr>
              <w:t>641.469,29</w:t>
            </w:r>
          </w:p>
        </w:tc>
        <w:tc>
          <w:tcPr>
            <w:tcW w:w="2057" w:type="dxa"/>
            <w:tcBorders>
              <w:top w:val="nil"/>
              <w:left w:val="nil"/>
              <w:bottom w:val="nil"/>
              <w:right w:val="nil"/>
            </w:tcBorders>
            <w:shd w:val="clear" w:color="D9D9D9" w:fill="D9D9D9"/>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2.642.409,39</w:t>
            </w:r>
          </w:p>
        </w:tc>
        <w:tc>
          <w:tcPr>
            <w:tcW w:w="940" w:type="dxa"/>
            <w:tcBorders>
              <w:top w:val="nil"/>
              <w:left w:val="nil"/>
              <w:bottom w:val="nil"/>
              <w:right w:val="nil"/>
            </w:tcBorders>
            <w:shd w:val="clear" w:color="D9D9D9" w:fill="D9D9D9"/>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-75,72</w:t>
            </w:r>
            <w:r w:rsidRPr="00EC6F3A">
              <w:rPr>
                <w:rFonts w:eastAsia="Times New Roman" w:cs="Arial"/>
                <w:color w:val="000000"/>
                <w:szCs w:val="20"/>
                <w:lang w:eastAsia="pt-BR"/>
              </w:rPr>
              <w:t>%</w:t>
            </w:r>
          </w:p>
        </w:tc>
      </w:tr>
      <w:tr w:rsidR="006E6D1D" w:rsidRPr="00EC6F3A" w:rsidTr="008D6A91">
        <w:trPr>
          <w:trHeight w:val="517"/>
        </w:trPr>
        <w:tc>
          <w:tcPr>
            <w:tcW w:w="1267" w:type="dxa"/>
            <w:tcBorders>
              <w:top w:val="nil"/>
              <w:left w:val="nil"/>
              <w:bottom w:val="nil"/>
              <w:right w:val="nil"/>
            </w:tcBorders>
            <w:shd w:val="clear" w:color="auto" w:fill="auto"/>
            <w:noWrap/>
            <w:vAlign w:val="bottom"/>
            <w:hideMark/>
          </w:tcPr>
          <w:p w:rsidR="006E6D1D" w:rsidRPr="00EC6F3A" w:rsidRDefault="006E6D1D" w:rsidP="008D6A91">
            <w:pPr>
              <w:jc w:val="left"/>
              <w:rPr>
                <w:rFonts w:eastAsia="Times New Roman" w:cs="Arial"/>
                <w:color w:val="000000"/>
                <w:szCs w:val="20"/>
                <w:lang w:eastAsia="pt-BR"/>
              </w:rPr>
            </w:pPr>
            <w:r>
              <w:rPr>
                <w:rFonts w:eastAsia="Times New Roman" w:cs="Arial"/>
                <w:color w:val="000000"/>
                <w:szCs w:val="20"/>
                <w:lang w:eastAsia="pt-BR"/>
              </w:rPr>
              <w:t>0150022064</w:t>
            </w:r>
          </w:p>
        </w:tc>
        <w:tc>
          <w:tcPr>
            <w:tcW w:w="2917" w:type="dxa"/>
            <w:tcBorders>
              <w:top w:val="nil"/>
              <w:left w:val="nil"/>
              <w:bottom w:val="nil"/>
              <w:right w:val="nil"/>
            </w:tcBorders>
            <w:shd w:val="clear" w:color="auto" w:fill="auto"/>
            <w:vAlign w:val="center"/>
            <w:hideMark/>
          </w:tcPr>
          <w:p w:rsidR="006E6D1D" w:rsidRPr="00EC6F3A" w:rsidRDefault="006E6D1D" w:rsidP="008D6A91">
            <w:pPr>
              <w:jc w:val="left"/>
              <w:rPr>
                <w:rFonts w:eastAsia="Times New Roman" w:cs="Arial"/>
                <w:color w:val="000000"/>
                <w:szCs w:val="20"/>
                <w:lang w:eastAsia="pt-BR"/>
              </w:rPr>
            </w:pPr>
            <w:r>
              <w:rPr>
                <w:rFonts w:eastAsia="Times New Roman" w:cs="Arial"/>
                <w:color w:val="000000"/>
                <w:szCs w:val="20"/>
                <w:lang w:eastAsia="pt-BR"/>
              </w:rPr>
              <w:t>Multas do CNP/ANP</w:t>
            </w:r>
          </w:p>
        </w:tc>
        <w:tc>
          <w:tcPr>
            <w:tcW w:w="1913" w:type="dxa"/>
            <w:tcBorders>
              <w:top w:val="nil"/>
              <w:left w:val="nil"/>
              <w:bottom w:val="nil"/>
              <w:right w:val="nil"/>
            </w:tcBorders>
            <w:shd w:val="clear" w:color="auto" w:fill="auto"/>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11.843.157,97</w:t>
            </w:r>
          </w:p>
        </w:tc>
        <w:tc>
          <w:tcPr>
            <w:tcW w:w="2057" w:type="dxa"/>
            <w:tcBorders>
              <w:top w:val="nil"/>
              <w:left w:val="nil"/>
              <w:bottom w:val="nil"/>
              <w:right w:val="nil"/>
            </w:tcBorders>
            <w:shd w:val="clear" w:color="auto" w:fill="auto"/>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11.843.157,97</w:t>
            </w:r>
          </w:p>
        </w:tc>
        <w:tc>
          <w:tcPr>
            <w:tcW w:w="940" w:type="dxa"/>
            <w:tcBorders>
              <w:top w:val="nil"/>
              <w:left w:val="nil"/>
              <w:bottom w:val="nil"/>
              <w:right w:val="nil"/>
            </w:tcBorders>
            <w:shd w:val="clear" w:color="auto" w:fill="auto"/>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0</w:t>
            </w:r>
            <w:r w:rsidRPr="00EC6F3A">
              <w:rPr>
                <w:rFonts w:eastAsia="Times New Roman" w:cs="Arial"/>
                <w:color w:val="000000"/>
                <w:szCs w:val="20"/>
                <w:lang w:eastAsia="pt-BR"/>
              </w:rPr>
              <w:t>%</w:t>
            </w:r>
          </w:p>
        </w:tc>
      </w:tr>
      <w:tr w:rsidR="006E6D1D" w:rsidRPr="00EC6F3A" w:rsidTr="008D6A91">
        <w:trPr>
          <w:trHeight w:val="258"/>
        </w:trPr>
        <w:tc>
          <w:tcPr>
            <w:tcW w:w="1267" w:type="dxa"/>
            <w:tcBorders>
              <w:top w:val="nil"/>
              <w:left w:val="nil"/>
              <w:bottom w:val="nil"/>
              <w:right w:val="nil"/>
            </w:tcBorders>
            <w:shd w:val="clear" w:color="D9D9D9" w:fill="D9D9D9"/>
            <w:noWrap/>
            <w:vAlign w:val="bottom"/>
          </w:tcPr>
          <w:p w:rsidR="006E6D1D" w:rsidRPr="00EC6F3A" w:rsidRDefault="006E6D1D" w:rsidP="008D6A91">
            <w:pPr>
              <w:jc w:val="left"/>
              <w:rPr>
                <w:rFonts w:eastAsia="Times New Roman" w:cs="Arial"/>
                <w:color w:val="000000"/>
                <w:szCs w:val="20"/>
                <w:lang w:eastAsia="pt-BR"/>
              </w:rPr>
            </w:pPr>
            <w:r>
              <w:rPr>
                <w:rFonts w:eastAsia="Times New Roman" w:cs="Arial"/>
                <w:color w:val="000000"/>
                <w:szCs w:val="20"/>
                <w:lang w:eastAsia="pt-BR"/>
              </w:rPr>
              <w:t>0174022064</w:t>
            </w:r>
          </w:p>
        </w:tc>
        <w:tc>
          <w:tcPr>
            <w:tcW w:w="2917" w:type="dxa"/>
            <w:tcBorders>
              <w:top w:val="nil"/>
              <w:left w:val="nil"/>
              <w:bottom w:val="nil"/>
              <w:right w:val="nil"/>
            </w:tcBorders>
            <w:shd w:val="clear" w:color="000000" w:fill="D9D9D9"/>
            <w:vAlign w:val="center"/>
          </w:tcPr>
          <w:p w:rsidR="006E6D1D" w:rsidRDefault="006E6D1D" w:rsidP="008D6A91">
            <w:pPr>
              <w:jc w:val="left"/>
              <w:rPr>
                <w:rFonts w:eastAsia="Times New Roman" w:cs="Arial"/>
                <w:color w:val="000000"/>
                <w:szCs w:val="20"/>
                <w:lang w:eastAsia="pt-BR"/>
              </w:rPr>
            </w:pPr>
            <w:r>
              <w:rPr>
                <w:rFonts w:eastAsia="Times New Roman" w:cs="Arial"/>
                <w:color w:val="000000"/>
                <w:szCs w:val="20"/>
                <w:lang w:eastAsia="pt-BR"/>
              </w:rPr>
              <w:t xml:space="preserve">Multas da </w:t>
            </w:r>
            <w:proofErr w:type="spellStart"/>
            <w:r>
              <w:rPr>
                <w:rFonts w:eastAsia="Times New Roman" w:cs="Arial"/>
                <w:color w:val="000000"/>
                <w:szCs w:val="20"/>
                <w:lang w:eastAsia="pt-BR"/>
              </w:rPr>
              <w:t>Leg</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Combust</w:t>
            </w:r>
            <w:proofErr w:type="spellEnd"/>
            <w:r>
              <w:rPr>
                <w:rFonts w:eastAsia="Times New Roman" w:cs="Arial"/>
                <w:color w:val="000000"/>
                <w:szCs w:val="20"/>
                <w:lang w:eastAsia="pt-BR"/>
              </w:rPr>
              <w:t>/</w:t>
            </w:r>
            <w:proofErr w:type="spellStart"/>
            <w:r>
              <w:rPr>
                <w:rFonts w:eastAsia="Times New Roman" w:cs="Arial"/>
                <w:color w:val="000000"/>
                <w:szCs w:val="20"/>
                <w:lang w:eastAsia="pt-BR"/>
              </w:rPr>
              <w:t>Lubrif</w:t>
            </w:r>
            <w:proofErr w:type="spellEnd"/>
          </w:p>
        </w:tc>
        <w:tc>
          <w:tcPr>
            <w:tcW w:w="1913" w:type="dxa"/>
            <w:tcBorders>
              <w:top w:val="nil"/>
              <w:left w:val="nil"/>
              <w:bottom w:val="nil"/>
              <w:right w:val="nil"/>
            </w:tcBorders>
            <w:shd w:val="clear" w:color="D9D9D9" w:fill="D9D9D9"/>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2057" w:type="dxa"/>
            <w:tcBorders>
              <w:top w:val="nil"/>
              <w:left w:val="nil"/>
              <w:bottom w:val="nil"/>
              <w:right w:val="nil"/>
            </w:tcBorders>
            <w:shd w:val="clear" w:color="D9D9D9" w:fill="D9D9D9"/>
            <w:noWrap/>
            <w:vAlign w:val="bottom"/>
          </w:tcPr>
          <w:p w:rsidR="006E6D1D" w:rsidRDefault="006E6D1D" w:rsidP="008D6A91">
            <w:pPr>
              <w:jc w:val="right"/>
              <w:rPr>
                <w:rFonts w:eastAsia="Times New Roman" w:cs="Arial"/>
                <w:color w:val="000000"/>
                <w:szCs w:val="20"/>
                <w:lang w:eastAsia="pt-BR"/>
              </w:rPr>
            </w:pPr>
            <w:r>
              <w:rPr>
                <w:rFonts w:eastAsia="Times New Roman" w:cs="Arial"/>
                <w:color w:val="000000"/>
                <w:szCs w:val="20"/>
                <w:lang w:eastAsia="pt-BR"/>
              </w:rPr>
              <w:t>602,23</w:t>
            </w:r>
          </w:p>
        </w:tc>
        <w:tc>
          <w:tcPr>
            <w:tcW w:w="940" w:type="dxa"/>
            <w:tcBorders>
              <w:top w:val="nil"/>
              <w:left w:val="nil"/>
              <w:bottom w:val="nil"/>
              <w:right w:val="nil"/>
            </w:tcBorders>
            <w:shd w:val="clear" w:color="D9D9D9" w:fill="D9D9D9"/>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-100%</w:t>
            </w:r>
          </w:p>
        </w:tc>
      </w:tr>
      <w:tr w:rsidR="006E6D1D" w:rsidRPr="00EC6F3A" w:rsidTr="008D6A91">
        <w:trPr>
          <w:trHeight w:val="258"/>
        </w:trPr>
        <w:tc>
          <w:tcPr>
            <w:tcW w:w="1267" w:type="dxa"/>
            <w:tcBorders>
              <w:top w:val="nil"/>
              <w:left w:val="nil"/>
              <w:bottom w:val="nil"/>
              <w:right w:val="nil"/>
            </w:tcBorders>
            <w:shd w:val="clear" w:color="auto" w:fill="auto"/>
            <w:noWrap/>
            <w:vAlign w:val="bottom"/>
          </w:tcPr>
          <w:p w:rsidR="006E6D1D" w:rsidRPr="00EC6F3A" w:rsidRDefault="006E6D1D" w:rsidP="008D6A91">
            <w:pPr>
              <w:jc w:val="left"/>
              <w:rPr>
                <w:rFonts w:eastAsia="Times New Roman" w:cs="Arial"/>
                <w:color w:val="000000"/>
                <w:szCs w:val="20"/>
                <w:lang w:eastAsia="pt-BR"/>
              </w:rPr>
            </w:pPr>
            <w:r>
              <w:rPr>
                <w:rFonts w:eastAsia="Times New Roman" w:cs="Arial"/>
                <w:color w:val="000000"/>
                <w:szCs w:val="20"/>
                <w:lang w:eastAsia="pt-BR"/>
              </w:rPr>
              <w:t>0188000000</w:t>
            </w:r>
          </w:p>
        </w:tc>
        <w:tc>
          <w:tcPr>
            <w:tcW w:w="2917" w:type="dxa"/>
            <w:tcBorders>
              <w:top w:val="nil"/>
              <w:left w:val="nil"/>
              <w:bottom w:val="nil"/>
              <w:right w:val="nil"/>
            </w:tcBorders>
            <w:shd w:val="clear" w:color="auto" w:fill="auto"/>
            <w:vAlign w:val="center"/>
          </w:tcPr>
          <w:p w:rsidR="006E6D1D" w:rsidRDefault="006E6D1D" w:rsidP="008D6A91">
            <w:pPr>
              <w:jc w:val="left"/>
              <w:rPr>
                <w:rFonts w:eastAsia="Times New Roman" w:cs="Arial"/>
                <w:color w:val="000000"/>
                <w:szCs w:val="20"/>
                <w:lang w:eastAsia="pt-BR"/>
              </w:rPr>
            </w:pPr>
            <w:r>
              <w:rPr>
                <w:rFonts w:eastAsia="Times New Roman" w:cs="Arial"/>
                <w:color w:val="000000"/>
                <w:szCs w:val="20"/>
                <w:lang w:eastAsia="pt-BR"/>
              </w:rPr>
              <w:t>Recursos Ordinários</w:t>
            </w:r>
          </w:p>
        </w:tc>
        <w:tc>
          <w:tcPr>
            <w:tcW w:w="1913" w:type="dxa"/>
            <w:tcBorders>
              <w:top w:val="nil"/>
              <w:left w:val="nil"/>
              <w:bottom w:val="nil"/>
              <w:right w:val="nil"/>
            </w:tcBorders>
            <w:shd w:val="clear" w:color="auto" w:fill="auto"/>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2057" w:type="dxa"/>
            <w:tcBorders>
              <w:top w:val="nil"/>
              <w:left w:val="nil"/>
              <w:bottom w:val="nil"/>
              <w:right w:val="nil"/>
            </w:tcBorders>
            <w:shd w:val="clear" w:color="auto" w:fill="auto"/>
            <w:noWrap/>
            <w:vAlign w:val="bottom"/>
          </w:tcPr>
          <w:p w:rsidR="006E6D1D" w:rsidRDefault="006E6D1D" w:rsidP="008D6A91">
            <w:pPr>
              <w:jc w:val="right"/>
              <w:rPr>
                <w:rFonts w:eastAsia="Times New Roman" w:cs="Arial"/>
                <w:color w:val="000000"/>
                <w:szCs w:val="20"/>
                <w:lang w:eastAsia="pt-BR"/>
              </w:rPr>
            </w:pPr>
            <w:r>
              <w:rPr>
                <w:rFonts w:eastAsia="Times New Roman" w:cs="Arial"/>
                <w:color w:val="000000"/>
                <w:szCs w:val="20"/>
                <w:lang w:eastAsia="pt-BR"/>
              </w:rPr>
              <w:t>57.872,48</w:t>
            </w:r>
          </w:p>
        </w:tc>
        <w:tc>
          <w:tcPr>
            <w:tcW w:w="940" w:type="dxa"/>
            <w:tcBorders>
              <w:top w:val="nil"/>
              <w:left w:val="nil"/>
              <w:bottom w:val="nil"/>
              <w:right w:val="nil"/>
            </w:tcBorders>
            <w:shd w:val="clear" w:color="auto" w:fill="auto"/>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-100%</w:t>
            </w:r>
          </w:p>
        </w:tc>
      </w:tr>
      <w:tr w:rsidR="006E6D1D" w:rsidRPr="00EC6F3A" w:rsidTr="008D6A91">
        <w:trPr>
          <w:trHeight w:val="258"/>
        </w:trPr>
        <w:tc>
          <w:tcPr>
            <w:tcW w:w="1267" w:type="dxa"/>
            <w:tcBorders>
              <w:top w:val="nil"/>
              <w:left w:val="nil"/>
              <w:bottom w:val="nil"/>
              <w:right w:val="nil"/>
            </w:tcBorders>
            <w:shd w:val="clear" w:color="D9D9D9" w:fill="D9D9D9"/>
            <w:noWrap/>
            <w:vAlign w:val="bottom"/>
          </w:tcPr>
          <w:p w:rsidR="006E6D1D" w:rsidRPr="00EC6F3A" w:rsidRDefault="006E6D1D" w:rsidP="008D6A91">
            <w:pPr>
              <w:jc w:val="left"/>
              <w:rPr>
                <w:rFonts w:eastAsia="Times New Roman" w:cs="Arial"/>
                <w:color w:val="000000"/>
                <w:szCs w:val="20"/>
                <w:lang w:eastAsia="pt-BR"/>
              </w:rPr>
            </w:pPr>
            <w:r>
              <w:rPr>
                <w:rFonts w:eastAsia="Times New Roman" w:cs="Arial"/>
                <w:color w:val="000000"/>
                <w:szCs w:val="20"/>
                <w:lang w:eastAsia="pt-BR"/>
              </w:rPr>
              <w:t>0190000000</w:t>
            </w:r>
          </w:p>
        </w:tc>
        <w:tc>
          <w:tcPr>
            <w:tcW w:w="2917" w:type="dxa"/>
            <w:tcBorders>
              <w:top w:val="nil"/>
              <w:left w:val="nil"/>
              <w:bottom w:val="nil"/>
              <w:right w:val="nil"/>
            </w:tcBorders>
            <w:shd w:val="clear" w:color="000000" w:fill="D9D9D9"/>
            <w:vAlign w:val="center"/>
          </w:tcPr>
          <w:p w:rsidR="006E6D1D" w:rsidRDefault="006E6D1D" w:rsidP="008D6A91">
            <w:pPr>
              <w:jc w:val="left"/>
              <w:rPr>
                <w:rFonts w:eastAsia="Times New Roman" w:cs="Arial"/>
                <w:color w:val="000000"/>
                <w:szCs w:val="20"/>
                <w:lang w:eastAsia="pt-BR"/>
              </w:rPr>
            </w:pPr>
            <w:r>
              <w:rPr>
                <w:rFonts w:eastAsia="Times New Roman" w:cs="Arial"/>
                <w:color w:val="000000"/>
                <w:szCs w:val="20"/>
                <w:lang w:eastAsia="pt-BR"/>
              </w:rPr>
              <w:t>Recursos Diversos</w:t>
            </w:r>
          </w:p>
        </w:tc>
        <w:tc>
          <w:tcPr>
            <w:tcW w:w="1913" w:type="dxa"/>
            <w:tcBorders>
              <w:top w:val="nil"/>
              <w:left w:val="nil"/>
              <w:bottom w:val="nil"/>
              <w:right w:val="nil"/>
            </w:tcBorders>
            <w:shd w:val="clear" w:color="D9D9D9" w:fill="D9D9D9"/>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2057" w:type="dxa"/>
            <w:tcBorders>
              <w:top w:val="nil"/>
              <w:left w:val="nil"/>
              <w:bottom w:val="nil"/>
              <w:right w:val="nil"/>
            </w:tcBorders>
            <w:shd w:val="clear" w:color="D9D9D9" w:fill="D9D9D9"/>
            <w:noWrap/>
            <w:vAlign w:val="bottom"/>
          </w:tcPr>
          <w:p w:rsidR="006E6D1D" w:rsidRDefault="006E6D1D" w:rsidP="008D6A91">
            <w:pPr>
              <w:jc w:val="right"/>
              <w:rPr>
                <w:rFonts w:eastAsia="Times New Roman" w:cs="Arial"/>
                <w:color w:val="000000"/>
                <w:szCs w:val="20"/>
                <w:lang w:eastAsia="pt-BR"/>
              </w:rPr>
            </w:pPr>
            <w:r>
              <w:rPr>
                <w:rFonts w:eastAsia="Times New Roman" w:cs="Arial"/>
                <w:color w:val="000000"/>
                <w:szCs w:val="20"/>
                <w:lang w:eastAsia="pt-BR"/>
              </w:rPr>
              <w:t>2.638.603,13</w:t>
            </w:r>
          </w:p>
        </w:tc>
        <w:tc>
          <w:tcPr>
            <w:tcW w:w="940" w:type="dxa"/>
            <w:tcBorders>
              <w:top w:val="nil"/>
              <w:left w:val="nil"/>
              <w:bottom w:val="nil"/>
              <w:right w:val="nil"/>
            </w:tcBorders>
            <w:shd w:val="clear" w:color="D9D9D9" w:fill="D9D9D9"/>
            <w:noWrap/>
            <w:vAlign w:val="bottom"/>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-100%</w:t>
            </w:r>
          </w:p>
        </w:tc>
      </w:tr>
      <w:tr w:rsidR="006E6D1D" w:rsidRPr="00EC6F3A" w:rsidTr="008D6A91">
        <w:trPr>
          <w:trHeight w:val="258"/>
        </w:trPr>
        <w:tc>
          <w:tcPr>
            <w:tcW w:w="1267" w:type="dxa"/>
            <w:tcBorders>
              <w:top w:val="nil"/>
              <w:left w:val="nil"/>
              <w:bottom w:val="nil"/>
              <w:right w:val="nil"/>
            </w:tcBorders>
            <w:shd w:val="clear" w:color="auto" w:fill="auto"/>
            <w:noWrap/>
            <w:vAlign w:val="bottom"/>
            <w:hideMark/>
          </w:tcPr>
          <w:p w:rsidR="006E6D1D" w:rsidRPr="00EC6F3A" w:rsidRDefault="006E6D1D" w:rsidP="008D6A91">
            <w:pPr>
              <w:jc w:val="left"/>
              <w:rPr>
                <w:rFonts w:eastAsia="Times New Roman" w:cs="Arial"/>
                <w:color w:val="000000"/>
                <w:szCs w:val="20"/>
                <w:lang w:eastAsia="pt-BR"/>
              </w:rPr>
            </w:pPr>
            <w:r w:rsidRPr="00EC6F3A">
              <w:rPr>
                <w:rFonts w:eastAsia="Times New Roman" w:cs="Arial"/>
                <w:color w:val="000000"/>
                <w:szCs w:val="20"/>
                <w:lang w:eastAsia="pt-BR"/>
              </w:rPr>
              <w:t>0250</w:t>
            </w:r>
            <w:r>
              <w:rPr>
                <w:rFonts w:eastAsia="Times New Roman" w:cs="Arial"/>
                <w:color w:val="000000"/>
                <w:szCs w:val="20"/>
                <w:lang w:eastAsia="pt-BR"/>
              </w:rPr>
              <w:t>322051</w:t>
            </w:r>
          </w:p>
        </w:tc>
        <w:tc>
          <w:tcPr>
            <w:tcW w:w="2917" w:type="dxa"/>
            <w:tcBorders>
              <w:top w:val="nil"/>
              <w:left w:val="nil"/>
              <w:bottom w:val="nil"/>
              <w:right w:val="nil"/>
            </w:tcBorders>
            <w:shd w:val="clear" w:color="auto" w:fill="auto"/>
            <w:vAlign w:val="center"/>
            <w:hideMark/>
          </w:tcPr>
          <w:p w:rsidR="006E6D1D" w:rsidRPr="00EC6F3A" w:rsidRDefault="006E6D1D" w:rsidP="008D6A91">
            <w:pPr>
              <w:jc w:val="left"/>
              <w:rPr>
                <w:rFonts w:eastAsia="Times New Roman" w:cs="Arial"/>
                <w:color w:val="000000"/>
                <w:szCs w:val="20"/>
                <w:lang w:eastAsia="pt-BR"/>
              </w:rPr>
            </w:pPr>
            <w:proofErr w:type="spellStart"/>
            <w:r>
              <w:rPr>
                <w:rFonts w:eastAsia="Times New Roman" w:cs="Arial"/>
                <w:color w:val="000000"/>
                <w:szCs w:val="20"/>
                <w:lang w:eastAsia="pt-BR"/>
              </w:rPr>
              <w:t>Serv</w:t>
            </w:r>
            <w:proofErr w:type="spellEnd"/>
            <w:r>
              <w:rPr>
                <w:rFonts w:eastAsia="Times New Roman" w:cs="Arial"/>
                <w:color w:val="000000"/>
                <w:szCs w:val="20"/>
                <w:lang w:eastAsia="pt-BR"/>
              </w:rPr>
              <w:t xml:space="preserve"> de </w:t>
            </w:r>
            <w:proofErr w:type="spellStart"/>
            <w:r>
              <w:rPr>
                <w:rFonts w:eastAsia="Times New Roman" w:cs="Arial"/>
                <w:color w:val="000000"/>
                <w:szCs w:val="20"/>
                <w:lang w:eastAsia="pt-BR"/>
              </w:rPr>
              <w:t>Inform</w:t>
            </w:r>
            <w:proofErr w:type="spellEnd"/>
            <w:r>
              <w:rPr>
                <w:rFonts w:eastAsia="Times New Roman" w:cs="Arial"/>
                <w:color w:val="000000"/>
                <w:szCs w:val="20"/>
                <w:lang w:eastAsia="pt-BR"/>
              </w:rPr>
              <w:t xml:space="preserve"> Técnicas ANP</w:t>
            </w:r>
          </w:p>
        </w:tc>
        <w:tc>
          <w:tcPr>
            <w:tcW w:w="1913" w:type="dxa"/>
            <w:tcBorders>
              <w:top w:val="nil"/>
              <w:left w:val="nil"/>
              <w:bottom w:val="nil"/>
              <w:right w:val="nil"/>
            </w:tcBorders>
            <w:shd w:val="clear" w:color="auto" w:fill="auto"/>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1.034.689.039,18</w:t>
            </w:r>
          </w:p>
        </w:tc>
        <w:tc>
          <w:tcPr>
            <w:tcW w:w="2057" w:type="dxa"/>
            <w:tcBorders>
              <w:top w:val="nil"/>
              <w:left w:val="nil"/>
              <w:bottom w:val="nil"/>
              <w:right w:val="nil"/>
            </w:tcBorders>
            <w:shd w:val="clear" w:color="auto" w:fill="auto"/>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1.112.409.342,41</w:t>
            </w:r>
          </w:p>
        </w:tc>
        <w:tc>
          <w:tcPr>
            <w:tcW w:w="940" w:type="dxa"/>
            <w:tcBorders>
              <w:top w:val="nil"/>
              <w:left w:val="nil"/>
              <w:bottom w:val="nil"/>
              <w:right w:val="nil"/>
            </w:tcBorders>
            <w:shd w:val="clear" w:color="auto" w:fill="auto"/>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-6,99</w:t>
            </w:r>
            <w:r w:rsidRPr="00EC6F3A">
              <w:rPr>
                <w:rFonts w:eastAsia="Times New Roman" w:cs="Arial"/>
                <w:color w:val="000000"/>
                <w:szCs w:val="20"/>
                <w:lang w:eastAsia="pt-BR"/>
              </w:rPr>
              <w:t>%</w:t>
            </w:r>
          </w:p>
        </w:tc>
      </w:tr>
      <w:tr w:rsidR="006E6D1D" w:rsidRPr="00EC6F3A" w:rsidTr="008D6A91">
        <w:trPr>
          <w:trHeight w:val="258"/>
        </w:trPr>
        <w:tc>
          <w:tcPr>
            <w:tcW w:w="1267" w:type="dxa"/>
            <w:tcBorders>
              <w:top w:val="nil"/>
              <w:left w:val="nil"/>
              <w:bottom w:val="nil"/>
              <w:right w:val="nil"/>
            </w:tcBorders>
            <w:shd w:val="clear" w:color="D9D9D9" w:fill="D9D9D9"/>
            <w:noWrap/>
            <w:vAlign w:val="bottom"/>
            <w:hideMark/>
          </w:tcPr>
          <w:p w:rsidR="006E6D1D" w:rsidRPr="00EC6F3A" w:rsidRDefault="006E6D1D" w:rsidP="008D6A91">
            <w:pPr>
              <w:jc w:val="left"/>
              <w:rPr>
                <w:rFonts w:eastAsia="Times New Roman" w:cs="Arial"/>
                <w:color w:val="000000"/>
                <w:szCs w:val="20"/>
                <w:lang w:eastAsia="pt-BR"/>
              </w:rPr>
            </w:pPr>
            <w:r w:rsidRPr="00EC6F3A">
              <w:rPr>
                <w:rFonts w:eastAsia="Times New Roman" w:cs="Arial"/>
                <w:color w:val="000000"/>
                <w:szCs w:val="20"/>
                <w:lang w:eastAsia="pt-BR"/>
              </w:rPr>
              <w:t>0</w:t>
            </w:r>
            <w:r>
              <w:rPr>
                <w:rFonts w:eastAsia="Times New Roman" w:cs="Arial"/>
                <w:color w:val="000000"/>
                <w:szCs w:val="20"/>
                <w:lang w:eastAsia="pt-BR"/>
              </w:rPr>
              <w:t>650322051</w:t>
            </w:r>
          </w:p>
        </w:tc>
        <w:tc>
          <w:tcPr>
            <w:tcW w:w="2917" w:type="dxa"/>
            <w:tcBorders>
              <w:top w:val="nil"/>
              <w:left w:val="nil"/>
              <w:bottom w:val="nil"/>
              <w:right w:val="nil"/>
            </w:tcBorders>
            <w:shd w:val="clear" w:color="000000" w:fill="D9D9D9"/>
            <w:vAlign w:val="center"/>
            <w:hideMark/>
          </w:tcPr>
          <w:p w:rsidR="006E6D1D" w:rsidRDefault="006E6D1D" w:rsidP="008D6A91">
            <w:pPr>
              <w:jc w:val="left"/>
              <w:rPr>
                <w:rFonts w:eastAsia="Times New Roman" w:cs="Arial"/>
                <w:color w:val="000000"/>
                <w:szCs w:val="20"/>
                <w:lang w:eastAsia="pt-BR"/>
              </w:rPr>
            </w:pPr>
          </w:p>
          <w:p w:rsidR="006E6D1D" w:rsidRPr="00EC6F3A" w:rsidRDefault="006E6D1D" w:rsidP="008D6A91">
            <w:pPr>
              <w:jc w:val="left"/>
              <w:rPr>
                <w:rFonts w:eastAsia="Times New Roman" w:cs="Arial"/>
                <w:color w:val="000000"/>
                <w:szCs w:val="20"/>
                <w:lang w:eastAsia="pt-BR"/>
              </w:rPr>
            </w:pPr>
            <w:proofErr w:type="spellStart"/>
            <w:r>
              <w:rPr>
                <w:rFonts w:eastAsia="Times New Roman" w:cs="Arial"/>
                <w:color w:val="000000"/>
                <w:szCs w:val="20"/>
                <w:lang w:eastAsia="pt-BR"/>
              </w:rPr>
              <w:t>Serv</w:t>
            </w:r>
            <w:proofErr w:type="spellEnd"/>
            <w:r>
              <w:rPr>
                <w:rFonts w:eastAsia="Times New Roman" w:cs="Arial"/>
                <w:color w:val="000000"/>
                <w:szCs w:val="20"/>
                <w:lang w:eastAsia="pt-BR"/>
              </w:rPr>
              <w:t xml:space="preserve"> de </w:t>
            </w:r>
            <w:proofErr w:type="spellStart"/>
            <w:r>
              <w:rPr>
                <w:rFonts w:eastAsia="Times New Roman" w:cs="Arial"/>
                <w:color w:val="000000"/>
                <w:szCs w:val="20"/>
                <w:lang w:eastAsia="pt-BR"/>
              </w:rPr>
              <w:t>Inform</w:t>
            </w:r>
            <w:proofErr w:type="spellEnd"/>
            <w:r>
              <w:rPr>
                <w:rFonts w:eastAsia="Times New Roman" w:cs="Arial"/>
                <w:color w:val="000000"/>
                <w:szCs w:val="20"/>
                <w:lang w:eastAsia="pt-BR"/>
              </w:rPr>
              <w:t xml:space="preserve"> Técnicas ANP Exercício Anterior</w:t>
            </w:r>
          </w:p>
        </w:tc>
        <w:tc>
          <w:tcPr>
            <w:tcW w:w="1913" w:type="dxa"/>
            <w:tcBorders>
              <w:top w:val="nil"/>
              <w:left w:val="nil"/>
              <w:bottom w:val="nil"/>
              <w:right w:val="nil"/>
            </w:tcBorders>
            <w:shd w:val="clear" w:color="D9D9D9" w:fill="D9D9D9"/>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3.378.129,67</w:t>
            </w:r>
          </w:p>
        </w:tc>
        <w:tc>
          <w:tcPr>
            <w:tcW w:w="2057" w:type="dxa"/>
            <w:tcBorders>
              <w:top w:val="nil"/>
              <w:left w:val="nil"/>
              <w:bottom w:val="nil"/>
              <w:right w:val="nil"/>
            </w:tcBorders>
            <w:shd w:val="clear" w:color="D9D9D9" w:fill="D9D9D9"/>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3.377.987,12</w:t>
            </w:r>
          </w:p>
        </w:tc>
        <w:tc>
          <w:tcPr>
            <w:tcW w:w="940" w:type="dxa"/>
            <w:tcBorders>
              <w:top w:val="nil"/>
              <w:left w:val="nil"/>
              <w:bottom w:val="nil"/>
              <w:right w:val="nil"/>
            </w:tcBorders>
            <w:shd w:val="clear" w:color="D9D9D9" w:fill="D9D9D9"/>
            <w:noWrap/>
            <w:vAlign w:val="bottom"/>
            <w:hideMark/>
          </w:tcPr>
          <w:p w:rsidR="006E6D1D" w:rsidRPr="00EC6F3A" w:rsidRDefault="006E6D1D" w:rsidP="008D6A91">
            <w:pPr>
              <w:jc w:val="right"/>
              <w:rPr>
                <w:rFonts w:eastAsia="Times New Roman" w:cs="Arial"/>
                <w:color w:val="000000"/>
                <w:szCs w:val="20"/>
                <w:lang w:eastAsia="pt-BR"/>
              </w:rPr>
            </w:pPr>
            <w:r>
              <w:rPr>
                <w:rFonts w:eastAsia="Times New Roman" w:cs="Arial"/>
                <w:color w:val="000000"/>
                <w:szCs w:val="20"/>
                <w:lang w:eastAsia="pt-BR"/>
              </w:rPr>
              <w:t>0,001</w:t>
            </w:r>
            <w:r w:rsidRPr="00EC6F3A">
              <w:rPr>
                <w:rFonts w:eastAsia="Times New Roman" w:cs="Arial"/>
                <w:color w:val="000000"/>
                <w:szCs w:val="20"/>
                <w:lang w:eastAsia="pt-BR"/>
              </w:rPr>
              <w:t>%</w:t>
            </w:r>
          </w:p>
        </w:tc>
      </w:tr>
      <w:tr w:rsidR="006E6D1D" w:rsidRPr="00EC6F3A" w:rsidTr="008D6A91">
        <w:trPr>
          <w:trHeight w:val="258"/>
        </w:trPr>
        <w:tc>
          <w:tcPr>
            <w:tcW w:w="1267" w:type="dxa"/>
            <w:tcBorders>
              <w:top w:val="nil"/>
              <w:left w:val="nil"/>
              <w:bottom w:val="single" w:sz="4" w:space="0" w:color="000000"/>
              <w:right w:val="nil"/>
            </w:tcBorders>
            <w:shd w:val="clear" w:color="D9D9D9" w:fill="D9D9D9"/>
            <w:noWrap/>
            <w:vAlign w:val="bottom"/>
            <w:hideMark/>
          </w:tcPr>
          <w:p w:rsidR="006E6D1D" w:rsidRPr="00EC6F3A" w:rsidRDefault="006E6D1D" w:rsidP="008D6A91">
            <w:pPr>
              <w:jc w:val="left"/>
              <w:rPr>
                <w:rFonts w:eastAsia="Times New Roman" w:cs="Arial"/>
                <w:b/>
                <w:bCs/>
                <w:color w:val="000000"/>
                <w:szCs w:val="20"/>
                <w:lang w:eastAsia="pt-BR"/>
              </w:rPr>
            </w:pPr>
            <w:r w:rsidRPr="00EC6F3A">
              <w:rPr>
                <w:rFonts w:eastAsia="Times New Roman" w:cs="Arial"/>
                <w:b/>
                <w:bCs/>
                <w:color w:val="000000"/>
                <w:szCs w:val="20"/>
                <w:lang w:eastAsia="pt-BR"/>
              </w:rPr>
              <w:t>Total</w:t>
            </w:r>
          </w:p>
        </w:tc>
        <w:tc>
          <w:tcPr>
            <w:tcW w:w="2917" w:type="dxa"/>
            <w:tcBorders>
              <w:top w:val="nil"/>
              <w:left w:val="nil"/>
              <w:bottom w:val="single" w:sz="4" w:space="0" w:color="000000"/>
              <w:right w:val="nil"/>
            </w:tcBorders>
            <w:shd w:val="clear" w:color="D9D9D9" w:fill="D9D9D9"/>
            <w:noWrap/>
            <w:vAlign w:val="bottom"/>
            <w:hideMark/>
          </w:tcPr>
          <w:p w:rsidR="006E6D1D" w:rsidRPr="00EC6F3A" w:rsidRDefault="006E6D1D" w:rsidP="008D6A91">
            <w:pPr>
              <w:jc w:val="left"/>
              <w:rPr>
                <w:rFonts w:eastAsia="Times New Roman" w:cs="Arial"/>
                <w:b/>
                <w:bCs/>
                <w:color w:val="000000"/>
                <w:szCs w:val="20"/>
                <w:lang w:eastAsia="pt-BR"/>
              </w:rPr>
            </w:pPr>
          </w:p>
        </w:tc>
        <w:tc>
          <w:tcPr>
            <w:tcW w:w="1913" w:type="dxa"/>
            <w:tcBorders>
              <w:top w:val="nil"/>
              <w:left w:val="nil"/>
              <w:bottom w:val="single" w:sz="4" w:space="0" w:color="000000"/>
              <w:right w:val="nil"/>
            </w:tcBorders>
            <w:shd w:val="clear" w:color="D9D9D9" w:fill="D9D9D9"/>
            <w:noWrap/>
            <w:vAlign w:val="bottom"/>
            <w:hideMark/>
          </w:tcPr>
          <w:p w:rsidR="006E6D1D" w:rsidRPr="00EC6F3A" w:rsidRDefault="006E6D1D" w:rsidP="008D6A91">
            <w:pPr>
              <w:jc w:val="left"/>
              <w:rPr>
                <w:rFonts w:eastAsia="Times New Roman" w:cs="Arial"/>
                <w:b/>
                <w:bCs/>
                <w:color w:val="000000"/>
                <w:szCs w:val="20"/>
                <w:lang w:eastAsia="pt-BR"/>
              </w:rPr>
            </w:pPr>
            <w:r w:rsidRPr="00EC6F3A">
              <w:rPr>
                <w:rFonts w:eastAsia="Times New Roman" w:cs="Arial"/>
                <w:b/>
                <w:bCs/>
                <w:color w:val="000000"/>
                <w:szCs w:val="20"/>
                <w:lang w:eastAsia="pt-BR"/>
              </w:rPr>
              <w:t xml:space="preserve">  </w:t>
            </w:r>
            <w:r>
              <w:rPr>
                <w:rFonts w:eastAsia="Times New Roman" w:cs="Arial"/>
                <w:b/>
                <w:bCs/>
                <w:color w:val="000000"/>
                <w:szCs w:val="20"/>
                <w:lang w:eastAsia="pt-BR"/>
              </w:rPr>
              <w:t>1.051.525.494,30</w:t>
            </w:r>
            <w:r w:rsidRPr="00EC6F3A">
              <w:rPr>
                <w:rFonts w:eastAsia="Times New Roman" w:cs="Arial"/>
                <w:b/>
                <w:bCs/>
                <w:color w:val="000000"/>
                <w:szCs w:val="20"/>
                <w:lang w:eastAsia="pt-BR"/>
              </w:rPr>
              <w:t xml:space="preserve"> </w:t>
            </w:r>
          </w:p>
        </w:tc>
        <w:tc>
          <w:tcPr>
            <w:tcW w:w="2057" w:type="dxa"/>
            <w:tcBorders>
              <w:top w:val="nil"/>
              <w:left w:val="nil"/>
              <w:bottom w:val="single" w:sz="4" w:space="0" w:color="000000"/>
              <w:right w:val="nil"/>
            </w:tcBorders>
            <w:shd w:val="clear" w:color="D9D9D9" w:fill="D9D9D9"/>
            <w:noWrap/>
            <w:vAlign w:val="bottom"/>
            <w:hideMark/>
          </w:tcPr>
          <w:p w:rsidR="006E6D1D" w:rsidRPr="00EC6F3A"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1.133.760.747,19</w:t>
            </w:r>
          </w:p>
        </w:tc>
        <w:tc>
          <w:tcPr>
            <w:tcW w:w="940" w:type="dxa"/>
            <w:tcBorders>
              <w:top w:val="nil"/>
              <w:left w:val="nil"/>
              <w:bottom w:val="single" w:sz="4" w:space="0" w:color="000000"/>
              <w:right w:val="nil"/>
            </w:tcBorders>
            <w:shd w:val="clear" w:color="D9D9D9" w:fill="D9D9D9"/>
            <w:noWrap/>
            <w:vAlign w:val="bottom"/>
            <w:hideMark/>
          </w:tcPr>
          <w:p w:rsidR="006E6D1D" w:rsidRPr="00EC6F3A"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-7,25</w:t>
            </w:r>
            <w:r w:rsidRPr="00EC6F3A">
              <w:rPr>
                <w:rFonts w:eastAsia="Times New Roman" w:cs="Arial"/>
                <w:b/>
                <w:bCs/>
                <w:color w:val="000000"/>
                <w:szCs w:val="20"/>
                <w:lang w:eastAsia="pt-BR"/>
              </w:rPr>
              <w:t>%</w:t>
            </w:r>
          </w:p>
        </w:tc>
      </w:tr>
    </w:tbl>
    <w:p w:rsidR="006E6D1D" w:rsidRPr="00EC6F3A" w:rsidRDefault="006E6D1D" w:rsidP="006E6D1D">
      <w:pPr>
        <w:rPr>
          <w:rFonts w:cs="Arial"/>
          <w:i/>
          <w:szCs w:val="20"/>
        </w:rPr>
      </w:pPr>
      <w:r w:rsidRPr="00EC6F3A">
        <w:rPr>
          <w:rFonts w:cs="Arial"/>
          <w:i/>
          <w:szCs w:val="20"/>
        </w:rPr>
        <w:t>Fonte: SIAFI, 2017 e 2016.</w:t>
      </w:r>
    </w:p>
    <w:p w:rsidR="006E6D1D" w:rsidRPr="00C0371B" w:rsidRDefault="006E6D1D" w:rsidP="006E6D1D">
      <w:pPr>
        <w:rPr>
          <w:rFonts w:cs="Arial"/>
          <w:sz w:val="22"/>
        </w:rPr>
      </w:pPr>
    </w:p>
    <w:p w:rsidR="006E6D1D" w:rsidRDefault="006E6D1D" w:rsidP="006E6D1D">
      <w:pPr>
        <w:rPr>
          <w:rFonts w:cs="Arial"/>
          <w:sz w:val="22"/>
        </w:rPr>
      </w:pPr>
      <w:r>
        <w:rPr>
          <w:rFonts w:cs="Arial"/>
          <w:sz w:val="22"/>
        </w:rPr>
        <w:t>Em suma, o</w:t>
      </w:r>
      <w:r w:rsidRPr="00C0371B">
        <w:rPr>
          <w:rFonts w:cs="Arial"/>
          <w:sz w:val="22"/>
        </w:rPr>
        <w:t xml:space="preserve">s recursos </w:t>
      </w:r>
      <w:r>
        <w:rPr>
          <w:rFonts w:cs="Arial"/>
          <w:sz w:val="22"/>
        </w:rPr>
        <w:t>disponíveis correspondem</w:t>
      </w:r>
      <w:r w:rsidRPr="00C0371B">
        <w:rPr>
          <w:rFonts w:cs="Arial"/>
          <w:sz w:val="22"/>
        </w:rPr>
        <w:t xml:space="preserve"> às Taxas de Fiscalização, às Multas aplicadas aos agentes regulados</w:t>
      </w:r>
      <w:r>
        <w:rPr>
          <w:rFonts w:cs="Arial"/>
          <w:sz w:val="22"/>
        </w:rPr>
        <w:t>, Royalties do Petróleo e Serviços de Informações Técnica de dados prestados pela agência ao público em geral.</w:t>
      </w:r>
    </w:p>
    <w:p w:rsidR="006E6D1D" w:rsidRDefault="006E6D1D" w:rsidP="006E6D1D">
      <w:pPr>
        <w:rPr>
          <w:rFonts w:cs="Arial"/>
          <w:sz w:val="22"/>
        </w:rPr>
      </w:pPr>
    </w:p>
    <w:p w:rsidR="006E6D1D" w:rsidRPr="00957BE7" w:rsidRDefault="006E6D1D" w:rsidP="006E6D1D">
      <w:pPr>
        <w:rPr>
          <w:rFonts w:cs="Arial"/>
          <w:sz w:val="22"/>
        </w:rPr>
      </w:pPr>
      <w:r w:rsidRPr="00957BE7">
        <w:rPr>
          <w:rFonts w:cs="Arial"/>
          <w:sz w:val="22"/>
        </w:rPr>
        <w:t>Ainda integram o Caixa e Equivalentes de Caixa, os saldos relativos a numerários em outros bancos. Estes referem-se às Garantias Contratuais, na modalidade caução em dinheiro, depositadas em contas abertas junto à Caixa Econômica Federal, por empresas contratadas pela ANP.</w:t>
      </w:r>
    </w:p>
    <w:p w:rsidR="006E6D1D" w:rsidRPr="00957BE7" w:rsidRDefault="006E6D1D" w:rsidP="006E6D1D">
      <w:pPr>
        <w:rPr>
          <w:rFonts w:cs="Arial"/>
          <w:sz w:val="22"/>
        </w:rPr>
      </w:pPr>
    </w:p>
    <w:p w:rsidR="006E6D1D" w:rsidRPr="00957BE7" w:rsidRDefault="006E6D1D" w:rsidP="006E6D1D">
      <w:pPr>
        <w:rPr>
          <w:rFonts w:cs="Arial"/>
          <w:sz w:val="22"/>
        </w:rPr>
      </w:pPr>
      <w:r w:rsidRPr="00957BE7">
        <w:rPr>
          <w:rFonts w:cs="Arial"/>
          <w:sz w:val="22"/>
        </w:rPr>
        <w:t xml:space="preserve">Contudo, estes saldos não estão evidenciados no BP de 2017, pois, por problemas técnicos não conseguimos realizar seu registro antes do fechamento. </w:t>
      </w:r>
      <w:r>
        <w:rPr>
          <w:rFonts w:cs="Arial"/>
          <w:sz w:val="22"/>
        </w:rPr>
        <w:t>O registro será realizado ainda no mês de janeiro e será perfeitamente evidenciado n</w:t>
      </w:r>
      <w:r w:rsidRPr="00957BE7">
        <w:rPr>
          <w:rFonts w:cs="Arial"/>
          <w:sz w:val="22"/>
        </w:rPr>
        <w:t xml:space="preserve">as Notas explicativas do 1º Trimestre de 2018. </w:t>
      </w:r>
    </w:p>
    <w:p w:rsidR="006E6D1D" w:rsidRPr="00957BE7" w:rsidRDefault="006E6D1D" w:rsidP="006E6D1D">
      <w:pPr>
        <w:rPr>
          <w:rFonts w:cs="Arial"/>
          <w:sz w:val="22"/>
        </w:rPr>
      </w:pPr>
    </w:p>
    <w:p w:rsidR="006E6D1D" w:rsidRDefault="006E6D1D" w:rsidP="006E6D1D">
      <w:pPr>
        <w:rPr>
          <w:rFonts w:cs="Arial"/>
          <w:sz w:val="22"/>
        </w:rPr>
      </w:pPr>
      <w:r w:rsidRPr="00957BE7">
        <w:rPr>
          <w:rFonts w:cs="Arial"/>
          <w:sz w:val="22"/>
        </w:rPr>
        <w:t>Os valores a seguir mostram essa composição</w:t>
      </w:r>
      <w:r>
        <w:rPr>
          <w:rFonts w:cs="Arial"/>
          <w:sz w:val="22"/>
        </w:rPr>
        <w:t xml:space="preserve"> e </w:t>
      </w:r>
      <w:r w:rsidRPr="00957BE7">
        <w:rPr>
          <w:rFonts w:cs="Arial"/>
          <w:sz w:val="22"/>
        </w:rPr>
        <w:t>referem-se a contratos vigentes.</w:t>
      </w:r>
      <w:r>
        <w:rPr>
          <w:rFonts w:cs="Arial"/>
          <w:sz w:val="22"/>
        </w:rPr>
        <w:t xml:space="preserve"> A</w:t>
      </w:r>
      <w:r w:rsidRPr="00957BE7">
        <w:rPr>
          <w:rFonts w:cs="Arial"/>
          <w:sz w:val="22"/>
        </w:rPr>
        <w:t xml:space="preserve">presentam-se </w:t>
      </w:r>
      <w:r>
        <w:rPr>
          <w:rFonts w:cs="Arial"/>
          <w:sz w:val="22"/>
        </w:rPr>
        <w:t xml:space="preserve">na sua forma </w:t>
      </w:r>
      <w:r w:rsidRPr="00957BE7">
        <w:rPr>
          <w:rFonts w:cs="Arial"/>
          <w:sz w:val="22"/>
        </w:rPr>
        <w:t>origina</w:t>
      </w:r>
      <w:r>
        <w:rPr>
          <w:rFonts w:cs="Arial"/>
          <w:sz w:val="22"/>
        </w:rPr>
        <w:t xml:space="preserve">l, </w:t>
      </w:r>
      <w:r w:rsidRPr="00957BE7">
        <w:rPr>
          <w:rFonts w:cs="Arial"/>
          <w:sz w:val="22"/>
        </w:rPr>
        <w:t xml:space="preserve">em razão da dificuldade na obtenção dos extratos junto às respectivas agências bancárias onde os recursos estão depositados. </w:t>
      </w:r>
    </w:p>
    <w:p w:rsidR="006E6D1D" w:rsidRPr="009D62DC" w:rsidRDefault="006E6D1D" w:rsidP="006E6D1D">
      <w:pPr>
        <w:rPr>
          <w:rFonts w:cs="Arial"/>
          <w:b/>
          <w:sz w:val="22"/>
          <w:highlight w:val="lightGray"/>
        </w:rPr>
      </w:pPr>
    </w:p>
    <w:p w:rsidR="006E6D1D" w:rsidRPr="00957BE7" w:rsidRDefault="006E6D1D" w:rsidP="006E6D1D">
      <w:pPr>
        <w:rPr>
          <w:rFonts w:cs="Arial"/>
          <w:b/>
          <w:sz w:val="22"/>
        </w:rPr>
      </w:pPr>
      <w:r w:rsidRPr="00957BE7">
        <w:rPr>
          <w:rFonts w:cs="Arial"/>
          <w:b/>
          <w:sz w:val="22"/>
        </w:rPr>
        <w:t xml:space="preserve">Tabela </w:t>
      </w:r>
      <w:r>
        <w:rPr>
          <w:rFonts w:cs="Arial"/>
          <w:b/>
          <w:sz w:val="22"/>
        </w:rPr>
        <w:t>2</w:t>
      </w:r>
      <w:r w:rsidRPr="00957BE7">
        <w:rPr>
          <w:rFonts w:cs="Arial"/>
          <w:b/>
          <w:sz w:val="22"/>
        </w:rPr>
        <w:t xml:space="preserve"> – Recursos em outros Bancos – Composição.</w:t>
      </w:r>
      <w:r>
        <w:rPr>
          <w:rFonts w:cs="Arial"/>
          <w:b/>
          <w:sz w:val="22"/>
        </w:rPr>
        <w:t xml:space="preserve"> (</w:t>
      </w:r>
      <w:proofErr w:type="gramStart"/>
      <w:r>
        <w:rPr>
          <w:rFonts w:cs="Arial"/>
          <w:b/>
          <w:sz w:val="22"/>
        </w:rPr>
        <w:t>a</w:t>
      </w:r>
      <w:proofErr w:type="gramEnd"/>
      <w:r>
        <w:rPr>
          <w:rFonts w:cs="Arial"/>
          <w:b/>
          <w:sz w:val="22"/>
        </w:rPr>
        <w:t xml:space="preserve"> serem registrados)</w:t>
      </w:r>
    </w:p>
    <w:p w:rsidR="006E6D1D" w:rsidRPr="00957BE7" w:rsidRDefault="006E6D1D" w:rsidP="006E6D1D">
      <w:pPr>
        <w:rPr>
          <w:rFonts w:cs="Arial"/>
          <w:sz w:val="22"/>
        </w:rPr>
      </w:pP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sz w:val="22"/>
        </w:rPr>
        <w:t>R$</w:t>
      </w:r>
    </w:p>
    <w:tbl>
      <w:tblPr>
        <w:tblW w:w="9102" w:type="dxa"/>
        <w:tblCellMar>
          <w:left w:w="70" w:type="dxa"/>
          <w:right w:w="70" w:type="dxa"/>
        </w:tblCellMar>
        <w:tblLook w:val="04A0" w:firstRow="1" w:lastRow="0" w:firstColumn="1" w:lastColumn="0" w:noHBand="0" w:noVBand="1"/>
      </w:tblPr>
      <w:tblGrid>
        <w:gridCol w:w="1683"/>
        <w:gridCol w:w="2806"/>
        <w:gridCol w:w="1995"/>
        <w:gridCol w:w="1420"/>
        <w:gridCol w:w="1305"/>
      </w:tblGrid>
      <w:tr w:rsidR="006E6D1D" w:rsidRPr="009D62DC" w:rsidTr="008D6A91">
        <w:trPr>
          <w:trHeight w:val="245"/>
        </w:trPr>
        <w:tc>
          <w:tcPr>
            <w:tcW w:w="1683" w:type="dxa"/>
            <w:tcBorders>
              <w:top w:val="single" w:sz="4" w:space="0" w:color="000000"/>
              <w:left w:val="nil"/>
              <w:bottom w:val="single" w:sz="4" w:space="0" w:color="000000"/>
              <w:right w:val="nil"/>
            </w:tcBorders>
            <w:shd w:val="clear" w:color="auto" w:fill="auto"/>
            <w:noWrap/>
            <w:vAlign w:val="bottom"/>
            <w:hideMark/>
          </w:tcPr>
          <w:p w:rsidR="006E6D1D" w:rsidRPr="009D62DC" w:rsidRDefault="006E6D1D" w:rsidP="008D6A91">
            <w:pPr>
              <w:jc w:val="left"/>
              <w:rPr>
                <w:rFonts w:eastAsia="Times New Roman" w:cs="Arial"/>
                <w:b/>
                <w:bCs/>
                <w:color w:val="000000"/>
                <w:szCs w:val="20"/>
                <w:highlight w:val="lightGray"/>
                <w:lang w:eastAsia="pt-BR"/>
              </w:rPr>
            </w:pPr>
            <w:r w:rsidRPr="009D62DC">
              <w:rPr>
                <w:rFonts w:eastAsia="Times New Roman" w:cs="Arial"/>
                <w:b/>
                <w:bCs/>
                <w:color w:val="000000"/>
                <w:szCs w:val="20"/>
                <w:highlight w:val="lightGray"/>
                <w:lang w:eastAsia="pt-BR"/>
              </w:rPr>
              <w:t xml:space="preserve">Fonte Recursos </w:t>
            </w:r>
          </w:p>
        </w:tc>
        <w:tc>
          <w:tcPr>
            <w:tcW w:w="2806" w:type="dxa"/>
            <w:tcBorders>
              <w:top w:val="single" w:sz="4" w:space="0" w:color="000000"/>
              <w:left w:val="nil"/>
              <w:bottom w:val="single" w:sz="4" w:space="0" w:color="000000"/>
              <w:right w:val="nil"/>
            </w:tcBorders>
            <w:shd w:val="clear" w:color="auto" w:fill="auto"/>
            <w:noWrap/>
            <w:vAlign w:val="bottom"/>
            <w:hideMark/>
          </w:tcPr>
          <w:p w:rsidR="006E6D1D" w:rsidRPr="009D62DC" w:rsidRDefault="006E6D1D" w:rsidP="008D6A91">
            <w:pPr>
              <w:jc w:val="left"/>
              <w:rPr>
                <w:rFonts w:eastAsia="Times New Roman" w:cs="Arial"/>
                <w:b/>
                <w:bCs/>
                <w:color w:val="000000"/>
                <w:szCs w:val="20"/>
                <w:highlight w:val="lightGray"/>
                <w:lang w:eastAsia="pt-BR"/>
              </w:rPr>
            </w:pPr>
            <w:r w:rsidRPr="009D62DC">
              <w:rPr>
                <w:rFonts w:eastAsia="Times New Roman" w:cs="Arial"/>
                <w:b/>
                <w:bCs/>
                <w:color w:val="000000"/>
                <w:szCs w:val="20"/>
                <w:highlight w:val="lightGray"/>
                <w:lang w:eastAsia="pt-BR"/>
              </w:rPr>
              <w:t>Descrição</w:t>
            </w:r>
          </w:p>
        </w:tc>
        <w:tc>
          <w:tcPr>
            <w:tcW w:w="1995" w:type="dxa"/>
            <w:tcBorders>
              <w:top w:val="single" w:sz="4" w:space="0" w:color="000000"/>
              <w:left w:val="nil"/>
              <w:bottom w:val="single" w:sz="4" w:space="0" w:color="000000"/>
              <w:right w:val="nil"/>
            </w:tcBorders>
            <w:shd w:val="clear" w:color="auto" w:fill="auto"/>
            <w:noWrap/>
            <w:vAlign w:val="bottom"/>
            <w:hideMark/>
          </w:tcPr>
          <w:p w:rsidR="006E6D1D" w:rsidRPr="009D62DC" w:rsidRDefault="006E6D1D" w:rsidP="008D6A91">
            <w:pPr>
              <w:jc w:val="right"/>
              <w:rPr>
                <w:rFonts w:eastAsia="Times New Roman" w:cs="Arial"/>
                <w:b/>
                <w:bCs/>
                <w:color w:val="000000"/>
                <w:szCs w:val="20"/>
                <w:highlight w:val="lightGray"/>
                <w:lang w:eastAsia="pt-BR"/>
              </w:rPr>
            </w:pPr>
            <w:r w:rsidRPr="009D62DC">
              <w:rPr>
                <w:rFonts w:eastAsia="Times New Roman" w:cs="Arial"/>
                <w:b/>
                <w:bCs/>
                <w:color w:val="000000"/>
                <w:szCs w:val="20"/>
                <w:highlight w:val="lightGray"/>
                <w:lang w:eastAsia="pt-BR"/>
              </w:rPr>
              <w:t>3</w:t>
            </w:r>
            <w:r>
              <w:rPr>
                <w:rFonts w:eastAsia="Times New Roman" w:cs="Arial"/>
                <w:b/>
                <w:bCs/>
                <w:color w:val="000000"/>
                <w:szCs w:val="20"/>
                <w:highlight w:val="lightGray"/>
                <w:lang w:eastAsia="pt-BR"/>
              </w:rPr>
              <w:t>1</w:t>
            </w:r>
            <w:r w:rsidRPr="009D62DC">
              <w:rPr>
                <w:rFonts w:eastAsia="Times New Roman" w:cs="Arial"/>
                <w:b/>
                <w:bCs/>
                <w:color w:val="000000"/>
                <w:szCs w:val="20"/>
                <w:highlight w:val="lightGray"/>
                <w:lang w:eastAsia="pt-BR"/>
              </w:rPr>
              <w:t>/</w:t>
            </w:r>
            <w:r>
              <w:rPr>
                <w:rFonts w:eastAsia="Times New Roman" w:cs="Arial"/>
                <w:b/>
                <w:bCs/>
                <w:color w:val="000000"/>
                <w:szCs w:val="20"/>
                <w:highlight w:val="lightGray"/>
                <w:lang w:eastAsia="pt-BR"/>
              </w:rPr>
              <w:t>12</w:t>
            </w:r>
            <w:r w:rsidRPr="009D62DC">
              <w:rPr>
                <w:rFonts w:eastAsia="Times New Roman" w:cs="Arial"/>
                <w:b/>
                <w:bCs/>
                <w:color w:val="000000"/>
                <w:szCs w:val="20"/>
                <w:highlight w:val="lightGray"/>
                <w:lang w:eastAsia="pt-BR"/>
              </w:rPr>
              <w:t>/2017</w:t>
            </w:r>
          </w:p>
        </w:tc>
        <w:tc>
          <w:tcPr>
            <w:tcW w:w="1313" w:type="dxa"/>
            <w:tcBorders>
              <w:top w:val="single" w:sz="4" w:space="0" w:color="000000"/>
              <w:left w:val="nil"/>
              <w:bottom w:val="single" w:sz="4" w:space="0" w:color="000000"/>
              <w:right w:val="nil"/>
            </w:tcBorders>
            <w:shd w:val="clear" w:color="auto" w:fill="auto"/>
            <w:noWrap/>
            <w:vAlign w:val="bottom"/>
            <w:hideMark/>
          </w:tcPr>
          <w:p w:rsidR="006E6D1D" w:rsidRPr="009D62DC" w:rsidRDefault="006E6D1D" w:rsidP="008D6A91">
            <w:pPr>
              <w:jc w:val="right"/>
              <w:rPr>
                <w:rFonts w:eastAsia="Times New Roman" w:cs="Arial"/>
                <w:b/>
                <w:bCs/>
                <w:color w:val="000000"/>
                <w:szCs w:val="20"/>
                <w:highlight w:val="lightGray"/>
                <w:lang w:eastAsia="pt-BR"/>
              </w:rPr>
            </w:pPr>
            <w:r w:rsidRPr="009D62DC">
              <w:rPr>
                <w:rFonts w:eastAsia="Times New Roman" w:cs="Arial"/>
                <w:b/>
                <w:bCs/>
                <w:color w:val="000000"/>
                <w:szCs w:val="20"/>
                <w:highlight w:val="lightGray"/>
                <w:lang w:eastAsia="pt-BR"/>
              </w:rPr>
              <w:t>31/12/2016</w:t>
            </w:r>
          </w:p>
        </w:tc>
        <w:tc>
          <w:tcPr>
            <w:tcW w:w="1305" w:type="dxa"/>
            <w:tcBorders>
              <w:top w:val="single" w:sz="4" w:space="0" w:color="000000"/>
              <w:left w:val="nil"/>
              <w:bottom w:val="single" w:sz="4" w:space="0" w:color="000000"/>
              <w:right w:val="nil"/>
            </w:tcBorders>
            <w:shd w:val="clear" w:color="auto" w:fill="auto"/>
            <w:noWrap/>
            <w:vAlign w:val="bottom"/>
            <w:hideMark/>
          </w:tcPr>
          <w:p w:rsidR="006E6D1D" w:rsidRPr="009D62DC" w:rsidRDefault="006E6D1D" w:rsidP="008D6A91">
            <w:pPr>
              <w:jc w:val="center"/>
              <w:rPr>
                <w:rFonts w:eastAsia="Times New Roman" w:cs="Arial"/>
                <w:b/>
                <w:bCs/>
                <w:color w:val="000000"/>
                <w:szCs w:val="20"/>
                <w:highlight w:val="lightGray"/>
                <w:lang w:eastAsia="pt-BR"/>
              </w:rPr>
            </w:pPr>
            <w:r w:rsidRPr="009D62DC">
              <w:rPr>
                <w:rFonts w:eastAsia="Times New Roman" w:cs="Arial"/>
                <w:b/>
                <w:bCs/>
                <w:color w:val="000000"/>
                <w:szCs w:val="20"/>
                <w:highlight w:val="lightGray"/>
                <w:lang w:eastAsia="pt-BR"/>
              </w:rPr>
              <w:t>AH (%)</w:t>
            </w:r>
          </w:p>
        </w:tc>
      </w:tr>
      <w:tr w:rsidR="006E6D1D" w:rsidRPr="00445460" w:rsidTr="008D6A91">
        <w:trPr>
          <w:trHeight w:val="245"/>
        </w:trPr>
        <w:tc>
          <w:tcPr>
            <w:tcW w:w="1683" w:type="dxa"/>
            <w:tcBorders>
              <w:top w:val="nil"/>
              <w:left w:val="nil"/>
              <w:bottom w:val="nil"/>
              <w:right w:val="nil"/>
            </w:tcBorders>
            <w:shd w:val="clear" w:color="D9D9D9" w:fill="D9D9D9"/>
            <w:noWrap/>
            <w:vAlign w:val="bottom"/>
            <w:hideMark/>
          </w:tcPr>
          <w:p w:rsidR="006E6D1D" w:rsidRPr="00445460" w:rsidRDefault="006E6D1D" w:rsidP="008D6A91">
            <w:pPr>
              <w:rPr>
                <w:rFonts w:eastAsia="Times New Roman" w:cs="Arial"/>
                <w:color w:val="000000"/>
                <w:szCs w:val="20"/>
                <w:highlight w:val="lightGray"/>
                <w:lang w:eastAsia="pt-BR"/>
              </w:rPr>
            </w:pPr>
            <w:r w:rsidRPr="00445460">
              <w:rPr>
                <w:rFonts w:eastAsia="Times New Roman" w:cs="Arial"/>
                <w:color w:val="000000"/>
                <w:szCs w:val="20"/>
                <w:highlight w:val="lightGray"/>
                <w:lang w:eastAsia="pt-BR"/>
              </w:rPr>
              <w:t>0190000000</w:t>
            </w:r>
          </w:p>
        </w:tc>
        <w:tc>
          <w:tcPr>
            <w:tcW w:w="2806" w:type="dxa"/>
            <w:tcBorders>
              <w:top w:val="nil"/>
              <w:left w:val="nil"/>
              <w:bottom w:val="nil"/>
              <w:right w:val="nil"/>
            </w:tcBorders>
            <w:shd w:val="clear" w:color="D9D9D9" w:fill="D9D9D9"/>
            <w:vAlign w:val="bottom"/>
            <w:hideMark/>
          </w:tcPr>
          <w:p w:rsidR="006E6D1D" w:rsidRPr="00445460" w:rsidRDefault="006E6D1D" w:rsidP="008D6A91">
            <w:pPr>
              <w:rPr>
                <w:rFonts w:eastAsia="Times New Roman" w:cs="Arial"/>
                <w:color w:val="000000"/>
                <w:szCs w:val="20"/>
                <w:highlight w:val="lightGray"/>
                <w:lang w:eastAsia="pt-BR"/>
              </w:rPr>
            </w:pPr>
            <w:r w:rsidRPr="00445460">
              <w:rPr>
                <w:rFonts w:eastAsia="Times New Roman" w:cs="Arial"/>
                <w:color w:val="000000"/>
                <w:szCs w:val="20"/>
                <w:highlight w:val="lightGray"/>
                <w:lang w:eastAsia="pt-BR"/>
              </w:rPr>
              <w:t>Recursos Diversos</w:t>
            </w:r>
          </w:p>
        </w:tc>
        <w:tc>
          <w:tcPr>
            <w:tcW w:w="1995" w:type="dxa"/>
            <w:tcBorders>
              <w:top w:val="nil"/>
              <w:left w:val="nil"/>
              <w:bottom w:val="nil"/>
              <w:right w:val="nil"/>
            </w:tcBorders>
            <w:shd w:val="clear" w:color="D9D9D9" w:fill="D9D9D9"/>
            <w:noWrap/>
            <w:vAlign w:val="bottom"/>
            <w:hideMark/>
          </w:tcPr>
          <w:p w:rsidR="006E6D1D" w:rsidRPr="00445460" w:rsidRDefault="006E6D1D" w:rsidP="008D6A91">
            <w:pPr>
              <w:jc w:val="right"/>
              <w:rPr>
                <w:rFonts w:eastAsia="Times New Roman" w:cs="Arial"/>
                <w:color w:val="000000"/>
                <w:szCs w:val="20"/>
                <w:highlight w:val="lightGray"/>
                <w:lang w:eastAsia="pt-BR"/>
              </w:rPr>
            </w:pPr>
            <w:r w:rsidRPr="00445460">
              <w:rPr>
                <w:rFonts w:eastAsia="Times New Roman" w:cs="Arial"/>
                <w:color w:val="000000"/>
                <w:szCs w:val="20"/>
                <w:highlight w:val="lightGray"/>
                <w:lang w:eastAsia="pt-BR"/>
              </w:rPr>
              <w:t xml:space="preserve">             10.601.306,47 </w:t>
            </w:r>
          </w:p>
        </w:tc>
        <w:tc>
          <w:tcPr>
            <w:tcW w:w="1313" w:type="dxa"/>
            <w:tcBorders>
              <w:top w:val="nil"/>
              <w:left w:val="nil"/>
              <w:bottom w:val="nil"/>
              <w:right w:val="nil"/>
            </w:tcBorders>
            <w:shd w:val="clear" w:color="D9D9D9" w:fill="D9D9D9"/>
            <w:vAlign w:val="bottom"/>
            <w:hideMark/>
          </w:tcPr>
          <w:p w:rsidR="006E6D1D" w:rsidRPr="00445460" w:rsidRDefault="006E6D1D" w:rsidP="008D6A91">
            <w:pPr>
              <w:jc w:val="center"/>
              <w:rPr>
                <w:rFonts w:eastAsia="Times New Roman" w:cs="Arial"/>
                <w:color w:val="000000"/>
                <w:szCs w:val="20"/>
                <w:highlight w:val="lightGray"/>
                <w:lang w:eastAsia="pt-BR"/>
              </w:rPr>
            </w:pPr>
            <w:r w:rsidRPr="00445460">
              <w:rPr>
                <w:rFonts w:eastAsia="Times New Roman" w:cs="Arial"/>
                <w:bCs/>
                <w:color w:val="000000"/>
                <w:szCs w:val="20"/>
                <w:highlight w:val="lightGray"/>
                <w:lang w:eastAsia="pt-BR"/>
              </w:rPr>
              <w:t>30.283.134,10</w:t>
            </w:r>
            <w:r w:rsidRPr="00445460">
              <w:rPr>
                <w:rFonts w:eastAsia="Times New Roman" w:cs="Arial"/>
                <w:color w:val="000000"/>
                <w:szCs w:val="20"/>
                <w:highlight w:val="lightGray"/>
                <w:lang w:eastAsia="pt-BR"/>
              </w:rPr>
              <w:t xml:space="preserve">      </w:t>
            </w:r>
          </w:p>
        </w:tc>
        <w:tc>
          <w:tcPr>
            <w:tcW w:w="1305" w:type="dxa"/>
            <w:tcBorders>
              <w:top w:val="nil"/>
              <w:left w:val="nil"/>
              <w:bottom w:val="nil"/>
              <w:right w:val="nil"/>
            </w:tcBorders>
            <w:shd w:val="clear" w:color="D9D9D9" w:fill="D9D9D9"/>
            <w:noWrap/>
            <w:vAlign w:val="bottom"/>
            <w:hideMark/>
          </w:tcPr>
          <w:p w:rsidR="006E6D1D" w:rsidRPr="00445460" w:rsidRDefault="006E6D1D" w:rsidP="008D6A91">
            <w:pPr>
              <w:jc w:val="right"/>
              <w:rPr>
                <w:rFonts w:eastAsia="Times New Roman" w:cs="Arial"/>
                <w:color w:val="000000"/>
                <w:szCs w:val="20"/>
                <w:highlight w:val="lightGray"/>
                <w:lang w:eastAsia="pt-BR"/>
              </w:rPr>
            </w:pPr>
            <w:r>
              <w:rPr>
                <w:rFonts w:eastAsia="Times New Roman" w:cs="Arial"/>
                <w:color w:val="000000"/>
                <w:szCs w:val="20"/>
                <w:highlight w:val="lightGray"/>
                <w:lang w:eastAsia="pt-BR"/>
              </w:rPr>
              <w:t>-64,99%</w:t>
            </w:r>
          </w:p>
        </w:tc>
      </w:tr>
      <w:tr w:rsidR="006E6D1D" w:rsidRPr="004377E8" w:rsidTr="008D6A91">
        <w:trPr>
          <w:trHeight w:val="260"/>
        </w:trPr>
        <w:tc>
          <w:tcPr>
            <w:tcW w:w="1683" w:type="dxa"/>
            <w:tcBorders>
              <w:top w:val="nil"/>
              <w:left w:val="nil"/>
              <w:bottom w:val="single" w:sz="4" w:space="0" w:color="000000"/>
              <w:right w:val="nil"/>
            </w:tcBorders>
            <w:shd w:val="clear" w:color="auto" w:fill="auto"/>
            <w:noWrap/>
            <w:vAlign w:val="bottom"/>
            <w:hideMark/>
          </w:tcPr>
          <w:p w:rsidR="006E6D1D" w:rsidRPr="009D62DC" w:rsidRDefault="006E6D1D" w:rsidP="008D6A91">
            <w:pPr>
              <w:jc w:val="left"/>
              <w:rPr>
                <w:rFonts w:eastAsia="Times New Roman" w:cs="Arial"/>
                <w:b/>
                <w:bCs/>
                <w:color w:val="000000"/>
                <w:szCs w:val="20"/>
                <w:highlight w:val="lightGray"/>
                <w:lang w:eastAsia="pt-BR"/>
              </w:rPr>
            </w:pPr>
            <w:r w:rsidRPr="009D62DC">
              <w:rPr>
                <w:rFonts w:eastAsia="Times New Roman" w:cs="Arial"/>
                <w:b/>
                <w:bCs/>
                <w:color w:val="000000"/>
                <w:szCs w:val="20"/>
                <w:highlight w:val="lightGray"/>
                <w:lang w:eastAsia="pt-BR"/>
              </w:rPr>
              <w:t>Total</w:t>
            </w:r>
          </w:p>
        </w:tc>
        <w:tc>
          <w:tcPr>
            <w:tcW w:w="2806" w:type="dxa"/>
            <w:tcBorders>
              <w:top w:val="nil"/>
              <w:left w:val="nil"/>
              <w:bottom w:val="single" w:sz="4" w:space="0" w:color="000000"/>
              <w:right w:val="nil"/>
            </w:tcBorders>
            <w:shd w:val="clear" w:color="auto" w:fill="auto"/>
            <w:noWrap/>
            <w:vAlign w:val="bottom"/>
            <w:hideMark/>
          </w:tcPr>
          <w:p w:rsidR="006E6D1D" w:rsidRPr="009D62DC" w:rsidRDefault="006E6D1D" w:rsidP="008D6A91">
            <w:pPr>
              <w:jc w:val="left"/>
              <w:rPr>
                <w:rFonts w:eastAsia="Times New Roman" w:cs="Arial"/>
                <w:b/>
                <w:bCs/>
                <w:color w:val="000000"/>
                <w:szCs w:val="20"/>
                <w:highlight w:val="lightGray"/>
                <w:lang w:eastAsia="pt-BR"/>
              </w:rPr>
            </w:pPr>
          </w:p>
        </w:tc>
        <w:tc>
          <w:tcPr>
            <w:tcW w:w="1995" w:type="dxa"/>
            <w:tcBorders>
              <w:top w:val="nil"/>
              <w:left w:val="nil"/>
              <w:bottom w:val="single" w:sz="8" w:space="0" w:color="000000"/>
              <w:right w:val="nil"/>
            </w:tcBorders>
            <w:shd w:val="clear" w:color="auto" w:fill="auto"/>
            <w:noWrap/>
            <w:vAlign w:val="center"/>
            <w:hideMark/>
          </w:tcPr>
          <w:p w:rsidR="006E6D1D" w:rsidRPr="009D62DC" w:rsidRDefault="006E6D1D" w:rsidP="008D6A91">
            <w:pPr>
              <w:jc w:val="right"/>
              <w:rPr>
                <w:rFonts w:eastAsia="Times New Roman" w:cs="Arial"/>
                <w:b/>
                <w:bCs/>
                <w:color w:val="000000"/>
                <w:szCs w:val="20"/>
                <w:highlight w:val="lightGray"/>
                <w:lang w:eastAsia="pt-BR"/>
              </w:rPr>
            </w:pPr>
            <w:r>
              <w:rPr>
                <w:rFonts w:eastAsia="Times New Roman" w:cs="Arial"/>
                <w:b/>
                <w:bCs/>
                <w:color w:val="000000"/>
                <w:szCs w:val="20"/>
                <w:highlight w:val="lightGray"/>
                <w:lang w:eastAsia="pt-BR"/>
              </w:rPr>
              <w:t xml:space="preserve">             10.601.306,47</w:t>
            </w:r>
            <w:r w:rsidRPr="009D62DC">
              <w:rPr>
                <w:rFonts w:eastAsia="Times New Roman" w:cs="Arial"/>
                <w:b/>
                <w:bCs/>
                <w:color w:val="000000"/>
                <w:szCs w:val="20"/>
                <w:highlight w:val="lightGray"/>
                <w:lang w:eastAsia="pt-BR"/>
              </w:rPr>
              <w:t xml:space="preserve"> </w:t>
            </w:r>
          </w:p>
        </w:tc>
        <w:tc>
          <w:tcPr>
            <w:tcW w:w="1313" w:type="dxa"/>
            <w:tcBorders>
              <w:top w:val="nil"/>
              <w:left w:val="nil"/>
              <w:bottom w:val="single" w:sz="8" w:space="0" w:color="000000"/>
              <w:right w:val="nil"/>
            </w:tcBorders>
            <w:shd w:val="clear" w:color="auto" w:fill="auto"/>
            <w:noWrap/>
            <w:vAlign w:val="center"/>
            <w:hideMark/>
          </w:tcPr>
          <w:p w:rsidR="006E6D1D" w:rsidRDefault="006E6D1D" w:rsidP="008D6A91">
            <w:pPr>
              <w:jc w:val="right"/>
              <w:rPr>
                <w:rFonts w:eastAsia="Times New Roman" w:cs="Arial"/>
                <w:b/>
                <w:bCs/>
                <w:color w:val="000000"/>
                <w:szCs w:val="20"/>
                <w:highlight w:val="lightGray"/>
                <w:lang w:eastAsia="pt-BR"/>
              </w:rPr>
            </w:pPr>
          </w:p>
          <w:p w:rsidR="006E6D1D" w:rsidRPr="009D62DC" w:rsidRDefault="006E6D1D" w:rsidP="008D6A91">
            <w:pPr>
              <w:jc w:val="right"/>
              <w:rPr>
                <w:rFonts w:eastAsia="Times New Roman" w:cs="Arial"/>
                <w:b/>
                <w:bCs/>
                <w:color w:val="000000"/>
                <w:szCs w:val="20"/>
                <w:highlight w:val="lightGray"/>
                <w:lang w:eastAsia="pt-BR"/>
              </w:rPr>
            </w:pPr>
            <w:r>
              <w:rPr>
                <w:rFonts w:eastAsia="Times New Roman" w:cs="Arial"/>
                <w:b/>
                <w:bCs/>
                <w:color w:val="000000"/>
                <w:szCs w:val="20"/>
                <w:highlight w:val="lightGray"/>
                <w:lang w:eastAsia="pt-BR"/>
              </w:rPr>
              <w:t>30.283.134,10</w:t>
            </w:r>
          </w:p>
        </w:tc>
        <w:tc>
          <w:tcPr>
            <w:tcW w:w="1305" w:type="dxa"/>
            <w:tcBorders>
              <w:top w:val="nil"/>
              <w:left w:val="nil"/>
              <w:bottom w:val="single" w:sz="4" w:space="0" w:color="000000"/>
              <w:right w:val="nil"/>
            </w:tcBorders>
            <w:shd w:val="clear" w:color="auto" w:fill="auto"/>
            <w:noWrap/>
            <w:vAlign w:val="bottom"/>
            <w:hideMark/>
          </w:tcPr>
          <w:p w:rsidR="006E6D1D" w:rsidRPr="004377E8" w:rsidRDefault="006E6D1D" w:rsidP="008D6A91">
            <w:pPr>
              <w:jc w:val="right"/>
              <w:rPr>
                <w:rFonts w:eastAsia="Times New Roman" w:cs="Arial"/>
                <w:b/>
                <w:bCs/>
                <w:color w:val="000000"/>
                <w:szCs w:val="20"/>
                <w:lang w:eastAsia="pt-BR"/>
              </w:rPr>
            </w:pPr>
            <w:r>
              <w:rPr>
                <w:rFonts w:eastAsia="Times New Roman" w:cs="Arial"/>
                <w:color w:val="000000"/>
                <w:szCs w:val="20"/>
                <w:highlight w:val="lightGray"/>
                <w:lang w:eastAsia="pt-BR"/>
              </w:rPr>
              <w:t>-64,99%</w:t>
            </w:r>
          </w:p>
        </w:tc>
      </w:tr>
    </w:tbl>
    <w:p w:rsidR="006E6D1D" w:rsidRPr="00500772" w:rsidRDefault="006E6D1D" w:rsidP="006E6D1D">
      <w:pPr>
        <w:rPr>
          <w:rFonts w:cs="Arial"/>
          <w:i/>
          <w:szCs w:val="20"/>
        </w:rPr>
      </w:pPr>
      <w:r w:rsidRPr="00500772">
        <w:rPr>
          <w:rFonts w:cs="Arial"/>
          <w:i/>
          <w:szCs w:val="20"/>
        </w:rPr>
        <w:t>Fonte: SIAFI, 2017 e 2016</w:t>
      </w:r>
    </w:p>
    <w:p w:rsidR="00493C33" w:rsidRDefault="00493C33" w:rsidP="00A26F8D">
      <w:pPr>
        <w:rPr>
          <w:rFonts w:cs="Arial"/>
          <w:sz w:val="22"/>
        </w:rPr>
      </w:pPr>
    </w:p>
    <w:p w:rsidR="006E6D1D" w:rsidRPr="004028B5" w:rsidRDefault="006E6D1D" w:rsidP="006E6D1D">
      <w:pPr>
        <w:rPr>
          <w:rFonts w:cs="Arial"/>
          <w:b/>
          <w:sz w:val="22"/>
        </w:rPr>
      </w:pPr>
      <w:r w:rsidRPr="001F3255">
        <w:rPr>
          <w:rFonts w:cs="Arial"/>
          <w:b/>
          <w:sz w:val="22"/>
        </w:rPr>
        <w:t xml:space="preserve">Nota 02 </w:t>
      </w:r>
      <w:r w:rsidRPr="004028B5">
        <w:rPr>
          <w:rFonts w:cs="Arial"/>
          <w:b/>
          <w:sz w:val="22"/>
        </w:rPr>
        <w:t>– Créditos a Receber</w:t>
      </w:r>
    </w:p>
    <w:p w:rsidR="006E6D1D" w:rsidRPr="004028B5" w:rsidRDefault="006E6D1D" w:rsidP="006E6D1D">
      <w:pPr>
        <w:rPr>
          <w:rFonts w:cs="Arial"/>
          <w:b/>
          <w:sz w:val="22"/>
        </w:rPr>
      </w:pPr>
    </w:p>
    <w:p w:rsidR="006E6D1D" w:rsidRPr="004028B5" w:rsidRDefault="006E6D1D" w:rsidP="006E6D1D">
      <w:pPr>
        <w:rPr>
          <w:rFonts w:cs="Arial"/>
          <w:b/>
          <w:sz w:val="22"/>
        </w:rPr>
      </w:pPr>
      <w:r w:rsidRPr="004028B5">
        <w:rPr>
          <w:rFonts w:cs="Arial"/>
          <w:b/>
          <w:sz w:val="22"/>
        </w:rPr>
        <w:t>Créditos a Curto Prazo</w:t>
      </w:r>
    </w:p>
    <w:p w:rsidR="006E6D1D" w:rsidRPr="004028B5" w:rsidRDefault="006E6D1D" w:rsidP="006E6D1D">
      <w:pPr>
        <w:rPr>
          <w:rFonts w:cs="Arial"/>
          <w:b/>
          <w:sz w:val="22"/>
        </w:rPr>
      </w:pPr>
    </w:p>
    <w:p w:rsidR="006E6D1D" w:rsidRPr="005C45E1" w:rsidRDefault="006E6D1D" w:rsidP="006E6D1D">
      <w:pPr>
        <w:rPr>
          <w:rFonts w:cs="Arial"/>
          <w:sz w:val="22"/>
        </w:rPr>
      </w:pPr>
      <w:r w:rsidRPr="005C45E1">
        <w:rPr>
          <w:rFonts w:cs="Arial"/>
          <w:sz w:val="22"/>
        </w:rPr>
        <w:t xml:space="preserve">Não estão </w:t>
      </w:r>
      <w:r>
        <w:rPr>
          <w:rFonts w:cs="Arial"/>
          <w:sz w:val="22"/>
        </w:rPr>
        <w:t>reconhecidos</w:t>
      </w:r>
      <w:r w:rsidRPr="005C45E1">
        <w:rPr>
          <w:rFonts w:cs="Arial"/>
          <w:sz w:val="22"/>
        </w:rPr>
        <w:t xml:space="preserve"> no Balanço Patrimonial os créditos relativos às multas aplicadas aos entes regulados</w:t>
      </w:r>
      <w:r>
        <w:rPr>
          <w:rFonts w:cs="Arial"/>
          <w:sz w:val="22"/>
        </w:rPr>
        <w:t>, entre</w:t>
      </w:r>
      <w:r w:rsidRPr="005C45E1">
        <w:rPr>
          <w:rFonts w:cs="Arial"/>
          <w:sz w:val="22"/>
        </w:rPr>
        <w:t xml:space="preserve"> outros créditos de curto prazo</w:t>
      </w:r>
      <w:r>
        <w:rPr>
          <w:rFonts w:cs="Arial"/>
          <w:sz w:val="22"/>
        </w:rPr>
        <w:t xml:space="preserve"> de acordo com o período da competência</w:t>
      </w:r>
      <w:r w:rsidRPr="005C45E1">
        <w:rPr>
          <w:rFonts w:cs="Arial"/>
          <w:sz w:val="22"/>
        </w:rPr>
        <w:t>. Faz-se necessária uma conciliação e classificação dos créditos de acordo com o fato gerador que os originou</w:t>
      </w:r>
      <w:r>
        <w:rPr>
          <w:rFonts w:cs="Arial"/>
          <w:sz w:val="22"/>
        </w:rPr>
        <w:t xml:space="preserve">, tendo por base o </w:t>
      </w:r>
      <w:r w:rsidRPr="005C45E1">
        <w:rPr>
          <w:rFonts w:cs="Arial"/>
          <w:sz w:val="22"/>
        </w:rPr>
        <w:t>sistema de gestão de créditos</w:t>
      </w:r>
      <w:r>
        <w:rPr>
          <w:rFonts w:cs="Arial"/>
          <w:sz w:val="22"/>
        </w:rPr>
        <w:t xml:space="preserve">, a fim de permitir o reconhecimento de forma fidedigna. </w:t>
      </w:r>
    </w:p>
    <w:p w:rsidR="006E6D1D" w:rsidRPr="004028B5" w:rsidRDefault="006E6D1D" w:rsidP="006E6D1D">
      <w:pPr>
        <w:rPr>
          <w:rFonts w:cs="Arial"/>
          <w:b/>
          <w:sz w:val="22"/>
        </w:rPr>
      </w:pPr>
    </w:p>
    <w:p w:rsidR="006E6D1D" w:rsidRPr="004028B5" w:rsidRDefault="006E6D1D" w:rsidP="006E6D1D">
      <w:pPr>
        <w:rPr>
          <w:rFonts w:cs="Arial"/>
          <w:b/>
          <w:sz w:val="22"/>
        </w:rPr>
      </w:pPr>
      <w:r w:rsidRPr="004028B5">
        <w:rPr>
          <w:rFonts w:cs="Arial"/>
          <w:b/>
          <w:sz w:val="22"/>
        </w:rPr>
        <w:t>Créditos a Longo Prazo</w:t>
      </w:r>
    </w:p>
    <w:p w:rsidR="006E6D1D" w:rsidRPr="004028B5" w:rsidRDefault="006E6D1D" w:rsidP="006E6D1D">
      <w:pPr>
        <w:rPr>
          <w:rFonts w:cs="Arial"/>
          <w:b/>
          <w:sz w:val="22"/>
        </w:rPr>
      </w:pPr>
    </w:p>
    <w:p w:rsidR="006E6D1D" w:rsidRDefault="006E6D1D" w:rsidP="006E6D1D">
      <w:pPr>
        <w:rPr>
          <w:rFonts w:cs="Arial"/>
          <w:sz w:val="22"/>
        </w:rPr>
      </w:pPr>
      <w:r w:rsidRPr="004028B5">
        <w:rPr>
          <w:rFonts w:cs="Arial"/>
          <w:sz w:val="22"/>
        </w:rPr>
        <w:t xml:space="preserve">Este item contempla os Créditos a Receber vencidos e não pagos, com inscrição em Dívida Ativa. Os créditos estão </w:t>
      </w:r>
      <w:r>
        <w:rPr>
          <w:rFonts w:cs="Arial"/>
          <w:sz w:val="22"/>
        </w:rPr>
        <w:t>reconhecidos</w:t>
      </w:r>
      <w:r w:rsidRPr="004028B5">
        <w:rPr>
          <w:rFonts w:cs="Arial"/>
          <w:sz w:val="22"/>
        </w:rPr>
        <w:t xml:space="preserve"> conforme tabela a seguir:</w:t>
      </w:r>
    </w:p>
    <w:p w:rsidR="006E6D1D" w:rsidRDefault="006E6D1D" w:rsidP="006E6D1D">
      <w:pPr>
        <w:rPr>
          <w:rFonts w:cs="Arial"/>
          <w:sz w:val="22"/>
        </w:rPr>
      </w:pPr>
    </w:p>
    <w:p w:rsidR="006E6D1D" w:rsidRPr="00791AED" w:rsidRDefault="006E6D1D" w:rsidP="006E6D1D">
      <w:pPr>
        <w:rPr>
          <w:rFonts w:cs="Arial"/>
          <w:b/>
          <w:sz w:val="22"/>
        </w:rPr>
      </w:pPr>
      <w:r w:rsidRPr="00791AED">
        <w:rPr>
          <w:rFonts w:cs="Arial"/>
          <w:b/>
          <w:sz w:val="22"/>
        </w:rPr>
        <w:t xml:space="preserve">Tabela </w:t>
      </w:r>
      <w:r>
        <w:rPr>
          <w:rFonts w:cs="Arial"/>
          <w:b/>
          <w:sz w:val="22"/>
        </w:rPr>
        <w:t>5</w:t>
      </w:r>
      <w:r w:rsidRPr="00791AED">
        <w:rPr>
          <w:rFonts w:cs="Arial"/>
          <w:b/>
          <w:sz w:val="22"/>
        </w:rPr>
        <w:t xml:space="preserve"> – Créditos a Longo Prazo - Composição</w:t>
      </w:r>
    </w:p>
    <w:p w:rsidR="006E6D1D" w:rsidRDefault="006E6D1D" w:rsidP="006E6D1D">
      <w:pPr>
        <w:jc w:val="center"/>
        <w:rPr>
          <w:rFonts w:cs="Arial"/>
          <w:sz w:val="22"/>
        </w:rPr>
      </w:pPr>
      <w:r>
        <w:rPr>
          <w:rFonts w:cs="Arial"/>
          <w:sz w:val="22"/>
        </w:rPr>
        <w:t xml:space="preserve">                                                                                                                                   R$</w:t>
      </w:r>
    </w:p>
    <w:tbl>
      <w:tblPr>
        <w:tblW w:w="9083" w:type="dxa"/>
        <w:tblCellMar>
          <w:left w:w="70" w:type="dxa"/>
          <w:right w:w="70" w:type="dxa"/>
        </w:tblCellMar>
        <w:tblLook w:val="04A0" w:firstRow="1" w:lastRow="0" w:firstColumn="1" w:lastColumn="0" w:noHBand="0" w:noVBand="1"/>
      </w:tblPr>
      <w:tblGrid>
        <w:gridCol w:w="3908"/>
        <w:gridCol w:w="1725"/>
        <w:gridCol w:w="1725"/>
        <w:gridCol w:w="1725"/>
      </w:tblGrid>
      <w:tr w:rsidR="006E6D1D" w:rsidRPr="00204D59" w:rsidTr="008D6A91">
        <w:trPr>
          <w:trHeight w:val="269"/>
        </w:trPr>
        <w:tc>
          <w:tcPr>
            <w:tcW w:w="3908" w:type="dxa"/>
            <w:tcBorders>
              <w:top w:val="single" w:sz="4" w:space="0" w:color="000000"/>
              <w:left w:val="nil"/>
              <w:bottom w:val="single" w:sz="4" w:space="0" w:color="000000"/>
              <w:right w:val="nil"/>
            </w:tcBorders>
            <w:shd w:val="clear" w:color="auto" w:fill="auto"/>
            <w:noWrap/>
            <w:vAlign w:val="bottom"/>
            <w:hideMark/>
          </w:tcPr>
          <w:p w:rsidR="006E6D1D" w:rsidRPr="00204D59" w:rsidRDefault="006E6D1D" w:rsidP="008D6A91">
            <w:pPr>
              <w:jc w:val="left"/>
              <w:rPr>
                <w:rFonts w:eastAsia="Times New Roman" w:cs="Arial"/>
                <w:b/>
                <w:bCs/>
                <w:color w:val="FFFFFF"/>
                <w:szCs w:val="20"/>
                <w:lang w:eastAsia="pt-BR"/>
              </w:rPr>
            </w:pPr>
            <w:r w:rsidRPr="00204D59">
              <w:rPr>
                <w:rFonts w:eastAsia="Times New Roman" w:cs="Arial"/>
                <w:b/>
                <w:bCs/>
                <w:color w:val="FFFFFF"/>
                <w:szCs w:val="20"/>
                <w:lang w:eastAsia="pt-BR"/>
              </w:rPr>
              <w:t>Colunas1</w:t>
            </w:r>
          </w:p>
        </w:tc>
        <w:tc>
          <w:tcPr>
            <w:tcW w:w="1725" w:type="dxa"/>
            <w:tcBorders>
              <w:top w:val="single" w:sz="4" w:space="0" w:color="000000"/>
              <w:left w:val="nil"/>
              <w:bottom w:val="single" w:sz="4" w:space="0" w:color="000000"/>
              <w:right w:val="nil"/>
            </w:tcBorders>
            <w:shd w:val="clear" w:color="auto" w:fill="auto"/>
            <w:noWrap/>
            <w:vAlign w:val="bottom"/>
            <w:hideMark/>
          </w:tcPr>
          <w:p w:rsidR="006E6D1D" w:rsidRPr="00204D59" w:rsidRDefault="006E6D1D" w:rsidP="008D6A91">
            <w:pPr>
              <w:jc w:val="right"/>
              <w:rPr>
                <w:rFonts w:eastAsia="Times New Roman" w:cs="Arial"/>
                <w:b/>
                <w:bCs/>
                <w:color w:val="000000"/>
                <w:szCs w:val="20"/>
                <w:lang w:eastAsia="pt-BR"/>
              </w:rPr>
            </w:pPr>
            <w:r w:rsidRPr="00204D59">
              <w:rPr>
                <w:rFonts w:eastAsia="Times New Roman" w:cs="Arial"/>
                <w:b/>
                <w:bCs/>
                <w:color w:val="000000"/>
                <w:szCs w:val="20"/>
                <w:lang w:eastAsia="pt-BR"/>
              </w:rPr>
              <w:t>3</w:t>
            </w:r>
            <w:r>
              <w:rPr>
                <w:rFonts w:eastAsia="Times New Roman" w:cs="Arial"/>
                <w:b/>
                <w:bCs/>
                <w:color w:val="000000"/>
                <w:szCs w:val="20"/>
                <w:lang w:eastAsia="pt-BR"/>
              </w:rPr>
              <w:t>1</w:t>
            </w:r>
            <w:r w:rsidRPr="00204D59">
              <w:rPr>
                <w:rFonts w:eastAsia="Times New Roman" w:cs="Arial"/>
                <w:b/>
                <w:bCs/>
                <w:color w:val="000000"/>
                <w:szCs w:val="20"/>
                <w:lang w:eastAsia="pt-BR"/>
              </w:rPr>
              <w:t>/</w:t>
            </w:r>
            <w:r>
              <w:rPr>
                <w:rFonts w:eastAsia="Times New Roman" w:cs="Arial"/>
                <w:b/>
                <w:bCs/>
                <w:color w:val="000000"/>
                <w:szCs w:val="20"/>
                <w:lang w:eastAsia="pt-BR"/>
              </w:rPr>
              <w:t>12</w:t>
            </w:r>
            <w:r w:rsidRPr="00204D59">
              <w:rPr>
                <w:rFonts w:eastAsia="Times New Roman" w:cs="Arial"/>
                <w:b/>
                <w:bCs/>
                <w:color w:val="000000"/>
                <w:szCs w:val="20"/>
                <w:lang w:eastAsia="pt-BR"/>
              </w:rPr>
              <w:t>/2017</w:t>
            </w:r>
          </w:p>
        </w:tc>
        <w:tc>
          <w:tcPr>
            <w:tcW w:w="1725" w:type="dxa"/>
            <w:tcBorders>
              <w:top w:val="single" w:sz="4" w:space="0" w:color="000000"/>
              <w:left w:val="nil"/>
              <w:bottom w:val="single" w:sz="4" w:space="0" w:color="000000"/>
              <w:right w:val="nil"/>
            </w:tcBorders>
            <w:shd w:val="clear" w:color="auto" w:fill="auto"/>
            <w:noWrap/>
            <w:vAlign w:val="bottom"/>
            <w:hideMark/>
          </w:tcPr>
          <w:p w:rsidR="006E6D1D" w:rsidRPr="00204D59" w:rsidRDefault="006E6D1D" w:rsidP="008D6A91">
            <w:pPr>
              <w:jc w:val="right"/>
              <w:rPr>
                <w:rFonts w:eastAsia="Times New Roman" w:cs="Arial"/>
                <w:b/>
                <w:bCs/>
                <w:color w:val="000000"/>
                <w:szCs w:val="20"/>
                <w:lang w:eastAsia="pt-BR"/>
              </w:rPr>
            </w:pPr>
            <w:r w:rsidRPr="00204D59">
              <w:rPr>
                <w:rFonts w:eastAsia="Times New Roman" w:cs="Arial"/>
                <w:b/>
                <w:bCs/>
                <w:color w:val="000000"/>
                <w:szCs w:val="20"/>
                <w:lang w:eastAsia="pt-BR"/>
              </w:rPr>
              <w:t>31/12/2016</w:t>
            </w:r>
          </w:p>
        </w:tc>
        <w:tc>
          <w:tcPr>
            <w:tcW w:w="1725" w:type="dxa"/>
            <w:tcBorders>
              <w:top w:val="single" w:sz="4" w:space="0" w:color="000000"/>
              <w:left w:val="nil"/>
              <w:bottom w:val="single" w:sz="4" w:space="0" w:color="000000"/>
              <w:right w:val="nil"/>
            </w:tcBorders>
            <w:shd w:val="clear" w:color="auto" w:fill="auto"/>
            <w:noWrap/>
            <w:vAlign w:val="bottom"/>
            <w:hideMark/>
          </w:tcPr>
          <w:p w:rsidR="006E6D1D" w:rsidRPr="00204D59" w:rsidRDefault="006E6D1D" w:rsidP="008D6A91">
            <w:pPr>
              <w:jc w:val="right"/>
              <w:rPr>
                <w:rFonts w:eastAsia="Times New Roman" w:cs="Arial"/>
                <w:b/>
                <w:bCs/>
                <w:color w:val="000000"/>
                <w:szCs w:val="20"/>
                <w:lang w:eastAsia="pt-BR"/>
              </w:rPr>
            </w:pPr>
            <w:r w:rsidRPr="00204D59">
              <w:rPr>
                <w:rFonts w:eastAsia="Times New Roman" w:cs="Arial"/>
                <w:b/>
                <w:bCs/>
                <w:color w:val="000000"/>
                <w:szCs w:val="20"/>
                <w:lang w:eastAsia="pt-BR"/>
              </w:rPr>
              <w:t>AH (%)</w:t>
            </w:r>
          </w:p>
        </w:tc>
      </w:tr>
      <w:tr w:rsidR="006E6D1D" w:rsidRPr="00204D59" w:rsidTr="008D6A91">
        <w:trPr>
          <w:trHeight w:val="269"/>
        </w:trPr>
        <w:tc>
          <w:tcPr>
            <w:tcW w:w="3908" w:type="dxa"/>
            <w:tcBorders>
              <w:top w:val="nil"/>
              <w:left w:val="nil"/>
              <w:bottom w:val="nil"/>
              <w:right w:val="nil"/>
            </w:tcBorders>
            <w:shd w:val="clear" w:color="D9D9D9" w:fill="D9D9D9"/>
            <w:vAlign w:val="bottom"/>
            <w:hideMark/>
          </w:tcPr>
          <w:p w:rsidR="006E6D1D" w:rsidRPr="00204D59" w:rsidRDefault="006E6D1D" w:rsidP="008D6A91">
            <w:pPr>
              <w:jc w:val="left"/>
              <w:rPr>
                <w:rFonts w:eastAsia="Times New Roman" w:cs="Arial"/>
                <w:color w:val="000000"/>
                <w:szCs w:val="20"/>
                <w:lang w:eastAsia="pt-BR"/>
              </w:rPr>
            </w:pPr>
            <w:r w:rsidRPr="00204D59">
              <w:rPr>
                <w:rFonts w:eastAsia="Times New Roman" w:cs="Arial"/>
                <w:color w:val="000000"/>
                <w:szCs w:val="20"/>
                <w:lang w:eastAsia="pt-BR"/>
              </w:rPr>
              <w:t>Dívida Ativa Não Tributária</w:t>
            </w:r>
          </w:p>
        </w:tc>
        <w:tc>
          <w:tcPr>
            <w:tcW w:w="1725" w:type="dxa"/>
            <w:tcBorders>
              <w:top w:val="nil"/>
              <w:left w:val="nil"/>
              <w:bottom w:val="nil"/>
              <w:right w:val="nil"/>
            </w:tcBorders>
            <w:shd w:val="clear" w:color="D9D9D9" w:fill="D9D9D9"/>
            <w:noWrap/>
            <w:vAlign w:val="bottom"/>
            <w:hideMark/>
          </w:tcPr>
          <w:p w:rsidR="006E6D1D" w:rsidRPr="00204D59" w:rsidRDefault="006E6D1D" w:rsidP="008D6A91">
            <w:pPr>
              <w:jc w:val="right"/>
              <w:rPr>
                <w:rFonts w:eastAsia="Times New Roman" w:cs="Arial"/>
                <w:color w:val="000000"/>
                <w:szCs w:val="20"/>
                <w:lang w:eastAsia="pt-BR"/>
              </w:rPr>
            </w:pPr>
            <w:r>
              <w:rPr>
                <w:rFonts w:eastAsia="Times New Roman" w:cs="Arial"/>
                <w:color w:val="000000"/>
                <w:szCs w:val="20"/>
                <w:lang w:eastAsia="pt-BR"/>
              </w:rPr>
              <w:t>1.530.315.781,32</w:t>
            </w:r>
          </w:p>
        </w:tc>
        <w:tc>
          <w:tcPr>
            <w:tcW w:w="1725" w:type="dxa"/>
            <w:tcBorders>
              <w:top w:val="nil"/>
              <w:left w:val="nil"/>
              <w:bottom w:val="nil"/>
              <w:right w:val="nil"/>
            </w:tcBorders>
            <w:shd w:val="clear" w:color="D9D9D9" w:fill="D9D9D9"/>
            <w:noWrap/>
            <w:vAlign w:val="bottom"/>
            <w:hideMark/>
          </w:tcPr>
          <w:p w:rsidR="006E6D1D" w:rsidRPr="00204D59" w:rsidRDefault="006E6D1D" w:rsidP="008D6A91">
            <w:pPr>
              <w:jc w:val="right"/>
              <w:rPr>
                <w:rFonts w:eastAsia="Times New Roman" w:cs="Arial"/>
                <w:color w:val="000000"/>
                <w:szCs w:val="20"/>
                <w:lang w:eastAsia="pt-BR"/>
              </w:rPr>
            </w:pPr>
            <w:r w:rsidRPr="00D11836">
              <w:rPr>
                <w:rFonts w:eastAsia="Times New Roman" w:cs="Arial"/>
                <w:color w:val="000000"/>
                <w:szCs w:val="20"/>
                <w:lang w:eastAsia="pt-BR"/>
              </w:rPr>
              <w:t>1</w:t>
            </w:r>
            <w:r>
              <w:rPr>
                <w:rFonts w:eastAsia="Times New Roman" w:cs="Arial"/>
                <w:color w:val="000000"/>
                <w:szCs w:val="20"/>
                <w:lang w:eastAsia="pt-BR"/>
              </w:rPr>
              <w:t>.</w:t>
            </w:r>
            <w:r w:rsidRPr="00D11836">
              <w:rPr>
                <w:rFonts w:eastAsia="Times New Roman" w:cs="Arial"/>
                <w:color w:val="000000"/>
                <w:szCs w:val="20"/>
                <w:lang w:eastAsia="pt-BR"/>
              </w:rPr>
              <w:t>418</w:t>
            </w:r>
            <w:r>
              <w:rPr>
                <w:rFonts w:eastAsia="Times New Roman" w:cs="Arial"/>
                <w:color w:val="000000"/>
                <w:szCs w:val="20"/>
                <w:lang w:eastAsia="pt-BR"/>
              </w:rPr>
              <w:t>.</w:t>
            </w:r>
            <w:r w:rsidRPr="00D11836">
              <w:rPr>
                <w:rFonts w:eastAsia="Times New Roman" w:cs="Arial"/>
                <w:color w:val="000000"/>
                <w:szCs w:val="20"/>
                <w:lang w:eastAsia="pt-BR"/>
              </w:rPr>
              <w:t>850</w:t>
            </w:r>
            <w:r>
              <w:rPr>
                <w:rFonts w:eastAsia="Times New Roman" w:cs="Arial"/>
                <w:color w:val="000000"/>
                <w:szCs w:val="20"/>
                <w:lang w:eastAsia="pt-BR"/>
              </w:rPr>
              <w:t>.</w:t>
            </w:r>
            <w:r w:rsidRPr="00D11836">
              <w:rPr>
                <w:rFonts w:eastAsia="Times New Roman" w:cs="Arial"/>
                <w:color w:val="000000"/>
                <w:szCs w:val="20"/>
                <w:lang w:eastAsia="pt-BR"/>
              </w:rPr>
              <w:t>699,05</w:t>
            </w:r>
          </w:p>
        </w:tc>
        <w:tc>
          <w:tcPr>
            <w:tcW w:w="1725" w:type="dxa"/>
            <w:tcBorders>
              <w:top w:val="nil"/>
              <w:left w:val="nil"/>
              <w:bottom w:val="nil"/>
              <w:right w:val="nil"/>
            </w:tcBorders>
            <w:shd w:val="clear" w:color="D9D9D9" w:fill="D9D9D9"/>
            <w:noWrap/>
            <w:vAlign w:val="bottom"/>
            <w:hideMark/>
          </w:tcPr>
          <w:p w:rsidR="006E6D1D" w:rsidRPr="00204D59" w:rsidRDefault="006E6D1D" w:rsidP="008D6A91">
            <w:pPr>
              <w:jc w:val="right"/>
              <w:rPr>
                <w:rFonts w:eastAsia="Times New Roman" w:cs="Arial"/>
                <w:color w:val="000000"/>
                <w:szCs w:val="20"/>
                <w:lang w:eastAsia="pt-BR"/>
              </w:rPr>
            </w:pPr>
            <w:r>
              <w:rPr>
                <w:rFonts w:eastAsia="Times New Roman" w:cs="Arial"/>
                <w:color w:val="000000"/>
                <w:szCs w:val="20"/>
                <w:lang w:eastAsia="pt-BR"/>
              </w:rPr>
              <w:t>7</w:t>
            </w:r>
            <w:r w:rsidRPr="00204D59">
              <w:rPr>
                <w:rFonts w:eastAsia="Times New Roman" w:cs="Arial"/>
                <w:color w:val="000000"/>
                <w:szCs w:val="20"/>
                <w:lang w:eastAsia="pt-BR"/>
              </w:rPr>
              <w:t>,</w:t>
            </w:r>
            <w:r>
              <w:rPr>
                <w:rFonts w:eastAsia="Times New Roman" w:cs="Arial"/>
                <w:color w:val="000000"/>
                <w:szCs w:val="20"/>
                <w:lang w:eastAsia="pt-BR"/>
              </w:rPr>
              <w:t>86</w:t>
            </w:r>
            <w:r w:rsidRPr="00204D59">
              <w:rPr>
                <w:rFonts w:eastAsia="Times New Roman" w:cs="Arial"/>
                <w:color w:val="000000"/>
                <w:szCs w:val="20"/>
                <w:lang w:eastAsia="pt-BR"/>
              </w:rPr>
              <w:t>%</w:t>
            </w:r>
          </w:p>
        </w:tc>
      </w:tr>
      <w:tr w:rsidR="006E6D1D" w:rsidRPr="00204D59" w:rsidTr="008D6A91">
        <w:trPr>
          <w:trHeight w:val="539"/>
        </w:trPr>
        <w:tc>
          <w:tcPr>
            <w:tcW w:w="3908" w:type="dxa"/>
            <w:tcBorders>
              <w:top w:val="nil"/>
              <w:left w:val="nil"/>
              <w:bottom w:val="nil"/>
              <w:right w:val="nil"/>
            </w:tcBorders>
            <w:shd w:val="clear" w:color="auto" w:fill="auto"/>
            <w:vAlign w:val="bottom"/>
            <w:hideMark/>
          </w:tcPr>
          <w:p w:rsidR="006E6D1D" w:rsidRPr="00204D59" w:rsidRDefault="006E6D1D" w:rsidP="008D6A91">
            <w:pPr>
              <w:jc w:val="left"/>
              <w:rPr>
                <w:rFonts w:eastAsia="Times New Roman" w:cs="Arial"/>
                <w:color w:val="000000"/>
                <w:szCs w:val="20"/>
                <w:lang w:eastAsia="pt-BR"/>
              </w:rPr>
            </w:pPr>
            <w:r w:rsidRPr="00204D59">
              <w:rPr>
                <w:rFonts w:eastAsia="Times New Roman" w:cs="Arial"/>
                <w:color w:val="000000"/>
                <w:szCs w:val="20"/>
                <w:lang w:eastAsia="pt-BR"/>
              </w:rPr>
              <w:t>Ajuste de Perdas de Dívida Ativa Não Tributária</w:t>
            </w:r>
          </w:p>
        </w:tc>
        <w:tc>
          <w:tcPr>
            <w:tcW w:w="1725" w:type="dxa"/>
            <w:tcBorders>
              <w:top w:val="nil"/>
              <w:left w:val="nil"/>
              <w:bottom w:val="nil"/>
              <w:right w:val="nil"/>
            </w:tcBorders>
            <w:shd w:val="clear" w:color="auto" w:fill="auto"/>
            <w:noWrap/>
            <w:vAlign w:val="bottom"/>
            <w:hideMark/>
          </w:tcPr>
          <w:p w:rsidR="006E6D1D" w:rsidRPr="00204D59"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r w:rsidRPr="00204D59">
              <w:rPr>
                <w:rFonts w:eastAsia="Times New Roman" w:cs="Arial"/>
                <w:color w:val="000000"/>
                <w:szCs w:val="20"/>
                <w:lang w:eastAsia="pt-BR"/>
              </w:rPr>
              <w:t>)</w:t>
            </w:r>
          </w:p>
        </w:tc>
        <w:tc>
          <w:tcPr>
            <w:tcW w:w="1725" w:type="dxa"/>
            <w:tcBorders>
              <w:top w:val="nil"/>
              <w:left w:val="nil"/>
              <w:bottom w:val="nil"/>
              <w:right w:val="nil"/>
            </w:tcBorders>
            <w:shd w:val="clear" w:color="auto" w:fill="auto"/>
            <w:noWrap/>
            <w:vAlign w:val="bottom"/>
            <w:hideMark/>
          </w:tcPr>
          <w:p w:rsidR="006E6D1D" w:rsidRPr="00204D59" w:rsidRDefault="006E6D1D" w:rsidP="008D6A91">
            <w:pPr>
              <w:jc w:val="right"/>
              <w:rPr>
                <w:rFonts w:eastAsia="Times New Roman" w:cs="Arial"/>
                <w:color w:val="000000"/>
                <w:szCs w:val="20"/>
                <w:lang w:eastAsia="pt-BR"/>
              </w:rPr>
            </w:pPr>
            <w:r w:rsidRPr="00204D59">
              <w:rPr>
                <w:rFonts w:eastAsia="Times New Roman" w:cs="Arial"/>
                <w:color w:val="000000"/>
                <w:szCs w:val="20"/>
                <w:lang w:eastAsia="pt-BR"/>
              </w:rPr>
              <w:t>(</w:t>
            </w:r>
            <w:r>
              <w:rPr>
                <w:rFonts w:eastAsia="Times New Roman" w:cs="Arial"/>
                <w:color w:val="000000"/>
                <w:szCs w:val="20"/>
                <w:lang w:eastAsia="pt-BR"/>
              </w:rPr>
              <w:t>0,00</w:t>
            </w:r>
            <w:r w:rsidRPr="00204D59">
              <w:rPr>
                <w:rFonts w:eastAsia="Times New Roman" w:cs="Arial"/>
                <w:color w:val="000000"/>
                <w:szCs w:val="20"/>
                <w:lang w:eastAsia="pt-BR"/>
              </w:rPr>
              <w:t>)</w:t>
            </w:r>
          </w:p>
        </w:tc>
        <w:tc>
          <w:tcPr>
            <w:tcW w:w="1725" w:type="dxa"/>
            <w:tcBorders>
              <w:top w:val="nil"/>
              <w:left w:val="nil"/>
              <w:bottom w:val="nil"/>
              <w:right w:val="nil"/>
            </w:tcBorders>
            <w:shd w:val="clear" w:color="auto" w:fill="auto"/>
            <w:noWrap/>
            <w:vAlign w:val="bottom"/>
            <w:hideMark/>
          </w:tcPr>
          <w:p w:rsidR="006E6D1D" w:rsidRPr="00204D59" w:rsidRDefault="006E6D1D" w:rsidP="008D6A91">
            <w:pPr>
              <w:jc w:val="right"/>
              <w:rPr>
                <w:rFonts w:eastAsia="Times New Roman" w:cs="Arial"/>
                <w:color w:val="000000"/>
                <w:szCs w:val="20"/>
                <w:lang w:eastAsia="pt-BR"/>
              </w:rPr>
            </w:pPr>
            <w:r w:rsidRPr="00204D59">
              <w:rPr>
                <w:rFonts w:eastAsia="Times New Roman" w:cs="Arial"/>
                <w:color w:val="000000"/>
                <w:szCs w:val="20"/>
                <w:lang w:eastAsia="pt-BR"/>
              </w:rPr>
              <w:t>0,00%</w:t>
            </w:r>
          </w:p>
        </w:tc>
      </w:tr>
      <w:tr w:rsidR="006E6D1D" w:rsidRPr="00204D59" w:rsidTr="008D6A91">
        <w:trPr>
          <w:trHeight w:val="269"/>
        </w:trPr>
        <w:tc>
          <w:tcPr>
            <w:tcW w:w="3908" w:type="dxa"/>
            <w:tcBorders>
              <w:top w:val="nil"/>
              <w:left w:val="nil"/>
              <w:bottom w:val="single" w:sz="4" w:space="0" w:color="000000"/>
              <w:right w:val="nil"/>
            </w:tcBorders>
            <w:shd w:val="clear" w:color="D9D9D9" w:fill="D9D9D9"/>
            <w:noWrap/>
            <w:vAlign w:val="bottom"/>
            <w:hideMark/>
          </w:tcPr>
          <w:p w:rsidR="006E6D1D" w:rsidRPr="00204D59" w:rsidRDefault="006E6D1D" w:rsidP="008D6A91">
            <w:pPr>
              <w:jc w:val="left"/>
              <w:rPr>
                <w:rFonts w:eastAsia="Times New Roman" w:cs="Arial"/>
                <w:b/>
                <w:bCs/>
                <w:color w:val="000000"/>
                <w:szCs w:val="20"/>
                <w:lang w:eastAsia="pt-BR"/>
              </w:rPr>
            </w:pPr>
            <w:r w:rsidRPr="00204D59">
              <w:rPr>
                <w:rFonts w:eastAsia="Times New Roman" w:cs="Arial"/>
                <w:b/>
                <w:bCs/>
                <w:color w:val="000000"/>
                <w:szCs w:val="20"/>
                <w:lang w:eastAsia="pt-BR"/>
              </w:rPr>
              <w:t>Total</w:t>
            </w:r>
          </w:p>
        </w:tc>
        <w:tc>
          <w:tcPr>
            <w:tcW w:w="1725" w:type="dxa"/>
            <w:tcBorders>
              <w:top w:val="nil"/>
              <w:left w:val="nil"/>
              <w:bottom w:val="single" w:sz="4" w:space="0" w:color="000000"/>
              <w:right w:val="nil"/>
            </w:tcBorders>
            <w:shd w:val="clear" w:color="D9D9D9" w:fill="D9D9D9"/>
            <w:noWrap/>
            <w:vAlign w:val="bottom"/>
            <w:hideMark/>
          </w:tcPr>
          <w:p w:rsidR="006E6D1D" w:rsidRPr="00D11836" w:rsidRDefault="006E6D1D" w:rsidP="008D6A91">
            <w:pPr>
              <w:jc w:val="right"/>
              <w:rPr>
                <w:rFonts w:eastAsia="Times New Roman" w:cs="Arial"/>
                <w:b/>
                <w:bCs/>
                <w:color w:val="000000"/>
                <w:szCs w:val="20"/>
                <w:lang w:eastAsia="pt-BR"/>
              </w:rPr>
            </w:pPr>
            <w:r w:rsidRPr="00D11836">
              <w:rPr>
                <w:rFonts w:eastAsia="Times New Roman" w:cs="Arial"/>
                <w:b/>
                <w:color w:val="000000"/>
                <w:szCs w:val="20"/>
                <w:lang w:eastAsia="pt-BR"/>
              </w:rPr>
              <w:t>1.530.315.781,32</w:t>
            </w:r>
          </w:p>
        </w:tc>
        <w:tc>
          <w:tcPr>
            <w:tcW w:w="1725" w:type="dxa"/>
            <w:tcBorders>
              <w:top w:val="nil"/>
              <w:left w:val="nil"/>
              <w:bottom w:val="single" w:sz="4" w:space="0" w:color="000000"/>
              <w:right w:val="nil"/>
            </w:tcBorders>
            <w:shd w:val="clear" w:color="D9D9D9" w:fill="D9D9D9"/>
            <w:noWrap/>
            <w:vAlign w:val="bottom"/>
            <w:hideMark/>
          </w:tcPr>
          <w:p w:rsidR="006E6D1D" w:rsidRPr="00204D59" w:rsidRDefault="006E6D1D" w:rsidP="008D6A91">
            <w:pPr>
              <w:jc w:val="right"/>
              <w:rPr>
                <w:rFonts w:eastAsia="Times New Roman" w:cs="Arial"/>
                <w:b/>
                <w:bCs/>
                <w:color w:val="000000"/>
                <w:szCs w:val="20"/>
                <w:lang w:eastAsia="pt-BR"/>
              </w:rPr>
            </w:pPr>
            <w:r w:rsidRPr="00D11836">
              <w:rPr>
                <w:rFonts w:eastAsia="Times New Roman" w:cs="Arial"/>
                <w:color w:val="000000"/>
                <w:szCs w:val="20"/>
                <w:lang w:eastAsia="pt-BR"/>
              </w:rPr>
              <w:t>1</w:t>
            </w:r>
            <w:r>
              <w:rPr>
                <w:rFonts w:eastAsia="Times New Roman" w:cs="Arial"/>
                <w:color w:val="000000"/>
                <w:szCs w:val="20"/>
                <w:lang w:eastAsia="pt-BR"/>
              </w:rPr>
              <w:t>.</w:t>
            </w:r>
            <w:r w:rsidRPr="00D11836">
              <w:rPr>
                <w:rFonts w:eastAsia="Times New Roman" w:cs="Arial"/>
                <w:color w:val="000000"/>
                <w:szCs w:val="20"/>
                <w:lang w:eastAsia="pt-BR"/>
              </w:rPr>
              <w:t>418</w:t>
            </w:r>
            <w:r>
              <w:rPr>
                <w:rFonts w:eastAsia="Times New Roman" w:cs="Arial"/>
                <w:color w:val="000000"/>
                <w:szCs w:val="20"/>
                <w:lang w:eastAsia="pt-BR"/>
              </w:rPr>
              <w:t>.</w:t>
            </w:r>
            <w:r w:rsidRPr="00D11836">
              <w:rPr>
                <w:rFonts w:eastAsia="Times New Roman" w:cs="Arial"/>
                <w:color w:val="000000"/>
                <w:szCs w:val="20"/>
                <w:lang w:eastAsia="pt-BR"/>
              </w:rPr>
              <w:t>850</w:t>
            </w:r>
            <w:r>
              <w:rPr>
                <w:rFonts w:eastAsia="Times New Roman" w:cs="Arial"/>
                <w:color w:val="000000"/>
                <w:szCs w:val="20"/>
                <w:lang w:eastAsia="pt-BR"/>
              </w:rPr>
              <w:t>.</w:t>
            </w:r>
            <w:r w:rsidRPr="00D11836">
              <w:rPr>
                <w:rFonts w:eastAsia="Times New Roman" w:cs="Arial"/>
                <w:color w:val="000000"/>
                <w:szCs w:val="20"/>
                <w:lang w:eastAsia="pt-BR"/>
              </w:rPr>
              <w:t>699,05</w:t>
            </w:r>
          </w:p>
        </w:tc>
        <w:tc>
          <w:tcPr>
            <w:tcW w:w="1725" w:type="dxa"/>
            <w:tcBorders>
              <w:top w:val="nil"/>
              <w:left w:val="nil"/>
              <w:bottom w:val="single" w:sz="4" w:space="0" w:color="000000"/>
              <w:right w:val="nil"/>
            </w:tcBorders>
            <w:shd w:val="clear" w:color="D9D9D9" w:fill="D9D9D9"/>
            <w:noWrap/>
            <w:vAlign w:val="bottom"/>
            <w:hideMark/>
          </w:tcPr>
          <w:p w:rsidR="006E6D1D" w:rsidRPr="00204D59"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7,86</w:t>
            </w:r>
            <w:r w:rsidRPr="00204D59">
              <w:rPr>
                <w:rFonts w:eastAsia="Times New Roman" w:cs="Arial"/>
                <w:b/>
                <w:bCs/>
                <w:color w:val="000000"/>
                <w:szCs w:val="20"/>
                <w:lang w:eastAsia="pt-BR"/>
              </w:rPr>
              <w:t>%</w:t>
            </w:r>
          </w:p>
        </w:tc>
      </w:tr>
    </w:tbl>
    <w:p w:rsidR="006E6D1D" w:rsidRPr="00204D59" w:rsidRDefault="006E6D1D" w:rsidP="006E6D1D">
      <w:pPr>
        <w:rPr>
          <w:rFonts w:cs="Arial"/>
          <w:i/>
          <w:szCs w:val="20"/>
        </w:rPr>
      </w:pPr>
      <w:r w:rsidRPr="00204D59">
        <w:rPr>
          <w:rFonts w:cs="Arial"/>
          <w:i/>
          <w:szCs w:val="20"/>
        </w:rPr>
        <w:t>Fonte: SIAFI, 2017</w:t>
      </w:r>
    </w:p>
    <w:p w:rsidR="006E6D1D" w:rsidRPr="004028B5" w:rsidRDefault="006E6D1D" w:rsidP="006E6D1D">
      <w:pPr>
        <w:rPr>
          <w:rFonts w:cs="Arial"/>
          <w:sz w:val="22"/>
        </w:rPr>
      </w:pPr>
    </w:p>
    <w:p w:rsidR="006E6D1D" w:rsidRPr="004028B5" w:rsidRDefault="006E6D1D" w:rsidP="006E6D1D">
      <w:pPr>
        <w:rPr>
          <w:rFonts w:cs="Arial"/>
          <w:sz w:val="22"/>
        </w:rPr>
      </w:pPr>
      <w:r w:rsidRPr="00B4789D">
        <w:rPr>
          <w:rFonts w:cs="Arial"/>
          <w:sz w:val="22"/>
        </w:rPr>
        <w:t xml:space="preserve">Em 31/12/2017, a ANP possuía um saldo superior a R$ 1,5 bilhões de créditos a receber. Os créditos a receber são gerenciados internamente por meio de uma ferramenta denominada Sistema </w:t>
      </w:r>
      <w:r>
        <w:rPr>
          <w:rFonts w:cs="Arial"/>
          <w:sz w:val="22"/>
        </w:rPr>
        <w:t xml:space="preserve">de Comunicação de Multas </w:t>
      </w:r>
      <w:r w:rsidRPr="00B4789D">
        <w:rPr>
          <w:rFonts w:cs="Arial"/>
          <w:sz w:val="22"/>
        </w:rPr>
        <w:t>SICOM e GPC – Gestão e Parcelamento de Créditos.</w:t>
      </w:r>
    </w:p>
    <w:p w:rsidR="006E6D1D" w:rsidRPr="004028B5" w:rsidRDefault="006E6D1D" w:rsidP="006E6D1D">
      <w:pPr>
        <w:rPr>
          <w:rFonts w:cs="Arial"/>
          <w:sz w:val="22"/>
        </w:rPr>
      </w:pPr>
    </w:p>
    <w:p w:rsidR="006E6D1D" w:rsidRPr="004028B5" w:rsidRDefault="006E6D1D" w:rsidP="006E6D1D">
      <w:pPr>
        <w:rPr>
          <w:rFonts w:eastAsia="Times New Roman" w:cs="Arial"/>
          <w:sz w:val="22"/>
        </w:rPr>
      </w:pPr>
      <w:r w:rsidRPr="004028B5">
        <w:rPr>
          <w:rFonts w:cs="Arial"/>
          <w:sz w:val="22"/>
        </w:rPr>
        <w:t xml:space="preserve">Conforme Portaria N. 954/2009/AGU, </w:t>
      </w:r>
      <w:r>
        <w:rPr>
          <w:rFonts w:cs="Arial"/>
          <w:sz w:val="22"/>
        </w:rPr>
        <w:t>compete aos Serviços ou Seções de Cobrança e Recuperação de Créditos das</w:t>
      </w:r>
      <w:r w:rsidRPr="004028B5">
        <w:rPr>
          <w:rFonts w:eastAsia="Times New Roman" w:cs="Arial"/>
          <w:sz w:val="22"/>
        </w:rPr>
        <w:t xml:space="preserve"> Procuradorias Regionais Federais, Procuradorias Federais nos Estados, Procuradorias Seccionais Federais e Escritórios de Representação</w:t>
      </w:r>
      <w:r>
        <w:rPr>
          <w:rFonts w:eastAsia="Times New Roman" w:cs="Arial"/>
          <w:sz w:val="22"/>
        </w:rPr>
        <w:t xml:space="preserve"> processarem os pedidos de parcelamento de créditos inscritos em dívida ativa das autarquias e fundações públicas federais</w:t>
      </w:r>
      <w:r w:rsidRPr="004028B5">
        <w:rPr>
          <w:rFonts w:eastAsia="Times New Roman" w:cs="Arial"/>
          <w:sz w:val="22"/>
        </w:rPr>
        <w:t>. Segundo este normativo, ao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rsidR="006E6D1D" w:rsidRPr="004028B5" w:rsidRDefault="006E6D1D" w:rsidP="006E6D1D">
      <w:pPr>
        <w:rPr>
          <w:rFonts w:eastAsia="Times New Roman" w:cs="Arial"/>
          <w:sz w:val="22"/>
        </w:rPr>
      </w:pPr>
    </w:p>
    <w:p w:rsidR="006E6D1D" w:rsidRDefault="006E6D1D">
      <w:pPr>
        <w:spacing w:after="160" w:line="259" w:lineRule="auto"/>
        <w:jc w:val="left"/>
        <w:rPr>
          <w:rFonts w:cs="Arial"/>
          <w:b/>
          <w:sz w:val="22"/>
        </w:rPr>
      </w:pPr>
      <w:r>
        <w:rPr>
          <w:rFonts w:cs="Arial"/>
          <w:b/>
          <w:sz w:val="22"/>
        </w:rPr>
        <w:br w:type="page"/>
      </w:r>
    </w:p>
    <w:p w:rsidR="006E6D1D" w:rsidRPr="0037110A" w:rsidRDefault="006E6D1D" w:rsidP="006E6D1D">
      <w:pPr>
        <w:rPr>
          <w:rFonts w:cs="Arial"/>
          <w:b/>
          <w:sz w:val="22"/>
        </w:rPr>
      </w:pPr>
      <w:r w:rsidRPr="0037110A">
        <w:rPr>
          <w:rFonts w:cs="Arial"/>
          <w:b/>
          <w:sz w:val="22"/>
        </w:rPr>
        <w:lastRenderedPageBreak/>
        <w:t>Nota 03 – Imobilizado</w:t>
      </w:r>
    </w:p>
    <w:p w:rsidR="006E6D1D" w:rsidRPr="0037110A" w:rsidRDefault="006E6D1D" w:rsidP="006E6D1D">
      <w:pPr>
        <w:rPr>
          <w:rFonts w:cs="Arial"/>
          <w:sz w:val="22"/>
        </w:rPr>
      </w:pPr>
    </w:p>
    <w:p w:rsidR="006E6D1D" w:rsidRPr="0037110A" w:rsidRDefault="006E6D1D" w:rsidP="006E6D1D">
      <w:pPr>
        <w:rPr>
          <w:rFonts w:cs="Arial"/>
          <w:sz w:val="22"/>
        </w:rPr>
      </w:pPr>
      <w:r w:rsidRPr="0037110A">
        <w:rPr>
          <w:rFonts w:cs="Arial"/>
          <w:sz w:val="22"/>
        </w:rPr>
        <w:t xml:space="preserve">O </w:t>
      </w:r>
      <w:r>
        <w:rPr>
          <w:rFonts w:cs="Arial"/>
          <w:sz w:val="22"/>
        </w:rPr>
        <w:t>I</w:t>
      </w:r>
      <w:r w:rsidRPr="0037110A">
        <w:rPr>
          <w:rFonts w:cs="Arial"/>
          <w:sz w:val="22"/>
        </w:rPr>
        <w:t>mobilizado da AN</w:t>
      </w:r>
      <w:r>
        <w:rPr>
          <w:rFonts w:cs="Arial"/>
          <w:sz w:val="22"/>
        </w:rPr>
        <w:t>P</w:t>
      </w:r>
      <w:r w:rsidRPr="0037110A">
        <w:rPr>
          <w:rFonts w:cs="Arial"/>
          <w:sz w:val="22"/>
        </w:rPr>
        <w:t xml:space="preserve"> é segregado em dois grupos: (i) bens móveis; e (</w:t>
      </w:r>
      <w:proofErr w:type="spellStart"/>
      <w:r w:rsidRPr="0037110A">
        <w:rPr>
          <w:rFonts w:cs="Arial"/>
          <w:sz w:val="22"/>
        </w:rPr>
        <w:t>ii</w:t>
      </w:r>
      <w:proofErr w:type="spellEnd"/>
      <w:r w:rsidRPr="0037110A">
        <w:rPr>
          <w:rFonts w:cs="Arial"/>
          <w:sz w:val="22"/>
        </w:rPr>
        <w:t>) bens imóveis. Na tabela a seguir, é apresentada a composição do item imobilizado:</w:t>
      </w:r>
    </w:p>
    <w:p w:rsidR="006E6D1D" w:rsidRPr="0037110A" w:rsidRDefault="006E6D1D" w:rsidP="006E6D1D">
      <w:pPr>
        <w:rPr>
          <w:rFonts w:cs="Arial"/>
          <w:sz w:val="22"/>
        </w:rPr>
      </w:pPr>
    </w:p>
    <w:p w:rsidR="006E6D1D" w:rsidRPr="0037110A" w:rsidRDefault="006E6D1D" w:rsidP="006E6D1D">
      <w:pPr>
        <w:rPr>
          <w:rFonts w:cs="Arial"/>
          <w:b/>
          <w:sz w:val="22"/>
        </w:rPr>
      </w:pPr>
      <w:r w:rsidRPr="0037110A">
        <w:rPr>
          <w:rFonts w:cs="Arial"/>
          <w:b/>
          <w:sz w:val="22"/>
        </w:rPr>
        <w:t>Tabela</w:t>
      </w:r>
      <w:r>
        <w:rPr>
          <w:rFonts w:cs="Arial"/>
          <w:b/>
          <w:sz w:val="22"/>
        </w:rPr>
        <w:t xml:space="preserve"> 1</w:t>
      </w:r>
      <w:r w:rsidRPr="0037110A">
        <w:rPr>
          <w:rFonts w:cs="Arial"/>
          <w:b/>
          <w:sz w:val="22"/>
        </w:rPr>
        <w:t xml:space="preserve"> – Imobilizado - Composição.</w:t>
      </w:r>
    </w:p>
    <w:p w:rsidR="006E6D1D" w:rsidRDefault="006E6D1D" w:rsidP="006E6D1D">
      <w:pPr>
        <w:jc w:val="right"/>
        <w:rPr>
          <w:rFonts w:cs="Arial"/>
          <w:sz w:val="22"/>
        </w:rPr>
      </w:pPr>
      <w:r w:rsidRPr="0037110A">
        <w:rPr>
          <w:rFonts w:cs="Arial"/>
          <w:sz w:val="22"/>
        </w:rPr>
        <w:t xml:space="preserve">  R$</w:t>
      </w:r>
    </w:p>
    <w:tbl>
      <w:tblPr>
        <w:tblW w:w="9348" w:type="dxa"/>
        <w:tblCellMar>
          <w:left w:w="70" w:type="dxa"/>
          <w:right w:w="70" w:type="dxa"/>
        </w:tblCellMar>
        <w:tblLook w:val="04A0" w:firstRow="1" w:lastRow="0" w:firstColumn="1" w:lastColumn="0" w:noHBand="0" w:noVBand="1"/>
      </w:tblPr>
      <w:tblGrid>
        <w:gridCol w:w="4588"/>
        <w:gridCol w:w="1900"/>
        <w:gridCol w:w="1900"/>
        <w:gridCol w:w="1041"/>
      </w:tblGrid>
      <w:tr w:rsidR="006E6D1D" w:rsidRPr="00924CB1" w:rsidTr="008D6A91">
        <w:trPr>
          <w:trHeight w:val="255"/>
        </w:trPr>
        <w:tc>
          <w:tcPr>
            <w:tcW w:w="4588" w:type="dxa"/>
            <w:tcBorders>
              <w:top w:val="single" w:sz="4" w:space="0" w:color="000000"/>
              <w:left w:val="nil"/>
              <w:bottom w:val="single" w:sz="4" w:space="0" w:color="000000"/>
              <w:right w:val="nil"/>
            </w:tcBorders>
            <w:shd w:val="clear" w:color="auto" w:fill="auto"/>
            <w:noWrap/>
            <w:vAlign w:val="bottom"/>
            <w:hideMark/>
          </w:tcPr>
          <w:p w:rsidR="006E6D1D" w:rsidRPr="00924CB1" w:rsidRDefault="006E6D1D" w:rsidP="008D6A91">
            <w:pPr>
              <w:jc w:val="left"/>
              <w:rPr>
                <w:rFonts w:eastAsia="Times New Roman" w:cs="Arial"/>
                <w:b/>
                <w:bCs/>
                <w:color w:val="FFFFFF"/>
                <w:szCs w:val="20"/>
                <w:lang w:eastAsia="pt-BR"/>
              </w:rPr>
            </w:pPr>
            <w:r w:rsidRPr="00924CB1">
              <w:rPr>
                <w:rFonts w:eastAsia="Times New Roman" w:cs="Arial"/>
                <w:b/>
                <w:bCs/>
                <w:color w:val="FFFFFF"/>
                <w:szCs w:val="20"/>
                <w:lang w:eastAsia="pt-BR"/>
              </w:rPr>
              <w:t>Colunas1</w:t>
            </w:r>
          </w:p>
        </w:tc>
        <w:tc>
          <w:tcPr>
            <w:tcW w:w="1900" w:type="dxa"/>
            <w:tcBorders>
              <w:top w:val="single" w:sz="4" w:space="0" w:color="000000"/>
              <w:left w:val="nil"/>
              <w:bottom w:val="single" w:sz="4" w:space="0" w:color="000000"/>
              <w:right w:val="nil"/>
            </w:tcBorders>
            <w:shd w:val="clear" w:color="auto" w:fill="auto"/>
            <w:noWrap/>
            <w:vAlign w:val="bottom"/>
            <w:hideMark/>
          </w:tcPr>
          <w:p w:rsidR="006E6D1D" w:rsidRPr="00924CB1" w:rsidRDefault="006E6D1D" w:rsidP="008D6A91">
            <w:pPr>
              <w:jc w:val="right"/>
              <w:rPr>
                <w:rFonts w:eastAsia="Times New Roman" w:cs="Arial"/>
                <w:b/>
                <w:bCs/>
                <w:color w:val="000000"/>
                <w:szCs w:val="20"/>
                <w:lang w:eastAsia="pt-BR"/>
              </w:rPr>
            </w:pPr>
            <w:r w:rsidRPr="00924CB1">
              <w:rPr>
                <w:rFonts w:eastAsia="Times New Roman" w:cs="Arial"/>
                <w:b/>
                <w:bCs/>
                <w:color w:val="000000"/>
                <w:szCs w:val="20"/>
                <w:lang w:eastAsia="pt-BR"/>
              </w:rPr>
              <w:t>3</w:t>
            </w:r>
            <w:r>
              <w:rPr>
                <w:rFonts w:eastAsia="Times New Roman" w:cs="Arial"/>
                <w:b/>
                <w:bCs/>
                <w:color w:val="000000"/>
                <w:szCs w:val="20"/>
                <w:lang w:eastAsia="pt-BR"/>
              </w:rPr>
              <w:t>1</w:t>
            </w:r>
            <w:r w:rsidRPr="00924CB1">
              <w:rPr>
                <w:rFonts w:eastAsia="Times New Roman" w:cs="Arial"/>
                <w:b/>
                <w:bCs/>
                <w:color w:val="000000"/>
                <w:szCs w:val="20"/>
                <w:lang w:eastAsia="pt-BR"/>
              </w:rPr>
              <w:t>/</w:t>
            </w:r>
            <w:r>
              <w:rPr>
                <w:rFonts w:eastAsia="Times New Roman" w:cs="Arial"/>
                <w:b/>
                <w:bCs/>
                <w:color w:val="000000"/>
                <w:szCs w:val="20"/>
                <w:lang w:eastAsia="pt-BR"/>
              </w:rPr>
              <w:t>12</w:t>
            </w:r>
            <w:r w:rsidRPr="00924CB1">
              <w:rPr>
                <w:rFonts w:eastAsia="Times New Roman" w:cs="Arial"/>
                <w:b/>
                <w:bCs/>
                <w:color w:val="000000"/>
                <w:szCs w:val="20"/>
                <w:lang w:eastAsia="pt-BR"/>
              </w:rPr>
              <w:t>/2017</w:t>
            </w:r>
          </w:p>
        </w:tc>
        <w:tc>
          <w:tcPr>
            <w:tcW w:w="1900" w:type="dxa"/>
            <w:tcBorders>
              <w:top w:val="single" w:sz="4" w:space="0" w:color="000000"/>
              <w:left w:val="nil"/>
              <w:bottom w:val="single" w:sz="4" w:space="0" w:color="000000"/>
              <w:right w:val="nil"/>
            </w:tcBorders>
            <w:shd w:val="clear" w:color="auto" w:fill="auto"/>
            <w:noWrap/>
            <w:vAlign w:val="bottom"/>
            <w:hideMark/>
          </w:tcPr>
          <w:p w:rsidR="006E6D1D" w:rsidRPr="00924CB1" w:rsidRDefault="006E6D1D" w:rsidP="008D6A91">
            <w:pPr>
              <w:jc w:val="right"/>
              <w:rPr>
                <w:rFonts w:eastAsia="Times New Roman" w:cs="Arial"/>
                <w:b/>
                <w:bCs/>
                <w:color w:val="000000"/>
                <w:szCs w:val="20"/>
                <w:lang w:eastAsia="pt-BR"/>
              </w:rPr>
            </w:pPr>
            <w:r w:rsidRPr="00924CB1">
              <w:rPr>
                <w:rFonts w:eastAsia="Times New Roman" w:cs="Arial"/>
                <w:b/>
                <w:bCs/>
                <w:color w:val="000000"/>
                <w:szCs w:val="20"/>
                <w:lang w:eastAsia="pt-BR"/>
              </w:rPr>
              <w:t>31/12/2016</w:t>
            </w:r>
          </w:p>
        </w:tc>
        <w:tc>
          <w:tcPr>
            <w:tcW w:w="960" w:type="dxa"/>
            <w:tcBorders>
              <w:top w:val="single" w:sz="4" w:space="0" w:color="000000"/>
              <w:left w:val="nil"/>
              <w:bottom w:val="single" w:sz="4" w:space="0" w:color="000000"/>
              <w:right w:val="nil"/>
            </w:tcBorders>
            <w:shd w:val="clear" w:color="auto" w:fill="auto"/>
            <w:noWrap/>
            <w:vAlign w:val="bottom"/>
            <w:hideMark/>
          </w:tcPr>
          <w:p w:rsidR="006E6D1D" w:rsidRPr="00924CB1" w:rsidRDefault="006E6D1D" w:rsidP="008D6A91">
            <w:pPr>
              <w:jc w:val="center"/>
              <w:rPr>
                <w:rFonts w:eastAsia="Times New Roman" w:cs="Arial"/>
                <w:b/>
                <w:bCs/>
                <w:color w:val="000000"/>
                <w:szCs w:val="20"/>
                <w:lang w:eastAsia="pt-BR"/>
              </w:rPr>
            </w:pPr>
            <w:r w:rsidRPr="00924CB1">
              <w:rPr>
                <w:rFonts w:eastAsia="Times New Roman" w:cs="Arial"/>
                <w:b/>
                <w:bCs/>
                <w:color w:val="000000"/>
                <w:szCs w:val="20"/>
                <w:lang w:eastAsia="pt-BR"/>
              </w:rPr>
              <w:t>AH (%)</w:t>
            </w:r>
          </w:p>
        </w:tc>
      </w:tr>
      <w:tr w:rsidR="006E6D1D" w:rsidRPr="00924CB1" w:rsidTr="008D6A91">
        <w:trPr>
          <w:trHeight w:val="255"/>
        </w:trPr>
        <w:tc>
          <w:tcPr>
            <w:tcW w:w="4588" w:type="dxa"/>
            <w:tcBorders>
              <w:top w:val="nil"/>
              <w:left w:val="nil"/>
              <w:bottom w:val="nil"/>
              <w:right w:val="nil"/>
            </w:tcBorders>
            <w:shd w:val="clear" w:color="D9D9D9" w:fill="D9D9D9"/>
            <w:noWrap/>
            <w:vAlign w:val="bottom"/>
            <w:hideMark/>
          </w:tcPr>
          <w:p w:rsidR="006E6D1D" w:rsidRPr="00924CB1" w:rsidRDefault="006E6D1D" w:rsidP="008D6A91">
            <w:pPr>
              <w:jc w:val="left"/>
              <w:rPr>
                <w:rFonts w:eastAsia="Times New Roman" w:cs="Arial"/>
                <w:color w:val="000000"/>
                <w:szCs w:val="20"/>
                <w:lang w:eastAsia="pt-BR"/>
              </w:rPr>
            </w:pPr>
            <w:r w:rsidRPr="00924CB1">
              <w:rPr>
                <w:rFonts w:eastAsia="Times New Roman" w:cs="Arial"/>
                <w:color w:val="000000"/>
                <w:szCs w:val="20"/>
                <w:lang w:eastAsia="pt-BR"/>
              </w:rPr>
              <w:t>Valor Contábil Bruto - Bens Móveis</w:t>
            </w:r>
          </w:p>
        </w:tc>
        <w:tc>
          <w:tcPr>
            <w:tcW w:w="1900" w:type="dxa"/>
            <w:tcBorders>
              <w:top w:val="nil"/>
              <w:left w:val="nil"/>
              <w:bottom w:val="nil"/>
              <w:right w:val="nil"/>
            </w:tcBorders>
            <w:shd w:val="clear" w:color="D9D9D9" w:fill="D9D9D9"/>
            <w:noWrap/>
            <w:vAlign w:val="bottom"/>
            <w:hideMark/>
          </w:tcPr>
          <w:p w:rsidR="006E6D1D" w:rsidRPr="00924CB1" w:rsidRDefault="006E6D1D" w:rsidP="008D6A91">
            <w:pPr>
              <w:jc w:val="right"/>
              <w:rPr>
                <w:rFonts w:eastAsia="Times New Roman" w:cs="Arial"/>
                <w:color w:val="000000"/>
                <w:szCs w:val="20"/>
                <w:lang w:eastAsia="pt-BR"/>
              </w:rPr>
            </w:pPr>
            <w:r w:rsidRPr="00607CF7">
              <w:rPr>
                <w:rFonts w:eastAsia="Times New Roman" w:cs="Arial"/>
                <w:color w:val="000000"/>
                <w:szCs w:val="20"/>
                <w:lang w:eastAsia="pt-BR"/>
              </w:rPr>
              <w:t>88</w:t>
            </w:r>
            <w:r>
              <w:rPr>
                <w:rFonts w:eastAsia="Times New Roman" w:cs="Arial"/>
                <w:color w:val="000000"/>
                <w:szCs w:val="20"/>
                <w:lang w:eastAsia="pt-BR"/>
              </w:rPr>
              <w:t>.</w:t>
            </w:r>
            <w:r w:rsidRPr="00607CF7">
              <w:rPr>
                <w:rFonts w:eastAsia="Times New Roman" w:cs="Arial"/>
                <w:color w:val="000000"/>
                <w:szCs w:val="20"/>
                <w:lang w:eastAsia="pt-BR"/>
              </w:rPr>
              <w:t>042</w:t>
            </w:r>
            <w:r>
              <w:rPr>
                <w:rFonts w:eastAsia="Times New Roman" w:cs="Arial"/>
                <w:color w:val="000000"/>
                <w:szCs w:val="20"/>
                <w:lang w:eastAsia="pt-BR"/>
              </w:rPr>
              <w:t>.</w:t>
            </w:r>
            <w:r w:rsidRPr="00607CF7">
              <w:rPr>
                <w:rFonts w:eastAsia="Times New Roman" w:cs="Arial"/>
                <w:color w:val="000000"/>
                <w:szCs w:val="20"/>
                <w:lang w:eastAsia="pt-BR"/>
              </w:rPr>
              <w:t>220,47</w:t>
            </w:r>
          </w:p>
        </w:tc>
        <w:tc>
          <w:tcPr>
            <w:tcW w:w="1900" w:type="dxa"/>
            <w:tcBorders>
              <w:top w:val="nil"/>
              <w:left w:val="nil"/>
              <w:bottom w:val="nil"/>
              <w:right w:val="nil"/>
            </w:tcBorders>
            <w:shd w:val="clear" w:color="D9D9D9" w:fill="D9D9D9"/>
            <w:noWrap/>
            <w:vAlign w:val="bottom"/>
            <w:hideMark/>
          </w:tcPr>
          <w:p w:rsidR="006E6D1D" w:rsidRPr="00924CB1" w:rsidRDefault="006E6D1D" w:rsidP="008D6A91">
            <w:pPr>
              <w:jc w:val="right"/>
              <w:rPr>
                <w:rFonts w:eastAsia="Times New Roman" w:cs="Arial"/>
                <w:color w:val="000000"/>
                <w:szCs w:val="20"/>
                <w:lang w:eastAsia="pt-BR"/>
              </w:rPr>
            </w:pPr>
            <w:r w:rsidRPr="00DE7449">
              <w:rPr>
                <w:rFonts w:eastAsia="Times New Roman" w:cs="Arial"/>
                <w:color w:val="000000"/>
                <w:szCs w:val="20"/>
                <w:lang w:eastAsia="pt-BR"/>
              </w:rPr>
              <w:t>86</w:t>
            </w:r>
            <w:r>
              <w:rPr>
                <w:rFonts w:eastAsia="Times New Roman" w:cs="Arial"/>
                <w:color w:val="000000"/>
                <w:szCs w:val="20"/>
                <w:lang w:eastAsia="pt-BR"/>
              </w:rPr>
              <w:t>.</w:t>
            </w:r>
            <w:r w:rsidRPr="00DE7449">
              <w:rPr>
                <w:rFonts w:eastAsia="Times New Roman" w:cs="Arial"/>
                <w:color w:val="000000"/>
                <w:szCs w:val="20"/>
                <w:lang w:eastAsia="pt-BR"/>
              </w:rPr>
              <w:t>339</w:t>
            </w:r>
            <w:r>
              <w:rPr>
                <w:rFonts w:eastAsia="Times New Roman" w:cs="Arial"/>
                <w:color w:val="000000"/>
                <w:szCs w:val="20"/>
                <w:lang w:eastAsia="pt-BR"/>
              </w:rPr>
              <w:t>.</w:t>
            </w:r>
            <w:r w:rsidRPr="00DE7449">
              <w:rPr>
                <w:rFonts w:eastAsia="Times New Roman" w:cs="Arial"/>
                <w:color w:val="000000"/>
                <w:szCs w:val="20"/>
                <w:lang w:eastAsia="pt-BR"/>
              </w:rPr>
              <w:t>899,64</w:t>
            </w:r>
          </w:p>
        </w:tc>
        <w:tc>
          <w:tcPr>
            <w:tcW w:w="960" w:type="dxa"/>
            <w:tcBorders>
              <w:top w:val="nil"/>
              <w:left w:val="nil"/>
              <w:bottom w:val="nil"/>
              <w:right w:val="nil"/>
            </w:tcBorders>
            <w:shd w:val="clear" w:color="D9D9D9" w:fill="D9D9D9"/>
            <w:noWrap/>
            <w:vAlign w:val="bottom"/>
            <w:hideMark/>
          </w:tcPr>
          <w:p w:rsidR="006E6D1D" w:rsidRPr="00924CB1" w:rsidRDefault="006E6D1D" w:rsidP="008D6A91">
            <w:pPr>
              <w:jc w:val="right"/>
              <w:rPr>
                <w:rFonts w:eastAsia="Times New Roman" w:cs="Arial"/>
                <w:color w:val="000000"/>
                <w:szCs w:val="20"/>
                <w:lang w:eastAsia="pt-BR"/>
              </w:rPr>
            </w:pPr>
            <w:r>
              <w:rPr>
                <w:rFonts w:eastAsia="Times New Roman" w:cs="Arial"/>
                <w:color w:val="000000"/>
                <w:szCs w:val="20"/>
                <w:lang w:eastAsia="pt-BR"/>
              </w:rPr>
              <w:t>1</w:t>
            </w:r>
            <w:r w:rsidRPr="00924CB1">
              <w:rPr>
                <w:rFonts w:eastAsia="Times New Roman" w:cs="Arial"/>
                <w:color w:val="000000"/>
                <w:szCs w:val="20"/>
                <w:lang w:eastAsia="pt-BR"/>
              </w:rPr>
              <w:t>,</w:t>
            </w:r>
            <w:r>
              <w:rPr>
                <w:rFonts w:eastAsia="Times New Roman" w:cs="Arial"/>
                <w:color w:val="000000"/>
                <w:szCs w:val="20"/>
                <w:lang w:eastAsia="pt-BR"/>
              </w:rPr>
              <w:t>97</w:t>
            </w:r>
            <w:r w:rsidRPr="00924CB1">
              <w:rPr>
                <w:rFonts w:eastAsia="Times New Roman" w:cs="Arial"/>
                <w:color w:val="000000"/>
                <w:szCs w:val="20"/>
                <w:lang w:eastAsia="pt-BR"/>
              </w:rPr>
              <w:t>%</w:t>
            </w:r>
          </w:p>
        </w:tc>
      </w:tr>
      <w:tr w:rsidR="006E6D1D" w:rsidRPr="00924CB1" w:rsidTr="008D6A91">
        <w:trPr>
          <w:trHeight w:val="255"/>
        </w:trPr>
        <w:tc>
          <w:tcPr>
            <w:tcW w:w="4588" w:type="dxa"/>
            <w:tcBorders>
              <w:top w:val="nil"/>
              <w:left w:val="nil"/>
              <w:bottom w:val="nil"/>
              <w:right w:val="nil"/>
            </w:tcBorders>
            <w:shd w:val="clear" w:color="auto" w:fill="auto"/>
            <w:noWrap/>
            <w:vAlign w:val="bottom"/>
            <w:hideMark/>
          </w:tcPr>
          <w:p w:rsidR="006E6D1D" w:rsidRPr="00924CB1" w:rsidRDefault="006E6D1D" w:rsidP="008D6A91">
            <w:pPr>
              <w:jc w:val="left"/>
              <w:rPr>
                <w:rFonts w:eastAsia="Times New Roman" w:cs="Arial"/>
                <w:color w:val="000000"/>
                <w:szCs w:val="20"/>
                <w:lang w:eastAsia="pt-BR"/>
              </w:rPr>
            </w:pPr>
            <w:r w:rsidRPr="00924CB1">
              <w:rPr>
                <w:rFonts w:eastAsia="Times New Roman" w:cs="Arial"/>
                <w:color w:val="000000"/>
                <w:szCs w:val="20"/>
                <w:lang w:eastAsia="pt-BR"/>
              </w:rPr>
              <w:t>Depreciação/Amortização/Exaustão - Bens Móveis</w:t>
            </w:r>
          </w:p>
        </w:tc>
        <w:tc>
          <w:tcPr>
            <w:tcW w:w="1900" w:type="dxa"/>
            <w:tcBorders>
              <w:top w:val="nil"/>
              <w:left w:val="nil"/>
              <w:bottom w:val="nil"/>
              <w:right w:val="nil"/>
            </w:tcBorders>
            <w:shd w:val="clear" w:color="auto" w:fill="auto"/>
            <w:noWrap/>
            <w:vAlign w:val="bottom"/>
            <w:hideMark/>
          </w:tcPr>
          <w:p w:rsidR="006E6D1D" w:rsidRPr="00924CB1" w:rsidRDefault="006E6D1D" w:rsidP="008D6A91">
            <w:pPr>
              <w:jc w:val="right"/>
              <w:rPr>
                <w:rFonts w:eastAsia="Times New Roman" w:cs="Arial"/>
                <w:color w:val="000000"/>
                <w:szCs w:val="20"/>
                <w:lang w:eastAsia="pt-BR"/>
              </w:rPr>
            </w:pPr>
            <w:r>
              <w:rPr>
                <w:rFonts w:eastAsia="Times New Roman" w:cs="Arial"/>
                <w:color w:val="000000"/>
                <w:szCs w:val="20"/>
                <w:lang w:eastAsia="pt-BR"/>
              </w:rPr>
              <w:t>-</w:t>
            </w:r>
            <w:r w:rsidRPr="00607CF7">
              <w:rPr>
                <w:rFonts w:eastAsia="Times New Roman" w:cs="Arial"/>
                <w:color w:val="000000"/>
                <w:szCs w:val="20"/>
                <w:lang w:eastAsia="pt-BR"/>
              </w:rPr>
              <w:t>12</w:t>
            </w:r>
            <w:r>
              <w:rPr>
                <w:rFonts w:eastAsia="Times New Roman" w:cs="Arial"/>
                <w:color w:val="000000"/>
                <w:szCs w:val="20"/>
                <w:lang w:eastAsia="pt-BR"/>
              </w:rPr>
              <w:t>.</w:t>
            </w:r>
            <w:r w:rsidRPr="00607CF7">
              <w:rPr>
                <w:rFonts w:eastAsia="Times New Roman" w:cs="Arial"/>
                <w:color w:val="000000"/>
                <w:szCs w:val="20"/>
                <w:lang w:eastAsia="pt-BR"/>
              </w:rPr>
              <w:t>243</w:t>
            </w:r>
            <w:r>
              <w:rPr>
                <w:rFonts w:eastAsia="Times New Roman" w:cs="Arial"/>
                <w:color w:val="000000"/>
                <w:szCs w:val="20"/>
                <w:lang w:eastAsia="pt-BR"/>
              </w:rPr>
              <w:t>.</w:t>
            </w:r>
            <w:r w:rsidRPr="00607CF7">
              <w:rPr>
                <w:rFonts w:eastAsia="Times New Roman" w:cs="Arial"/>
                <w:color w:val="000000"/>
                <w:szCs w:val="20"/>
                <w:lang w:eastAsia="pt-BR"/>
              </w:rPr>
              <w:t>277,59</w:t>
            </w:r>
          </w:p>
        </w:tc>
        <w:tc>
          <w:tcPr>
            <w:tcW w:w="1900" w:type="dxa"/>
            <w:tcBorders>
              <w:top w:val="nil"/>
              <w:left w:val="nil"/>
              <w:bottom w:val="nil"/>
              <w:right w:val="nil"/>
            </w:tcBorders>
            <w:shd w:val="clear" w:color="auto" w:fill="auto"/>
            <w:noWrap/>
            <w:vAlign w:val="bottom"/>
            <w:hideMark/>
          </w:tcPr>
          <w:p w:rsidR="006E6D1D" w:rsidRPr="00924CB1" w:rsidRDefault="006E6D1D" w:rsidP="008D6A91">
            <w:pPr>
              <w:jc w:val="right"/>
              <w:rPr>
                <w:rFonts w:eastAsia="Times New Roman" w:cs="Arial"/>
                <w:color w:val="000000"/>
                <w:szCs w:val="20"/>
                <w:lang w:eastAsia="pt-BR"/>
              </w:rPr>
            </w:pPr>
            <w:r w:rsidRPr="00DE7449">
              <w:rPr>
                <w:rFonts w:eastAsia="Times New Roman" w:cs="Arial"/>
                <w:color w:val="000000"/>
                <w:szCs w:val="20"/>
                <w:lang w:eastAsia="pt-BR"/>
              </w:rPr>
              <w:t>-10</w:t>
            </w:r>
            <w:r>
              <w:rPr>
                <w:rFonts w:eastAsia="Times New Roman" w:cs="Arial"/>
                <w:color w:val="000000"/>
                <w:szCs w:val="20"/>
                <w:lang w:eastAsia="pt-BR"/>
              </w:rPr>
              <w:t>.</w:t>
            </w:r>
            <w:r w:rsidRPr="00DE7449">
              <w:rPr>
                <w:rFonts w:eastAsia="Times New Roman" w:cs="Arial"/>
                <w:color w:val="000000"/>
                <w:szCs w:val="20"/>
                <w:lang w:eastAsia="pt-BR"/>
              </w:rPr>
              <w:t>108</w:t>
            </w:r>
            <w:r>
              <w:rPr>
                <w:rFonts w:eastAsia="Times New Roman" w:cs="Arial"/>
                <w:color w:val="000000"/>
                <w:szCs w:val="20"/>
                <w:lang w:eastAsia="pt-BR"/>
              </w:rPr>
              <w:t>.</w:t>
            </w:r>
            <w:r w:rsidRPr="00DE7449">
              <w:rPr>
                <w:rFonts w:eastAsia="Times New Roman" w:cs="Arial"/>
                <w:color w:val="000000"/>
                <w:szCs w:val="20"/>
                <w:lang w:eastAsia="pt-BR"/>
              </w:rPr>
              <w:t>038,86</w:t>
            </w:r>
          </w:p>
        </w:tc>
        <w:tc>
          <w:tcPr>
            <w:tcW w:w="960" w:type="dxa"/>
            <w:tcBorders>
              <w:top w:val="nil"/>
              <w:left w:val="nil"/>
              <w:bottom w:val="nil"/>
              <w:right w:val="nil"/>
            </w:tcBorders>
            <w:shd w:val="clear" w:color="auto" w:fill="auto"/>
            <w:noWrap/>
            <w:vAlign w:val="bottom"/>
            <w:hideMark/>
          </w:tcPr>
          <w:p w:rsidR="006E6D1D" w:rsidRPr="00924CB1" w:rsidRDefault="006E6D1D" w:rsidP="008D6A91">
            <w:pPr>
              <w:jc w:val="right"/>
              <w:rPr>
                <w:rFonts w:eastAsia="Times New Roman" w:cs="Arial"/>
                <w:color w:val="000000"/>
                <w:szCs w:val="20"/>
                <w:lang w:eastAsia="pt-BR"/>
              </w:rPr>
            </w:pPr>
            <w:r>
              <w:rPr>
                <w:rFonts w:eastAsia="Times New Roman" w:cs="Arial"/>
                <w:color w:val="000000"/>
                <w:szCs w:val="20"/>
                <w:lang w:eastAsia="pt-BR"/>
              </w:rPr>
              <w:t>2</w:t>
            </w:r>
            <w:r w:rsidRPr="00924CB1">
              <w:rPr>
                <w:rFonts w:eastAsia="Times New Roman" w:cs="Arial"/>
                <w:color w:val="000000"/>
                <w:szCs w:val="20"/>
                <w:lang w:eastAsia="pt-BR"/>
              </w:rPr>
              <w:t>1,</w:t>
            </w:r>
            <w:r>
              <w:rPr>
                <w:rFonts w:eastAsia="Times New Roman" w:cs="Arial"/>
                <w:color w:val="000000"/>
                <w:szCs w:val="20"/>
                <w:lang w:eastAsia="pt-BR"/>
              </w:rPr>
              <w:t>1</w:t>
            </w:r>
            <w:r w:rsidRPr="00924CB1">
              <w:rPr>
                <w:rFonts w:eastAsia="Times New Roman" w:cs="Arial"/>
                <w:color w:val="000000"/>
                <w:szCs w:val="20"/>
                <w:lang w:eastAsia="pt-BR"/>
              </w:rPr>
              <w:t>2</w:t>
            </w:r>
            <w:r>
              <w:rPr>
                <w:rFonts w:eastAsia="Times New Roman" w:cs="Arial"/>
                <w:color w:val="000000"/>
                <w:szCs w:val="20"/>
                <w:lang w:eastAsia="pt-BR"/>
              </w:rPr>
              <w:t>%</w:t>
            </w:r>
          </w:p>
        </w:tc>
      </w:tr>
      <w:tr w:rsidR="006E6D1D" w:rsidRPr="00924CB1" w:rsidTr="008D6A91">
        <w:trPr>
          <w:trHeight w:val="255"/>
        </w:trPr>
        <w:tc>
          <w:tcPr>
            <w:tcW w:w="4588" w:type="dxa"/>
            <w:tcBorders>
              <w:top w:val="nil"/>
              <w:left w:val="nil"/>
              <w:bottom w:val="nil"/>
              <w:right w:val="nil"/>
            </w:tcBorders>
            <w:shd w:val="clear" w:color="D9D9D9" w:fill="D9D9D9"/>
            <w:noWrap/>
            <w:vAlign w:val="bottom"/>
            <w:hideMark/>
          </w:tcPr>
          <w:p w:rsidR="006E6D1D" w:rsidRPr="00924CB1" w:rsidRDefault="006E6D1D" w:rsidP="008D6A91">
            <w:pPr>
              <w:jc w:val="left"/>
              <w:rPr>
                <w:rFonts w:eastAsia="Times New Roman" w:cs="Arial"/>
                <w:color w:val="000000"/>
                <w:szCs w:val="20"/>
                <w:lang w:eastAsia="pt-BR"/>
              </w:rPr>
            </w:pPr>
            <w:r w:rsidRPr="00924CB1">
              <w:rPr>
                <w:rFonts w:eastAsia="Times New Roman" w:cs="Arial"/>
                <w:color w:val="000000"/>
                <w:szCs w:val="20"/>
                <w:lang w:eastAsia="pt-BR"/>
              </w:rPr>
              <w:t>Valor Contábil Bruto - Bens Imóveis</w:t>
            </w:r>
          </w:p>
        </w:tc>
        <w:tc>
          <w:tcPr>
            <w:tcW w:w="1900" w:type="dxa"/>
            <w:tcBorders>
              <w:top w:val="nil"/>
              <w:left w:val="nil"/>
              <w:bottom w:val="nil"/>
              <w:right w:val="nil"/>
            </w:tcBorders>
            <w:shd w:val="clear" w:color="D9D9D9" w:fill="D9D9D9"/>
            <w:noWrap/>
            <w:vAlign w:val="bottom"/>
            <w:hideMark/>
          </w:tcPr>
          <w:p w:rsidR="006E6D1D" w:rsidRPr="00924CB1" w:rsidRDefault="006E6D1D" w:rsidP="008D6A91">
            <w:pPr>
              <w:jc w:val="right"/>
              <w:rPr>
                <w:rFonts w:eastAsia="Times New Roman" w:cs="Arial"/>
                <w:color w:val="000000"/>
                <w:szCs w:val="20"/>
                <w:lang w:eastAsia="pt-BR"/>
              </w:rPr>
            </w:pPr>
            <w:r w:rsidRPr="00607CF7">
              <w:rPr>
                <w:rFonts w:eastAsia="Times New Roman" w:cs="Arial"/>
                <w:color w:val="000000"/>
                <w:szCs w:val="20"/>
                <w:lang w:eastAsia="pt-BR"/>
              </w:rPr>
              <w:t>111</w:t>
            </w:r>
            <w:r>
              <w:rPr>
                <w:rFonts w:eastAsia="Times New Roman" w:cs="Arial"/>
                <w:color w:val="000000"/>
                <w:szCs w:val="20"/>
                <w:lang w:eastAsia="pt-BR"/>
              </w:rPr>
              <w:t>.</w:t>
            </w:r>
            <w:r w:rsidRPr="00607CF7">
              <w:rPr>
                <w:rFonts w:eastAsia="Times New Roman" w:cs="Arial"/>
                <w:color w:val="000000"/>
                <w:szCs w:val="20"/>
                <w:lang w:eastAsia="pt-BR"/>
              </w:rPr>
              <w:t>528</w:t>
            </w:r>
            <w:r>
              <w:rPr>
                <w:rFonts w:eastAsia="Times New Roman" w:cs="Arial"/>
                <w:color w:val="000000"/>
                <w:szCs w:val="20"/>
                <w:lang w:eastAsia="pt-BR"/>
              </w:rPr>
              <w:t>.</w:t>
            </w:r>
            <w:r w:rsidRPr="00607CF7">
              <w:rPr>
                <w:rFonts w:eastAsia="Times New Roman" w:cs="Arial"/>
                <w:color w:val="000000"/>
                <w:szCs w:val="20"/>
                <w:lang w:eastAsia="pt-BR"/>
              </w:rPr>
              <w:t>265,84</w:t>
            </w:r>
          </w:p>
        </w:tc>
        <w:tc>
          <w:tcPr>
            <w:tcW w:w="1900" w:type="dxa"/>
            <w:tcBorders>
              <w:top w:val="nil"/>
              <w:left w:val="nil"/>
              <w:bottom w:val="nil"/>
              <w:right w:val="nil"/>
            </w:tcBorders>
            <w:shd w:val="clear" w:color="D9D9D9" w:fill="D9D9D9"/>
            <w:noWrap/>
            <w:vAlign w:val="bottom"/>
            <w:hideMark/>
          </w:tcPr>
          <w:p w:rsidR="006E6D1D" w:rsidRPr="00924CB1" w:rsidRDefault="006E6D1D" w:rsidP="008D6A91">
            <w:pPr>
              <w:jc w:val="right"/>
              <w:rPr>
                <w:rFonts w:eastAsia="Times New Roman" w:cs="Arial"/>
                <w:color w:val="000000"/>
                <w:szCs w:val="20"/>
                <w:lang w:eastAsia="pt-BR"/>
              </w:rPr>
            </w:pPr>
            <w:r w:rsidRPr="00DE7449">
              <w:rPr>
                <w:rFonts w:eastAsia="Times New Roman" w:cs="Arial"/>
                <w:color w:val="000000"/>
                <w:szCs w:val="20"/>
                <w:lang w:eastAsia="pt-BR"/>
              </w:rPr>
              <w:t>104</w:t>
            </w:r>
            <w:r>
              <w:rPr>
                <w:rFonts w:eastAsia="Times New Roman" w:cs="Arial"/>
                <w:color w:val="000000"/>
                <w:szCs w:val="20"/>
                <w:lang w:eastAsia="pt-BR"/>
              </w:rPr>
              <w:t>.</w:t>
            </w:r>
            <w:r w:rsidRPr="00DE7449">
              <w:rPr>
                <w:rFonts w:eastAsia="Times New Roman" w:cs="Arial"/>
                <w:color w:val="000000"/>
                <w:szCs w:val="20"/>
                <w:lang w:eastAsia="pt-BR"/>
              </w:rPr>
              <w:t>701</w:t>
            </w:r>
            <w:r>
              <w:rPr>
                <w:rFonts w:eastAsia="Times New Roman" w:cs="Arial"/>
                <w:color w:val="000000"/>
                <w:szCs w:val="20"/>
                <w:lang w:eastAsia="pt-BR"/>
              </w:rPr>
              <w:t>.</w:t>
            </w:r>
            <w:r w:rsidRPr="00DE7449">
              <w:rPr>
                <w:rFonts w:eastAsia="Times New Roman" w:cs="Arial"/>
                <w:color w:val="000000"/>
                <w:szCs w:val="20"/>
                <w:lang w:eastAsia="pt-BR"/>
              </w:rPr>
              <w:t>221,41</w:t>
            </w:r>
          </w:p>
        </w:tc>
        <w:tc>
          <w:tcPr>
            <w:tcW w:w="960" w:type="dxa"/>
            <w:tcBorders>
              <w:top w:val="nil"/>
              <w:left w:val="nil"/>
              <w:bottom w:val="nil"/>
              <w:right w:val="nil"/>
            </w:tcBorders>
            <w:shd w:val="clear" w:color="D9D9D9" w:fill="D9D9D9"/>
            <w:noWrap/>
            <w:vAlign w:val="bottom"/>
            <w:hideMark/>
          </w:tcPr>
          <w:p w:rsidR="006E6D1D" w:rsidRPr="00924CB1" w:rsidRDefault="006E6D1D" w:rsidP="008D6A91">
            <w:pPr>
              <w:jc w:val="right"/>
              <w:rPr>
                <w:rFonts w:eastAsia="Times New Roman" w:cs="Arial"/>
                <w:color w:val="000000"/>
                <w:szCs w:val="20"/>
                <w:lang w:eastAsia="pt-BR"/>
              </w:rPr>
            </w:pPr>
            <w:r>
              <w:rPr>
                <w:rFonts w:eastAsia="Times New Roman" w:cs="Arial"/>
                <w:color w:val="000000"/>
                <w:szCs w:val="20"/>
                <w:lang w:eastAsia="pt-BR"/>
              </w:rPr>
              <w:t>6</w:t>
            </w:r>
            <w:r w:rsidRPr="00924CB1">
              <w:rPr>
                <w:rFonts w:eastAsia="Times New Roman" w:cs="Arial"/>
                <w:color w:val="000000"/>
                <w:szCs w:val="20"/>
                <w:lang w:eastAsia="pt-BR"/>
              </w:rPr>
              <w:t>,</w:t>
            </w:r>
            <w:r>
              <w:rPr>
                <w:rFonts w:eastAsia="Times New Roman" w:cs="Arial"/>
                <w:color w:val="000000"/>
                <w:szCs w:val="20"/>
                <w:lang w:eastAsia="pt-BR"/>
              </w:rPr>
              <w:t>52</w:t>
            </w:r>
            <w:r w:rsidRPr="00924CB1">
              <w:rPr>
                <w:rFonts w:eastAsia="Times New Roman" w:cs="Arial"/>
                <w:color w:val="000000"/>
                <w:szCs w:val="20"/>
                <w:lang w:eastAsia="pt-BR"/>
              </w:rPr>
              <w:t>%</w:t>
            </w:r>
          </w:p>
        </w:tc>
      </w:tr>
      <w:tr w:rsidR="006E6D1D" w:rsidRPr="00924CB1" w:rsidTr="008D6A91">
        <w:trPr>
          <w:trHeight w:val="255"/>
        </w:trPr>
        <w:tc>
          <w:tcPr>
            <w:tcW w:w="4588" w:type="dxa"/>
            <w:tcBorders>
              <w:top w:val="nil"/>
              <w:left w:val="nil"/>
              <w:bottom w:val="nil"/>
              <w:right w:val="nil"/>
            </w:tcBorders>
            <w:shd w:val="clear" w:color="auto" w:fill="auto"/>
            <w:noWrap/>
            <w:vAlign w:val="bottom"/>
            <w:hideMark/>
          </w:tcPr>
          <w:p w:rsidR="006E6D1D" w:rsidRPr="00924CB1" w:rsidRDefault="006E6D1D" w:rsidP="008D6A91">
            <w:pPr>
              <w:jc w:val="left"/>
              <w:rPr>
                <w:rFonts w:eastAsia="Times New Roman" w:cs="Arial"/>
                <w:color w:val="000000"/>
                <w:szCs w:val="20"/>
                <w:lang w:eastAsia="pt-BR"/>
              </w:rPr>
            </w:pPr>
            <w:r w:rsidRPr="00924CB1">
              <w:rPr>
                <w:rFonts w:eastAsia="Times New Roman" w:cs="Arial"/>
                <w:color w:val="000000"/>
                <w:szCs w:val="20"/>
                <w:lang w:eastAsia="pt-BR"/>
              </w:rPr>
              <w:t>Depreciação/Amortização/Exaustão - Bens Imóveis</w:t>
            </w:r>
          </w:p>
        </w:tc>
        <w:tc>
          <w:tcPr>
            <w:tcW w:w="1900" w:type="dxa"/>
            <w:tcBorders>
              <w:top w:val="nil"/>
              <w:left w:val="nil"/>
              <w:bottom w:val="nil"/>
              <w:right w:val="nil"/>
            </w:tcBorders>
            <w:shd w:val="clear" w:color="auto" w:fill="auto"/>
            <w:noWrap/>
            <w:vAlign w:val="bottom"/>
            <w:hideMark/>
          </w:tcPr>
          <w:p w:rsidR="006E6D1D" w:rsidRPr="00924CB1" w:rsidRDefault="006E6D1D" w:rsidP="008D6A91">
            <w:pPr>
              <w:jc w:val="right"/>
              <w:rPr>
                <w:rFonts w:eastAsia="Times New Roman" w:cs="Arial"/>
                <w:color w:val="000000"/>
                <w:szCs w:val="20"/>
                <w:lang w:eastAsia="pt-BR"/>
              </w:rPr>
            </w:pPr>
            <w:r w:rsidRPr="00607CF7">
              <w:rPr>
                <w:rFonts w:eastAsia="Times New Roman" w:cs="Arial"/>
                <w:color w:val="000000"/>
                <w:szCs w:val="20"/>
                <w:lang w:eastAsia="pt-BR"/>
              </w:rPr>
              <w:t>-1</w:t>
            </w:r>
            <w:r>
              <w:rPr>
                <w:rFonts w:eastAsia="Times New Roman" w:cs="Arial"/>
                <w:color w:val="000000"/>
                <w:szCs w:val="20"/>
                <w:lang w:eastAsia="pt-BR"/>
              </w:rPr>
              <w:t>.</w:t>
            </w:r>
            <w:r w:rsidRPr="00607CF7">
              <w:rPr>
                <w:rFonts w:eastAsia="Times New Roman" w:cs="Arial"/>
                <w:color w:val="000000"/>
                <w:szCs w:val="20"/>
                <w:lang w:eastAsia="pt-BR"/>
              </w:rPr>
              <w:t>577</w:t>
            </w:r>
            <w:r>
              <w:rPr>
                <w:rFonts w:eastAsia="Times New Roman" w:cs="Arial"/>
                <w:color w:val="000000"/>
                <w:szCs w:val="20"/>
                <w:lang w:eastAsia="pt-BR"/>
              </w:rPr>
              <w:t>.</w:t>
            </w:r>
            <w:r w:rsidRPr="00607CF7">
              <w:rPr>
                <w:rFonts w:eastAsia="Times New Roman" w:cs="Arial"/>
                <w:color w:val="000000"/>
                <w:szCs w:val="20"/>
                <w:lang w:eastAsia="pt-BR"/>
              </w:rPr>
              <w:t>159,58</w:t>
            </w:r>
          </w:p>
        </w:tc>
        <w:tc>
          <w:tcPr>
            <w:tcW w:w="1900" w:type="dxa"/>
            <w:tcBorders>
              <w:top w:val="nil"/>
              <w:left w:val="nil"/>
              <w:bottom w:val="nil"/>
              <w:right w:val="nil"/>
            </w:tcBorders>
            <w:shd w:val="clear" w:color="auto" w:fill="auto"/>
            <w:noWrap/>
            <w:vAlign w:val="bottom"/>
            <w:hideMark/>
          </w:tcPr>
          <w:p w:rsidR="006E6D1D" w:rsidRPr="00924CB1" w:rsidRDefault="006E6D1D" w:rsidP="008D6A91">
            <w:pPr>
              <w:jc w:val="right"/>
              <w:rPr>
                <w:rFonts w:eastAsia="Times New Roman" w:cs="Arial"/>
                <w:color w:val="000000"/>
                <w:szCs w:val="20"/>
                <w:lang w:eastAsia="pt-BR"/>
              </w:rPr>
            </w:pPr>
            <w:r w:rsidRPr="00DE7449">
              <w:rPr>
                <w:rFonts w:eastAsia="Times New Roman" w:cs="Arial"/>
                <w:color w:val="000000"/>
                <w:szCs w:val="20"/>
                <w:lang w:eastAsia="pt-BR"/>
              </w:rPr>
              <w:t>-121</w:t>
            </w:r>
            <w:r>
              <w:rPr>
                <w:rFonts w:eastAsia="Times New Roman" w:cs="Arial"/>
                <w:color w:val="000000"/>
                <w:szCs w:val="20"/>
                <w:lang w:eastAsia="pt-BR"/>
              </w:rPr>
              <w:t>.</w:t>
            </w:r>
            <w:r w:rsidRPr="00DE7449">
              <w:rPr>
                <w:rFonts w:eastAsia="Times New Roman" w:cs="Arial"/>
                <w:color w:val="000000"/>
                <w:szCs w:val="20"/>
                <w:lang w:eastAsia="pt-BR"/>
              </w:rPr>
              <w:t>424,42</w:t>
            </w:r>
          </w:p>
        </w:tc>
        <w:tc>
          <w:tcPr>
            <w:tcW w:w="960" w:type="dxa"/>
            <w:tcBorders>
              <w:top w:val="nil"/>
              <w:left w:val="nil"/>
              <w:bottom w:val="nil"/>
              <w:right w:val="nil"/>
            </w:tcBorders>
            <w:shd w:val="clear" w:color="auto" w:fill="auto"/>
            <w:noWrap/>
            <w:vAlign w:val="bottom"/>
            <w:hideMark/>
          </w:tcPr>
          <w:p w:rsidR="006E6D1D" w:rsidRPr="00924CB1" w:rsidRDefault="006E6D1D" w:rsidP="008D6A91">
            <w:pPr>
              <w:jc w:val="right"/>
              <w:rPr>
                <w:rFonts w:eastAsia="Times New Roman" w:cs="Arial"/>
                <w:color w:val="000000"/>
                <w:szCs w:val="20"/>
                <w:lang w:eastAsia="pt-BR"/>
              </w:rPr>
            </w:pPr>
            <w:r>
              <w:rPr>
                <w:rFonts w:eastAsia="Times New Roman" w:cs="Arial"/>
                <w:color w:val="000000"/>
                <w:szCs w:val="20"/>
                <w:lang w:eastAsia="pt-BR"/>
              </w:rPr>
              <w:t>1</w:t>
            </w:r>
            <w:r w:rsidRPr="00924CB1">
              <w:rPr>
                <w:rFonts w:eastAsia="Times New Roman" w:cs="Arial"/>
                <w:color w:val="000000"/>
                <w:szCs w:val="20"/>
                <w:lang w:eastAsia="pt-BR"/>
              </w:rPr>
              <w:t>1</w:t>
            </w:r>
            <w:r>
              <w:rPr>
                <w:rFonts w:eastAsia="Times New Roman" w:cs="Arial"/>
                <w:color w:val="000000"/>
                <w:szCs w:val="20"/>
                <w:lang w:eastAsia="pt-BR"/>
              </w:rPr>
              <w:t>98</w:t>
            </w:r>
            <w:r w:rsidRPr="00924CB1">
              <w:rPr>
                <w:rFonts w:eastAsia="Times New Roman" w:cs="Arial"/>
                <w:color w:val="000000"/>
                <w:szCs w:val="20"/>
                <w:lang w:eastAsia="pt-BR"/>
              </w:rPr>
              <w:t>,</w:t>
            </w:r>
            <w:r>
              <w:rPr>
                <w:rFonts w:eastAsia="Times New Roman" w:cs="Arial"/>
                <w:color w:val="000000"/>
                <w:szCs w:val="20"/>
                <w:lang w:eastAsia="pt-BR"/>
              </w:rPr>
              <w:t>88</w:t>
            </w:r>
            <w:r w:rsidRPr="00924CB1">
              <w:rPr>
                <w:rFonts w:eastAsia="Times New Roman" w:cs="Arial"/>
                <w:color w:val="000000"/>
                <w:szCs w:val="20"/>
                <w:lang w:eastAsia="pt-BR"/>
              </w:rPr>
              <w:t>%</w:t>
            </w:r>
          </w:p>
        </w:tc>
      </w:tr>
      <w:tr w:rsidR="006E6D1D" w:rsidRPr="00924CB1" w:rsidTr="008D6A91">
        <w:trPr>
          <w:trHeight w:val="255"/>
        </w:trPr>
        <w:tc>
          <w:tcPr>
            <w:tcW w:w="4588" w:type="dxa"/>
            <w:tcBorders>
              <w:top w:val="nil"/>
              <w:left w:val="nil"/>
              <w:bottom w:val="single" w:sz="4" w:space="0" w:color="000000"/>
              <w:right w:val="nil"/>
            </w:tcBorders>
            <w:shd w:val="clear" w:color="D9D9D9" w:fill="D9D9D9"/>
            <w:noWrap/>
            <w:vAlign w:val="bottom"/>
            <w:hideMark/>
          </w:tcPr>
          <w:p w:rsidR="006E6D1D" w:rsidRPr="00924CB1" w:rsidRDefault="006E6D1D" w:rsidP="008D6A91">
            <w:pPr>
              <w:jc w:val="left"/>
              <w:rPr>
                <w:rFonts w:eastAsia="Times New Roman" w:cs="Arial"/>
                <w:b/>
                <w:bCs/>
                <w:color w:val="000000"/>
                <w:szCs w:val="20"/>
                <w:lang w:eastAsia="pt-BR"/>
              </w:rPr>
            </w:pPr>
            <w:r w:rsidRPr="00924CB1">
              <w:rPr>
                <w:rFonts w:eastAsia="Times New Roman" w:cs="Arial"/>
                <w:b/>
                <w:bCs/>
                <w:color w:val="000000"/>
                <w:szCs w:val="20"/>
                <w:lang w:eastAsia="pt-BR"/>
              </w:rPr>
              <w:t>Total</w:t>
            </w:r>
          </w:p>
        </w:tc>
        <w:tc>
          <w:tcPr>
            <w:tcW w:w="1900" w:type="dxa"/>
            <w:tcBorders>
              <w:top w:val="nil"/>
              <w:left w:val="nil"/>
              <w:bottom w:val="single" w:sz="4" w:space="0" w:color="000000"/>
              <w:right w:val="nil"/>
            </w:tcBorders>
            <w:shd w:val="clear" w:color="D9D9D9" w:fill="D9D9D9"/>
            <w:noWrap/>
            <w:vAlign w:val="bottom"/>
            <w:hideMark/>
          </w:tcPr>
          <w:p w:rsidR="006E6D1D" w:rsidRPr="00924CB1" w:rsidRDefault="006E6D1D" w:rsidP="008D6A91">
            <w:pPr>
              <w:jc w:val="right"/>
              <w:rPr>
                <w:rFonts w:eastAsia="Times New Roman" w:cs="Arial"/>
                <w:b/>
                <w:bCs/>
                <w:color w:val="000000"/>
                <w:szCs w:val="20"/>
                <w:lang w:eastAsia="pt-BR"/>
              </w:rPr>
            </w:pPr>
            <w:r w:rsidRPr="00397A49">
              <w:rPr>
                <w:rFonts w:eastAsia="Times New Roman" w:cs="Arial"/>
                <w:b/>
                <w:bCs/>
                <w:color w:val="000000"/>
                <w:szCs w:val="20"/>
                <w:lang w:eastAsia="pt-BR"/>
              </w:rPr>
              <w:t>185</w:t>
            </w:r>
            <w:r>
              <w:rPr>
                <w:rFonts w:eastAsia="Times New Roman" w:cs="Arial"/>
                <w:b/>
                <w:bCs/>
                <w:color w:val="000000"/>
                <w:szCs w:val="20"/>
                <w:lang w:eastAsia="pt-BR"/>
              </w:rPr>
              <w:t>.</w:t>
            </w:r>
            <w:r w:rsidRPr="00397A49">
              <w:rPr>
                <w:rFonts w:eastAsia="Times New Roman" w:cs="Arial"/>
                <w:b/>
                <w:bCs/>
                <w:color w:val="000000"/>
                <w:szCs w:val="20"/>
                <w:lang w:eastAsia="pt-BR"/>
              </w:rPr>
              <w:t>750</w:t>
            </w:r>
            <w:r>
              <w:rPr>
                <w:rFonts w:eastAsia="Times New Roman" w:cs="Arial"/>
                <w:b/>
                <w:bCs/>
                <w:color w:val="000000"/>
                <w:szCs w:val="20"/>
                <w:lang w:eastAsia="pt-BR"/>
              </w:rPr>
              <w:t>.</w:t>
            </w:r>
            <w:r w:rsidRPr="00397A49">
              <w:rPr>
                <w:rFonts w:eastAsia="Times New Roman" w:cs="Arial"/>
                <w:b/>
                <w:bCs/>
                <w:color w:val="000000"/>
                <w:szCs w:val="20"/>
                <w:lang w:eastAsia="pt-BR"/>
              </w:rPr>
              <w:t>049,14</w:t>
            </w:r>
          </w:p>
        </w:tc>
        <w:tc>
          <w:tcPr>
            <w:tcW w:w="1900" w:type="dxa"/>
            <w:tcBorders>
              <w:top w:val="nil"/>
              <w:left w:val="nil"/>
              <w:bottom w:val="single" w:sz="4" w:space="0" w:color="000000"/>
              <w:right w:val="nil"/>
            </w:tcBorders>
            <w:shd w:val="clear" w:color="D9D9D9" w:fill="D9D9D9"/>
            <w:noWrap/>
            <w:vAlign w:val="bottom"/>
            <w:hideMark/>
          </w:tcPr>
          <w:p w:rsidR="006E6D1D" w:rsidRPr="00924CB1" w:rsidRDefault="006E6D1D" w:rsidP="008D6A91">
            <w:pPr>
              <w:jc w:val="right"/>
              <w:rPr>
                <w:rFonts w:eastAsia="Times New Roman" w:cs="Arial"/>
                <w:b/>
                <w:bCs/>
                <w:color w:val="000000"/>
                <w:szCs w:val="20"/>
                <w:lang w:eastAsia="pt-BR"/>
              </w:rPr>
            </w:pPr>
            <w:r w:rsidRPr="00DE7449">
              <w:rPr>
                <w:rFonts w:eastAsia="Times New Roman" w:cs="Arial"/>
                <w:b/>
                <w:bCs/>
                <w:color w:val="000000"/>
                <w:szCs w:val="20"/>
                <w:lang w:eastAsia="pt-BR"/>
              </w:rPr>
              <w:t>180</w:t>
            </w:r>
            <w:r>
              <w:rPr>
                <w:rFonts w:eastAsia="Times New Roman" w:cs="Arial"/>
                <w:b/>
                <w:bCs/>
                <w:color w:val="000000"/>
                <w:szCs w:val="20"/>
                <w:lang w:eastAsia="pt-BR"/>
              </w:rPr>
              <w:t>.</w:t>
            </w:r>
            <w:r w:rsidRPr="00DE7449">
              <w:rPr>
                <w:rFonts w:eastAsia="Times New Roman" w:cs="Arial"/>
                <w:b/>
                <w:bCs/>
                <w:color w:val="000000"/>
                <w:szCs w:val="20"/>
                <w:lang w:eastAsia="pt-BR"/>
              </w:rPr>
              <w:t>811</w:t>
            </w:r>
            <w:r>
              <w:rPr>
                <w:rFonts w:eastAsia="Times New Roman" w:cs="Arial"/>
                <w:b/>
                <w:bCs/>
                <w:color w:val="000000"/>
                <w:szCs w:val="20"/>
                <w:lang w:eastAsia="pt-BR"/>
              </w:rPr>
              <w:t>.</w:t>
            </w:r>
            <w:r w:rsidRPr="00DE7449">
              <w:rPr>
                <w:rFonts w:eastAsia="Times New Roman" w:cs="Arial"/>
                <w:b/>
                <w:bCs/>
                <w:color w:val="000000"/>
                <w:szCs w:val="20"/>
                <w:lang w:eastAsia="pt-BR"/>
              </w:rPr>
              <w:t>657,77</w:t>
            </w:r>
          </w:p>
        </w:tc>
        <w:tc>
          <w:tcPr>
            <w:tcW w:w="960" w:type="dxa"/>
            <w:tcBorders>
              <w:top w:val="nil"/>
              <w:left w:val="nil"/>
              <w:bottom w:val="single" w:sz="4" w:space="0" w:color="000000"/>
              <w:right w:val="nil"/>
            </w:tcBorders>
            <w:shd w:val="clear" w:color="D9D9D9" w:fill="D9D9D9"/>
            <w:noWrap/>
            <w:vAlign w:val="bottom"/>
            <w:hideMark/>
          </w:tcPr>
          <w:p w:rsidR="006E6D1D" w:rsidRPr="00924CB1" w:rsidRDefault="006E6D1D" w:rsidP="008D6A91">
            <w:pPr>
              <w:jc w:val="right"/>
              <w:rPr>
                <w:rFonts w:eastAsia="Times New Roman" w:cs="Arial"/>
                <w:b/>
                <w:bCs/>
                <w:color w:val="000000"/>
                <w:szCs w:val="20"/>
                <w:lang w:eastAsia="pt-BR"/>
              </w:rPr>
            </w:pPr>
            <w:r w:rsidRPr="00924CB1">
              <w:rPr>
                <w:rFonts w:eastAsia="Times New Roman" w:cs="Arial"/>
                <w:b/>
                <w:bCs/>
                <w:color w:val="000000"/>
                <w:szCs w:val="20"/>
                <w:lang w:eastAsia="pt-BR"/>
              </w:rPr>
              <w:t>-2,</w:t>
            </w:r>
            <w:r>
              <w:rPr>
                <w:rFonts w:eastAsia="Times New Roman" w:cs="Arial"/>
                <w:b/>
                <w:bCs/>
                <w:color w:val="000000"/>
                <w:szCs w:val="20"/>
                <w:lang w:eastAsia="pt-BR"/>
              </w:rPr>
              <w:t>73</w:t>
            </w:r>
            <w:r w:rsidRPr="00924CB1">
              <w:rPr>
                <w:rFonts w:eastAsia="Times New Roman" w:cs="Arial"/>
                <w:b/>
                <w:bCs/>
                <w:color w:val="000000"/>
                <w:szCs w:val="20"/>
                <w:lang w:eastAsia="pt-BR"/>
              </w:rPr>
              <w:t>%</w:t>
            </w:r>
          </w:p>
        </w:tc>
      </w:tr>
    </w:tbl>
    <w:p w:rsidR="006E6D1D" w:rsidRPr="00B83A9E" w:rsidRDefault="006E6D1D" w:rsidP="006E6D1D">
      <w:pPr>
        <w:rPr>
          <w:rFonts w:cs="Arial"/>
          <w:i/>
          <w:szCs w:val="20"/>
        </w:rPr>
      </w:pPr>
      <w:r w:rsidRPr="00B83A9E">
        <w:rPr>
          <w:rFonts w:cs="Arial"/>
          <w:i/>
          <w:szCs w:val="20"/>
        </w:rPr>
        <w:t>Fonte: SIAFI, 2017 e 2016.</w:t>
      </w:r>
    </w:p>
    <w:p w:rsidR="006E6D1D" w:rsidRPr="0037110A" w:rsidRDefault="006E6D1D" w:rsidP="006E6D1D">
      <w:pPr>
        <w:rPr>
          <w:rFonts w:cs="Arial"/>
          <w:sz w:val="22"/>
        </w:rPr>
      </w:pPr>
    </w:p>
    <w:p w:rsidR="006E6D1D" w:rsidRPr="0037110A" w:rsidRDefault="006E6D1D" w:rsidP="006E6D1D">
      <w:pPr>
        <w:rPr>
          <w:rFonts w:cs="Arial"/>
          <w:b/>
          <w:sz w:val="22"/>
        </w:rPr>
      </w:pPr>
      <w:r w:rsidRPr="0037110A">
        <w:rPr>
          <w:rFonts w:cs="Arial"/>
          <w:b/>
          <w:sz w:val="22"/>
        </w:rPr>
        <w:t>Bens Móveis</w:t>
      </w:r>
    </w:p>
    <w:p w:rsidR="006E6D1D" w:rsidRPr="0037110A" w:rsidRDefault="006E6D1D" w:rsidP="006E6D1D">
      <w:pPr>
        <w:rPr>
          <w:rFonts w:cs="Arial"/>
          <w:sz w:val="22"/>
        </w:rPr>
      </w:pPr>
    </w:p>
    <w:p w:rsidR="006E6D1D" w:rsidRPr="0037110A" w:rsidRDefault="006E6D1D" w:rsidP="006E6D1D">
      <w:pPr>
        <w:rPr>
          <w:rFonts w:cs="Arial"/>
          <w:sz w:val="22"/>
        </w:rPr>
      </w:pPr>
      <w:r w:rsidRPr="0037110A">
        <w:rPr>
          <w:rFonts w:cs="Arial"/>
          <w:sz w:val="22"/>
        </w:rPr>
        <w:t>Os Bens Móveis da AN</w:t>
      </w:r>
      <w:r>
        <w:rPr>
          <w:rFonts w:cs="Arial"/>
          <w:sz w:val="22"/>
        </w:rPr>
        <w:t>P</w:t>
      </w:r>
      <w:r w:rsidRPr="0037110A">
        <w:rPr>
          <w:rFonts w:cs="Arial"/>
          <w:sz w:val="22"/>
        </w:rPr>
        <w:t xml:space="preserve"> em 3</w:t>
      </w:r>
      <w:r>
        <w:rPr>
          <w:rFonts w:cs="Arial"/>
          <w:sz w:val="22"/>
        </w:rPr>
        <w:t>1</w:t>
      </w:r>
      <w:r w:rsidRPr="0037110A">
        <w:rPr>
          <w:rFonts w:cs="Arial"/>
          <w:sz w:val="22"/>
        </w:rPr>
        <w:t>/</w:t>
      </w:r>
      <w:r>
        <w:rPr>
          <w:rFonts w:cs="Arial"/>
          <w:sz w:val="22"/>
        </w:rPr>
        <w:t>12</w:t>
      </w:r>
      <w:r w:rsidRPr="0037110A">
        <w:rPr>
          <w:rFonts w:cs="Arial"/>
          <w:sz w:val="22"/>
        </w:rPr>
        <w:t>/201</w:t>
      </w:r>
      <w:r>
        <w:rPr>
          <w:rFonts w:cs="Arial"/>
          <w:sz w:val="22"/>
        </w:rPr>
        <w:t>7</w:t>
      </w:r>
      <w:r w:rsidRPr="0037110A">
        <w:rPr>
          <w:rFonts w:cs="Arial"/>
          <w:sz w:val="22"/>
        </w:rPr>
        <w:t xml:space="preserve"> totalizaram R$</w:t>
      </w:r>
      <w:r>
        <w:rPr>
          <w:rFonts w:cs="Arial"/>
          <w:sz w:val="22"/>
        </w:rPr>
        <w:t xml:space="preserve"> 75 milhões</w:t>
      </w:r>
      <w:r w:rsidRPr="0037110A">
        <w:rPr>
          <w:rFonts w:cs="Arial"/>
          <w:sz w:val="22"/>
        </w:rPr>
        <w:t xml:space="preserve"> e estão distribuídos em várias contas contábeis confor</w:t>
      </w:r>
      <w:r>
        <w:rPr>
          <w:rFonts w:cs="Arial"/>
          <w:sz w:val="22"/>
        </w:rPr>
        <w:t>me detalhado na tabela a seguir:</w:t>
      </w:r>
    </w:p>
    <w:p w:rsidR="006E6D1D" w:rsidRPr="0037110A" w:rsidRDefault="006E6D1D" w:rsidP="006E6D1D">
      <w:pPr>
        <w:rPr>
          <w:rFonts w:cs="Arial"/>
          <w:b/>
          <w:sz w:val="22"/>
        </w:rPr>
      </w:pPr>
    </w:p>
    <w:p w:rsidR="006E6D1D" w:rsidRPr="0037110A" w:rsidRDefault="006E6D1D" w:rsidP="006E6D1D">
      <w:pPr>
        <w:rPr>
          <w:rFonts w:cs="Arial"/>
          <w:b/>
          <w:sz w:val="22"/>
        </w:rPr>
      </w:pPr>
      <w:r w:rsidRPr="00E65DFE">
        <w:rPr>
          <w:rFonts w:cs="Arial"/>
          <w:b/>
          <w:sz w:val="22"/>
        </w:rPr>
        <w:t>Tabela</w:t>
      </w:r>
      <w:r>
        <w:rPr>
          <w:rFonts w:cs="Arial"/>
          <w:b/>
          <w:sz w:val="22"/>
        </w:rPr>
        <w:t xml:space="preserve"> 2</w:t>
      </w:r>
      <w:r w:rsidRPr="00E65DFE">
        <w:rPr>
          <w:rFonts w:cs="Arial"/>
          <w:b/>
          <w:sz w:val="22"/>
        </w:rPr>
        <w:t xml:space="preserve"> </w:t>
      </w:r>
      <w:r w:rsidRPr="0037110A">
        <w:rPr>
          <w:rFonts w:cs="Arial"/>
          <w:b/>
          <w:sz w:val="22"/>
        </w:rPr>
        <w:t>– Bens Móveis – Composição.</w:t>
      </w:r>
    </w:p>
    <w:p w:rsidR="006E6D1D" w:rsidRDefault="006E6D1D" w:rsidP="006E6D1D">
      <w:pPr>
        <w:jc w:val="center"/>
        <w:rPr>
          <w:rFonts w:cs="Arial"/>
          <w:sz w:val="22"/>
        </w:rPr>
      </w:pPr>
      <w:r w:rsidRPr="0037110A">
        <w:rPr>
          <w:rFonts w:cs="Arial"/>
          <w:sz w:val="22"/>
        </w:rPr>
        <w:t xml:space="preserve">                                                                  </w:t>
      </w:r>
      <w:r>
        <w:rPr>
          <w:rFonts w:cs="Arial"/>
          <w:sz w:val="22"/>
        </w:rPr>
        <w:t xml:space="preserve">                                                                            R$</w:t>
      </w:r>
      <w:r w:rsidRPr="0037110A">
        <w:rPr>
          <w:rFonts w:cs="Arial"/>
          <w:sz w:val="22"/>
        </w:rPr>
        <w:t xml:space="preserve"> </w:t>
      </w:r>
    </w:p>
    <w:tbl>
      <w:tblPr>
        <w:tblW w:w="9100" w:type="dxa"/>
        <w:tblCellMar>
          <w:left w:w="70" w:type="dxa"/>
          <w:right w:w="70" w:type="dxa"/>
        </w:tblCellMar>
        <w:tblLook w:val="04A0" w:firstRow="1" w:lastRow="0" w:firstColumn="1" w:lastColumn="0" w:noHBand="0" w:noVBand="1"/>
      </w:tblPr>
      <w:tblGrid>
        <w:gridCol w:w="4560"/>
        <w:gridCol w:w="1680"/>
        <w:gridCol w:w="1780"/>
        <w:gridCol w:w="1080"/>
      </w:tblGrid>
      <w:tr w:rsidR="006E6D1D" w:rsidRPr="00B5064F" w:rsidTr="008D6A91">
        <w:trPr>
          <w:trHeight w:val="255"/>
        </w:trPr>
        <w:tc>
          <w:tcPr>
            <w:tcW w:w="4560" w:type="dxa"/>
            <w:tcBorders>
              <w:top w:val="single" w:sz="4" w:space="0" w:color="000000"/>
              <w:left w:val="nil"/>
              <w:bottom w:val="single" w:sz="4" w:space="0" w:color="000000"/>
              <w:right w:val="nil"/>
            </w:tcBorders>
            <w:shd w:val="clear" w:color="auto" w:fill="auto"/>
            <w:noWrap/>
            <w:vAlign w:val="bottom"/>
            <w:hideMark/>
          </w:tcPr>
          <w:p w:rsidR="006E6D1D" w:rsidRPr="00B5064F" w:rsidRDefault="006E6D1D" w:rsidP="008D6A91">
            <w:pPr>
              <w:jc w:val="left"/>
              <w:rPr>
                <w:rFonts w:eastAsia="Times New Roman" w:cs="Arial"/>
                <w:b/>
                <w:bCs/>
                <w:color w:val="FFFFFF"/>
                <w:szCs w:val="20"/>
                <w:lang w:eastAsia="pt-BR"/>
              </w:rPr>
            </w:pPr>
            <w:r w:rsidRPr="00B5064F">
              <w:rPr>
                <w:rFonts w:eastAsia="Times New Roman" w:cs="Arial"/>
                <w:b/>
                <w:bCs/>
                <w:color w:val="FFFFFF"/>
                <w:szCs w:val="20"/>
                <w:lang w:eastAsia="pt-BR"/>
              </w:rPr>
              <w:t>Colunas1</w:t>
            </w:r>
          </w:p>
        </w:tc>
        <w:tc>
          <w:tcPr>
            <w:tcW w:w="1680" w:type="dxa"/>
            <w:tcBorders>
              <w:top w:val="single" w:sz="4" w:space="0" w:color="000000"/>
              <w:left w:val="nil"/>
              <w:bottom w:val="single" w:sz="4" w:space="0" w:color="000000"/>
              <w:right w:val="nil"/>
            </w:tcBorders>
            <w:shd w:val="clear" w:color="auto" w:fill="auto"/>
            <w:noWrap/>
            <w:vAlign w:val="bottom"/>
            <w:hideMark/>
          </w:tcPr>
          <w:p w:rsidR="006E6D1D" w:rsidRPr="00B5064F" w:rsidRDefault="006E6D1D" w:rsidP="008D6A91">
            <w:pPr>
              <w:jc w:val="right"/>
              <w:rPr>
                <w:rFonts w:eastAsia="Times New Roman" w:cs="Arial"/>
                <w:b/>
                <w:bCs/>
                <w:color w:val="000000"/>
                <w:szCs w:val="20"/>
                <w:lang w:eastAsia="pt-BR"/>
              </w:rPr>
            </w:pPr>
            <w:r w:rsidRPr="00B5064F">
              <w:rPr>
                <w:rFonts w:eastAsia="Times New Roman" w:cs="Arial"/>
                <w:b/>
                <w:bCs/>
                <w:color w:val="000000"/>
                <w:szCs w:val="20"/>
                <w:lang w:eastAsia="pt-BR"/>
              </w:rPr>
              <w:t>3</w:t>
            </w:r>
            <w:r>
              <w:rPr>
                <w:rFonts w:eastAsia="Times New Roman" w:cs="Arial"/>
                <w:b/>
                <w:bCs/>
                <w:color w:val="000000"/>
                <w:szCs w:val="20"/>
                <w:lang w:eastAsia="pt-BR"/>
              </w:rPr>
              <w:t>1</w:t>
            </w:r>
            <w:r w:rsidRPr="00B5064F">
              <w:rPr>
                <w:rFonts w:eastAsia="Times New Roman" w:cs="Arial"/>
                <w:b/>
                <w:bCs/>
                <w:color w:val="000000"/>
                <w:szCs w:val="20"/>
                <w:lang w:eastAsia="pt-BR"/>
              </w:rPr>
              <w:t>/</w:t>
            </w:r>
            <w:r>
              <w:rPr>
                <w:rFonts w:eastAsia="Times New Roman" w:cs="Arial"/>
                <w:b/>
                <w:bCs/>
                <w:color w:val="000000"/>
                <w:szCs w:val="20"/>
                <w:lang w:eastAsia="pt-BR"/>
              </w:rPr>
              <w:t>12</w:t>
            </w:r>
            <w:r w:rsidRPr="00B5064F">
              <w:rPr>
                <w:rFonts w:eastAsia="Times New Roman" w:cs="Arial"/>
                <w:b/>
                <w:bCs/>
                <w:color w:val="000000"/>
                <w:szCs w:val="20"/>
                <w:lang w:eastAsia="pt-BR"/>
              </w:rPr>
              <w:t>/2017</w:t>
            </w:r>
          </w:p>
        </w:tc>
        <w:tc>
          <w:tcPr>
            <w:tcW w:w="1780" w:type="dxa"/>
            <w:tcBorders>
              <w:top w:val="single" w:sz="4" w:space="0" w:color="000000"/>
              <w:left w:val="nil"/>
              <w:bottom w:val="single" w:sz="4" w:space="0" w:color="000000"/>
              <w:right w:val="nil"/>
            </w:tcBorders>
            <w:shd w:val="clear" w:color="auto" w:fill="auto"/>
            <w:noWrap/>
            <w:vAlign w:val="bottom"/>
            <w:hideMark/>
          </w:tcPr>
          <w:p w:rsidR="006E6D1D" w:rsidRPr="00B5064F" w:rsidRDefault="006E6D1D" w:rsidP="008D6A91">
            <w:pPr>
              <w:jc w:val="right"/>
              <w:rPr>
                <w:rFonts w:eastAsia="Times New Roman" w:cs="Arial"/>
                <w:b/>
                <w:bCs/>
                <w:color w:val="000000"/>
                <w:szCs w:val="20"/>
                <w:lang w:eastAsia="pt-BR"/>
              </w:rPr>
            </w:pPr>
            <w:r w:rsidRPr="00B5064F">
              <w:rPr>
                <w:rFonts w:eastAsia="Times New Roman" w:cs="Arial"/>
                <w:b/>
                <w:bCs/>
                <w:color w:val="000000"/>
                <w:szCs w:val="20"/>
                <w:lang w:eastAsia="pt-BR"/>
              </w:rPr>
              <w:t>31/12/2016</w:t>
            </w:r>
          </w:p>
        </w:tc>
        <w:tc>
          <w:tcPr>
            <w:tcW w:w="1080" w:type="dxa"/>
            <w:tcBorders>
              <w:top w:val="single" w:sz="4" w:space="0" w:color="000000"/>
              <w:left w:val="nil"/>
              <w:bottom w:val="single" w:sz="4" w:space="0" w:color="000000"/>
              <w:right w:val="nil"/>
            </w:tcBorders>
            <w:shd w:val="clear" w:color="auto" w:fill="auto"/>
            <w:noWrap/>
            <w:vAlign w:val="bottom"/>
            <w:hideMark/>
          </w:tcPr>
          <w:p w:rsidR="006E6D1D" w:rsidRPr="00B5064F" w:rsidRDefault="006E6D1D" w:rsidP="008D6A91">
            <w:pPr>
              <w:jc w:val="right"/>
              <w:rPr>
                <w:rFonts w:eastAsia="Times New Roman" w:cs="Arial"/>
                <w:b/>
                <w:bCs/>
                <w:color w:val="000000"/>
                <w:szCs w:val="20"/>
                <w:lang w:eastAsia="pt-BR"/>
              </w:rPr>
            </w:pPr>
            <w:r w:rsidRPr="00B5064F">
              <w:rPr>
                <w:rFonts w:eastAsia="Times New Roman" w:cs="Arial"/>
                <w:b/>
                <w:bCs/>
                <w:color w:val="000000"/>
                <w:szCs w:val="20"/>
                <w:lang w:eastAsia="pt-BR"/>
              </w:rPr>
              <w:t>AH (%)</w:t>
            </w:r>
          </w:p>
        </w:tc>
      </w:tr>
      <w:tr w:rsidR="006E6D1D" w:rsidRPr="00B5064F" w:rsidTr="008D6A91">
        <w:trPr>
          <w:trHeight w:val="255"/>
        </w:trPr>
        <w:tc>
          <w:tcPr>
            <w:tcW w:w="4560" w:type="dxa"/>
            <w:tcBorders>
              <w:top w:val="nil"/>
              <w:left w:val="nil"/>
              <w:bottom w:val="nil"/>
              <w:right w:val="nil"/>
            </w:tcBorders>
            <w:shd w:val="clear" w:color="000000" w:fill="D9D9D9"/>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Bens de Informática</w:t>
            </w:r>
          </w:p>
        </w:tc>
        <w:tc>
          <w:tcPr>
            <w:tcW w:w="1680" w:type="dxa"/>
            <w:tcBorders>
              <w:top w:val="nil"/>
              <w:left w:val="nil"/>
              <w:bottom w:val="nil"/>
              <w:right w:val="nil"/>
            </w:tcBorders>
            <w:shd w:val="clear" w:color="D9D9D9" w:fill="D9D9D9"/>
            <w:noWrap/>
            <w:vAlign w:val="bottom"/>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34.105.442,53</w:t>
            </w:r>
          </w:p>
        </w:tc>
        <w:tc>
          <w:tcPr>
            <w:tcW w:w="1780" w:type="dxa"/>
            <w:tcBorders>
              <w:top w:val="nil"/>
              <w:left w:val="nil"/>
              <w:bottom w:val="nil"/>
              <w:right w:val="nil"/>
            </w:tcBorders>
            <w:shd w:val="clear" w:color="D9D9D9" w:fill="D9D9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32</w:t>
            </w:r>
            <w:r>
              <w:rPr>
                <w:rFonts w:eastAsia="Times New Roman" w:cs="Arial"/>
                <w:color w:val="000000"/>
                <w:szCs w:val="20"/>
                <w:lang w:eastAsia="pt-BR"/>
              </w:rPr>
              <w:t>.</w:t>
            </w:r>
            <w:r w:rsidRPr="00D91263">
              <w:rPr>
                <w:rFonts w:eastAsia="Times New Roman" w:cs="Arial"/>
                <w:color w:val="000000"/>
                <w:szCs w:val="20"/>
                <w:lang w:eastAsia="pt-BR"/>
              </w:rPr>
              <w:t>272</w:t>
            </w:r>
            <w:r>
              <w:rPr>
                <w:rFonts w:eastAsia="Times New Roman" w:cs="Arial"/>
                <w:color w:val="000000"/>
                <w:szCs w:val="20"/>
                <w:lang w:eastAsia="pt-BR"/>
              </w:rPr>
              <w:t>.</w:t>
            </w:r>
            <w:r w:rsidRPr="00D91263">
              <w:rPr>
                <w:rFonts w:eastAsia="Times New Roman" w:cs="Arial"/>
                <w:color w:val="000000"/>
                <w:szCs w:val="20"/>
                <w:lang w:eastAsia="pt-BR"/>
              </w:rPr>
              <w:t>806,74</w:t>
            </w:r>
          </w:p>
        </w:tc>
        <w:tc>
          <w:tcPr>
            <w:tcW w:w="1080" w:type="dxa"/>
            <w:tcBorders>
              <w:top w:val="nil"/>
              <w:left w:val="nil"/>
              <w:bottom w:val="nil"/>
              <w:right w:val="nil"/>
            </w:tcBorders>
            <w:shd w:val="clear" w:color="D9D9D9" w:fill="D9D9D9"/>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5,68</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nil"/>
              <w:right w:val="nil"/>
            </w:tcBorders>
            <w:shd w:val="clear" w:color="auto" w:fill="auto"/>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Maquinas, Aparelhos, Equipamento e Ferramenta</w:t>
            </w:r>
          </w:p>
        </w:tc>
        <w:tc>
          <w:tcPr>
            <w:tcW w:w="16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32.462.594,27</w:t>
            </w:r>
          </w:p>
        </w:tc>
        <w:tc>
          <w:tcPr>
            <w:tcW w:w="17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31</w:t>
            </w:r>
            <w:r>
              <w:rPr>
                <w:rFonts w:eastAsia="Times New Roman" w:cs="Arial"/>
                <w:color w:val="000000"/>
                <w:szCs w:val="20"/>
                <w:lang w:eastAsia="pt-BR"/>
              </w:rPr>
              <w:t>.</w:t>
            </w:r>
            <w:r w:rsidRPr="00D91263">
              <w:rPr>
                <w:rFonts w:eastAsia="Times New Roman" w:cs="Arial"/>
                <w:color w:val="000000"/>
                <w:szCs w:val="20"/>
                <w:lang w:eastAsia="pt-BR"/>
              </w:rPr>
              <w:t>112</w:t>
            </w:r>
            <w:r>
              <w:rPr>
                <w:rFonts w:eastAsia="Times New Roman" w:cs="Arial"/>
                <w:color w:val="000000"/>
                <w:szCs w:val="20"/>
                <w:lang w:eastAsia="pt-BR"/>
              </w:rPr>
              <w:t>.</w:t>
            </w:r>
            <w:r w:rsidRPr="00D91263">
              <w:rPr>
                <w:rFonts w:eastAsia="Times New Roman" w:cs="Arial"/>
                <w:color w:val="000000"/>
                <w:szCs w:val="20"/>
                <w:lang w:eastAsia="pt-BR"/>
              </w:rPr>
              <w:t>635,11</w:t>
            </w:r>
          </w:p>
        </w:tc>
        <w:tc>
          <w:tcPr>
            <w:tcW w:w="1080" w:type="dxa"/>
            <w:tcBorders>
              <w:top w:val="nil"/>
              <w:left w:val="nil"/>
              <w:bottom w:val="nil"/>
              <w:right w:val="nil"/>
            </w:tcBorders>
            <w:shd w:val="clear" w:color="auto" w:fill="auto"/>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4,34</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nil"/>
              <w:right w:val="nil"/>
            </w:tcBorders>
            <w:shd w:val="clear" w:color="auto" w:fill="D9D9D9" w:themeFill="background1" w:themeFillShade="D9"/>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Material Cultural, Educacional e de Comunicação</w:t>
            </w:r>
          </w:p>
        </w:tc>
        <w:tc>
          <w:tcPr>
            <w:tcW w:w="1680" w:type="dxa"/>
            <w:tcBorders>
              <w:top w:val="nil"/>
              <w:left w:val="nil"/>
              <w:bottom w:val="nil"/>
              <w:right w:val="nil"/>
            </w:tcBorders>
            <w:shd w:val="clear" w:color="auto" w:fill="D9D9D9" w:themeFill="background1" w:themeFillShade="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3</w:t>
            </w:r>
            <w:r>
              <w:rPr>
                <w:rFonts w:eastAsia="Times New Roman" w:cs="Arial"/>
                <w:color w:val="000000"/>
                <w:szCs w:val="20"/>
                <w:lang w:eastAsia="pt-BR"/>
              </w:rPr>
              <w:t>.</w:t>
            </w:r>
            <w:r w:rsidRPr="00D91263">
              <w:rPr>
                <w:rFonts w:eastAsia="Times New Roman" w:cs="Arial"/>
                <w:color w:val="000000"/>
                <w:szCs w:val="20"/>
                <w:lang w:eastAsia="pt-BR"/>
              </w:rPr>
              <w:t>612</w:t>
            </w:r>
            <w:r>
              <w:rPr>
                <w:rFonts w:eastAsia="Times New Roman" w:cs="Arial"/>
                <w:color w:val="000000"/>
                <w:szCs w:val="20"/>
                <w:lang w:eastAsia="pt-BR"/>
              </w:rPr>
              <w:t>.</w:t>
            </w:r>
            <w:r w:rsidRPr="00D91263">
              <w:rPr>
                <w:rFonts w:eastAsia="Times New Roman" w:cs="Arial"/>
                <w:color w:val="000000"/>
                <w:szCs w:val="20"/>
                <w:lang w:eastAsia="pt-BR"/>
              </w:rPr>
              <w:t>652,94</w:t>
            </w:r>
          </w:p>
        </w:tc>
        <w:tc>
          <w:tcPr>
            <w:tcW w:w="1780" w:type="dxa"/>
            <w:tcBorders>
              <w:top w:val="nil"/>
              <w:left w:val="nil"/>
              <w:bottom w:val="nil"/>
              <w:right w:val="nil"/>
            </w:tcBorders>
            <w:shd w:val="clear" w:color="auto" w:fill="D9D9D9" w:themeFill="background1" w:themeFillShade="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4</w:t>
            </w:r>
            <w:r>
              <w:rPr>
                <w:rFonts w:eastAsia="Times New Roman" w:cs="Arial"/>
                <w:color w:val="000000"/>
                <w:szCs w:val="20"/>
                <w:lang w:eastAsia="pt-BR"/>
              </w:rPr>
              <w:t>.</w:t>
            </w:r>
            <w:r w:rsidRPr="00D91263">
              <w:rPr>
                <w:rFonts w:eastAsia="Times New Roman" w:cs="Arial"/>
                <w:color w:val="000000"/>
                <w:szCs w:val="20"/>
                <w:lang w:eastAsia="pt-BR"/>
              </w:rPr>
              <w:t>934</w:t>
            </w:r>
            <w:r>
              <w:rPr>
                <w:rFonts w:eastAsia="Times New Roman" w:cs="Arial"/>
                <w:color w:val="000000"/>
                <w:szCs w:val="20"/>
                <w:lang w:eastAsia="pt-BR"/>
              </w:rPr>
              <w:t>.</w:t>
            </w:r>
            <w:r w:rsidRPr="00D91263">
              <w:rPr>
                <w:rFonts w:eastAsia="Times New Roman" w:cs="Arial"/>
                <w:color w:val="000000"/>
                <w:szCs w:val="20"/>
                <w:lang w:eastAsia="pt-BR"/>
              </w:rPr>
              <w:t>913,83</w:t>
            </w:r>
          </w:p>
        </w:tc>
        <w:tc>
          <w:tcPr>
            <w:tcW w:w="1080" w:type="dxa"/>
            <w:tcBorders>
              <w:top w:val="nil"/>
              <w:left w:val="nil"/>
              <w:bottom w:val="nil"/>
              <w:right w:val="nil"/>
            </w:tcBorders>
            <w:shd w:val="clear" w:color="auto" w:fill="D9D9D9" w:themeFill="background1" w:themeFillShade="D9"/>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-26,79</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nil"/>
              <w:right w:val="nil"/>
            </w:tcBorders>
            <w:shd w:val="clear" w:color="auto" w:fill="auto"/>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Móveis e Utensílios</w:t>
            </w:r>
          </w:p>
        </w:tc>
        <w:tc>
          <w:tcPr>
            <w:tcW w:w="16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17.487.729,61</w:t>
            </w:r>
          </w:p>
        </w:tc>
        <w:tc>
          <w:tcPr>
            <w:tcW w:w="17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17</w:t>
            </w:r>
            <w:r>
              <w:rPr>
                <w:rFonts w:eastAsia="Times New Roman" w:cs="Arial"/>
                <w:color w:val="000000"/>
                <w:szCs w:val="20"/>
                <w:lang w:eastAsia="pt-BR"/>
              </w:rPr>
              <w:t>.</w:t>
            </w:r>
            <w:r w:rsidRPr="00D91263">
              <w:rPr>
                <w:rFonts w:eastAsia="Times New Roman" w:cs="Arial"/>
                <w:color w:val="000000"/>
                <w:szCs w:val="20"/>
                <w:lang w:eastAsia="pt-BR"/>
              </w:rPr>
              <w:t>604</w:t>
            </w:r>
            <w:r>
              <w:rPr>
                <w:rFonts w:eastAsia="Times New Roman" w:cs="Arial"/>
                <w:color w:val="000000"/>
                <w:szCs w:val="20"/>
                <w:lang w:eastAsia="pt-BR"/>
              </w:rPr>
              <w:t>.</w:t>
            </w:r>
            <w:r w:rsidRPr="00D91263">
              <w:rPr>
                <w:rFonts w:eastAsia="Times New Roman" w:cs="Arial"/>
                <w:color w:val="000000"/>
                <w:szCs w:val="20"/>
                <w:lang w:eastAsia="pt-BR"/>
              </w:rPr>
              <w:t>814,84</w:t>
            </w:r>
          </w:p>
        </w:tc>
        <w:tc>
          <w:tcPr>
            <w:tcW w:w="1080" w:type="dxa"/>
            <w:tcBorders>
              <w:top w:val="nil"/>
              <w:left w:val="nil"/>
              <w:bottom w:val="nil"/>
              <w:right w:val="nil"/>
            </w:tcBorders>
            <w:shd w:val="clear" w:color="auto" w:fill="auto"/>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-0,67</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nil"/>
              <w:right w:val="nil"/>
            </w:tcBorders>
            <w:shd w:val="clear" w:color="auto" w:fill="D9D9D9" w:themeFill="background1" w:themeFillShade="D9"/>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Veículos</w:t>
            </w:r>
          </w:p>
        </w:tc>
        <w:tc>
          <w:tcPr>
            <w:tcW w:w="1680" w:type="dxa"/>
            <w:tcBorders>
              <w:top w:val="nil"/>
              <w:left w:val="nil"/>
              <w:bottom w:val="nil"/>
              <w:right w:val="nil"/>
            </w:tcBorders>
            <w:shd w:val="clear" w:color="auto" w:fill="D9D9D9" w:themeFill="background1" w:themeFillShade="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39</w:t>
            </w:r>
            <w:r>
              <w:rPr>
                <w:rFonts w:eastAsia="Times New Roman" w:cs="Arial"/>
                <w:color w:val="000000"/>
                <w:szCs w:val="20"/>
                <w:lang w:eastAsia="pt-BR"/>
              </w:rPr>
              <w:t>.</w:t>
            </w:r>
            <w:r w:rsidRPr="00D91263">
              <w:rPr>
                <w:rFonts w:eastAsia="Times New Roman" w:cs="Arial"/>
                <w:color w:val="000000"/>
                <w:szCs w:val="20"/>
                <w:lang w:eastAsia="pt-BR"/>
              </w:rPr>
              <w:t>873,97</w:t>
            </w:r>
          </w:p>
        </w:tc>
        <w:tc>
          <w:tcPr>
            <w:tcW w:w="1780" w:type="dxa"/>
            <w:tcBorders>
              <w:top w:val="nil"/>
              <w:left w:val="nil"/>
              <w:bottom w:val="nil"/>
              <w:right w:val="nil"/>
            </w:tcBorders>
            <w:shd w:val="clear" w:color="auto" w:fill="D9D9D9" w:themeFill="background1" w:themeFillShade="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80</w:t>
            </w:r>
            <w:r>
              <w:rPr>
                <w:rFonts w:eastAsia="Times New Roman" w:cs="Arial"/>
                <w:color w:val="000000"/>
                <w:szCs w:val="20"/>
                <w:lang w:eastAsia="pt-BR"/>
              </w:rPr>
              <w:t>.</w:t>
            </w:r>
            <w:r w:rsidRPr="00D91263">
              <w:rPr>
                <w:rFonts w:eastAsia="Times New Roman" w:cs="Arial"/>
                <w:color w:val="000000"/>
                <w:szCs w:val="20"/>
                <w:lang w:eastAsia="pt-BR"/>
              </w:rPr>
              <w:t>547,97</w:t>
            </w:r>
          </w:p>
        </w:tc>
        <w:tc>
          <w:tcPr>
            <w:tcW w:w="1080" w:type="dxa"/>
            <w:tcBorders>
              <w:top w:val="nil"/>
              <w:left w:val="nil"/>
              <w:bottom w:val="nil"/>
              <w:right w:val="nil"/>
            </w:tcBorders>
            <w:shd w:val="clear" w:color="auto" w:fill="D9D9D9" w:themeFill="background1" w:themeFillShade="D9"/>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-50,50</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nil"/>
              <w:right w:val="nil"/>
            </w:tcBorders>
            <w:shd w:val="clear" w:color="auto" w:fill="auto"/>
            <w:noWrap/>
            <w:vAlign w:val="center"/>
          </w:tcPr>
          <w:p w:rsidR="006E6D1D" w:rsidRPr="00B5064F" w:rsidRDefault="006E6D1D" w:rsidP="008D6A91">
            <w:pPr>
              <w:jc w:val="left"/>
              <w:rPr>
                <w:rFonts w:eastAsia="Times New Roman" w:cs="Arial"/>
                <w:color w:val="000000"/>
                <w:szCs w:val="20"/>
                <w:lang w:eastAsia="pt-BR"/>
              </w:rPr>
            </w:pPr>
            <w:r>
              <w:rPr>
                <w:rFonts w:eastAsia="Times New Roman" w:cs="Arial"/>
                <w:color w:val="000000"/>
                <w:szCs w:val="20"/>
                <w:lang w:eastAsia="pt-BR"/>
              </w:rPr>
              <w:t>Peças e Conjunto de reposição</w:t>
            </w:r>
          </w:p>
        </w:tc>
        <w:tc>
          <w:tcPr>
            <w:tcW w:w="16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194</w:t>
            </w:r>
            <w:r>
              <w:rPr>
                <w:rFonts w:eastAsia="Times New Roman" w:cs="Arial"/>
                <w:color w:val="000000"/>
                <w:szCs w:val="20"/>
                <w:lang w:eastAsia="pt-BR"/>
              </w:rPr>
              <w:t>.</w:t>
            </w:r>
            <w:r w:rsidRPr="00D91263">
              <w:rPr>
                <w:rFonts w:eastAsia="Times New Roman" w:cs="Arial"/>
                <w:color w:val="000000"/>
                <w:szCs w:val="20"/>
                <w:lang w:eastAsia="pt-BR"/>
              </w:rPr>
              <w:t>531,61</w:t>
            </w:r>
          </w:p>
        </w:tc>
        <w:tc>
          <w:tcPr>
            <w:tcW w:w="17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194</w:t>
            </w:r>
            <w:r>
              <w:rPr>
                <w:rFonts w:eastAsia="Times New Roman" w:cs="Arial"/>
                <w:color w:val="000000"/>
                <w:szCs w:val="20"/>
                <w:lang w:eastAsia="pt-BR"/>
              </w:rPr>
              <w:t>.</w:t>
            </w:r>
            <w:r w:rsidRPr="00D91263">
              <w:rPr>
                <w:rFonts w:eastAsia="Times New Roman" w:cs="Arial"/>
                <w:color w:val="000000"/>
                <w:szCs w:val="20"/>
                <w:lang w:eastAsia="pt-BR"/>
              </w:rPr>
              <w:t>531,61</w:t>
            </w:r>
          </w:p>
        </w:tc>
        <w:tc>
          <w:tcPr>
            <w:tcW w:w="1080" w:type="dxa"/>
            <w:tcBorders>
              <w:top w:val="nil"/>
              <w:left w:val="nil"/>
              <w:bottom w:val="nil"/>
              <w:right w:val="nil"/>
            </w:tcBorders>
            <w:shd w:val="clear" w:color="auto" w:fill="auto"/>
            <w:noWrap/>
            <w:vAlign w:val="bottom"/>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0%</w:t>
            </w:r>
          </w:p>
        </w:tc>
      </w:tr>
      <w:tr w:rsidR="006E6D1D" w:rsidRPr="00B5064F" w:rsidTr="008D6A91">
        <w:trPr>
          <w:trHeight w:val="255"/>
        </w:trPr>
        <w:tc>
          <w:tcPr>
            <w:tcW w:w="4560" w:type="dxa"/>
            <w:tcBorders>
              <w:top w:val="nil"/>
              <w:left w:val="nil"/>
              <w:bottom w:val="nil"/>
              <w:right w:val="nil"/>
            </w:tcBorders>
            <w:shd w:val="clear" w:color="000000" w:fill="D9D9D9"/>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Demais Bens Móveis</w:t>
            </w:r>
          </w:p>
        </w:tc>
        <w:tc>
          <w:tcPr>
            <w:tcW w:w="1680" w:type="dxa"/>
            <w:tcBorders>
              <w:top w:val="nil"/>
              <w:left w:val="nil"/>
              <w:bottom w:val="nil"/>
              <w:right w:val="nil"/>
            </w:tcBorders>
            <w:shd w:val="clear" w:color="D9D9D9" w:fill="D9D9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139</w:t>
            </w:r>
            <w:r>
              <w:rPr>
                <w:rFonts w:eastAsia="Times New Roman" w:cs="Arial"/>
                <w:color w:val="000000"/>
                <w:szCs w:val="20"/>
                <w:lang w:eastAsia="pt-BR"/>
              </w:rPr>
              <w:t>.</w:t>
            </w:r>
            <w:r w:rsidRPr="00D91263">
              <w:rPr>
                <w:rFonts w:eastAsia="Times New Roman" w:cs="Arial"/>
                <w:color w:val="000000"/>
                <w:szCs w:val="20"/>
                <w:lang w:eastAsia="pt-BR"/>
              </w:rPr>
              <w:t>395,54</w:t>
            </w:r>
          </w:p>
        </w:tc>
        <w:tc>
          <w:tcPr>
            <w:tcW w:w="1780" w:type="dxa"/>
            <w:tcBorders>
              <w:top w:val="nil"/>
              <w:left w:val="nil"/>
              <w:bottom w:val="nil"/>
              <w:right w:val="nil"/>
            </w:tcBorders>
            <w:shd w:val="clear" w:color="D9D9D9" w:fill="D9D9D9"/>
            <w:noWrap/>
            <w:vAlign w:val="bottom"/>
          </w:tcPr>
          <w:p w:rsidR="006E6D1D" w:rsidRPr="00B5064F" w:rsidRDefault="006E6D1D" w:rsidP="008D6A91">
            <w:pPr>
              <w:jc w:val="right"/>
              <w:rPr>
                <w:rFonts w:eastAsia="Times New Roman" w:cs="Arial"/>
                <w:color w:val="000000"/>
                <w:szCs w:val="20"/>
                <w:lang w:eastAsia="pt-BR"/>
              </w:rPr>
            </w:pPr>
            <w:r w:rsidRPr="00D91263">
              <w:rPr>
                <w:rFonts w:eastAsia="Times New Roman" w:cs="Arial"/>
                <w:color w:val="000000"/>
                <w:szCs w:val="20"/>
                <w:lang w:eastAsia="pt-BR"/>
              </w:rPr>
              <w:t>139</w:t>
            </w:r>
            <w:r>
              <w:rPr>
                <w:rFonts w:eastAsia="Times New Roman" w:cs="Arial"/>
                <w:color w:val="000000"/>
                <w:szCs w:val="20"/>
                <w:lang w:eastAsia="pt-BR"/>
              </w:rPr>
              <w:t>.</w:t>
            </w:r>
            <w:r w:rsidRPr="00D91263">
              <w:rPr>
                <w:rFonts w:eastAsia="Times New Roman" w:cs="Arial"/>
                <w:color w:val="000000"/>
                <w:szCs w:val="20"/>
                <w:lang w:eastAsia="pt-BR"/>
              </w:rPr>
              <w:t>649,54</w:t>
            </w:r>
          </w:p>
        </w:tc>
        <w:tc>
          <w:tcPr>
            <w:tcW w:w="1080" w:type="dxa"/>
            <w:tcBorders>
              <w:top w:val="nil"/>
              <w:left w:val="nil"/>
              <w:bottom w:val="nil"/>
              <w:right w:val="nil"/>
            </w:tcBorders>
            <w:shd w:val="clear" w:color="D9D9D9" w:fill="D9D9D9"/>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-0,18</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nil"/>
              <w:right w:val="nil"/>
            </w:tcBorders>
            <w:shd w:val="clear" w:color="auto" w:fill="auto"/>
            <w:noWrap/>
            <w:vAlign w:val="center"/>
            <w:hideMark/>
          </w:tcPr>
          <w:p w:rsidR="006E6D1D" w:rsidRPr="00B5064F" w:rsidRDefault="006E6D1D" w:rsidP="008D6A91">
            <w:pPr>
              <w:jc w:val="left"/>
              <w:rPr>
                <w:rFonts w:eastAsia="Times New Roman" w:cs="Arial"/>
                <w:color w:val="000000"/>
                <w:szCs w:val="20"/>
                <w:lang w:eastAsia="pt-BR"/>
              </w:rPr>
            </w:pPr>
            <w:r w:rsidRPr="00B5064F">
              <w:rPr>
                <w:rFonts w:eastAsia="Times New Roman" w:cs="Arial"/>
                <w:color w:val="000000"/>
                <w:szCs w:val="20"/>
                <w:lang w:eastAsia="pt-BR"/>
              </w:rPr>
              <w:t>Depreciação Acumulada - Bens Móveis</w:t>
            </w:r>
          </w:p>
        </w:tc>
        <w:tc>
          <w:tcPr>
            <w:tcW w:w="1680" w:type="dxa"/>
            <w:tcBorders>
              <w:top w:val="nil"/>
              <w:left w:val="nil"/>
              <w:bottom w:val="nil"/>
              <w:right w:val="nil"/>
            </w:tcBorders>
            <w:shd w:val="clear" w:color="auto" w:fill="auto"/>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w:t>
            </w:r>
            <w:r w:rsidRPr="00607CF7">
              <w:rPr>
                <w:rFonts w:eastAsia="Times New Roman" w:cs="Arial"/>
                <w:color w:val="000000"/>
                <w:szCs w:val="20"/>
                <w:lang w:eastAsia="pt-BR"/>
              </w:rPr>
              <w:t>12</w:t>
            </w:r>
            <w:r>
              <w:rPr>
                <w:rFonts w:eastAsia="Times New Roman" w:cs="Arial"/>
                <w:color w:val="000000"/>
                <w:szCs w:val="20"/>
                <w:lang w:eastAsia="pt-BR"/>
              </w:rPr>
              <w:t>.</w:t>
            </w:r>
            <w:r w:rsidRPr="00607CF7">
              <w:rPr>
                <w:rFonts w:eastAsia="Times New Roman" w:cs="Arial"/>
                <w:color w:val="000000"/>
                <w:szCs w:val="20"/>
                <w:lang w:eastAsia="pt-BR"/>
              </w:rPr>
              <w:t>243</w:t>
            </w:r>
            <w:r>
              <w:rPr>
                <w:rFonts w:eastAsia="Times New Roman" w:cs="Arial"/>
                <w:color w:val="000000"/>
                <w:szCs w:val="20"/>
                <w:lang w:eastAsia="pt-BR"/>
              </w:rPr>
              <w:t>.</w:t>
            </w:r>
            <w:r w:rsidRPr="00607CF7">
              <w:rPr>
                <w:rFonts w:eastAsia="Times New Roman" w:cs="Arial"/>
                <w:color w:val="000000"/>
                <w:szCs w:val="20"/>
                <w:lang w:eastAsia="pt-BR"/>
              </w:rPr>
              <w:t>277,59</w:t>
            </w:r>
          </w:p>
        </w:tc>
        <w:tc>
          <w:tcPr>
            <w:tcW w:w="1780" w:type="dxa"/>
            <w:tcBorders>
              <w:top w:val="nil"/>
              <w:left w:val="nil"/>
              <w:bottom w:val="nil"/>
              <w:right w:val="nil"/>
            </w:tcBorders>
            <w:shd w:val="clear" w:color="auto" w:fill="auto"/>
            <w:noWrap/>
            <w:vAlign w:val="bottom"/>
            <w:hideMark/>
          </w:tcPr>
          <w:p w:rsidR="006E6D1D" w:rsidRPr="00B5064F" w:rsidRDefault="006E6D1D" w:rsidP="008D6A91">
            <w:pPr>
              <w:jc w:val="right"/>
              <w:rPr>
                <w:rFonts w:eastAsia="Times New Roman" w:cs="Arial"/>
                <w:color w:val="000000"/>
                <w:szCs w:val="20"/>
                <w:lang w:eastAsia="pt-BR"/>
              </w:rPr>
            </w:pPr>
            <w:r w:rsidRPr="00DE7449">
              <w:rPr>
                <w:rFonts w:eastAsia="Times New Roman" w:cs="Arial"/>
                <w:color w:val="000000"/>
                <w:szCs w:val="20"/>
                <w:lang w:eastAsia="pt-BR"/>
              </w:rPr>
              <w:t>-10</w:t>
            </w:r>
            <w:r>
              <w:rPr>
                <w:rFonts w:eastAsia="Times New Roman" w:cs="Arial"/>
                <w:color w:val="000000"/>
                <w:szCs w:val="20"/>
                <w:lang w:eastAsia="pt-BR"/>
              </w:rPr>
              <w:t>.</w:t>
            </w:r>
            <w:r w:rsidRPr="00DE7449">
              <w:rPr>
                <w:rFonts w:eastAsia="Times New Roman" w:cs="Arial"/>
                <w:color w:val="000000"/>
                <w:szCs w:val="20"/>
                <w:lang w:eastAsia="pt-BR"/>
              </w:rPr>
              <w:t>108</w:t>
            </w:r>
            <w:r>
              <w:rPr>
                <w:rFonts w:eastAsia="Times New Roman" w:cs="Arial"/>
                <w:color w:val="000000"/>
                <w:szCs w:val="20"/>
                <w:lang w:eastAsia="pt-BR"/>
              </w:rPr>
              <w:t>.</w:t>
            </w:r>
            <w:r w:rsidRPr="00DE7449">
              <w:rPr>
                <w:rFonts w:eastAsia="Times New Roman" w:cs="Arial"/>
                <w:color w:val="000000"/>
                <w:szCs w:val="20"/>
                <w:lang w:eastAsia="pt-BR"/>
              </w:rPr>
              <w:t>038,86</w:t>
            </w:r>
          </w:p>
        </w:tc>
        <w:tc>
          <w:tcPr>
            <w:tcW w:w="1080" w:type="dxa"/>
            <w:tcBorders>
              <w:top w:val="nil"/>
              <w:left w:val="nil"/>
              <w:bottom w:val="nil"/>
              <w:right w:val="nil"/>
            </w:tcBorders>
            <w:shd w:val="clear" w:color="auto" w:fill="auto"/>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21,12</w:t>
            </w:r>
            <w:r w:rsidRPr="00B5064F">
              <w:rPr>
                <w:rFonts w:eastAsia="Times New Roman" w:cs="Arial"/>
                <w:color w:val="000000"/>
                <w:szCs w:val="20"/>
                <w:lang w:eastAsia="pt-BR"/>
              </w:rPr>
              <w:t>%</w:t>
            </w:r>
          </w:p>
        </w:tc>
      </w:tr>
      <w:tr w:rsidR="006E6D1D" w:rsidRPr="00B5064F" w:rsidTr="008D6A91">
        <w:trPr>
          <w:trHeight w:val="255"/>
        </w:trPr>
        <w:tc>
          <w:tcPr>
            <w:tcW w:w="4560" w:type="dxa"/>
            <w:tcBorders>
              <w:top w:val="nil"/>
              <w:left w:val="nil"/>
              <w:bottom w:val="single" w:sz="4" w:space="0" w:color="000000"/>
              <w:right w:val="nil"/>
            </w:tcBorders>
            <w:shd w:val="clear" w:color="D9D9D9" w:fill="D9D9D9"/>
            <w:noWrap/>
            <w:vAlign w:val="bottom"/>
            <w:hideMark/>
          </w:tcPr>
          <w:p w:rsidR="006E6D1D" w:rsidRPr="00B5064F" w:rsidRDefault="006E6D1D" w:rsidP="008D6A91">
            <w:pPr>
              <w:jc w:val="left"/>
              <w:rPr>
                <w:rFonts w:eastAsia="Times New Roman" w:cs="Arial"/>
                <w:b/>
                <w:bCs/>
                <w:color w:val="000000"/>
                <w:szCs w:val="20"/>
                <w:lang w:eastAsia="pt-BR"/>
              </w:rPr>
            </w:pPr>
            <w:r w:rsidRPr="00B5064F">
              <w:rPr>
                <w:rFonts w:eastAsia="Times New Roman" w:cs="Arial"/>
                <w:b/>
                <w:bCs/>
                <w:color w:val="000000"/>
                <w:szCs w:val="20"/>
                <w:lang w:eastAsia="pt-BR"/>
              </w:rPr>
              <w:t>Total Geral</w:t>
            </w:r>
          </w:p>
        </w:tc>
        <w:tc>
          <w:tcPr>
            <w:tcW w:w="1680" w:type="dxa"/>
            <w:tcBorders>
              <w:top w:val="nil"/>
              <w:left w:val="nil"/>
              <w:bottom w:val="single" w:sz="4" w:space="0" w:color="000000"/>
              <w:right w:val="nil"/>
            </w:tcBorders>
            <w:shd w:val="clear" w:color="D9D9D9" w:fill="D9D9D9"/>
            <w:noWrap/>
            <w:vAlign w:val="bottom"/>
          </w:tcPr>
          <w:p w:rsidR="006E6D1D" w:rsidRPr="00F712C4" w:rsidRDefault="006E6D1D" w:rsidP="008D6A91">
            <w:pPr>
              <w:jc w:val="right"/>
              <w:rPr>
                <w:rFonts w:ascii="Calibri" w:hAnsi="Calibri"/>
                <w:color w:val="000000"/>
                <w:sz w:val="22"/>
              </w:rPr>
            </w:pPr>
            <w:r>
              <w:rPr>
                <w:rFonts w:ascii="Calibri" w:hAnsi="Calibri"/>
                <w:color w:val="000000"/>
                <w:sz w:val="22"/>
              </w:rPr>
              <w:t>75.839.616,88</w:t>
            </w:r>
          </w:p>
        </w:tc>
        <w:tc>
          <w:tcPr>
            <w:tcW w:w="1780" w:type="dxa"/>
            <w:tcBorders>
              <w:top w:val="nil"/>
              <w:left w:val="nil"/>
              <w:bottom w:val="single" w:sz="4" w:space="0" w:color="000000"/>
              <w:right w:val="nil"/>
            </w:tcBorders>
            <w:shd w:val="clear" w:color="D9D9D9" w:fill="D9D9D9"/>
            <w:noWrap/>
            <w:vAlign w:val="bottom"/>
          </w:tcPr>
          <w:p w:rsidR="006E6D1D" w:rsidRPr="00F712C4" w:rsidRDefault="006E6D1D" w:rsidP="008D6A91">
            <w:pPr>
              <w:jc w:val="right"/>
              <w:rPr>
                <w:rFonts w:ascii="Calibri" w:hAnsi="Calibri"/>
                <w:color w:val="000000"/>
                <w:sz w:val="22"/>
              </w:rPr>
            </w:pPr>
            <w:r>
              <w:rPr>
                <w:rFonts w:ascii="Calibri" w:hAnsi="Calibri"/>
                <w:color w:val="000000"/>
                <w:sz w:val="22"/>
              </w:rPr>
              <w:t>76.231.860,78</w:t>
            </w:r>
          </w:p>
        </w:tc>
        <w:tc>
          <w:tcPr>
            <w:tcW w:w="1080" w:type="dxa"/>
            <w:tcBorders>
              <w:top w:val="nil"/>
              <w:left w:val="nil"/>
              <w:bottom w:val="single" w:sz="4" w:space="0" w:color="000000"/>
              <w:right w:val="nil"/>
            </w:tcBorders>
            <w:shd w:val="clear" w:color="D9D9D9" w:fill="D9D9D9"/>
            <w:noWrap/>
            <w:vAlign w:val="bottom"/>
            <w:hideMark/>
          </w:tcPr>
          <w:p w:rsidR="006E6D1D" w:rsidRPr="00B5064F" w:rsidRDefault="006E6D1D" w:rsidP="008D6A91">
            <w:pPr>
              <w:jc w:val="right"/>
              <w:rPr>
                <w:rFonts w:eastAsia="Times New Roman" w:cs="Arial"/>
                <w:color w:val="000000"/>
                <w:szCs w:val="20"/>
                <w:lang w:eastAsia="pt-BR"/>
              </w:rPr>
            </w:pPr>
            <w:r>
              <w:rPr>
                <w:rFonts w:eastAsia="Times New Roman" w:cs="Arial"/>
                <w:color w:val="000000"/>
                <w:szCs w:val="20"/>
                <w:lang w:eastAsia="pt-BR"/>
              </w:rPr>
              <w:t>-0,51</w:t>
            </w:r>
            <w:r w:rsidRPr="00B5064F">
              <w:rPr>
                <w:rFonts w:eastAsia="Times New Roman" w:cs="Arial"/>
                <w:color w:val="000000"/>
                <w:szCs w:val="20"/>
                <w:lang w:eastAsia="pt-BR"/>
              </w:rPr>
              <w:t>%</w:t>
            </w:r>
          </w:p>
        </w:tc>
      </w:tr>
    </w:tbl>
    <w:p w:rsidR="006E6D1D" w:rsidRPr="00B5064F" w:rsidRDefault="006E6D1D" w:rsidP="006E6D1D">
      <w:pPr>
        <w:jc w:val="left"/>
        <w:rPr>
          <w:rFonts w:cs="Arial"/>
          <w:i/>
          <w:szCs w:val="20"/>
        </w:rPr>
      </w:pPr>
      <w:r w:rsidRPr="00B5064F">
        <w:rPr>
          <w:rFonts w:cs="Arial"/>
          <w:i/>
          <w:szCs w:val="20"/>
        </w:rPr>
        <w:t>Fonte: SIAFI, 2017 e 2016.</w:t>
      </w:r>
    </w:p>
    <w:p w:rsidR="006E6D1D" w:rsidRPr="0037110A" w:rsidRDefault="006E6D1D" w:rsidP="006E6D1D">
      <w:pPr>
        <w:rPr>
          <w:rFonts w:cs="Arial"/>
          <w:sz w:val="22"/>
        </w:rPr>
      </w:pPr>
    </w:p>
    <w:p w:rsidR="006E6D1D" w:rsidRDefault="006E6D1D" w:rsidP="006E6D1D">
      <w:pPr>
        <w:rPr>
          <w:rFonts w:cs="Arial"/>
          <w:sz w:val="22"/>
        </w:rPr>
      </w:pPr>
      <w:r w:rsidRPr="0037110A">
        <w:rPr>
          <w:rFonts w:cs="Arial"/>
          <w:sz w:val="22"/>
        </w:rPr>
        <w:t>Os Bens Móveis estão distribuídos para uso em diversas localidades. Além da sede</w:t>
      </w:r>
      <w:r>
        <w:rPr>
          <w:rFonts w:cs="Arial"/>
          <w:sz w:val="22"/>
        </w:rPr>
        <w:t xml:space="preserve">, </w:t>
      </w:r>
      <w:r w:rsidRPr="0037110A">
        <w:rPr>
          <w:rFonts w:cs="Arial"/>
          <w:sz w:val="22"/>
        </w:rPr>
        <w:t>em Brasília (DF)</w:t>
      </w:r>
      <w:r>
        <w:rPr>
          <w:rFonts w:cs="Arial"/>
          <w:sz w:val="22"/>
        </w:rPr>
        <w:t xml:space="preserve"> e do Escritório central no Rio de Janeiro/RJ</w:t>
      </w:r>
      <w:r w:rsidRPr="0037110A">
        <w:rPr>
          <w:rFonts w:cs="Arial"/>
          <w:sz w:val="22"/>
        </w:rPr>
        <w:t>, a AN</w:t>
      </w:r>
      <w:r>
        <w:rPr>
          <w:rFonts w:cs="Arial"/>
          <w:sz w:val="22"/>
        </w:rPr>
        <w:t>P possui r</w:t>
      </w:r>
      <w:r w:rsidRPr="0037110A">
        <w:rPr>
          <w:rFonts w:cs="Arial"/>
          <w:sz w:val="22"/>
        </w:rPr>
        <w:t xml:space="preserve">epresentações Regionais </w:t>
      </w:r>
      <w:r>
        <w:rPr>
          <w:rFonts w:cs="Arial"/>
          <w:sz w:val="22"/>
        </w:rPr>
        <w:t xml:space="preserve">em </w:t>
      </w:r>
      <w:r w:rsidRPr="0037110A">
        <w:rPr>
          <w:rFonts w:cs="Arial"/>
          <w:sz w:val="22"/>
        </w:rPr>
        <w:t>São Paulo</w:t>
      </w:r>
      <w:r>
        <w:rPr>
          <w:rFonts w:cs="Arial"/>
          <w:sz w:val="22"/>
        </w:rPr>
        <w:t>/</w:t>
      </w:r>
      <w:r w:rsidRPr="0037110A">
        <w:rPr>
          <w:rFonts w:cs="Arial"/>
          <w:sz w:val="22"/>
        </w:rPr>
        <w:t>SP</w:t>
      </w:r>
      <w:r>
        <w:rPr>
          <w:rFonts w:cs="Arial"/>
          <w:sz w:val="22"/>
        </w:rPr>
        <w:t>, Salvador/BA, Porto Alegre/RS, Belo Horizonte/MG</w:t>
      </w:r>
      <w:r w:rsidRPr="0037110A">
        <w:rPr>
          <w:rFonts w:cs="Arial"/>
          <w:sz w:val="22"/>
        </w:rPr>
        <w:t xml:space="preserve"> e </w:t>
      </w:r>
      <w:r>
        <w:rPr>
          <w:rFonts w:cs="Arial"/>
          <w:sz w:val="22"/>
        </w:rPr>
        <w:t>Manaus/AM</w:t>
      </w:r>
      <w:r w:rsidRPr="0037110A">
        <w:rPr>
          <w:rFonts w:cs="Arial"/>
          <w:sz w:val="22"/>
        </w:rPr>
        <w:t xml:space="preserve">. </w:t>
      </w:r>
    </w:p>
    <w:p w:rsidR="006E6D1D" w:rsidRDefault="006E6D1D" w:rsidP="006E6D1D">
      <w:pPr>
        <w:rPr>
          <w:rFonts w:cs="Arial"/>
          <w:sz w:val="22"/>
        </w:rPr>
      </w:pPr>
    </w:p>
    <w:p w:rsidR="006E6D1D" w:rsidRDefault="006E6D1D" w:rsidP="006E6D1D">
      <w:pPr>
        <w:rPr>
          <w:rFonts w:cs="Arial"/>
          <w:b/>
          <w:color w:val="FF0000"/>
          <w:sz w:val="22"/>
        </w:rPr>
      </w:pPr>
    </w:p>
    <w:p w:rsidR="006E6D1D" w:rsidRDefault="006E6D1D" w:rsidP="006E6D1D">
      <w:pPr>
        <w:rPr>
          <w:rFonts w:cs="Arial"/>
          <w:sz w:val="22"/>
        </w:rPr>
      </w:pPr>
      <w:r>
        <w:rPr>
          <w:rFonts w:cs="Arial"/>
          <w:sz w:val="22"/>
        </w:rPr>
        <w:t>A partir da disponibilização dos bens para uso, o</w:t>
      </w:r>
      <w:r w:rsidRPr="0037110A">
        <w:rPr>
          <w:rFonts w:cs="Arial"/>
          <w:sz w:val="22"/>
        </w:rPr>
        <w:t xml:space="preserve"> método de depreciação </w:t>
      </w:r>
      <w:r>
        <w:rPr>
          <w:rFonts w:cs="Arial"/>
          <w:sz w:val="22"/>
        </w:rPr>
        <w:t>empregado</w:t>
      </w:r>
      <w:r w:rsidRPr="0037110A">
        <w:rPr>
          <w:rFonts w:cs="Arial"/>
          <w:sz w:val="22"/>
        </w:rPr>
        <w:t xml:space="preserve"> é o de cotas constantes, tendo como referência a vida útil e o valor residual definido</w:t>
      </w:r>
      <w:r>
        <w:rPr>
          <w:rFonts w:cs="Arial"/>
          <w:sz w:val="22"/>
        </w:rPr>
        <w:t>s</w:t>
      </w:r>
      <w:r w:rsidRPr="0037110A">
        <w:rPr>
          <w:rFonts w:cs="Arial"/>
          <w:sz w:val="22"/>
        </w:rPr>
        <w:t xml:space="preserve"> para cada classificação contábil</w:t>
      </w:r>
      <w:r>
        <w:rPr>
          <w:rFonts w:cs="Arial"/>
          <w:sz w:val="22"/>
        </w:rPr>
        <w:t>, conforme tabela a seguir:</w:t>
      </w:r>
    </w:p>
    <w:p w:rsidR="006E6D1D" w:rsidRDefault="006E6D1D" w:rsidP="006E6D1D">
      <w:pPr>
        <w:rPr>
          <w:rFonts w:cs="Arial"/>
          <w:sz w:val="22"/>
        </w:rPr>
      </w:pPr>
    </w:p>
    <w:p w:rsidR="006E6D1D" w:rsidRDefault="006E6D1D" w:rsidP="006E6D1D">
      <w:pPr>
        <w:rPr>
          <w:rFonts w:cs="Arial"/>
          <w:sz w:val="22"/>
        </w:rPr>
      </w:pPr>
    </w:p>
    <w:p w:rsidR="006E6D1D" w:rsidRDefault="006E6D1D" w:rsidP="006E6D1D">
      <w:pPr>
        <w:rPr>
          <w:rFonts w:cs="Arial"/>
          <w:sz w:val="22"/>
        </w:rPr>
      </w:pPr>
    </w:p>
    <w:p w:rsidR="006E6D1D" w:rsidRDefault="006E6D1D" w:rsidP="006E6D1D">
      <w:pPr>
        <w:rPr>
          <w:rFonts w:cs="Arial"/>
          <w:sz w:val="22"/>
        </w:rPr>
      </w:pPr>
    </w:p>
    <w:p w:rsidR="006E6D1D" w:rsidRDefault="006E6D1D" w:rsidP="006E6D1D">
      <w:pPr>
        <w:rPr>
          <w:rFonts w:cs="Arial"/>
          <w:sz w:val="22"/>
        </w:rPr>
      </w:pPr>
    </w:p>
    <w:p w:rsidR="006E6D1D" w:rsidRDefault="006E6D1D" w:rsidP="006E6D1D">
      <w:pPr>
        <w:rPr>
          <w:rFonts w:cs="Arial"/>
          <w:sz w:val="22"/>
        </w:rPr>
      </w:pPr>
    </w:p>
    <w:p w:rsidR="006E6D1D" w:rsidRDefault="006E6D1D" w:rsidP="006E6D1D">
      <w:pPr>
        <w:rPr>
          <w:rFonts w:cs="Arial"/>
          <w:sz w:val="22"/>
        </w:rPr>
      </w:pPr>
      <w:r w:rsidRPr="00E65DFE">
        <w:rPr>
          <w:rFonts w:cs="Arial"/>
          <w:b/>
          <w:sz w:val="22"/>
        </w:rPr>
        <w:lastRenderedPageBreak/>
        <w:t xml:space="preserve">Tabela </w:t>
      </w:r>
      <w:r>
        <w:rPr>
          <w:rFonts w:cs="Arial"/>
          <w:b/>
          <w:sz w:val="22"/>
        </w:rPr>
        <w:t xml:space="preserve">3 </w:t>
      </w:r>
      <w:r w:rsidRPr="0037110A">
        <w:rPr>
          <w:rFonts w:cs="Arial"/>
          <w:b/>
          <w:sz w:val="22"/>
        </w:rPr>
        <w:t xml:space="preserve">– Bens </w:t>
      </w:r>
      <w:r>
        <w:rPr>
          <w:rFonts w:cs="Arial"/>
          <w:b/>
          <w:sz w:val="22"/>
        </w:rPr>
        <w:t>Móveis</w:t>
      </w:r>
      <w:r w:rsidRPr="0037110A">
        <w:rPr>
          <w:rFonts w:cs="Arial"/>
          <w:b/>
          <w:sz w:val="22"/>
        </w:rPr>
        <w:t xml:space="preserve"> </w:t>
      </w:r>
      <w:r>
        <w:rPr>
          <w:rFonts w:cs="Arial"/>
          <w:b/>
          <w:sz w:val="22"/>
        </w:rPr>
        <w:t>–</w:t>
      </w:r>
      <w:r w:rsidRPr="0037110A">
        <w:rPr>
          <w:rFonts w:cs="Arial"/>
          <w:b/>
          <w:sz w:val="22"/>
        </w:rPr>
        <w:t xml:space="preserve"> </w:t>
      </w:r>
      <w:r>
        <w:rPr>
          <w:rFonts w:cs="Arial"/>
          <w:b/>
          <w:sz w:val="22"/>
        </w:rPr>
        <w:t>Vida Útil e Valor Residual.</w:t>
      </w:r>
    </w:p>
    <w:p w:rsidR="006E6D1D" w:rsidRDefault="006E6D1D" w:rsidP="006E6D1D">
      <w:pPr>
        <w:rPr>
          <w:rFonts w:cs="Arial"/>
          <w:sz w:val="22"/>
        </w:rPr>
      </w:pPr>
    </w:p>
    <w:tbl>
      <w:tblPr>
        <w:tblW w:w="9095" w:type="dxa"/>
        <w:tblCellMar>
          <w:left w:w="70" w:type="dxa"/>
          <w:right w:w="70" w:type="dxa"/>
        </w:tblCellMar>
        <w:tblLook w:val="04A0" w:firstRow="1" w:lastRow="0" w:firstColumn="1" w:lastColumn="0" w:noHBand="0" w:noVBand="1"/>
      </w:tblPr>
      <w:tblGrid>
        <w:gridCol w:w="4888"/>
        <w:gridCol w:w="1950"/>
        <w:gridCol w:w="2257"/>
      </w:tblGrid>
      <w:tr w:rsidR="006E6D1D" w:rsidRPr="001A0BCE" w:rsidTr="008D6A91">
        <w:trPr>
          <w:trHeight w:val="258"/>
        </w:trPr>
        <w:tc>
          <w:tcPr>
            <w:tcW w:w="4888" w:type="dxa"/>
            <w:tcBorders>
              <w:top w:val="single" w:sz="4" w:space="0" w:color="000000"/>
              <w:left w:val="nil"/>
              <w:bottom w:val="single" w:sz="4" w:space="0" w:color="000000"/>
              <w:right w:val="nil"/>
            </w:tcBorders>
            <w:shd w:val="clear" w:color="auto" w:fill="auto"/>
            <w:noWrap/>
            <w:vAlign w:val="bottom"/>
            <w:hideMark/>
          </w:tcPr>
          <w:p w:rsidR="006E6D1D" w:rsidRPr="001A0BCE" w:rsidRDefault="006E6D1D" w:rsidP="008D6A91">
            <w:pPr>
              <w:jc w:val="center"/>
              <w:rPr>
                <w:rFonts w:eastAsia="Times New Roman" w:cs="Arial"/>
                <w:b/>
                <w:bCs/>
                <w:color w:val="000000"/>
                <w:szCs w:val="20"/>
                <w:lang w:eastAsia="pt-BR"/>
              </w:rPr>
            </w:pPr>
          </w:p>
        </w:tc>
        <w:tc>
          <w:tcPr>
            <w:tcW w:w="1950" w:type="dxa"/>
            <w:tcBorders>
              <w:top w:val="single" w:sz="4" w:space="0" w:color="000000"/>
              <w:left w:val="nil"/>
              <w:bottom w:val="single" w:sz="4" w:space="0" w:color="000000"/>
              <w:right w:val="nil"/>
            </w:tcBorders>
            <w:shd w:val="clear" w:color="auto" w:fill="auto"/>
            <w:vAlign w:val="bottom"/>
            <w:hideMark/>
          </w:tcPr>
          <w:p w:rsidR="006E6D1D" w:rsidRPr="001A0BCE" w:rsidRDefault="006E6D1D" w:rsidP="008D6A91">
            <w:pPr>
              <w:jc w:val="right"/>
              <w:rPr>
                <w:rFonts w:eastAsia="Times New Roman" w:cs="Arial"/>
                <w:b/>
                <w:bCs/>
                <w:color w:val="000000"/>
                <w:szCs w:val="20"/>
                <w:lang w:eastAsia="pt-BR"/>
              </w:rPr>
            </w:pPr>
            <w:r w:rsidRPr="001A0BCE">
              <w:rPr>
                <w:rFonts w:eastAsia="Times New Roman" w:cs="Arial"/>
                <w:b/>
                <w:bCs/>
                <w:color w:val="000000"/>
                <w:szCs w:val="20"/>
                <w:lang w:eastAsia="pt-BR"/>
              </w:rPr>
              <w:t>Vida Útil (anos)</w:t>
            </w:r>
          </w:p>
        </w:tc>
        <w:tc>
          <w:tcPr>
            <w:tcW w:w="2257" w:type="dxa"/>
            <w:tcBorders>
              <w:top w:val="single" w:sz="4" w:space="0" w:color="000000"/>
              <w:left w:val="nil"/>
              <w:bottom w:val="single" w:sz="4" w:space="0" w:color="000000"/>
              <w:right w:val="nil"/>
            </w:tcBorders>
            <w:shd w:val="clear" w:color="auto" w:fill="auto"/>
            <w:vAlign w:val="bottom"/>
            <w:hideMark/>
          </w:tcPr>
          <w:p w:rsidR="006E6D1D" w:rsidRPr="001A0BCE" w:rsidRDefault="006E6D1D" w:rsidP="008D6A91">
            <w:pPr>
              <w:jc w:val="right"/>
              <w:rPr>
                <w:rFonts w:eastAsia="Times New Roman" w:cs="Arial"/>
                <w:b/>
                <w:bCs/>
                <w:color w:val="000000"/>
                <w:szCs w:val="20"/>
                <w:lang w:eastAsia="pt-BR"/>
              </w:rPr>
            </w:pPr>
            <w:r w:rsidRPr="001A0BCE">
              <w:rPr>
                <w:rFonts w:eastAsia="Times New Roman" w:cs="Arial"/>
                <w:b/>
                <w:bCs/>
                <w:color w:val="000000"/>
                <w:szCs w:val="20"/>
                <w:lang w:eastAsia="pt-BR"/>
              </w:rPr>
              <w:t>Valor Residual (%)</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Aparelhos de medição e orientação</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Aparelhos e equipamentos de comunicação</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20</w:t>
            </w:r>
          </w:p>
        </w:tc>
      </w:tr>
      <w:tr w:rsidR="006E6D1D" w:rsidRPr="001A0BCE" w:rsidTr="008D6A91">
        <w:trPr>
          <w:trHeight w:val="517"/>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 xml:space="preserve">Equipam/utensílios médicos, odontológicos, lab. </w:t>
            </w:r>
            <w:proofErr w:type="gramStart"/>
            <w:r w:rsidRPr="001A0BCE">
              <w:rPr>
                <w:rFonts w:eastAsia="Times New Roman" w:cs="Arial"/>
                <w:color w:val="000000"/>
                <w:szCs w:val="20"/>
                <w:lang w:eastAsia="pt-BR"/>
              </w:rPr>
              <w:t>e</w:t>
            </w:r>
            <w:proofErr w:type="gramEnd"/>
            <w:r w:rsidRPr="001A0BCE">
              <w:rPr>
                <w:rFonts w:eastAsia="Times New Roman" w:cs="Arial"/>
                <w:color w:val="000000"/>
                <w:szCs w:val="20"/>
                <w:lang w:eastAsia="pt-BR"/>
              </w:rPr>
              <w:t xml:space="preserve"> hospitalares</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20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Equipamento de proteção, segurança e socorro</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Maquinas e equipamentos industriais</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20</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Maquinas e equipamentos energéticos</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Maquinas e equipamentos gráficos</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Maquinas, ferramentas e utensílios de oficina</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Maquinas, utensílios e equipamentos diversos</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Equipamentos de processamento de dados</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5</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Aparelhos e utensílios domésticos</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Maquinas e utensílios de escritório</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Mobiliário em geral</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Coleções e materiais bibliográficos</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Equipamentos para áudio, vídeo e foto</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Obras de arte e peças para exposição</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Veículos em geral</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Veículos de tração mecânica</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Aeronaves</w:t>
            </w:r>
          </w:p>
        </w:tc>
        <w:tc>
          <w:tcPr>
            <w:tcW w:w="1950"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nil"/>
              <w:right w:val="nil"/>
            </w:tcBorders>
            <w:shd w:val="clear" w:color="auto" w:fill="auto"/>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Pecas não incorporáveis a imóveis</w:t>
            </w:r>
          </w:p>
        </w:tc>
        <w:tc>
          <w:tcPr>
            <w:tcW w:w="1950"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6E6D1D" w:rsidRPr="001A0BCE" w:rsidTr="008D6A91">
        <w:trPr>
          <w:trHeight w:val="258"/>
        </w:trPr>
        <w:tc>
          <w:tcPr>
            <w:tcW w:w="4888" w:type="dxa"/>
            <w:tcBorders>
              <w:top w:val="nil"/>
              <w:left w:val="nil"/>
              <w:bottom w:val="single" w:sz="4" w:space="0" w:color="000000"/>
              <w:right w:val="nil"/>
            </w:tcBorders>
            <w:shd w:val="clear" w:color="000000" w:fill="D9D9D9"/>
            <w:vAlign w:val="center"/>
            <w:hideMark/>
          </w:tcPr>
          <w:p w:rsidR="006E6D1D" w:rsidRPr="001A0BCE" w:rsidRDefault="006E6D1D" w:rsidP="008D6A91">
            <w:pPr>
              <w:jc w:val="left"/>
              <w:rPr>
                <w:rFonts w:eastAsia="Times New Roman" w:cs="Arial"/>
                <w:color w:val="000000"/>
                <w:szCs w:val="20"/>
                <w:lang w:eastAsia="pt-BR"/>
              </w:rPr>
            </w:pPr>
            <w:r w:rsidRPr="001A0BCE">
              <w:rPr>
                <w:rFonts w:eastAsia="Times New Roman" w:cs="Arial"/>
                <w:color w:val="000000"/>
                <w:szCs w:val="20"/>
                <w:lang w:eastAsia="pt-BR"/>
              </w:rPr>
              <w:t>Material de uso duradouro</w:t>
            </w:r>
          </w:p>
        </w:tc>
        <w:tc>
          <w:tcPr>
            <w:tcW w:w="1950" w:type="dxa"/>
            <w:tcBorders>
              <w:top w:val="nil"/>
              <w:left w:val="nil"/>
              <w:bottom w:val="single" w:sz="4" w:space="0" w:color="000000"/>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c>
          <w:tcPr>
            <w:tcW w:w="2257" w:type="dxa"/>
            <w:tcBorders>
              <w:top w:val="nil"/>
              <w:left w:val="nil"/>
              <w:bottom w:val="single" w:sz="4" w:space="0" w:color="000000"/>
              <w:right w:val="nil"/>
            </w:tcBorders>
            <w:shd w:val="clear" w:color="D9D9D9" w:fill="D9D9D9"/>
            <w:noWrap/>
            <w:vAlign w:val="bottom"/>
            <w:hideMark/>
          </w:tcPr>
          <w:p w:rsidR="006E6D1D" w:rsidRPr="001A0BCE" w:rsidRDefault="006E6D1D" w:rsidP="008D6A9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r>
    </w:tbl>
    <w:p w:rsidR="006E6D1D" w:rsidRPr="001A0BCE" w:rsidRDefault="006E6D1D" w:rsidP="006E6D1D">
      <w:pPr>
        <w:rPr>
          <w:rFonts w:cs="Arial"/>
          <w:i/>
          <w:szCs w:val="20"/>
        </w:rPr>
      </w:pPr>
      <w:r w:rsidRPr="001A0BCE">
        <w:rPr>
          <w:rFonts w:cs="Arial"/>
          <w:i/>
          <w:szCs w:val="20"/>
        </w:rPr>
        <w:t xml:space="preserve">Fonte: </w:t>
      </w:r>
      <w:r>
        <w:rPr>
          <w:rFonts w:cs="Arial"/>
          <w:i/>
          <w:szCs w:val="20"/>
        </w:rPr>
        <w:t>Manual SIAFI</w:t>
      </w:r>
      <w:r w:rsidRPr="001A0BCE">
        <w:rPr>
          <w:rFonts w:cs="Arial"/>
          <w:i/>
          <w:szCs w:val="20"/>
        </w:rPr>
        <w:t>.</w:t>
      </w:r>
    </w:p>
    <w:p w:rsidR="006E6D1D" w:rsidRPr="00DE7449" w:rsidRDefault="006E6D1D" w:rsidP="006E6D1D">
      <w:pPr>
        <w:rPr>
          <w:rFonts w:cs="Arial"/>
          <w:sz w:val="22"/>
        </w:rPr>
      </w:pPr>
    </w:p>
    <w:p w:rsidR="006E6D1D" w:rsidRPr="00DE7449" w:rsidRDefault="006E6D1D" w:rsidP="006E6D1D">
      <w:pPr>
        <w:rPr>
          <w:rFonts w:cs="Arial"/>
          <w:sz w:val="22"/>
        </w:rPr>
      </w:pPr>
      <w:r w:rsidRPr="00DE7449">
        <w:rPr>
          <w:rFonts w:cs="Arial"/>
          <w:sz w:val="22"/>
        </w:rPr>
        <w:t>Contudo, por algumas falhas identificadas no RMB de 2017, estamos refazendo a análise dos itens para corrigir alguns valores que se apresentam distorcidos, seja</w:t>
      </w:r>
      <w:r>
        <w:rPr>
          <w:rFonts w:cs="Arial"/>
          <w:sz w:val="22"/>
        </w:rPr>
        <w:t>m</w:t>
      </w:r>
      <w:r w:rsidRPr="00DE7449">
        <w:rPr>
          <w:rFonts w:cs="Arial"/>
          <w:sz w:val="22"/>
        </w:rPr>
        <w:t xml:space="preserve"> por falta de registro, sejam por critério contábil utilizado de forma diversa</w:t>
      </w:r>
      <w:r>
        <w:rPr>
          <w:rFonts w:cs="Arial"/>
          <w:sz w:val="22"/>
        </w:rPr>
        <w:t xml:space="preserve"> da norma</w:t>
      </w:r>
      <w:r w:rsidRPr="00DE7449">
        <w:rPr>
          <w:rFonts w:cs="Arial"/>
          <w:sz w:val="22"/>
        </w:rPr>
        <w:t>. Outo fato relevante é que os bens adquiridos anteriormente ao ano de 2010 não estão sendo depreciados e os bens que já se encontram totalmente depreciados ou registrados por valor simbólico devido ao feito monetário do plano real</w:t>
      </w:r>
      <w:r>
        <w:rPr>
          <w:rFonts w:cs="Arial"/>
          <w:sz w:val="22"/>
        </w:rPr>
        <w:t xml:space="preserve"> (1994)</w:t>
      </w:r>
      <w:r w:rsidRPr="00DE7449">
        <w:rPr>
          <w:rFonts w:cs="Arial"/>
          <w:sz w:val="22"/>
        </w:rPr>
        <w:t>, ainda não foram reavaliados.</w:t>
      </w:r>
    </w:p>
    <w:p w:rsidR="006E6D1D" w:rsidRDefault="006E6D1D" w:rsidP="006E6D1D">
      <w:pPr>
        <w:rPr>
          <w:rFonts w:cs="Arial"/>
          <w:b/>
          <w:sz w:val="22"/>
        </w:rPr>
      </w:pPr>
    </w:p>
    <w:p w:rsidR="006E6D1D" w:rsidRPr="0037110A" w:rsidRDefault="006E6D1D" w:rsidP="006E6D1D">
      <w:pPr>
        <w:rPr>
          <w:rFonts w:cs="Arial"/>
          <w:b/>
          <w:sz w:val="22"/>
        </w:rPr>
      </w:pPr>
      <w:r w:rsidRPr="0037110A">
        <w:rPr>
          <w:rFonts w:cs="Arial"/>
          <w:b/>
          <w:sz w:val="22"/>
        </w:rPr>
        <w:t>Bens Imóveis</w:t>
      </w:r>
    </w:p>
    <w:p w:rsidR="006E6D1D" w:rsidRPr="0037110A" w:rsidRDefault="006E6D1D" w:rsidP="006E6D1D">
      <w:pPr>
        <w:rPr>
          <w:rFonts w:cs="Arial"/>
          <w:sz w:val="22"/>
        </w:rPr>
      </w:pPr>
    </w:p>
    <w:p w:rsidR="006E6D1D" w:rsidRPr="0037110A" w:rsidRDefault="006E6D1D" w:rsidP="006E6D1D">
      <w:pPr>
        <w:rPr>
          <w:rFonts w:cs="Arial"/>
          <w:sz w:val="22"/>
        </w:rPr>
      </w:pPr>
      <w:r w:rsidRPr="0037110A">
        <w:rPr>
          <w:rFonts w:cs="Arial"/>
          <w:sz w:val="22"/>
        </w:rPr>
        <w:t>Os Bens Imóveis da AN</w:t>
      </w:r>
      <w:r>
        <w:rPr>
          <w:rFonts w:cs="Arial"/>
          <w:sz w:val="22"/>
        </w:rPr>
        <w:t>P</w:t>
      </w:r>
      <w:r w:rsidRPr="0037110A">
        <w:rPr>
          <w:rFonts w:cs="Arial"/>
          <w:sz w:val="22"/>
        </w:rPr>
        <w:t xml:space="preserve"> em 3</w:t>
      </w:r>
      <w:r>
        <w:rPr>
          <w:rFonts w:cs="Arial"/>
          <w:sz w:val="22"/>
        </w:rPr>
        <w:t>1</w:t>
      </w:r>
      <w:r w:rsidRPr="0037110A">
        <w:rPr>
          <w:rFonts w:cs="Arial"/>
          <w:sz w:val="22"/>
        </w:rPr>
        <w:t>/</w:t>
      </w:r>
      <w:r>
        <w:rPr>
          <w:rFonts w:cs="Arial"/>
          <w:sz w:val="22"/>
        </w:rPr>
        <w:t>12</w:t>
      </w:r>
      <w:r w:rsidRPr="0037110A">
        <w:rPr>
          <w:rFonts w:cs="Arial"/>
          <w:sz w:val="22"/>
        </w:rPr>
        <w:t>/201</w:t>
      </w:r>
      <w:r>
        <w:rPr>
          <w:rFonts w:cs="Arial"/>
          <w:sz w:val="22"/>
        </w:rPr>
        <w:t>7</w:t>
      </w:r>
      <w:r w:rsidRPr="0037110A">
        <w:rPr>
          <w:rFonts w:cs="Arial"/>
          <w:sz w:val="22"/>
        </w:rPr>
        <w:t xml:space="preserve"> totalizavam </w:t>
      </w:r>
      <w:r>
        <w:rPr>
          <w:rFonts w:cs="Arial"/>
          <w:sz w:val="22"/>
        </w:rPr>
        <w:t xml:space="preserve">mais de </w:t>
      </w:r>
      <w:r w:rsidRPr="0037110A">
        <w:rPr>
          <w:rFonts w:cs="Arial"/>
          <w:sz w:val="22"/>
        </w:rPr>
        <w:t xml:space="preserve">R$ </w:t>
      </w:r>
      <w:r>
        <w:rPr>
          <w:rFonts w:cs="Arial"/>
          <w:sz w:val="22"/>
        </w:rPr>
        <w:t xml:space="preserve">109 milhões e </w:t>
      </w:r>
      <w:r w:rsidRPr="0037110A">
        <w:rPr>
          <w:rFonts w:cs="Arial"/>
          <w:sz w:val="22"/>
        </w:rPr>
        <w:t>estão distribuídos nas contas contábeis demonstradas na tabela a seguir.</w:t>
      </w:r>
    </w:p>
    <w:p w:rsidR="006E6D1D" w:rsidRPr="0037110A" w:rsidRDefault="006E6D1D" w:rsidP="006E6D1D">
      <w:pPr>
        <w:rPr>
          <w:rFonts w:cs="Arial"/>
          <w:b/>
          <w:sz w:val="22"/>
        </w:rPr>
      </w:pPr>
    </w:p>
    <w:p w:rsidR="006E6D1D" w:rsidRDefault="006E6D1D" w:rsidP="006E6D1D">
      <w:pPr>
        <w:rPr>
          <w:rFonts w:cs="Arial"/>
          <w:b/>
          <w:sz w:val="22"/>
        </w:rPr>
      </w:pPr>
      <w:r w:rsidRPr="00E65DFE">
        <w:rPr>
          <w:rFonts w:cs="Arial"/>
          <w:b/>
          <w:sz w:val="22"/>
        </w:rPr>
        <w:t xml:space="preserve">Tabela </w:t>
      </w:r>
      <w:r>
        <w:rPr>
          <w:rFonts w:cs="Arial"/>
          <w:b/>
          <w:sz w:val="22"/>
        </w:rPr>
        <w:t xml:space="preserve">4 </w:t>
      </w:r>
      <w:r w:rsidRPr="0037110A">
        <w:rPr>
          <w:rFonts w:cs="Arial"/>
          <w:b/>
          <w:sz w:val="22"/>
        </w:rPr>
        <w:t xml:space="preserve">– Bens Imóveis </w:t>
      </w:r>
      <w:r>
        <w:rPr>
          <w:rFonts w:cs="Arial"/>
          <w:b/>
          <w:sz w:val="22"/>
        </w:rPr>
        <w:t>–</w:t>
      </w:r>
      <w:r w:rsidRPr="0037110A">
        <w:rPr>
          <w:rFonts w:cs="Arial"/>
          <w:b/>
          <w:sz w:val="22"/>
        </w:rPr>
        <w:t xml:space="preserve"> Composição</w:t>
      </w:r>
      <w:r>
        <w:rPr>
          <w:rFonts w:cs="Arial"/>
          <w:b/>
          <w:sz w:val="22"/>
        </w:rPr>
        <w:t>.</w:t>
      </w:r>
    </w:p>
    <w:p w:rsidR="006E6D1D" w:rsidRDefault="006E6D1D" w:rsidP="006E6D1D">
      <w:pPr>
        <w:rPr>
          <w:rFonts w:cs="Arial"/>
          <w:sz w:val="22"/>
        </w:rPr>
      </w:pPr>
      <w:r>
        <w:rPr>
          <w:rFonts w:cs="Arial"/>
          <w:sz w:val="22"/>
        </w:rPr>
        <w:t xml:space="preserve">                                                                                                                                          </w:t>
      </w:r>
      <w:r w:rsidRPr="001C614B">
        <w:rPr>
          <w:rFonts w:cs="Arial"/>
          <w:sz w:val="22"/>
        </w:rPr>
        <w:t>R$</w:t>
      </w:r>
    </w:p>
    <w:tbl>
      <w:tblPr>
        <w:tblW w:w="9123" w:type="dxa"/>
        <w:tblCellMar>
          <w:left w:w="70" w:type="dxa"/>
          <w:right w:w="70" w:type="dxa"/>
        </w:tblCellMar>
        <w:tblLook w:val="04A0" w:firstRow="1" w:lastRow="0" w:firstColumn="1" w:lastColumn="0" w:noHBand="0" w:noVBand="1"/>
      </w:tblPr>
      <w:tblGrid>
        <w:gridCol w:w="4981"/>
        <w:gridCol w:w="1541"/>
        <w:gridCol w:w="1541"/>
        <w:gridCol w:w="1112"/>
      </w:tblGrid>
      <w:tr w:rsidR="006E6D1D" w:rsidRPr="009E71B9" w:rsidTr="008D6A91">
        <w:trPr>
          <w:trHeight w:val="269"/>
        </w:trPr>
        <w:tc>
          <w:tcPr>
            <w:tcW w:w="4981" w:type="dxa"/>
            <w:tcBorders>
              <w:top w:val="single" w:sz="4" w:space="0" w:color="000000"/>
              <w:left w:val="nil"/>
              <w:bottom w:val="single" w:sz="4" w:space="0" w:color="000000"/>
              <w:right w:val="nil"/>
            </w:tcBorders>
            <w:shd w:val="clear" w:color="auto" w:fill="auto"/>
            <w:noWrap/>
            <w:vAlign w:val="bottom"/>
            <w:hideMark/>
          </w:tcPr>
          <w:p w:rsidR="006E6D1D" w:rsidRPr="009E71B9" w:rsidRDefault="006E6D1D" w:rsidP="008D6A91">
            <w:pPr>
              <w:jc w:val="left"/>
              <w:rPr>
                <w:rFonts w:eastAsia="Times New Roman" w:cs="Arial"/>
                <w:b/>
                <w:bCs/>
                <w:color w:val="FFFFFF"/>
                <w:szCs w:val="20"/>
                <w:lang w:eastAsia="pt-BR"/>
              </w:rPr>
            </w:pPr>
            <w:r w:rsidRPr="009E71B9">
              <w:rPr>
                <w:rFonts w:eastAsia="Times New Roman" w:cs="Arial"/>
                <w:b/>
                <w:bCs/>
                <w:color w:val="FFFFFF"/>
                <w:szCs w:val="20"/>
                <w:lang w:eastAsia="pt-BR"/>
              </w:rPr>
              <w:t>Colunas1</w:t>
            </w:r>
          </w:p>
        </w:tc>
        <w:tc>
          <w:tcPr>
            <w:tcW w:w="1515" w:type="dxa"/>
            <w:tcBorders>
              <w:top w:val="single" w:sz="4" w:space="0" w:color="000000"/>
              <w:left w:val="nil"/>
              <w:bottom w:val="single" w:sz="4" w:space="0" w:color="000000"/>
              <w:right w:val="nil"/>
            </w:tcBorders>
            <w:shd w:val="clear" w:color="auto" w:fill="auto"/>
            <w:noWrap/>
            <w:vAlign w:val="bottom"/>
            <w:hideMark/>
          </w:tcPr>
          <w:p w:rsidR="006E6D1D" w:rsidRPr="009E71B9" w:rsidRDefault="006E6D1D" w:rsidP="008D6A91">
            <w:pPr>
              <w:jc w:val="right"/>
              <w:rPr>
                <w:rFonts w:eastAsia="Times New Roman" w:cs="Arial"/>
                <w:b/>
                <w:bCs/>
                <w:color w:val="000000"/>
                <w:szCs w:val="20"/>
                <w:lang w:eastAsia="pt-BR"/>
              </w:rPr>
            </w:pPr>
            <w:r w:rsidRPr="009E71B9">
              <w:rPr>
                <w:rFonts w:eastAsia="Times New Roman" w:cs="Arial"/>
                <w:b/>
                <w:bCs/>
                <w:color w:val="000000"/>
                <w:szCs w:val="20"/>
                <w:lang w:eastAsia="pt-BR"/>
              </w:rPr>
              <w:t>3</w:t>
            </w:r>
            <w:r>
              <w:rPr>
                <w:rFonts w:eastAsia="Times New Roman" w:cs="Arial"/>
                <w:b/>
                <w:bCs/>
                <w:color w:val="000000"/>
                <w:szCs w:val="20"/>
                <w:lang w:eastAsia="pt-BR"/>
              </w:rPr>
              <w:t>1</w:t>
            </w:r>
            <w:r w:rsidRPr="009E71B9">
              <w:rPr>
                <w:rFonts w:eastAsia="Times New Roman" w:cs="Arial"/>
                <w:b/>
                <w:bCs/>
                <w:color w:val="000000"/>
                <w:szCs w:val="20"/>
                <w:lang w:eastAsia="pt-BR"/>
              </w:rPr>
              <w:t>/</w:t>
            </w:r>
            <w:r>
              <w:rPr>
                <w:rFonts w:eastAsia="Times New Roman" w:cs="Arial"/>
                <w:b/>
                <w:bCs/>
                <w:color w:val="000000"/>
                <w:szCs w:val="20"/>
                <w:lang w:eastAsia="pt-BR"/>
              </w:rPr>
              <w:t>12</w:t>
            </w:r>
            <w:r w:rsidRPr="009E71B9">
              <w:rPr>
                <w:rFonts w:eastAsia="Times New Roman" w:cs="Arial"/>
                <w:b/>
                <w:bCs/>
                <w:color w:val="000000"/>
                <w:szCs w:val="20"/>
                <w:lang w:eastAsia="pt-BR"/>
              </w:rPr>
              <w:t>/2017</w:t>
            </w:r>
          </w:p>
        </w:tc>
        <w:tc>
          <w:tcPr>
            <w:tcW w:w="1515" w:type="dxa"/>
            <w:tcBorders>
              <w:top w:val="single" w:sz="4" w:space="0" w:color="000000"/>
              <w:left w:val="nil"/>
              <w:bottom w:val="single" w:sz="4" w:space="0" w:color="000000"/>
              <w:right w:val="nil"/>
            </w:tcBorders>
            <w:shd w:val="clear" w:color="auto" w:fill="auto"/>
            <w:noWrap/>
            <w:vAlign w:val="bottom"/>
            <w:hideMark/>
          </w:tcPr>
          <w:p w:rsidR="006E6D1D" w:rsidRPr="009E71B9" w:rsidRDefault="006E6D1D" w:rsidP="008D6A91">
            <w:pPr>
              <w:jc w:val="right"/>
              <w:rPr>
                <w:rFonts w:eastAsia="Times New Roman" w:cs="Arial"/>
                <w:b/>
                <w:bCs/>
                <w:color w:val="000000"/>
                <w:szCs w:val="20"/>
                <w:lang w:eastAsia="pt-BR"/>
              </w:rPr>
            </w:pPr>
            <w:r w:rsidRPr="009E71B9">
              <w:rPr>
                <w:rFonts w:eastAsia="Times New Roman" w:cs="Arial"/>
                <w:b/>
                <w:bCs/>
                <w:color w:val="000000"/>
                <w:szCs w:val="20"/>
                <w:lang w:eastAsia="pt-BR"/>
              </w:rPr>
              <w:t>31/12/2016</w:t>
            </w:r>
          </w:p>
        </w:tc>
        <w:tc>
          <w:tcPr>
            <w:tcW w:w="1112" w:type="dxa"/>
            <w:tcBorders>
              <w:top w:val="single" w:sz="4" w:space="0" w:color="000000"/>
              <w:left w:val="nil"/>
              <w:bottom w:val="single" w:sz="4" w:space="0" w:color="000000"/>
              <w:right w:val="nil"/>
            </w:tcBorders>
            <w:shd w:val="clear" w:color="auto" w:fill="auto"/>
            <w:noWrap/>
            <w:vAlign w:val="bottom"/>
            <w:hideMark/>
          </w:tcPr>
          <w:p w:rsidR="006E6D1D" w:rsidRPr="009E71B9" w:rsidRDefault="006E6D1D" w:rsidP="008D6A91">
            <w:pPr>
              <w:jc w:val="right"/>
              <w:rPr>
                <w:rFonts w:eastAsia="Times New Roman" w:cs="Arial"/>
                <w:b/>
                <w:bCs/>
                <w:color w:val="000000"/>
                <w:szCs w:val="20"/>
                <w:lang w:eastAsia="pt-BR"/>
              </w:rPr>
            </w:pPr>
            <w:r w:rsidRPr="009E71B9">
              <w:rPr>
                <w:rFonts w:eastAsia="Times New Roman" w:cs="Arial"/>
                <w:b/>
                <w:bCs/>
                <w:color w:val="000000"/>
                <w:szCs w:val="20"/>
                <w:lang w:eastAsia="pt-BR"/>
              </w:rPr>
              <w:t>AH (%)</w:t>
            </w:r>
          </w:p>
        </w:tc>
      </w:tr>
      <w:tr w:rsidR="006E6D1D" w:rsidRPr="009E71B9" w:rsidTr="008D6A91">
        <w:trPr>
          <w:trHeight w:val="269"/>
        </w:trPr>
        <w:tc>
          <w:tcPr>
            <w:tcW w:w="4981" w:type="dxa"/>
            <w:tcBorders>
              <w:top w:val="nil"/>
              <w:left w:val="nil"/>
              <w:bottom w:val="nil"/>
              <w:right w:val="nil"/>
            </w:tcBorders>
            <w:shd w:val="clear" w:color="000000" w:fill="D9D9D9"/>
            <w:vAlign w:val="center"/>
            <w:hideMark/>
          </w:tcPr>
          <w:p w:rsidR="006E6D1D" w:rsidRPr="009E71B9" w:rsidRDefault="006E6D1D" w:rsidP="008D6A91">
            <w:pPr>
              <w:jc w:val="left"/>
              <w:rPr>
                <w:rFonts w:eastAsia="Times New Roman" w:cs="Arial"/>
                <w:color w:val="000000"/>
                <w:szCs w:val="20"/>
                <w:lang w:eastAsia="pt-BR"/>
              </w:rPr>
            </w:pPr>
            <w:r w:rsidRPr="009E71B9">
              <w:rPr>
                <w:rFonts w:eastAsia="Times New Roman" w:cs="Arial"/>
                <w:color w:val="000000"/>
                <w:szCs w:val="20"/>
                <w:lang w:eastAsia="pt-BR"/>
              </w:rPr>
              <w:t xml:space="preserve">Bens </w:t>
            </w:r>
            <w:r>
              <w:rPr>
                <w:rFonts w:eastAsia="Times New Roman" w:cs="Arial"/>
                <w:color w:val="000000"/>
                <w:szCs w:val="20"/>
                <w:lang w:eastAsia="pt-BR"/>
              </w:rPr>
              <w:t>d</w:t>
            </w:r>
            <w:r w:rsidRPr="009E71B9">
              <w:rPr>
                <w:rFonts w:eastAsia="Times New Roman" w:cs="Arial"/>
                <w:color w:val="000000"/>
                <w:szCs w:val="20"/>
                <w:lang w:eastAsia="pt-BR"/>
              </w:rPr>
              <w:t xml:space="preserve">e </w:t>
            </w:r>
            <w:r>
              <w:rPr>
                <w:rFonts w:eastAsia="Times New Roman" w:cs="Arial"/>
                <w:color w:val="000000"/>
                <w:szCs w:val="20"/>
                <w:lang w:eastAsia="pt-BR"/>
              </w:rPr>
              <w:t>U</w:t>
            </w:r>
            <w:r w:rsidRPr="009E71B9">
              <w:rPr>
                <w:rFonts w:eastAsia="Times New Roman" w:cs="Arial"/>
                <w:color w:val="000000"/>
                <w:szCs w:val="20"/>
                <w:lang w:eastAsia="pt-BR"/>
              </w:rPr>
              <w:t xml:space="preserve">so Especial Registrados </w:t>
            </w:r>
            <w:r>
              <w:rPr>
                <w:rFonts w:eastAsia="Times New Roman" w:cs="Arial"/>
                <w:color w:val="000000"/>
                <w:szCs w:val="20"/>
                <w:lang w:eastAsia="pt-BR"/>
              </w:rPr>
              <w:t>n</w:t>
            </w:r>
            <w:r w:rsidRPr="009E71B9">
              <w:rPr>
                <w:rFonts w:eastAsia="Times New Roman" w:cs="Arial"/>
                <w:color w:val="000000"/>
                <w:szCs w:val="20"/>
                <w:lang w:eastAsia="pt-BR"/>
              </w:rPr>
              <w:t xml:space="preserve">o </w:t>
            </w:r>
            <w:proofErr w:type="spellStart"/>
            <w:r w:rsidRPr="009E71B9">
              <w:rPr>
                <w:rFonts w:eastAsia="Times New Roman" w:cs="Arial"/>
                <w:color w:val="000000"/>
                <w:szCs w:val="20"/>
                <w:lang w:eastAsia="pt-BR"/>
              </w:rPr>
              <w:t>Spiunet</w:t>
            </w:r>
            <w:proofErr w:type="spellEnd"/>
          </w:p>
        </w:tc>
        <w:tc>
          <w:tcPr>
            <w:tcW w:w="1515" w:type="dxa"/>
            <w:tcBorders>
              <w:top w:val="nil"/>
              <w:left w:val="nil"/>
              <w:bottom w:val="nil"/>
              <w:right w:val="nil"/>
            </w:tcBorders>
            <w:shd w:val="clear" w:color="D9D9D9" w:fill="D9D9D9"/>
            <w:noWrap/>
            <w:vAlign w:val="bottom"/>
          </w:tcPr>
          <w:p w:rsidR="006E6D1D" w:rsidRPr="009E71B9" w:rsidRDefault="006E6D1D" w:rsidP="008D6A91">
            <w:pPr>
              <w:jc w:val="right"/>
              <w:rPr>
                <w:rFonts w:eastAsia="Times New Roman" w:cs="Arial"/>
                <w:color w:val="000000"/>
                <w:szCs w:val="20"/>
                <w:lang w:eastAsia="pt-BR"/>
              </w:rPr>
            </w:pPr>
            <w:r w:rsidRPr="00CE3560">
              <w:rPr>
                <w:rFonts w:eastAsia="Times New Roman" w:cs="Arial"/>
                <w:color w:val="000000"/>
                <w:szCs w:val="20"/>
                <w:lang w:eastAsia="pt-BR"/>
              </w:rPr>
              <w:t>95</w:t>
            </w:r>
            <w:r>
              <w:rPr>
                <w:rFonts w:eastAsia="Times New Roman" w:cs="Arial"/>
                <w:color w:val="000000"/>
                <w:szCs w:val="20"/>
                <w:lang w:eastAsia="pt-BR"/>
              </w:rPr>
              <w:t>.</w:t>
            </w:r>
            <w:r w:rsidRPr="00CE3560">
              <w:rPr>
                <w:rFonts w:eastAsia="Times New Roman" w:cs="Arial"/>
                <w:color w:val="000000"/>
                <w:szCs w:val="20"/>
                <w:lang w:eastAsia="pt-BR"/>
              </w:rPr>
              <w:t>004</w:t>
            </w:r>
            <w:r>
              <w:rPr>
                <w:rFonts w:eastAsia="Times New Roman" w:cs="Arial"/>
                <w:color w:val="000000"/>
                <w:szCs w:val="20"/>
                <w:lang w:eastAsia="pt-BR"/>
              </w:rPr>
              <w:t>.</w:t>
            </w:r>
            <w:r w:rsidRPr="00CE3560">
              <w:rPr>
                <w:rFonts w:eastAsia="Times New Roman" w:cs="Arial"/>
                <w:color w:val="000000"/>
                <w:szCs w:val="20"/>
                <w:lang w:eastAsia="pt-BR"/>
              </w:rPr>
              <w:t>781,69</w:t>
            </w:r>
          </w:p>
        </w:tc>
        <w:tc>
          <w:tcPr>
            <w:tcW w:w="1515" w:type="dxa"/>
            <w:tcBorders>
              <w:top w:val="nil"/>
              <w:left w:val="nil"/>
              <w:bottom w:val="nil"/>
              <w:right w:val="nil"/>
            </w:tcBorders>
            <w:shd w:val="clear" w:color="D9D9D9" w:fill="D9D9D9"/>
            <w:noWrap/>
            <w:vAlign w:val="bottom"/>
          </w:tcPr>
          <w:p w:rsidR="006E6D1D" w:rsidRPr="009E71B9" w:rsidRDefault="006E6D1D" w:rsidP="008D6A91">
            <w:pPr>
              <w:jc w:val="right"/>
              <w:rPr>
                <w:rFonts w:eastAsia="Times New Roman" w:cs="Arial"/>
                <w:color w:val="000000"/>
                <w:szCs w:val="20"/>
                <w:lang w:eastAsia="pt-BR"/>
              </w:rPr>
            </w:pPr>
            <w:r w:rsidRPr="00CE3560">
              <w:rPr>
                <w:rFonts w:eastAsia="Times New Roman" w:cs="Arial"/>
                <w:color w:val="000000"/>
                <w:szCs w:val="20"/>
                <w:lang w:eastAsia="pt-BR"/>
              </w:rPr>
              <w:t>90</w:t>
            </w:r>
            <w:r>
              <w:rPr>
                <w:rFonts w:eastAsia="Times New Roman" w:cs="Arial"/>
                <w:color w:val="000000"/>
                <w:szCs w:val="20"/>
                <w:lang w:eastAsia="pt-BR"/>
              </w:rPr>
              <w:t>.</w:t>
            </w:r>
            <w:r w:rsidRPr="00CE3560">
              <w:rPr>
                <w:rFonts w:eastAsia="Times New Roman" w:cs="Arial"/>
                <w:color w:val="000000"/>
                <w:szCs w:val="20"/>
                <w:lang w:eastAsia="pt-BR"/>
              </w:rPr>
              <w:t>347</w:t>
            </w:r>
            <w:r>
              <w:rPr>
                <w:rFonts w:eastAsia="Times New Roman" w:cs="Arial"/>
                <w:color w:val="000000"/>
                <w:szCs w:val="20"/>
                <w:lang w:eastAsia="pt-BR"/>
              </w:rPr>
              <w:t>.</w:t>
            </w:r>
            <w:r w:rsidRPr="00CE3560">
              <w:rPr>
                <w:rFonts w:eastAsia="Times New Roman" w:cs="Arial"/>
                <w:color w:val="000000"/>
                <w:szCs w:val="20"/>
                <w:lang w:eastAsia="pt-BR"/>
              </w:rPr>
              <w:t>571,69</w:t>
            </w:r>
          </w:p>
        </w:tc>
        <w:tc>
          <w:tcPr>
            <w:tcW w:w="1112" w:type="dxa"/>
            <w:tcBorders>
              <w:top w:val="nil"/>
              <w:left w:val="nil"/>
              <w:bottom w:val="nil"/>
              <w:right w:val="nil"/>
            </w:tcBorders>
            <w:shd w:val="clear" w:color="D9D9D9" w:fill="D9D9D9"/>
            <w:noWrap/>
            <w:vAlign w:val="bottom"/>
            <w:hideMark/>
          </w:tcPr>
          <w:p w:rsidR="006E6D1D" w:rsidRPr="009E71B9" w:rsidRDefault="006E6D1D" w:rsidP="008D6A91">
            <w:pPr>
              <w:jc w:val="right"/>
              <w:rPr>
                <w:rFonts w:eastAsia="Times New Roman" w:cs="Arial"/>
                <w:color w:val="000000"/>
                <w:szCs w:val="20"/>
                <w:lang w:eastAsia="pt-BR"/>
              </w:rPr>
            </w:pPr>
            <w:r w:rsidRPr="009E71B9">
              <w:rPr>
                <w:rFonts w:eastAsia="Times New Roman" w:cs="Arial"/>
                <w:color w:val="000000"/>
                <w:szCs w:val="20"/>
                <w:lang w:eastAsia="pt-BR"/>
              </w:rPr>
              <w:t>0,00%</w:t>
            </w:r>
          </w:p>
        </w:tc>
      </w:tr>
      <w:tr w:rsidR="006E6D1D" w:rsidRPr="009E71B9" w:rsidTr="008D6A91">
        <w:trPr>
          <w:trHeight w:val="269"/>
        </w:trPr>
        <w:tc>
          <w:tcPr>
            <w:tcW w:w="4981" w:type="dxa"/>
            <w:tcBorders>
              <w:top w:val="nil"/>
              <w:left w:val="nil"/>
              <w:bottom w:val="nil"/>
              <w:right w:val="nil"/>
            </w:tcBorders>
            <w:shd w:val="clear" w:color="auto" w:fill="auto"/>
            <w:vAlign w:val="center"/>
          </w:tcPr>
          <w:p w:rsidR="006E6D1D" w:rsidRPr="009E71B9" w:rsidRDefault="006E6D1D" w:rsidP="008D6A91">
            <w:pPr>
              <w:jc w:val="left"/>
              <w:rPr>
                <w:rFonts w:eastAsia="Times New Roman" w:cs="Arial"/>
                <w:color w:val="000000"/>
                <w:szCs w:val="20"/>
                <w:lang w:eastAsia="pt-BR"/>
              </w:rPr>
            </w:pPr>
            <w:r>
              <w:rPr>
                <w:rFonts w:eastAsia="Times New Roman" w:cs="Arial"/>
                <w:color w:val="000000"/>
                <w:szCs w:val="20"/>
                <w:lang w:eastAsia="pt-BR"/>
              </w:rPr>
              <w:t>Bens Imóveis em Andamento</w:t>
            </w:r>
          </w:p>
        </w:tc>
        <w:tc>
          <w:tcPr>
            <w:tcW w:w="1515"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sidRPr="00CE3560">
              <w:rPr>
                <w:rFonts w:eastAsia="Times New Roman" w:cs="Arial"/>
                <w:color w:val="000000"/>
                <w:szCs w:val="20"/>
                <w:lang w:eastAsia="pt-BR"/>
              </w:rPr>
              <w:t>15</w:t>
            </w:r>
            <w:r>
              <w:rPr>
                <w:rFonts w:eastAsia="Times New Roman" w:cs="Arial"/>
                <w:color w:val="000000"/>
                <w:szCs w:val="20"/>
                <w:lang w:eastAsia="pt-BR"/>
              </w:rPr>
              <w:t>.</w:t>
            </w:r>
            <w:r w:rsidRPr="00CE3560">
              <w:rPr>
                <w:rFonts w:eastAsia="Times New Roman" w:cs="Arial"/>
                <w:color w:val="000000"/>
                <w:szCs w:val="20"/>
                <w:lang w:eastAsia="pt-BR"/>
              </w:rPr>
              <w:t>621</w:t>
            </w:r>
            <w:r>
              <w:rPr>
                <w:rFonts w:eastAsia="Times New Roman" w:cs="Arial"/>
                <w:color w:val="000000"/>
                <w:szCs w:val="20"/>
                <w:lang w:eastAsia="pt-BR"/>
              </w:rPr>
              <w:t>.</w:t>
            </w:r>
            <w:r w:rsidRPr="00CE3560">
              <w:rPr>
                <w:rFonts w:eastAsia="Times New Roman" w:cs="Arial"/>
                <w:color w:val="000000"/>
                <w:szCs w:val="20"/>
                <w:lang w:eastAsia="pt-BR"/>
              </w:rPr>
              <w:t>969,32</w:t>
            </w:r>
          </w:p>
        </w:tc>
        <w:tc>
          <w:tcPr>
            <w:tcW w:w="1515"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sidRPr="00CE3560">
              <w:rPr>
                <w:rFonts w:eastAsia="Times New Roman" w:cs="Arial"/>
                <w:color w:val="000000"/>
                <w:szCs w:val="20"/>
                <w:lang w:eastAsia="pt-BR"/>
              </w:rPr>
              <w:t>14</w:t>
            </w:r>
            <w:r>
              <w:rPr>
                <w:rFonts w:eastAsia="Times New Roman" w:cs="Arial"/>
                <w:color w:val="000000"/>
                <w:szCs w:val="20"/>
                <w:lang w:eastAsia="pt-BR"/>
              </w:rPr>
              <w:t>.</w:t>
            </w:r>
            <w:r w:rsidRPr="00CE3560">
              <w:rPr>
                <w:rFonts w:eastAsia="Times New Roman" w:cs="Arial"/>
                <w:color w:val="000000"/>
                <w:szCs w:val="20"/>
                <w:lang w:eastAsia="pt-BR"/>
              </w:rPr>
              <w:t>352</w:t>
            </w:r>
            <w:r>
              <w:rPr>
                <w:rFonts w:eastAsia="Times New Roman" w:cs="Arial"/>
                <w:color w:val="000000"/>
                <w:szCs w:val="20"/>
                <w:lang w:eastAsia="pt-BR"/>
              </w:rPr>
              <w:t>.</w:t>
            </w:r>
            <w:r w:rsidRPr="00CE3560">
              <w:rPr>
                <w:rFonts w:eastAsia="Times New Roman" w:cs="Arial"/>
                <w:color w:val="000000"/>
                <w:szCs w:val="20"/>
                <w:lang w:eastAsia="pt-BR"/>
              </w:rPr>
              <w:t>209,72</w:t>
            </w:r>
          </w:p>
        </w:tc>
        <w:tc>
          <w:tcPr>
            <w:tcW w:w="1112"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8,85%</w:t>
            </w:r>
          </w:p>
        </w:tc>
      </w:tr>
      <w:tr w:rsidR="006E6D1D" w:rsidRPr="009E71B9" w:rsidTr="008D6A91">
        <w:trPr>
          <w:trHeight w:val="269"/>
        </w:trPr>
        <w:tc>
          <w:tcPr>
            <w:tcW w:w="4981" w:type="dxa"/>
            <w:tcBorders>
              <w:top w:val="nil"/>
              <w:left w:val="nil"/>
              <w:bottom w:val="nil"/>
              <w:right w:val="nil"/>
            </w:tcBorders>
            <w:shd w:val="clear" w:color="auto" w:fill="auto"/>
            <w:vAlign w:val="center"/>
            <w:hideMark/>
          </w:tcPr>
          <w:p w:rsidR="006E6D1D" w:rsidRPr="009E71B9" w:rsidRDefault="006E6D1D" w:rsidP="008D6A91">
            <w:pPr>
              <w:jc w:val="left"/>
              <w:rPr>
                <w:rFonts w:eastAsia="Times New Roman" w:cs="Arial"/>
                <w:color w:val="000000"/>
                <w:szCs w:val="20"/>
                <w:lang w:eastAsia="pt-BR"/>
              </w:rPr>
            </w:pPr>
            <w:r w:rsidRPr="009E71B9">
              <w:rPr>
                <w:rFonts w:eastAsia="Times New Roman" w:cs="Arial"/>
                <w:color w:val="000000"/>
                <w:szCs w:val="20"/>
                <w:lang w:eastAsia="pt-BR"/>
              </w:rPr>
              <w:t xml:space="preserve">Benfeitorias </w:t>
            </w:r>
            <w:r>
              <w:rPr>
                <w:rFonts w:eastAsia="Times New Roman" w:cs="Arial"/>
                <w:color w:val="000000"/>
                <w:szCs w:val="20"/>
                <w:lang w:eastAsia="pt-BR"/>
              </w:rPr>
              <w:t>e</w:t>
            </w:r>
            <w:r w:rsidRPr="009E71B9">
              <w:rPr>
                <w:rFonts w:eastAsia="Times New Roman" w:cs="Arial"/>
                <w:color w:val="000000"/>
                <w:szCs w:val="20"/>
                <w:lang w:eastAsia="pt-BR"/>
              </w:rPr>
              <w:t xml:space="preserve">m Propriedade </w:t>
            </w:r>
            <w:r>
              <w:rPr>
                <w:rFonts w:eastAsia="Times New Roman" w:cs="Arial"/>
                <w:color w:val="000000"/>
                <w:szCs w:val="20"/>
                <w:lang w:eastAsia="pt-BR"/>
              </w:rPr>
              <w:t>d</w:t>
            </w:r>
            <w:r w:rsidRPr="009E71B9">
              <w:rPr>
                <w:rFonts w:eastAsia="Times New Roman" w:cs="Arial"/>
                <w:color w:val="000000"/>
                <w:szCs w:val="20"/>
                <w:lang w:eastAsia="pt-BR"/>
              </w:rPr>
              <w:t>e Terceiros</w:t>
            </w:r>
          </w:p>
        </w:tc>
        <w:tc>
          <w:tcPr>
            <w:tcW w:w="1515"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sidRPr="00CE3560">
              <w:rPr>
                <w:rFonts w:eastAsia="Times New Roman" w:cs="Arial"/>
                <w:color w:val="000000"/>
                <w:szCs w:val="20"/>
                <w:lang w:eastAsia="pt-BR"/>
              </w:rPr>
              <w:t>901</w:t>
            </w:r>
            <w:r>
              <w:rPr>
                <w:rFonts w:eastAsia="Times New Roman" w:cs="Arial"/>
                <w:color w:val="000000"/>
                <w:szCs w:val="20"/>
                <w:lang w:eastAsia="pt-BR"/>
              </w:rPr>
              <w:t>.</w:t>
            </w:r>
            <w:r w:rsidRPr="00CE3560">
              <w:rPr>
                <w:rFonts w:eastAsia="Times New Roman" w:cs="Arial"/>
                <w:color w:val="000000"/>
                <w:szCs w:val="20"/>
                <w:lang w:eastAsia="pt-BR"/>
              </w:rPr>
              <w:t>514,83</w:t>
            </w:r>
          </w:p>
        </w:tc>
        <w:tc>
          <w:tcPr>
            <w:tcW w:w="1515"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sidRPr="00CE3560">
              <w:rPr>
                <w:rFonts w:eastAsia="Times New Roman" w:cs="Arial"/>
                <w:color w:val="000000"/>
                <w:szCs w:val="20"/>
                <w:lang w:eastAsia="pt-BR"/>
              </w:rPr>
              <w:t>1</w:t>
            </w:r>
            <w:r>
              <w:rPr>
                <w:rFonts w:eastAsia="Times New Roman" w:cs="Arial"/>
                <w:color w:val="000000"/>
                <w:szCs w:val="20"/>
                <w:lang w:eastAsia="pt-BR"/>
              </w:rPr>
              <w:t>.</w:t>
            </w:r>
            <w:r w:rsidRPr="00CE3560">
              <w:rPr>
                <w:rFonts w:eastAsia="Times New Roman" w:cs="Arial"/>
                <w:color w:val="000000"/>
                <w:szCs w:val="20"/>
                <w:lang w:eastAsia="pt-BR"/>
              </w:rPr>
              <w:t>440,00</w:t>
            </w:r>
          </w:p>
        </w:tc>
        <w:tc>
          <w:tcPr>
            <w:tcW w:w="1112" w:type="dxa"/>
            <w:tcBorders>
              <w:top w:val="nil"/>
              <w:left w:val="nil"/>
              <w:bottom w:val="nil"/>
              <w:right w:val="nil"/>
            </w:tcBorders>
            <w:shd w:val="clear" w:color="auto" w:fill="auto"/>
            <w:noWrap/>
            <w:vAlign w:val="bottom"/>
            <w:hideMark/>
          </w:tcPr>
          <w:p w:rsidR="006E6D1D" w:rsidRPr="009E71B9" w:rsidRDefault="006E6D1D" w:rsidP="008D6A91">
            <w:pPr>
              <w:jc w:val="right"/>
              <w:rPr>
                <w:rFonts w:eastAsia="Times New Roman" w:cs="Arial"/>
                <w:color w:val="000000"/>
                <w:szCs w:val="20"/>
                <w:lang w:eastAsia="pt-BR"/>
              </w:rPr>
            </w:pPr>
            <w:r w:rsidRPr="009E71B9">
              <w:rPr>
                <w:rFonts w:eastAsia="Times New Roman" w:cs="Arial"/>
                <w:color w:val="000000"/>
                <w:szCs w:val="20"/>
                <w:lang w:eastAsia="pt-BR"/>
              </w:rPr>
              <w:t>0,00%</w:t>
            </w:r>
          </w:p>
        </w:tc>
      </w:tr>
      <w:tr w:rsidR="006E6D1D" w:rsidRPr="009E71B9" w:rsidTr="008D6A91">
        <w:trPr>
          <w:trHeight w:val="269"/>
        </w:trPr>
        <w:tc>
          <w:tcPr>
            <w:tcW w:w="4981" w:type="dxa"/>
            <w:tcBorders>
              <w:top w:val="nil"/>
              <w:left w:val="nil"/>
              <w:bottom w:val="nil"/>
              <w:right w:val="nil"/>
            </w:tcBorders>
            <w:shd w:val="clear" w:color="D9D9D9" w:fill="D9D9D9"/>
            <w:vAlign w:val="center"/>
            <w:hideMark/>
          </w:tcPr>
          <w:p w:rsidR="006E6D1D" w:rsidRPr="009E71B9" w:rsidRDefault="006E6D1D" w:rsidP="008D6A91">
            <w:pPr>
              <w:jc w:val="left"/>
              <w:rPr>
                <w:rFonts w:eastAsia="Times New Roman" w:cs="Arial"/>
                <w:color w:val="000000"/>
                <w:szCs w:val="20"/>
                <w:lang w:eastAsia="pt-BR"/>
              </w:rPr>
            </w:pPr>
            <w:r w:rsidRPr="009E71B9">
              <w:rPr>
                <w:rFonts w:eastAsia="Times New Roman" w:cs="Arial"/>
                <w:color w:val="000000"/>
                <w:szCs w:val="20"/>
                <w:lang w:eastAsia="pt-BR"/>
              </w:rPr>
              <w:t>Depreciação Acumulada - Bens Imóveis</w:t>
            </w:r>
          </w:p>
        </w:tc>
        <w:tc>
          <w:tcPr>
            <w:tcW w:w="1515" w:type="dxa"/>
            <w:tcBorders>
              <w:top w:val="nil"/>
              <w:left w:val="nil"/>
              <w:bottom w:val="nil"/>
              <w:right w:val="nil"/>
            </w:tcBorders>
            <w:shd w:val="clear" w:color="D9D9D9" w:fill="D9D9D9"/>
            <w:noWrap/>
            <w:vAlign w:val="bottom"/>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w:t>
            </w:r>
            <w:r w:rsidRPr="00B770D7">
              <w:rPr>
                <w:rFonts w:eastAsia="Times New Roman" w:cs="Arial"/>
                <w:color w:val="000000"/>
                <w:szCs w:val="20"/>
                <w:lang w:eastAsia="pt-BR"/>
              </w:rPr>
              <w:t>675</w:t>
            </w:r>
            <w:r>
              <w:rPr>
                <w:rFonts w:eastAsia="Times New Roman" w:cs="Arial"/>
                <w:color w:val="000000"/>
                <w:szCs w:val="20"/>
                <w:lang w:eastAsia="pt-BR"/>
              </w:rPr>
              <w:t>.</w:t>
            </w:r>
            <w:r w:rsidRPr="00B770D7">
              <w:rPr>
                <w:rFonts w:eastAsia="Times New Roman" w:cs="Arial"/>
                <w:color w:val="000000"/>
                <w:szCs w:val="20"/>
                <w:lang w:eastAsia="pt-BR"/>
              </w:rPr>
              <w:t>644,75</w:t>
            </w:r>
          </w:p>
        </w:tc>
        <w:tc>
          <w:tcPr>
            <w:tcW w:w="1515" w:type="dxa"/>
            <w:tcBorders>
              <w:top w:val="nil"/>
              <w:left w:val="nil"/>
              <w:bottom w:val="nil"/>
              <w:right w:val="nil"/>
            </w:tcBorders>
            <w:shd w:val="clear" w:color="D9D9D9" w:fill="D9D9D9"/>
            <w:noWrap/>
            <w:vAlign w:val="bottom"/>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w:t>
            </w:r>
            <w:r w:rsidRPr="00B770D7">
              <w:rPr>
                <w:rFonts w:eastAsia="Times New Roman" w:cs="Arial"/>
                <w:color w:val="000000"/>
                <w:szCs w:val="20"/>
                <w:lang w:eastAsia="pt-BR"/>
              </w:rPr>
              <w:t>121</w:t>
            </w:r>
            <w:r>
              <w:rPr>
                <w:rFonts w:eastAsia="Times New Roman" w:cs="Arial"/>
                <w:color w:val="000000"/>
                <w:szCs w:val="20"/>
                <w:lang w:eastAsia="pt-BR"/>
              </w:rPr>
              <w:t>.</w:t>
            </w:r>
            <w:r w:rsidRPr="00B770D7">
              <w:rPr>
                <w:rFonts w:eastAsia="Times New Roman" w:cs="Arial"/>
                <w:color w:val="000000"/>
                <w:szCs w:val="20"/>
                <w:lang w:eastAsia="pt-BR"/>
              </w:rPr>
              <w:t>424,42</w:t>
            </w:r>
          </w:p>
        </w:tc>
        <w:tc>
          <w:tcPr>
            <w:tcW w:w="1112" w:type="dxa"/>
            <w:tcBorders>
              <w:top w:val="nil"/>
              <w:left w:val="nil"/>
              <w:bottom w:val="nil"/>
              <w:right w:val="nil"/>
            </w:tcBorders>
            <w:shd w:val="clear" w:color="D9D9D9" w:fill="D9D9D9"/>
            <w:noWrap/>
            <w:vAlign w:val="bottom"/>
            <w:hideMark/>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456,43</w:t>
            </w:r>
            <w:r w:rsidRPr="009E71B9">
              <w:rPr>
                <w:rFonts w:eastAsia="Times New Roman" w:cs="Arial"/>
                <w:color w:val="000000"/>
                <w:szCs w:val="20"/>
                <w:lang w:eastAsia="pt-BR"/>
              </w:rPr>
              <w:t>%</w:t>
            </w:r>
          </w:p>
        </w:tc>
      </w:tr>
      <w:tr w:rsidR="006E6D1D" w:rsidRPr="009E71B9" w:rsidTr="008D6A91">
        <w:trPr>
          <w:trHeight w:val="269"/>
        </w:trPr>
        <w:tc>
          <w:tcPr>
            <w:tcW w:w="4981" w:type="dxa"/>
            <w:tcBorders>
              <w:top w:val="nil"/>
              <w:left w:val="nil"/>
              <w:bottom w:val="nil"/>
              <w:right w:val="nil"/>
            </w:tcBorders>
            <w:shd w:val="clear" w:color="auto" w:fill="auto"/>
            <w:vAlign w:val="center"/>
            <w:hideMark/>
          </w:tcPr>
          <w:p w:rsidR="006E6D1D" w:rsidRPr="009E71B9" w:rsidRDefault="006E6D1D" w:rsidP="008D6A91">
            <w:pPr>
              <w:jc w:val="left"/>
              <w:rPr>
                <w:rFonts w:eastAsia="Times New Roman" w:cs="Arial"/>
                <w:color w:val="000000"/>
                <w:szCs w:val="20"/>
                <w:lang w:eastAsia="pt-BR"/>
              </w:rPr>
            </w:pPr>
            <w:r w:rsidRPr="009E71B9">
              <w:rPr>
                <w:rFonts w:eastAsia="Times New Roman" w:cs="Arial"/>
                <w:color w:val="000000"/>
                <w:szCs w:val="20"/>
                <w:lang w:eastAsia="pt-BR"/>
              </w:rPr>
              <w:t>Amortização Acumulada - Bens Imóveis</w:t>
            </w:r>
          </w:p>
        </w:tc>
        <w:tc>
          <w:tcPr>
            <w:tcW w:w="1515"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w:t>
            </w:r>
            <w:r w:rsidRPr="00B770D7">
              <w:rPr>
                <w:rFonts w:eastAsia="Times New Roman" w:cs="Arial"/>
                <w:color w:val="000000"/>
                <w:szCs w:val="20"/>
                <w:lang w:eastAsia="pt-BR"/>
              </w:rPr>
              <w:t>901</w:t>
            </w:r>
            <w:r>
              <w:rPr>
                <w:rFonts w:eastAsia="Times New Roman" w:cs="Arial"/>
                <w:color w:val="000000"/>
                <w:szCs w:val="20"/>
                <w:lang w:eastAsia="pt-BR"/>
              </w:rPr>
              <w:t>.</w:t>
            </w:r>
            <w:r w:rsidRPr="00B770D7">
              <w:rPr>
                <w:rFonts w:eastAsia="Times New Roman" w:cs="Arial"/>
                <w:color w:val="000000"/>
                <w:szCs w:val="20"/>
                <w:lang w:eastAsia="pt-BR"/>
              </w:rPr>
              <w:t>514,83</w:t>
            </w:r>
          </w:p>
        </w:tc>
        <w:tc>
          <w:tcPr>
            <w:tcW w:w="1515" w:type="dxa"/>
            <w:tcBorders>
              <w:top w:val="nil"/>
              <w:left w:val="nil"/>
              <w:bottom w:val="nil"/>
              <w:right w:val="nil"/>
            </w:tcBorders>
            <w:shd w:val="clear" w:color="auto" w:fill="auto"/>
            <w:noWrap/>
            <w:vAlign w:val="bottom"/>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1112" w:type="dxa"/>
            <w:tcBorders>
              <w:top w:val="nil"/>
              <w:left w:val="nil"/>
              <w:bottom w:val="nil"/>
              <w:right w:val="nil"/>
            </w:tcBorders>
            <w:shd w:val="clear" w:color="auto" w:fill="auto"/>
            <w:noWrap/>
            <w:vAlign w:val="bottom"/>
            <w:hideMark/>
          </w:tcPr>
          <w:p w:rsidR="006E6D1D" w:rsidRPr="009E71B9" w:rsidRDefault="006E6D1D" w:rsidP="008D6A91">
            <w:pPr>
              <w:jc w:val="right"/>
              <w:rPr>
                <w:rFonts w:eastAsia="Times New Roman" w:cs="Arial"/>
                <w:color w:val="000000"/>
                <w:szCs w:val="20"/>
                <w:lang w:eastAsia="pt-BR"/>
              </w:rPr>
            </w:pPr>
            <w:r>
              <w:rPr>
                <w:rFonts w:eastAsia="Times New Roman" w:cs="Arial"/>
                <w:color w:val="000000"/>
                <w:szCs w:val="20"/>
                <w:lang w:eastAsia="pt-BR"/>
              </w:rPr>
              <w:t>100,00</w:t>
            </w:r>
            <w:r w:rsidRPr="009E71B9">
              <w:rPr>
                <w:rFonts w:eastAsia="Times New Roman" w:cs="Arial"/>
                <w:color w:val="000000"/>
                <w:szCs w:val="20"/>
                <w:lang w:eastAsia="pt-BR"/>
              </w:rPr>
              <w:t>%</w:t>
            </w:r>
          </w:p>
        </w:tc>
      </w:tr>
      <w:tr w:rsidR="006E6D1D" w:rsidRPr="00B770D7" w:rsidTr="008D6A91">
        <w:trPr>
          <w:trHeight w:val="269"/>
        </w:trPr>
        <w:tc>
          <w:tcPr>
            <w:tcW w:w="4981" w:type="dxa"/>
            <w:tcBorders>
              <w:top w:val="nil"/>
              <w:left w:val="nil"/>
              <w:bottom w:val="single" w:sz="4" w:space="0" w:color="000000"/>
              <w:right w:val="nil"/>
            </w:tcBorders>
            <w:shd w:val="clear" w:color="D9D9D9" w:fill="D9D9D9"/>
            <w:noWrap/>
            <w:vAlign w:val="bottom"/>
            <w:hideMark/>
          </w:tcPr>
          <w:p w:rsidR="006E6D1D" w:rsidRPr="00B770D7" w:rsidRDefault="006E6D1D" w:rsidP="008D6A91">
            <w:pPr>
              <w:jc w:val="left"/>
              <w:rPr>
                <w:rFonts w:eastAsia="Times New Roman" w:cs="Arial"/>
                <w:b/>
                <w:bCs/>
                <w:color w:val="000000"/>
                <w:szCs w:val="20"/>
                <w:lang w:eastAsia="pt-BR"/>
              </w:rPr>
            </w:pPr>
            <w:r w:rsidRPr="00B770D7">
              <w:rPr>
                <w:rFonts w:eastAsia="Times New Roman" w:cs="Arial"/>
                <w:b/>
                <w:bCs/>
                <w:color w:val="000000"/>
                <w:szCs w:val="20"/>
                <w:lang w:eastAsia="pt-BR"/>
              </w:rPr>
              <w:t>Total</w:t>
            </w:r>
          </w:p>
        </w:tc>
        <w:tc>
          <w:tcPr>
            <w:tcW w:w="1515" w:type="dxa"/>
            <w:tcBorders>
              <w:top w:val="nil"/>
              <w:left w:val="nil"/>
              <w:bottom w:val="single" w:sz="4" w:space="0" w:color="000000"/>
              <w:right w:val="nil"/>
            </w:tcBorders>
            <w:shd w:val="clear" w:color="D9D9D9" w:fill="D9D9D9"/>
            <w:noWrap/>
            <w:vAlign w:val="bottom"/>
          </w:tcPr>
          <w:p w:rsidR="006E6D1D" w:rsidRPr="00B770D7" w:rsidRDefault="006E6D1D" w:rsidP="008D6A91">
            <w:pPr>
              <w:jc w:val="right"/>
              <w:rPr>
                <w:rFonts w:ascii="Calibri" w:hAnsi="Calibri"/>
                <w:b/>
                <w:color w:val="000000"/>
                <w:sz w:val="22"/>
              </w:rPr>
            </w:pPr>
            <w:r w:rsidRPr="00B770D7">
              <w:rPr>
                <w:rFonts w:ascii="Calibri" w:hAnsi="Calibri"/>
                <w:b/>
                <w:color w:val="000000"/>
                <w:sz w:val="22"/>
              </w:rPr>
              <w:t>109.951.106,26</w:t>
            </w:r>
          </w:p>
          <w:p w:rsidR="006E6D1D" w:rsidRPr="00B770D7" w:rsidRDefault="006E6D1D" w:rsidP="008D6A91">
            <w:pPr>
              <w:jc w:val="right"/>
              <w:rPr>
                <w:rFonts w:eastAsia="Times New Roman" w:cs="Arial"/>
                <w:b/>
                <w:bCs/>
                <w:color w:val="000000"/>
                <w:szCs w:val="20"/>
                <w:lang w:eastAsia="pt-BR"/>
              </w:rPr>
            </w:pPr>
          </w:p>
        </w:tc>
        <w:tc>
          <w:tcPr>
            <w:tcW w:w="1515" w:type="dxa"/>
            <w:tcBorders>
              <w:top w:val="nil"/>
              <w:left w:val="nil"/>
              <w:bottom w:val="single" w:sz="4" w:space="0" w:color="000000"/>
              <w:right w:val="nil"/>
            </w:tcBorders>
            <w:shd w:val="clear" w:color="D9D9D9" w:fill="D9D9D9"/>
            <w:noWrap/>
            <w:vAlign w:val="bottom"/>
          </w:tcPr>
          <w:p w:rsidR="006E6D1D" w:rsidRPr="00B770D7" w:rsidRDefault="006E6D1D" w:rsidP="008D6A91">
            <w:pPr>
              <w:jc w:val="right"/>
              <w:rPr>
                <w:rFonts w:ascii="Calibri" w:hAnsi="Calibri"/>
                <w:b/>
                <w:color w:val="000000"/>
                <w:sz w:val="22"/>
              </w:rPr>
            </w:pPr>
            <w:r w:rsidRPr="00B770D7">
              <w:rPr>
                <w:rFonts w:ascii="Calibri" w:hAnsi="Calibri"/>
                <w:b/>
                <w:color w:val="000000"/>
                <w:sz w:val="22"/>
              </w:rPr>
              <w:t>104.579.796,99</w:t>
            </w:r>
          </w:p>
          <w:p w:rsidR="006E6D1D" w:rsidRPr="00B770D7" w:rsidRDefault="006E6D1D" w:rsidP="008D6A91">
            <w:pPr>
              <w:jc w:val="right"/>
              <w:rPr>
                <w:rFonts w:eastAsia="Times New Roman" w:cs="Arial"/>
                <w:b/>
                <w:bCs/>
                <w:color w:val="000000"/>
                <w:szCs w:val="20"/>
                <w:lang w:eastAsia="pt-BR"/>
              </w:rPr>
            </w:pPr>
          </w:p>
        </w:tc>
        <w:tc>
          <w:tcPr>
            <w:tcW w:w="1112" w:type="dxa"/>
            <w:tcBorders>
              <w:top w:val="nil"/>
              <w:left w:val="nil"/>
              <w:bottom w:val="single" w:sz="4" w:space="0" w:color="000000"/>
              <w:right w:val="nil"/>
            </w:tcBorders>
            <w:shd w:val="clear" w:color="D9D9D9" w:fill="D9D9D9"/>
            <w:noWrap/>
            <w:vAlign w:val="bottom"/>
          </w:tcPr>
          <w:p w:rsidR="006E6D1D" w:rsidRPr="00B770D7" w:rsidRDefault="006E6D1D" w:rsidP="008D6A91">
            <w:pPr>
              <w:jc w:val="right"/>
              <w:rPr>
                <w:rFonts w:eastAsia="Times New Roman" w:cs="Arial"/>
                <w:b/>
                <w:bCs/>
                <w:color w:val="000000"/>
                <w:szCs w:val="20"/>
                <w:lang w:eastAsia="pt-BR"/>
              </w:rPr>
            </w:pPr>
            <w:r w:rsidRPr="00B770D7">
              <w:rPr>
                <w:rFonts w:eastAsia="Times New Roman" w:cs="Arial"/>
                <w:b/>
                <w:bCs/>
                <w:color w:val="000000"/>
                <w:szCs w:val="20"/>
                <w:lang w:eastAsia="pt-BR"/>
              </w:rPr>
              <w:t>3,93%</w:t>
            </w:r>
          </w:p>
        </w:tc>
      </w:tr>
    </w:tbl>
    <w:p w:rsidR="006E6D1D" w:rsidRPr="009E71B9" w:rsidRDefault="006E6D1D" w:rsidP="006E6D1D">
      <w:pPr>
        <w:rPr>
          <w:rFonts w:cs="Arial"/>
          <w:i/>
          <w:szCs w:val="20"/>
        </w:rPr>
      </w:pPr>
      <w:r w:rsidRPr="009E71B9">
        <w:rPr>
          <w:rFonts w:cs="Arial"/>
          <w:i/>
          <w:szCs w:val="20"/>
        </w:rPr>
        <w:t>Fonte: SIAFI, 2017 e 2016.</w:t>
      </w:r>
    </w:p>
    <w:p w:rsidR="006E6D1D" w:rsidRPr="0037110A" w:rsidRDefault="006E6D1D" w:rsidP="006E6D1D">
      <w:pPr>
        <w:rPr>
          <w:rFonts w:cs="Arial"/>
          <w:sz w:val="22"/>
        </w:rPr>
      </w:pPr>
    </w:p>
    <w:p w:rsidR="006E6D1D" w:rsidRDefault="006E6D1D" w:rsidP="006E6D1D">
      <w:pPr>
        <w:rPr>
          <w:rFonts w:cs="Arial"/>
          <w:sz w:val="22"/>
        </w:rPr>
      </w:pPr>
      <w:r w:rsidRPr="0037110A">
        <w:rPr>
          <w:rFonts w:cs="Arial"/>
          <w:sz w:val="22"/>
        </w:rPr>
        <w:lastRenderedPageBreak/>
        <w:t>A depreciação dos Bens Imóveis é apurada utilizando-se o método descrito na Portaria Conjunta STN/SPU N. 03, de 10 de dezembro de 2014, cujos valores são apropriados pela S</w:t>
      </w:r>
      <w:r>
        <w:rPr>
          <w:rFonts w:cs="Arial"/>
          <w:sz w:val="22"/>
        </w:rPr>
        <w:t xml:space="preserve">ecretaria do Tesouro Nacional </w:t>
      </w:r>
      <w:r w:rsidRPr="0037110A">
        <w:rPr>
          <w:rFonts w:cs="Arial"/>
          <w:sz w:val="22"/>
        </w:rPr>
        <w:t>com base em informações prestadas pela Secretaria de Patrimônio da União.</w:t>
      </w:r>
    </w:p>
    <w:p w:rsidR="006E6D1D" w:rsidRDefault="006E6D1D" w:rsidP="006E6D1D">
      <w:pPr>
        <w:rPr>
          <w:rFonts w:cs="Arial"/>
          <w:sz w:val="22"/>
        </w:rPr>
      </w:pPr>
    </w:p>
    <w:p w:rsidR="006E6D1D" w:rsidRDefault="006E6D1D" w:rsidP="006E6D1D">
      <w:pPr>
        <w:rPr>
          <w:rFonts w:cs="Arial"/>
          <w:sz w:val="22"/>
        </w:rPr>
      </w:pPr>
      <w:r>
        <w:rPr>
          <w:rFonts w:cs="Arial"/>
          <w:sz w:val="22"/>
        </w:rPr>
        <w:t xml:space="preserve">O método de depreciação previsto na referida norma conjunta é a Parábola de </w:t>
      </w:r>
      <w:proofErr w:type="spellStart"/>
      <w:r>
        <w:rPr>
          <w:rFonts w:cs="Arial"/>
          <w:sz w:val="22"/>
        </w:rPr>
        <w:t>Kuntzle</w:t>
      </w:r>
      <w:proofErr w:type="spellEnd"/>
      <w:r>
        <w:rPr>
          <w:rFonts w:cs="Arial"/>
          <w:sz w:val="22"/>
        </w:rPr>
        <w:t>, expressa pela seguinte fórmula:</w:t>
      </w:r>
    </w:p>
    <w:p w:rsidR="006E6D1D" w:rsidRDefault="006E6D1D" w:rsidP="006E6D1D">
      <w:pPr>
        <w:rPr>
          <w:rFonts w:cs="Arial"/>
          <w:sz w:val="22"/>
        </w:rPr>
      </w:pPr>
    </w:p>
    <w:p w:rsidR="006E6D1D" w:rsidRPr="009E71B9" w:rsidRDefault="006E6D1D" w:rsidP="006E6D1D">
      <w:pPr>
        <w:autoSpaceDE w:val="0"/>
        <w:autoSpaceDN w:val="0"/>
        <w:adjustRightInd w:val="0"/>
        <w:jc w:val="left"/>
        <w:rPr>
          <w:rFonts w:cs="Arial"/>
          <w:sz w:val="22"/>
        </w:rPr>
      </w:pPr>
      <w:proofErr w:type="spellStart"/>
      <w:r w:rsidRPr="009E71B9">
        <w:rPr>
          <w:rFonts w:cs="Arial"/>
          <w:sz w:val="22"/>
        </w:rPr>
        <w:t>Kd</w:t>
      </w:r>
      <w:proofErr w:type="spellEnd"/>
      <w:r w:rsidRPr="009E71B9">
        <w:rPr>
          <w:rFonts w:cs="Arial"/>
          <w:sz w:val="22"/>
        </w:rPr>
        <w:t xml:space="preserve"> = (n² - x²) / n², onde:</w:t>
      </w:r>
    </w:p>
    <w:p w:rsidR="006E6D1D" w:rsidRPr="009E71B9" w:rsidRDefault="006E6D1D" w:rsidP="006E6D1D">
      <w:pPr>
        <w:autoSpaceDE w:val="0"/>
        <w:autoSpaceDN w:val="0"/>
        <w:adjustRightInd w:val="0"/>
        <w:jc w:val="left"/>
        <w:rPr>
          <w:rFonts w:cs="Arial"/>
          <w:sz w:val="22"/>
        </w:rPr>
      </w:pPr>
      <w:proofErr w:type="spellStart"/>
      <w:r w:rsidRPr="009E71B9">
        <w:rPr>
          <w:rFonts w:cs="Arial"/>
          <w:sz w:val="22"/>
        </w:rPr>
        <w:t>Kd</w:t>
      </w:r>
      <w:proofErr w:type="spellEnd"/>
      <w:r w:rsidRPr="009E71B9">
        <w:rPr>
          <w:rFonts w:cs="Arial"/>
          <w:sz w:val="22"/>
        </w:rPr>
        <w:t xml:space="preserve"> = coeficiente de depreciação</w:t>
      </w:r>
    </w:p>
    <w:p w:rsidR="006E6D1D" w:rsidRPr="009E71B9" w:rsidRDefault="006E6D1D" w:rsidP="006E6D1D">
      <w:pPr>
        <w:autoSpaceDE w:val="0"/>
        <w:autoSpaceDN w:val="0"/>
        <w:adjustRightInd w:val="0"/>
        <w:jc w:val="left"/>
        <w:rPr>
          <w:rFonts w:cs="Arial"/>
          <w:sz w:val="22"/>
        </w:rPr>
      </w:pPr>
      <w:proofErr w:type="gramStart"/>
      <w:r w:rsidRPr="009E71B9">
        <w:rPr>
          <w:rFonts w:cs="Arial"/>
          <w:sz w:val="22"/>
        </w:rPr>
        <w:t>n</w:t>
      </w:r>
      <w:proofErr w:type="gramEnd"/>
      <w:r w:rsidRPr="009E71B9">
        <w:rPr>
          <w:rFonts w:cs="Arial"/>
          <w:sz w:val="22"/>
        </w:rPr>
        <w:t xml:space="preserve"> = vida útil da acessão</w:t>
      </w:r>
    </w:p>
    <w:p w:rsidR="006E6D1D" w:rsidRPr="009E71B9" w:rsidRDefault="006E6D1D" w:rsidP="006E6D1D">
      <w:pPr>
        <w:rPr>
          <w:rFonts w:cs="Arial"/>
          <w:sz w:val="22"/>
        </w:rPr>
      </w:pPr>
      <w:proofErr w:type="gramStart"/>
      <w:r w:rsidRPr="009E71B9">
        <w:rPr>
          <w:rFonts w:cs="Arial"/>
          <w:sz w:val="22"/>
        </w:rPr>
        <w:t>x</w:t>
      </w:r>
      <w:proofErr w:type="gramEnd"/>
      <w:r w:rsidRPr="009E71B9">
        <w:rPr>
          <w:rFonts w:cs="Arial"/>
          <w:sz w:val="22"/>
        </w:rPr>
        <w:t xml:space="preserve"> = vida útil transcorrida da acessão</w:t>
      </w:r>
    </w:p>
    <w:p w:rsidR="006E6D1D" w:rsidRDefault="006E6D1D" w:rsidP="006E6D1D">
      <w:pPr>
        <w:rPr>
          <w:rFonts w:cs="Arial"/>
          <w:sz w:val="22"/>
        </w:rPr>
      </w:pPr>
    </w:p>
    <w:p w:rsidR="006E6D1D" w:rsidRPr="0037110A" w:rsidRDefault="006E6D1D" w:rsidP="006E6D1D">
      <w:pPr>
        <w:rPr>
          <w:rFonts w:cs="Arial"/>
          <w:sz w:val="22"/>
        </w:rPr>
      </w:pPr>
      <w:r w:rsidRPr="0037110A">
        <w:rPr>
          <w:rFonts w:cs="Arial"/>
          <w:sz w:val="22"/>
        </w:rPr>
        <w:t>As Benfeitorias em Imóveis de Terceiros foram executadas em imóveis locados pela AN</w:t>
      </w:r>
      <w:r>
        <w:rPr>
          <w:rFonts w:cs="Arial"/>
          <w:sz w:val="22"/>
        </w:rPr>
        <w:t>P</w:t>
      </w:r>
      <w:r w:rsidRPr="0037110A">
        <w:rPr>
          <w:rFonts w:cs="Arial"/>
          <w:sz w:val="22"/>
        </w:rPr>
        <w:t xml:space="preserve"> e a amortização se dá pelo prazo da vigência dos contratos de locação firmados.</w:t>
      </w:r>
    </w:p>
    <w:p w:rsidR="006E6D1D" w:rsidRPr="0037110A" w:rsidRDefault="006E6D1D" w:rsidP="006E6D1D">
      <w:pPr>
        <w:rPr>
          <w:rFonts w:cs="Arial"/>
          <w:sz w:val="22"/>
        </w:rPr>
      </w:pPr>
    </w:p>
    <w:p w:rsidR="006E6D1D" w:rsidRDefault="006E6D1D" w:rsidP="006E6D1D">
      <w:pPr>
        <w:rPr>
          <w:rFonts w:cs="Arial"/>
          <w:sz w:val="22"/>
        </w:rPr>
      </w:pPr>
      <w:r w:rsidRPr="0037110A">
        <w:rPr>
          <w:rFonts w:cs="Arial"/>
          <w:sz w:val="22"/>
        </w:rPr>
        <w:t>A AN</w:t>
      </w:r>
      <w:r>
        <w:rPr>
          <w:rFonts w:cs="Arial"/>
          <w:sz w:val="22"/>
        </w:rPr>
        <w:t>P</w:t>
      </w:r>
      <w:r w:rsidRPr="0037110A">
        <w:rPr>
          <w:rFonts w:cs="Arial"/>
          <w:sz w:val="22"/>
        </w:rPr>
        <w:t xml:space="preserve"> possui Bens Imóveis em </w:t>
      </w:r>
      <w:r>
        <w:rPr>
          <w:rFonts w:cs="Arial"/>
          <w:sz w:val="22"/>
        </w:rPr>
        <w:t xml:space="preserve">andamento (Obra já acabada do CPT), </w:t>
      </w:r>
      <w:r w:rsidRPr="0037110A">
        <w:rPr>
          <w:rFonts w:cs="Arial"/>
          <w:sz w:val="22"/>
        </w:rPr>
        <w:t xml:space="preserve">cuja situação ainda não foi regularizada junto à SPU, </w:t>
      </w:r>
      <w:r>
        <w:rPr>
          <w:rFonts w:cs="Arial"/>
          <w:sz w:val="22"/>
        </w:rPr>
        <w:t xml:space="preserve">não estando, portanto, incorporados ao sistema SPIU na data-base de </w:t>
      </w:r>
      <w:r w:rsidRPr="0037110A">
        <w:rPr>
          <w:rFonts w:cs="Arial"/>
          <w:sz w:val="22"/>
        </w:rPr>
        <w:t>3</w:t>
      </w:r>
      <w:r>
        <w:rPr>
          <w:rFonts w:cs="Arial"/>
          <w:sz w:val="22"/>
        </w:rPr>
        <w:t>1</w:t>
      </w:r>
      <w:r w:rsidRPr="0037110A">
        <w:rPr>
          <w:rFonts w:cs="Arial"/>
          <w:sz w:val="22"/>
        </w:rPr>
        <w:t>/</w:t>
      </w:r>
      <w:r>
        <w:rPr>
          <w:rFonts w:cs="Arial"/>
          <w:sz w:val="22"/>
        </w:rPr>
        <w:t>12</w:t>
      </w:r>
      <w:r w:rsidRPr="0037110A">
        <w:rPr>
          <w:rFonts w:cs="Arial"/>
          <w:sz w:val="22"/>
        </w:rPr>
        <w:t>/2</w:t>
      </w:r>
      <w:r>
        <w:rPr>
          <w:rFonts w:cs="Arial"/>
          <w:sz w:val="22"/>
        </w:rPr>
        <w:t>017.</w:t>
      </w:r>
      <w:r w:rsidRPr="0037110A">
        <w:rPr>
          <w:rFonts w:cs="Arial"/>
          <w:sz w:val="22"/>
        </w:rPr>
        <w:t xml:space="preserve"> </w:t>
      </w:r>
      <w:r>
        <w:rPr>
          <w:rFonts w:cs="Arial"/>
          <w:sz w:val="22"/>
        </w:rPr>
        <w:t>Segue a lista de bens Imóveis da ANP:</w:t>
      </w:r>
    </w:p>
    <w:p w:rsidR="006E6D1D" w:rsidRPr="0037110A" w:rsidRDefault="006E6D1D" w:rsidP="006E6D1D">
      <w:pPr>
        <w:rPr>
          <w:rFonts w:cs="Arial"/>
          <w:sz w:val="22"/>
        </w:rPr>
      </w:pPr>
    </w:p>
    <w:p w:rsidR="006E6D1D" w:rsidRPr="00E65DFE" w:rsidRDefault="006E6D1D" w:rsidP="006E6D1D">
      <w:pPr>
        <w:rPr>
          <w:rFonts w:cs="Arial"/>
          <w:b/>
          <w:sz w:val="22"/>
        </w:rPr>
      </w:pPr>
      <w:r w:rsidRPr="00DC2695">
        <w:rPr>
          <w:rFonts w:cs="Arial"/>
          <w:b/>
          <w:sz w:val="22"/>
        </w:rPr>
        <w:t xml:space="preserve">Tabela </w:t>
      </w:r>
      <w:r>
        <w:rPr>
          <w:rFonts w:cs="Arial"/>
          <w:b/>
          <w:sz w:val="22"/>
        </w:rPr>
        <w:t xml:space="preserve">5 </w:t>
      </w:r>
      <w:r w:rsidRPr="00DC2695">
        <w:rPr>
          <w:rFonts w:cs="Arial"/>
          <w:b/>
          <w:sz w:val="22"/>
        </w:rPr>
        <w:t xml:space="preserve">-  </w:t>
      </w:r>
      <w:r>
        <w:rPr>
          <w:rFonts w:cs="Arial"/>
          <w:b/>
          <w:sz w:val="22"/>
        </w:rPr>
        <w:t xml:space="preserve">Lista de </w:t>
      </w:r>
      <w:r w:rsidRPr="00DC2695">
        <w:rPr>
          <w:rFonts w:cs="Arial"/>
          <w:b/>
          <w:sz w:val="22"/>
        </w:rPr>
        <w:t>Bens Imóveis – Identificação e Localização.</w:t>
      </w:r>
    </w:p>
    <w:p w:rsidR="006E6D1D" w:rsidRDefault="006E6D1D" w:rsidP="006E6D1D">
      <w:pPr>
        <w:rPr>
          <w:rFonts w:cs="Arial"/>
          <w:sz w:val="22"/>
        </w:rPr>
      </w:pPr>
    </w:p>
    <w:tbl>
      <w:tblPr>
        <w:tblW w:w="7700" w:type="dxa"/>
        <w:tblInd w:w="-10" w:type="dxa"/>
        <w:tblCellMar>
          <w:left w:w="70" w:type="dxa"/>
          <w:right w:w="70" w:type="dxa"/>
        </w:tblCellMar>
        <w:tblLook w:val="04A0" w:firstRow="1" w:lastRow="0" w:firstColumn="1" w:lastColumn="0" w:noHBand="0" w:noVBand="1"/>
      </w:tblPr>
      <w:tblGrid>
        <w:gridCol w:w="1885"/>
        <w:gridCol w:w="3438"/>
        <w:gridCol w:w="2377"/>
      </w:tblGrid>
      <w:tr w:rsidR="006E6D1D" w:rsidRPr="00833F42" w:rsidTr="008D6A91">
        <w:trPr>
          <w:trHeight w:val="320"/>
        </w:trPr>
        <w:tc>
          <w:tcPr>
            <w:tcW w:w="188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rsidR="006E6D1D" w:rsidRPr="00833F42" w:rsidRDefault="006E6D1D" w:rsidP="008D6A91">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438" w:type="dxa"/>
            <w:tcBorders>
              <w:top w:val="single" w:sz="8" w:space="0" w:color="000000"/>
              <w:left w:val="nil"/>
              <w:bottom w:val="single" w:sz="8" w:space="0" w:color="auto"/>
              <w:right w:val="single" w:sz="8" w:space="0" w:color="auto"/>
            </w:tcBorders>
            <w:shd w:val="clear" w:color="auto" w:fill="auto"/>
            <w:vAlign w:val="center"/>
            <w:hideMark/>
          </w:tcPr>
          <w:p w:rsidR="006E6D1D" w:rsidRPr="00833F42" w:rsidRDefault="006E6D1D" w:rsidP="008D6A91">
            <w:pPr>
              <w:jc w:val="center"/>
              <w:rPr>
                <w:rFonts w:eastAsia="Times New Roman" w:cs="Arial"/>
                <w:b/>
                <w:bCs/>
                <w:color w:val="000000"/>
                <w:szCs w:val="20"/>
                <w:lang w:eastAsia="pt-BR"/>
              </w:rPr>
            </w:pPr>
            <w:r w:rsidRPr="00833F42">
              <w:rPr>
                <w:rFonts w:eastAsia="Times New Roman" w:cs="Arial"/>
                <w:b/>
                <w:bCs/>
                <w:color w:val="000000"/>
                <w:szCs w:val="20"/>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rsidR="006E6D1D" w:rsidRPr="00833F42" w:rsidRDefault="006E6D1D" w:rsidP="008D6A91">
            <w:pPr>
              <w:jc w:val="center"/>
              <w:rPr>
                <w:rFonts w:eastAsia="Times New Roman" w:cs="Arial"/>
                <w:b/>
                <w:bCs/>
                <w:color w:val="000000"/>
                <w:szCs w:val="20"/>
                <w:lang w:eastAsia="pt-BR"/>
              </w:rPr>
            </w:pPr>
            <w:r w:rsidRPr="00833F42">
              <w:rPr>
                <w:rFonts w:eastAsia="Times New Roman" w:cs="Arial"/>
                <w:b/>
                <w:bCs/>
                <w:color w:val="000000"/>
                <w:szCs w:val="20"/>
                <w:lang w:eastAsia="pt-BR"/>
              </w:rPr>
              <w:t>RIP</w:t>
            </w:r>
          </w:p>
        </w:tc>
      </w:tr>
      <w:tr w:rsidR="006E6D1D" w:rsidRPr="00833F42" w:rsidTr="008D6A91">
        <w:trPr>
          <w:trHeight w:val="533"/>
        </w:trPr>
        <w:tc>
          <w:tcPr>
            <w:tcW w:w="1885" w:type="dxa"/>
            <w:tcBorders>
              <w:top w:val="nil"/>
              <w:left w:val="single" w:sz="8" w:space="0" w:color="000000"/>
              <w:bottom w:val="single" w:sz="8" w:space="0" w:color="auto"/>
              <w:right w:val="single" w:sz="8" w:space="0" w:color="auto"/>
            </w:tcBorders>
            <w:shd w:val="clear" w:color="000000" w:fill="D9D9D9"/>
            <w:vAlign w:val="center"/>
            <w:hideMark/>
          </w:tcPr>
          <w:p w:rsidR="006E6D1D" w:rsidRPr="00833F42" w:rsidRDefault="006E6D1D" w:rsidP="008D6A91">
            <w:pPr>
              <w:jc w:val="center"/>
              <w:rPr>
                <w:rFonts w:eastAsia="Times New Roman" w:cs="Arial"/>
                <w:color w:val="000000"/>
                <w:szCs w:val="20"/>
                <w:lang w:eastAsia="pt-BR"/>
              </w:rPr>
            </w:pPr>
            <w:r>
              <w:rPr>
                <w:rFonts w:eastAsia="Times New Roman" w:cs="Arial"/>
                <w:color w:val="000000"/>
                <w:szCs w:val="20"/>
                <w:lang w:eastAsia="pt-BR"/>
              </w:rPr>
              <w:t>323030</w:t>
            </w:r>
          </w:p>
        </w:tc>
        <w:tc>
          <w:tcPr>
            <w:tcW w:w="3438" w:type="dxa"/>
            <w:tcBorders>
              <w:top w:val="nil"/>
              <w:left w:val="nil"/>
              <w:bottom w:val="single" w:sz="8" w:space="0" w:color="auto"/>
              <w:right w:val="single" w:sz="8" w:space="0" w:color="auto"/>
            </w:tcBorders>
            <w:shd w:val="clear" w:color="000000" w:fill="D9D9D9"/>
            <w:vAlign w:val="center"/>
            <w:hideMark/>
          </w:tcPr>
          <w:p w:rsidR="006E6D1D" w:rsidRPr="00833F42" w:rsidRDefault="006E6D1D" w:rsidP="008D6A91">
            <w:pPr>
              <w:rPr>
                <w:rFonts w:eastAsia="Times New Roman" w:cs="Arial"/>
                <w:color w:val="000000"/>
                <w:szCs w:val="20"/>
                <w:lang w:eastAsia="pt-BR"/>
              </w:rPr>
            </w:pPr>
            <w:r w:rsidRPr="00E40077">
              <w:rPr>
                <w:rFonts w:eastAsia="Times New Roman" w:cs="Arial"/>
                <w:color w:val="000000"/>
                <w:szCs w:val="20"/>
                <w:lang w:eastAsia="pt-BR"/>
              </w:rPr>
              <w:t>Setor de Grandes Áreas Norte 603 - Asa Norte, Brasília - DF</w:t>
            </w:r>
          </w:p>
        </w:tc>
        <w:tc>
          <w:tcPr>
            <w:tcW w:w="2377" w:type="dxa"/>
            <w:tcBorders>
              <w:top w:val="nil"/>
              <w:left w:val="nil"/>
              <w:bottom w:val="single" w:sz="8" w:space="0" w:color="auto"/>
              <w:right w:val="single" w:sz="8" w:space="0" w:color="auto"/>
            </w:tcBorders>
            <w:shd w:val="clear" w:color="000000" w:fill="D9D9D9"/>
            <w:noWrap/>
            <w:vAlign w:val="center"/>
            <w:hideMark/>
          </w:tcPr>
          <w:p w:rsidR="006E6D1D" w:rsidRPr="00833F42" w:rsidRDefault="006E6D1D" w:rsidP="008D6A91">
            <w:pPr>
              <w:jc w:val="right"/>
              <w:rPr>
                <w:rFonts w:eastAsia="Times New Roman" w:cs="Arial"/>
                <w:color w:val="000000"/>
                <w:szCs w:val="20"/>
                <w:lang w:eastAsia="pt-BR"/>
              </w:rPr>
            </w:pPr>
            <w:r w:rsidRPr="00DB7F4B">
              <w:rPr>
                <w:rFonts w:eastAsia="Times New Roman" w:cs="Arial"/>
                <w:color w:val="000000"/>
                <w:szCs w:val="20"/>
                <w:lang w:eastAsia="pt-BR"/>
              </w:rPr>
              <w:t>9701001725000</w:t>
            </w:r>
          </w:p>
        </w:tc>
      </w:tr>
      <w:tr w:rsidR="006E6D1D" w:rsidRPr="00833F42" w:rsidTr="008D6A91">
        <w:trPr>
          <w:trHeight w:val="533"/>
        </w:trPr>
        <w:tc>
          <w:tcPr>
            <w:tcW w:w="1885" w:type="dxa"/>
            <w:tcBorders>
              <w:top w:val="nil"/>
              <w:left w:val="single" w:sz="8" w:space="0" w:color="000000"/>
              <w:bottom w:val="single" w:sz="8" w:space="0" w:color="auto"/>
              <w:right w:val="single" w:sz="8" w:space="0" w:color="auto"/>
            </w:tcBorders>
            <w:shd w:val="clear" w:color="000000" w:fill="FFFFFF"/>
            <w:vAlign w:val="center"/>
            <w:hideMark/>
          </w:tcPr>
          <w:p w:rsidR="006E6D1D" w:rsidRPr="00833F42" w:rsidRDefault="006E6D1D" w:rsidP="008D6A91">
            <w:pPr>
              <w:jc w:val="center"/>
              <w:rPr>
                <w:rFonts w:eastAsia="Times New Roman" w:cs="Arial"/>
                <w:color w:val="000000"/>
                <w:szCs w:val="20"/>
                <w:lang w:eastAsia="pt-BR"/>
              </w:rPr>
            </w:pPr>
            <w:r>
              <w:rPr>
                <w:rFonts w:eastAsia="Times New Roman" w:cs="Arial"/>
                <w:color w:val="000000"/>
                <w:szCs w:val="20"/>
                <w:lang w:eastAsia="pt-BR"/>
              </w:rPr>
              <w:t>323031</w:t>
            </w:r>
          </w:p>
        </w:tc>
        <w:tc>
          <w:tcPr>
            <w:tcW w:w="3438" w:type="dxa"/>
            <w:tcBorders>
              <w:top w:val="nil"/>
              <w:left w:val="nil"/>
              <w:bottom w:val="single" w:sz="8" w:space="0" w:color="auto"/>
              <w:right w:val="single" w:sz="8" w:space="0" w:color="auto"/>
            </w:tcBorders>
            <w:shd w:val="clear" w:color="000000" w:fill="FFFFFF"/>
            <w:vAlign w:val="center"/>
            <w:hideMark/>
          </w:tcPr>
          <w:p w:rsidR="006E6D1D" w:rsidRPr="00833F42" w:rsidRDefault="006E6D1D" w:rsidP="008D6A91">
            <w:pPr>
              <w:jc w:val="left"/>
              <w:rPr>
                <w:rFonts w:eastAsia="Times New Roman" w:cs="Arial"/>
                <w:color w:val="000000"/>
                <w:szCs w:val="20"/>
                <w:lang w:eastAsia="pt-BR"/>
              </w:rPr>
            </w:pPr>
            <w:proofErr w:type="spellStart"/>
            <w:r w:rsidRPr="00833F42">
              <w:rPr>
                <w:rFonts w:eastAsia="Times New Roman" w:cs="Arial"/>
                <w:color w:val="000000"/>
                <w:szCs w:val="20"/>
                <w:lang w:eastAsia="pt-BR"/>
              </w:rPr>
              <w:t>A</w:t>
            </w:r>
            <w:r>
              <w:rPr>
                <w:rFonts w:eastAsia="Times New Roman" w:cs="Arial"/>
                <w:color w:val="000000"/>
                <w:szCs w:val="20"/>
                <w:lang w:eastAsia="pt-BR"/>
              </w:rPr>
              <w:t>v</w:t>
            </w:r>
            <w:proofErr w:type="spellEnd"/>
            <w:r>
              <w:rPr>
                <w:rFonts w:eastAsia="Times New Roman" w:cs="Arial"/>
                <w:color w:val="000000"/>
                <w:szCs w:val="20"/>
                <w:lang w:eastAsia="pt-BR"/>
              </w:rPr>
              <w:t xml:space="preserve"> Rio Branco 65 – 12 </w:t>
            </w:r>
            <w:proofErr w:type="gramStart"/>
            <w:r>
              <w:rPr>
                <w:rFonts w:eastAsia="Times New Roman" w:cs="Arial"/>
                <w:color w:val="000000"/>
                <w:szCs w:val="20"/>
                <w:lang w:eastAsia="pt-BR"/>
              </w:rPr>
              <w:t>ao 22 andar</w:t>
            </w:r>
            <w:r w:rsidRPr="00833F42">
              <w:rPr>
                <w:rFonts w:eastAsia="Times New Roman" w:cs="Arial"/>
                <w:color w:val="000000"/>
                <w:szCs w:val="20"/>
                <w:lang w:eastAsia="pt-BR"/>
              </w:rPr>
              <w:t>e</w:t>
            </w:r>
            <w:r>
              <w:rPr>
                <w:rFonts w:eastAsia="Times New Roman" w:cs="Arial"/>
                <w:color w:val="000000"/>
                <w:szCs w:val="20"/>
                <w:lang w:eastAsia="pt-BR"/>
              </w:rPr>
              <w:t>s</w:t>
            </w:r>
            <w:proofErr w:type="gramEnd"/>
            <w:r>
              <w:rPr>
                <w:rFonts w:eastAsia="Times New Roman" w:cs="Arial"/>
                <w:color w:val="000000"/>
                <w:szCs w:val="20"/>
                <w:lang w:eastAsia="pt-BR"/>
              </w:rPr>
              <w:t xml:space="preserve"> – Rio de </w:t>
            </w:r>
            <w:r w:rsidRPr="00833F42">
              <w:rPr>
                <w:rFonts w:eastAsia="Times New Roman" w:cs="Arial"/>
                <w:color w:val="000000"/>
                <w:szCs w:val="20"/>
                <w:lang w:eastAsia="pt-BR"/>
              </w:rPr>
              <w:t>Janeiro/RJ</w:t>
            </w:r>
          </w:p>
        </w:tc>
        <w:tc>
          <w:tcPr>
            <w:tcW w:w="2377" w:type="dxa"/>
            <w:tcBorders>
              <w:top w:val="nil"/>
              <w:left w:val="nil"/>
              <w:bottom w:val="single" w:sz="8" w:space="0" w:color="auto"/>
              <w:right w:val="single" w:sz="8" w:space="0" w:color="auto"/>
            </w:tcBorders>
            <w:shd w:val="clear" w:color="000000" w:fill="FFFFFF"/>
            <w:noWrap/>
            <w:vAlign w:val="center"/>
            <w:hideMark/>
          </w:tcPr>
          <w:p w:rsidR="006E6D1D" w:rsidRPr="00833F42" w:rsidRDefault="006E6D1D" w:rsidP="008D6A91">
            <w:pPr>
              <w:jc w:val="right"/>
              <w:rPr>
                <w:rFonts w:eastAsia="Times New Roman" w:cs="Arial"/>
                <w:color w:val="000000"/>
                <w:szCs w:val="20"/>
                <w:lang w:eastAsia="pt-BR"/>
              </w:rPr>
            </w:pPr>
            <w:r w:rsidRPr="00B770D7">
              <w:rPr>
                <w:rFonts w:eastAsia="Times New Roman" w:cs="Arial"/>
                <w:color w:val="000000"/>
                <w:szCs w:val="20"/>
                <w:lang w:eastAsia="pt-BR"/>
              </w:rPr>
              <w:t>6001028615000</w:t>
            </w:r>
          </w:p>
        </w:tc>
      </w:tr>
      <w:tr w:rsidR="006E6D1D" w:rsidRPr="00833F42" w:rsidTr="008D6A91">
        <w:trPr>
          <w:trHeight w:val="533"/>
        </w:trPr>
        <w:tc>
          <w:tcPr>
            <w:tcW w:w="1885" w:type="dxa"/>
            <w:tcBorders>
              <w:top w:val="nil"/>
              <w:left w:val="single" w:sz="8" w:space="0" w:color="000000"/>
              <w:bottom w:val="single" w:sz="8" w:space="0" w:color="auto"/>
              <w:right w:val="single" w:sz="8" w:space="0" w:color="auto"/>
            </w:tcBorders>
            <w:shd w:val="clear" w:color="D9D9D9" w:fill="D9D9D9"/>
            <w:vAlign w:val="center"/>
            <w:hideMark/>
          </w:tcPr>
          <w:p w:rsidR="006E6D1D" w:rsidRPr="00833F42" w:rsidRDefault="006E6D1D" w:rsidP="008D6A91">
            <w:pPr>
              <w:jc w:val="center"/>
              <w:rPr>
                <w:rFonts w:eastAsia="Times New Roman" w:cs="Arial"/>
                <w:color w:val="000000"/>
                <w:szCs w:val="20"/>
                <w:lang w:eastAsia="pt-BR"/>
              </w:rPr>
            </w:pPr>
            <w:r>
              <w:rPr>
                <w:rFonts w:eastAsia="Times New Roman" w:cs="Arial"/>
                <w:color w:val="000000"/>
                <w:szCs w:val="20"/>
                <w:lang w:eastAsia="pt-BR"/>
              </w:rPr>
              <w:t>323031</w:t>
            </w:r>
          </w:p>
        </w:tc>
        <w:tc>
          <w:tcPr>
            <w:tcW w:w="3438" w:type="dxa"/>
            <w:tcBorders>
              <w:top w:val="nil"/>
              <w:left w:val="nil"/>
              <w:bottom w:val="single" w:sz="8" w:space="0" w:color="auto"/>
              <w:right w:val="single" w:sz="8" w:space="0" w:color="auto"/>
            </w:tcBorders>
            <w:shd w:val="clear" w:color="D9D9D9" w:fill="D9D9D9"/>
            <w:vAlign w:val="center"/>
            <w:hideMark/>
          </w:tcPr>
          <w:p w:rsidR="006E6D1D" w:rsidRPr="00833F42" w:rsidRDefault="006E6D1D" w:rsidP="008D6A91">
            <w:pPr>
              <w:jc w:val="left"/>
              <w:rPr>
                <w:rFonts w:eastAsia="Times New Roman" w:cs="Arial"/>
                <w:color w:val="000000"/>
                <w:szCs w:val="20"/>
                <w:lang w:eastAsia="pt-BR"/>
              </w:rPr>
            </w:pPr>
            <w:proofErr w:type="gramStart"/>
            <w:r>
              <w:rPr>
                <w:rFonts w:eastAsia="Times New Roman" w:cs="Arial"/>
                <w:color w:val="000000"/>
                <w:szCs w:val="20"/>
                <w:lang w:eastAsia="pt-BR"/>
              </w:rPr>
              <w:t>Terreno Localizado</w:t>
            </w:r>
            <w:proofErr w:type="gramEnd"/>
            <w:r>
              <w:rPr>
                <w:rFonts w:eastAsia="Times New Roman" w:cs="Arial"/>
                <w:color w:val="000000"/>
                <w:szCs w:val="20"/>
                <w:lang w:eastAsia="pt-BR"/>
              </w:rPr>
              <w:t xml:space="preserve"> no bairro de Xerém, em Duque de Caxias/RJ</w:t>
            </w:r>
          </w:p>
        </w:tc>
        <w:tc>
          <w:tcPr>
            <w:tcW w:w="2377" w:type="dxa"/>
            <w:tcBorders>
              <w:top w:val="nil"/>
              <w:left w:val="nil"/>
              <w:bottom w:val="single" w:sz="8" w:space="0" w:color="auto"/>
              <w:right w:val="single" w:sz="8" w:space="0" w:color="auto"/>
            </w:tcBorders>
            <w:shd w:val="clear" w:color="D9D9D9" w:fill="D9D9D9"/>
            <w:noWrap/>
            <w:vAlign w:val="center"/>
            <w:hideMark/>
          </w:tcPr>
          <w:p w:rsidR="006E6D1D" w:rsidRPr="00833F42" w:rsidRDefault="006E6D1D" w:rsidP="008D6A91">
            <w:pPr>
              <w:jc w:val="right"/>
              <w:rPr>
                <w:rFonts w:eastAsia="Times New Roman" w:cs="Arial"/>
                <w:color w:val="000000"/>
                <w:szCs w:val="20"/>
                <w:lang w:eastAsia="pt-BR"/>
              </w:rPr>
            </w:pPr>
            <w:r w:rsidRPr="00B770D7">
              <w:rPr>
                <w:rFonts w:eastAsia="Times New Roman" w:cs="Arial"/>
                <w:color w:val="000000"/>
                <w:szCs w:val="20"/>
                <w:lang w:eastAsia="pt-BR"/>
              </w:rPr>
              <w:t>5833012105001</w:t>
            </w:r>
          </w:p>
        </w:tc>
      </w:tr>
    </w:tbl>
    <w:p w:rsidR="006E6D1D" w:rsidRDefault="006E6D1D" w:rsidP="006E6D1D">
      <w:pPr>
        <w:rPr>
          <w:rFonts w:cs="Arial"/>
          <w:i/>
          <w:szCs w:val="20"/>
        </w:rPr>
      </w:pPr>
    </w:p>
    <w:p w:rsidR="006E6D1D" w:rsidRPr="00E40077" w:rsidRDefault="006E6D1D" w:rsidP="006E6D1D">
      <w:pPr>
        <w:rPr>
          <w:rFonts w:cs="Arial"/>
          <w:szCs w:val="20"/>
        </w:rPr>
      </w:pPr>
      <w:r w:rsidRPr="00E40077">
        <w:rPr>
          <w:rFonts w:cs="Arial"/>
          <w:i/>
          <w:szCs w:val="20"/>
        </w:rPr>
        <w:t>Fonte: SPIUNET</w:t>
      </w:r>
      <w:r w:rsidRPr="00E40077">
        <w:rPr>
          <w:rFonts w:cs="Arial"/>
          <w:szCs w:val="20"/>
        </w:rPr>
        <w:t>/</w:t>
      </w:r>
      <w:r w:rsidRPr="00E40077">
        <w:rPr>
          <w:rFonts w:cs="Arial"/>
          <w:i/>
          <w:szCs w:val="20"/>
        </w:rPr>
        <w:t>SIAFI</w:t>
      </w:r>
    </w:p>
    <w:p w:rsidR="006E6D1D" w:rsidRDefault="006E6D1D" w:rsidP="006E6D1D">
      <w:pPr>
        <w:rPr>
          <w:rFonts w:cs="Arial"/>
          <w:b/>
          <w:color w:val="FF0000"/>
          <w:sz w:val="22"/>
        </w:rPr>
      </w:pPr>
    </w:p>
    <w:p w:rsidR="006E6D1D" w:rsidRDefault="006E6D1D" w:rsidP="006E6D1D">
      <w:pPr>
        <w:rPr>
          <w:rFonts w:cs="Arial"/>
          <w:b/>
          <w:sz w:val="22"/>
        </w:rPr>
      </w:pPr>
    </w:p>
    <w:p w:rsidR="006E6D1D" w:rsidRDefault="006E6D1D">
      <w:pPr>
        <w:spacing w:after="160" w:line="259" w:lineRule="auto"/>
        <w:jc w:val="left"/>
        <w:rPr>
          <w:rFonts w:cs="Arial"/>
          <w:b/>
          <w:sz w:val="22"/>
        </w:rPr>
      </w:pPr>
      <w:r>
        <w:rPr>
          <w:rFonts w:cs="Arial"/>
          <w:b/>
          <w:sz w:val="22"/>
        </w:rPr>
        <w:br w:type="page"/>
      </w:r>
    </w:p>
    <w:p w:rsidR="006E6D1D" w:rsidRPr="00C0371B" w:rsidRDefault="006E6D1D" w:rsidP="006E6D1D">
      <w:pPr>
        <w:rPr>
          <w:rFonts w:cs="Arial"/>
          <w:b/>
          <w:sz w:val="22"/>
        </w:rPr>
      </w:pPr>
      <w:r w:rsidRPr="00C0371B">
        <w:rPr>
          <w:rFonts w:cs="Arial"/>
          <w:b/>
          <w:sz w:val="22"/>
        </w:rPr>
        <w:lastRenderedPageBreak/>
        <w:t>Nota 0</w:t>
      </w:r>
      <w:r>
        <w:rPr>
          <w:rFonts w:cs="Arial"/>
          <w:b/>
          <w:sz w:val="22"/>
        </w:rPr>
        <w:t>4</w:t>
      </w:r>
      <w:r w:rsidRPr="00C0371B">
        <w:rPr>
          <w:rFonts w:cs="Arial"/>
          <w:b/>
          <w:sz w:val="22"/>
        </w:rPr>
        <w:t xml:space="preserve"> – </w:t>
      </w:r>
      <w:r>
        <w:rPr>
          <w:rFonts w:cs="Arial"/>
          <w:b/>
          <w:sz w:val="22"/>
        </w:rPr>
        <w:t>Intangível</w:t>
      </w:r>
    </w:p>
    <w:p w:rsidR="006E6D1D" w:rsidRPr="00C0371B" w:rsidRDefault="006E6D1D" w:rsidP="006E6D1D">
      <w:pPr>
        <w:rPr>
          <w:rFonts w:cs="Arial"/>
          <w:sz w:val="22"/>
        </w:rPr>
      </w:pPr>
    </w:p>
    <w:p w:rsidR="006E6D1D" w:rsidRPr="00C0371B" w:rsidRDefault="006E6D1D" w:rsidP="006E6D1D">
      <w:pPr>
        <w:rPr>
          <w:rFonts w:cs="Arial"/>
          <w:sz w:val="22"/>
        </w:rPr>
      </w:pPr>
      <w:r>
        <w:rPr>
          <w:rFonts w:cs="Arial"/>
          <w:sz w:val="22"/>
        </w:rPr>
        <w:t xml:space="preserve">O Ativo Intangível da ANP, em 31/12/2017, totalizava pouco mais de </w:t>
      </w:r>
      <w:r w:rsidRPr="00643C24">
        <w:rPr>
          <w:rFonts w:cs="Arial"/>
          <w:sz w:val="22"/>
        </w:rPr>
        <w:t xml:space="preserve">R$ </w:t>
      </w:r>
      <w:r>
        <w:rPr>
          <w:rFonts w:cs="Arial"/>
          <w:sz w:val="22"/>
        </w:rPr>
        <w:t>24</w:t>
      </w:r>
      <w:r w:rsidRPr="00643C24">
        <w:rPr>
          <w:rFonts w:cs="Arial"/>
          <w:sz w:val="22"/>
        </w:rPr>
        <w:t xml:space="preserve"> </w:t>
      </w:r>
      <w:r>
        <w:rPr>
          <w:rFonts w:cs="Arial"/>
          <w:sz w:val="22"/>
        </w:rPr>
        <w:t>milhões em Softwares e Marcas e Patentes está distribuído conforme tabela a seguir:</w:t>
      </w:r>
    </w:p>
    <w:p w:rsidR="006E6D1D" w:rsidRPr="00C0371B" w:rsidRDefault="006E6D1D" w:rsidP="006E6D1D">
      <w:pPr>
        <w:rPr>
          <w:rFonts w:cs="Arial"/>
          <w:sz w:val="22"/>
        </w:rPr>
      </w:pPr>
    </w:p>
    <w:p w:rsidR="006E6D1D" w:rsidRDefault="006E6D1D" w:rsidP="006E6D1D">
      <w:pPr>
        <w:rPr>
          <w:rFonts w:cs="Arial"/>
          <w:b/>
          <w:sz w:val="22"/>
        </w:rPr>
      </w:pPr>
      <w:r w:rsidRPr="00C0371B">
        <w:rPr>
          <w:rFonts w:cs="Arial"/>
          <w:b/>
          <w:sz w:val="22"/>
        </w:rPr>
        <w:t xml:space="preserve">Tabela – </w:t>
      </w:r>
      <w:r>
        <w:rPr>
          <w:rFonts w:cs="Arial"/>
          <w:b/>
          <w:sz w:val="22"/>
        </w:rPr>
        <w:t>Intangível</w:t>
      </w:r>
      <w:r w:rsidRPr="00C0371B">
        <w:rPr>
          <w:rFonts w:cs="Arial"/>
          <w:b/>
          <w:sz w:val="22"/>
        </w:rPr>
        <w:t xml:space="preserve"> – </w:t>
      </w:r>
      <w:r>
        <w:rPr>
          <w:rFonts w:cs="Arial"/>
          <w:b/>
          <w:sz w:val="22"/>
        </w:rPr>
        <w:t>Composição.</w:t>
      </w:r>
    </w:p>
    <w:p w:rsidR="006E6D1D" w:rsidRDefault="006E6D1D" w:rsidP="006E6D1D">
      <w:pPr>
        <w:jc w:val="center"/>
        <w:rPr>
          <w:rFonts w:cs="Arial"/>
          <w:sz w:val="22"/>
        </w:rPr>
      </w:pPr>
      <w:r>
        <w:rPr>
          <w:rFonts w:cs="Arial"/>
          <w:sz w:val="22"/>
        </w:rPr>
        <w:t xml:space="preserve">                                                                                                                                          </w:t>
      </w:r>
      <w:r w:rsidRPr="00AB7853">
        <w:rPr>
          <w:rFonts w:cs="Arial"/>
          <w:sz w:val="22"/>
        </w:rPr>
        <w:t>R$</w:t>
      </w:r>
    </w:p>
    <w:tbl>
      <w:tblPr>
        <w:tblW w:w="9103" w:type="dxa"/>
        <w:tblCellMar>
          <w:left w:w="70" w:type="dxa"/>
          <w:right w:w="70" w:type="dxa"/>
        </w:tblCellMar>
        <w:tblLook w:val="04A0" w:firstRow="1" w:lastRow="0" w:firstColumn="1" w:lastColumn="0" w:noHBand="0" w:noVBand="1"/>
      </w:tblPr>
      <w:tblGrid>
        <w:gridCol w:w="4895"/>
        <w:gridCol w:w="1605"/>
        <w:gridCol w:w="1605"/>
        <w:gridCol w:w="998"/>
      </w:tblGrid>
      <w:tr w:rsidR="006E6D1D" w:rsidRPr="00486631" w:rsidTr="008D6A91">
        <w:trPr>
          <w:trHeight w:val="269"/>
        </w:trPr>
        <w:tc>
          <w:tcPr>
            <w:tcW w:w="4895" w:type="dxa"/>
            <w:tcBorders>
              <w:top w:val="single" w:sz="8" w:space="0" w:color="000000"/>
              <w:left w:val="nil"/>
              <w:bottom w:val="single" w:sz="8" w:space="0" w:color="000000"/>
              <w:right w:val="nil"/>
            </w:tcBorders>
            <w:shd w:val="clear" w:color="auto" w:fill="auto"/>
            <w:noWrap/>
            <w:vAlign w:val="center"/>
            <w:hideMark/>
          </w:tcPr>
          <w:p w:rsidR="006E6D1D" w:rsidRPr="00486631" w:rsidRDefault="006E6D1D" w:rsidP="008D6A91">
            <w:pPr>
              <w:jc w:val="left"/>
              <w:rPr>
                <w:rFonts w:eastAsia="Times New Roman" w:cs="Arial"/>
                <w:b/>
                <w:bCs/>
                <w:color w:val="FFFFFF"/>
                <w:szCs w:val="20"/>
                <w:lang w:eastAsia="pt-BR"/>
              </w:rPr>
            </w:pPr>
            <w:r w:rsidRPr="00486631">
              <w:rPr>
                <w:rFonts w:eastAsia="Times New Roman" w:cs="Arial"/>
                <w:b/>
                <w:bCs/>
                <w:color w:val="FFFFFF"/>
                <w:szCs w:val="20"/>
                <w:lang w:eastAsia="pt-BR"/>
              </w:rPr>
              <w:t>Colunas1</w:t>
            </w:r>
          </w:p>
        </w:tc>
        <w:tc>
          <w:tcPr>
            <w:tcW w:w="1605" w:type="dxa"/>
            <w:tcBorders>
              <w:top w:val="single" w:sz="8" w:space="0" w:color="000000"/>
              <w:left w:val="nil"/>
              <w:bottom w:val="single" w:sz="8" w:space="0" w:color="000000"/>
              <w:right w:val="nil"/>
            </w:tcBorders>
            <w:shd w:val="clear" w:color="auto" w:fill="auto"/>
            <w:noWrap/>
            <w:vAlign w:val="center"/>
            <w:hideMark/>
          </w:tcPr>
          <w:p w:rsidR="006E6D1D" w:rsidRPr="00486631" w:rsidRDefault="006E6D1D" w:rsidP="008D6A91">
            <w:pPr>
              <w:jc w:val="right"/>
              <w:rPr>
                <w:rFonts w:eastAsia="Times New Roman" w:cs="Arial"/>
                <w:b/>
                <w:bCs/>
                <w:color w:val="000000"/>
                <w:szCs w:val="20"/>
                <w:lang w:eastAsia="pt-BR"/>
              </w:rPr>
            </w:pPr>
            <w:r w:rsidRPr="00486631">
              <w:rPr>
                <w:rFonts w:eastAsia="Times New Roman" w:cs="Arial"/>
                <w:b/>
                <w:bCs/>
                <w:color w:val="000000"/>
                <w:szCs w:val="20"/>
                <w:lang w:eastAsia="pt-BR"/>
              </w:rPr>
              <w:t>3</w:t>
            </w:r>
            <w:r>
              <w:rPr>
                <w:rFonts w:eastAsia="Times New Roman" w:cs="Arial"/>
                <w:b/>
                <w:bCs/>
                <w:color w:val="000000"/>
                <w:szCs w:val="20"/>
                <w:lang w:eastAsia="pt-BR"/>
              </w:rPr>
              <w:t>1</w:t>
            </w:r>
            <w:r w:rsidRPr="00486631">
              <w:rPr>
                <w:rFonts w:eastAsia="Times New Roman" w:cs="Arial"/>
                <w:b/>
                <w:bCs/>
                <w:color w:val="000000"/>
                <w:szCs w:val="20"/>
                <w:lang w:eastAsia="pt-BR"/>
              </w:rPr>
              <w:t>/</w:t>
            </w:r>
            <w:r>
              <w:rPr>
                <w:rFonts w:eastAsia="Times New Roman" w:cs="Arial"/>
                <w:b/>
                <w:bCs/>
                <w:color w:val="000000"/>
                <w:szCs w:val="20"/>
                <w:lang w:eastAsia="pt-BR"/>
              </w:rPr>
              <w:t>12</w:t>
            </w:r>
            <w:r w:rsidRPr="00486631">
              <w:rPr>
                <w:rFonts w:eastAsia="Times New Roman" w:cs="Arial"/>
                <w:b/>
                <w:bCs/>
                <w:color w:val="000000"/>
                <w:szCs w:val="20"/>
                <w:lang w:eastAsia="pt-BR"/>
              </w:rPr>
              <w:t>/2017</w:t>
            </w:r>
          </w:p>
        </w:tc>
        <w:tc>
          <w:tcPr>
            <w:tcW w:w="1605" w:type="dxa"/>
            <w:tcBorders>
              <w:top w:val="single" w:sz="8" w:space="0" w:color="000000"/>
              <w:left w:val="nil"/>
              <w:bottom w:val="single" w:sz="8" w:space="0" w:color="000000"/>
              <w:right w:val="nil"/>
            </w:tcBorders>
            <w:shd w:val="clear" w:color="auto" w:fill="auto"/>
            <w:noWrap/>
            <w:vAlign w:val="center"/>
            <w:hideMark/>
          </w:tcPr>
          <w:p w:rsidR="006E6D1D" w:rsidRPr="00486631" w:rsidRDefault="006E6D1D" w:rsidP="008D6A91">
            <w:pPr>
              <w:jc w:val="right"/>
              <w:rPr>
                <w:rFonts w:eastAsia="Times New Roman" w:cs="Arial"/>
                <w:b/>
                <w:bCs/>
                <w:color w:val="000000"/>
                <w:szCs w:val="20"/>
                <w:lang w:eastAsia="pt-BR"/>
              </w:rPr>
            </w:pPr>
            <w:r w:rsidRPr="00486631">
              <w:rPr>
                <w:rFonts w:eastAsia="Times New Roman" w:cs="Arial"/>
                <w:b/>
                <w:bCs/>
                <w:color w:val="000000"/>
                <w:szCs w:val="20"/>
                <w:lang w:eastAsia="pt-BR"/>
              </w:rPr>
              <w:t>31/12/2016</w:t>
            </w:r>
          </w:p>
        </w:tc>
        <w:tc>
          <w:tcPr>
            <w:tcW w:w="998" w:type="dxa"/>
            <w:tcBorders>
              <w:top w:val="single" w:sz="8" w:space="0" w:color="000000"/>
              <w:left w:val="nil"/>
              <w:bottom w:val="single" w:sz="8" w:space="0" w:color="000000"/>
              <w:right w:val="nil"/>
            </w:tcBorders>
            <w:shd w:val="clear" w:color="auto" w:fill="auto"/>
            <w:noWrap/>
            <w:vAlign w:val="center"/>
            <w:hideMark/>
          </w:tcPr>
          <w:p w:rsidR="006E6D1D" w:rsidRPr="00486631" w:rsidRDefault="006E6D1D" w:rsidP="008D6A91">
            <w:pPr>
              <w:jc w:val="right"/>
              <w:rPr>
                <w:rFonts w:eastAsia="Times New Roman" w:cs="Arial"/>
                <w:b/>
                <w:bCs/>
                <w:color w:val="000000"/>
                <w:szCs w:val="20"/>
                <w:lang w:eastAsia="pt-BR"/>
              </w:rPr>
            </w:pPr>
            <w:r w:rsidRPr="00486631">
              <w:rPr>
                <w:rFonts w:eastAsia="Times New Roman" w:cs="Arial"/>
                <w:b/>
                <w:bCs/>
                <w:color w:val="000000"/>
                <w:szCs w:val="20"/>
                <w:lang w:eastAsia="pt-BR"/>
              </w:rPr>
              <w:t>AH (%)</w:t>
            </w:r>
          </w:p>
        </w:tc>
      </w:tr>
      <w:tr w:rsidR="006E6D1D" w:rsidRPr="00486631" w:rsidTr="008D6A91">
        <w:trPr>
          <w:trHeight w:val="254"/>
        </w:trPr>
        <w:tc>
          <w:tcPr>
            <w:tcW w:w="4895" w:type="dxa"/>
            <w:tcBorders>
              <w:top w:val="nil"/>
              <w:left w:val="nil"/>
              <w:bottom w:val="nil"/>
              <w:right w:val="nil"/>
            </w:tcBorders>
            <w:shd w:val="clear" w:color="000000" w:fill="D9D9D9"/>
            <w:vAlign w:val="center"/>
            <w:hideMark/>
          </w:tcPr>
          <w:p w:rsidR="006E6D1D" w:rsidRPr="00486631" w:rsidRDefault="006E6D1D" w:rsidP="008D6A91">
            <w:pPr>
              <w:jc w:val="left"/>
              <w:rPr>
                <w:rFonts w:eastAsia="Times New Roman" w:cs="Arial"/>
                <w:color w:val="000000"/>
                <w:szCs w:val="20"/>
                <w:lang w:eastAsia="pt-BR"/>
              </w:rPr>
            </w:pPr>
            <w:r w:rsidRPr="00486631">
              <w:rPr>
                <w:rFonts w:eastAsia="Times New Roman" w:cs="Arial"/>
                <w:color w:val="000000"/>
                <w:szCs w:val="20"/>
                <w:lang w:eastAsia="pt-BR"/>
              </w:rPr>
              <w:t>Softwares com Vida Útil Indefinida</w:t>
            </w:r>
          </w:p>
        </w:tc>
        <w:tc>
          <w:tcPr>
            <w:tcW w:w="1605" w:type="dxa"/>
            <w:tcBorders>
              <w:top w:val="nil"/>
              <w:left w:val="nil"/>
              <w:bottom w:val="nil"/>
              <w:right w:val="nil"/>
            </w:tcBorders>
            <w:shd w:val="clear" w:color="000000" w:fill="D9D9D9"/>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1605" w:type="dxa"/>
            <w:tcBorders>
              <w:top w:val="nil"/>
              <w:left w:val="nil"/>
              <w:bottom w:val="nil"/>
              <w:right w:val="nil"/>
            </w:tcBorders>
            <w:shd w:val="clear" w:color="000000" w:fill="D9D9D9"/>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998" w:type="dxa"/>
            <w:tcBorders>
              <w:top w:val="nil"/>
              <w:left w:val="nil"/>
              <w:bottom w:val="nil"/>
              <w:right w:val="nil"/>
            </w:tcBorders>
            <w:shd w:val="clear" w:color="000000" w:fill="D9D9D9"/>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r w:rsidRPr="00486631">
              <w:rPr>
                <w:rFonts w:eastAsia="Times New Roman" w:cs="Arial"/>
                <w:color w:val="000000"/>
                <w:szCs w:val="20"/>
                <w:lang w:eastAsia="pt-BR"/>
              </w:rPr>
              <w:t>%</w:t>
            </w:r>
          </w:p>
        </w:tc>
      </w:tr>
      <w:tr w:rsidR="006E6D1D" w:rsidRPr="00486631" w:rsidTr="008D6A91">
        <w:trPr>
          <w:trHeight w:val="254"/>
        </w:trPr>
        <w:tc>
          <w:tcPr>
            <w:tcW w:w="4895" w:type="dxa"/>
            <w:tcBorders>
              <w:top w:val="nil"/>
              <w:left w:val="nil"/>
              <w:bottom w:val="nil"/>
              <w:right w:val="nil"/>
            </w:tcBorders>
            <w:shd w:val="clear" w:color="auto" w:fill="auto"/>
            <w:vAlign w:val="center"/>
            <w:hideMark/>
          </w:tcPr>
          <w:p w:rsidR="006E6D1D" w:rsidRPr="00486631" w:rsidRDefault="006E6D1D" w:rsidP="008D6A91">
            <w:pPr>
              <w:jc w:val="left"/>
              <w:rPr>
                <w:rFonts w:eastAsia="Times New Roman" w:cs="Arial"/>
                <w:color w:val="000000"/>
                <w:szCs w:val="20"/>
                <w:lang w:eastAsia="pt-BR"/>
              </w:rPr>
            </w:pPr>
            <w:r w:rsidRPr="00486631">
              <w:rPr>
                <w:rFonts w:eastAsia="Times New Roman" w:cs="Arial"/>
                <w:color w:val="000000"/>
                <w:szCs w:val="20"/>
                <w:lang w:eastAsia="pt-BR"/>
              </w:rPr>
              <w:t>Softwares com Vida Útil Definida</w:t>
            </w:r>
          </w:p>
        </w:tc>
        <w:tc>
          <w:tcPr>
            <w:tcW w:w="1605" w:type="dxa"/>
            <w:tcBorders>
              <w:top w:val="nil"/>
              <w:left w:val="nil"/>
              <w:bottom w:val="nil"/>
              <w:right w:val="nil"/>
            </w:tcBorders>
            <w:shd w:val="clear" w:color="auto" w:fill="auto"/>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24.590.923,17</w:t>
            </w:r>
          </w:p>
        </w:tc>
        <w:tc>
          <w:tcPr>
            <w:tcW w:w="1605" w:type="dxa"/>
            <w:tcBorders>
              <w:top w:val="nil"/>
              <w:left w:val="nil"/>
              <w:bottom w:val="nil"/>
              <w:right w:val="nil"/>
            </w:tcBorders>
            <w:shd w:val="clear" w:color="auto" w:fill="auto"/>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23.371.631,55</w:t>
            </w:r>
          </w:p>
        </w:tc>
        <w:tc>
          <w:tcPr>
            <w:tcW w:w="998" w:type="dxa"/>
            <w:tcBorders>
              <w:top w:val="nil"/>
              <w:left w:val="nil"/>
              <w:bottom w:val="nil"/>
              <w:right w:val="nil"/>
            </w:tcBorders>
            <w:shd w:val="clear" w:color="auto" w:fill="auto"/>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5,22</w:t>
            </w:r>
            <w:r w:rsidRPr="00486631">
              <w:rPr>
                <w:rFonts w:eastAsia="Times New Roman" w:cs="Arial"/>
                <w:color w:val="000000"/>
                <w:szCs w:val="20"/>
                <w:lang w:eastAsia="pt-BR"/>
              </w:rPr>
              <w:t>%</w:t>
            </w:r>
          </w:p>
        </w:tc>
      </w:tr>
      <w:tr w:rsidR="006E6D1D" w:rsidRPr="00486631" w:rsidTr="008D6A91">
        <w:trPr>
          <w:trHeight w:val="254"/>
        </w:trPr>
        <w:tc>
          <w:tcPr>
            <w:tcW w:w="4895" w:type="dxa"/>
            <w:tcBorders>
              <w:top w:val="nil"/>
              <w:left w:val="nil"/>
              <w:bottom w:val="nil"/>
              <w:right w:val="nil"/>
            </w:tcBorders>
            <w:shd w:val="clear" w:color="000000" w:fill="D9D9D9"/>
            <w:vAlign w:val="center"/>
            <w:hideMark/>
          </w:tcPr>
          <w:p w:rsidR="006E6D1D" w:rsidRPr="00486631" w:rsidRDefault="006E6D1D" w:rsidP="008D6A91">
            <w:pPr>
              <w:jc w:val="left"/>
              <w:rPr>
                <w:rFonts w:eastAsia="Times New Roman" w:cs="Arial"/>
                <w:color w:val="000000"/>
                <w:szCs w:val="20"/>
                <w:lang w:eastAsia="pt-BR"/>
              </w:rPr>
            </w:pPr>
            <w:r w:rsidRPr="00486631">
              <w:rPr>
                <w:rFonts w:eastAsia="Times New Roman" w:cs="Arial"/>
                <w:color w:val="000000"/>
                <w:szCs w:val="20"/>
                <w:lang w:eastAsia="pt-BR"/>
              </w:rPr>
              <w:t>Amortização Acumulada</w:t>
            </w:r>
          </w:p>
        </w:tc>
        <w:tc>
          <w:tcPr>
            <w:tcW w:w="1605" w:type="dxa"/>
            <w:tcBorders>
              <w:top w:val="nil"/>
              <w:left w:val="nil"/>
              <w:bottom w:val="nil"/>
              <w:right w:val="nil"/>
            </w:tcBorders>
            <w:shd w:val="clear" w:color="000000" w:fill="D9D9D9"/>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1605" w:type="dxa"/>
            <w:tcBorders>
              <w:top w:val="nil"/>
              <w:left w:val="nil"/>
              <w:bottom w:val="nil"/>
              <w:right w:val="nil"/>
            </w:tcBorders>
            <w:shd w:val="clear" w:color="000000" w:fill="D9D9D9"/>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p>
        </w:tc>
        <w:tc>
          <w:tcPr>
            <w:tcW w:w="998" w:type="dxa"/>
            <w:tcBorders>
              <w:top w:val="nil"/>
              <w:left w:val="nil"/>
              <w:bottom w:val="nil"/>
              <w:right w:val="nil"/>
            </w:tcBorders>
            <w:shd w:val="clear" w:color="000000" w:fill="D9D9D9"/>
            <w:noWrap/>
            <w:vAlign w:val="center"/>
            <w:hideMark/>
          </w:tcPr>
          <w:p w:rsidR="006E6D1D" w:rsidRPr="00486631" w:rsidRDefault="006E6D1D" w:rsidP="008D6A91">
            <w:pPr>
              <w:jc w:val="right"/>
              <w:rPr>
                <w:rFonts w:eastAsia="Times New Roman" w:cs="Arial"/>
                <w:color w:val="000000"/>
                <w:szCs w:val="20"/>
                <w:lang w:eastAsia="pt-BR"/>
              </w:rPr>
            </w:pPr>
            <w:r>
              <w:rPr>
                <w:rFonts w:eastAsia="Times New Roman" w:cs="Arial"/>
                <w:color w:val="000000"/>
                <w:szCs w:val="20"/>
                <w:lang w:eastAsia="pt-BR"/>
              </w:rPr>
              <w:t>0,00</w:t>
            </w:r>
            <w:r w:rsidRPr="00486631">
              <w:rPr>
                <w:rFonts w:eastAsia="Times New Roman" w:cs="Arial"/>
                <w:color w:val="000000"/>
                <w:szCs w:val="20"/>
                <w:lang w:eastAsia="pt-BR"/>
              </w:rPr>
              <w:t>%</w:t>
            </w:r>
          </w:p>
        </w:tc>
      </w:tr>
      <w:tr w:rsidR="006E6D1D" w:rsidRPr="007168B6" w:rsidTr="008D6A91">
        <w:trPr>
          <w:trHeight w:val="269"/>
        </w:trPr>
        <w:tc>
          <w:tcPr>
            <w:tcW w:w="4895" w:type="dxa"/>
            <w:tcBorders>
              <w:top w:val="nil"/>
              <w:left w:val="nil"/>
              <w:bottom w:val="single" w:sz="8" w:space="0" w:color="000000"/>
              <w:right w:val="nil"/>
            </w:tcBorders>
            <w:shd w:val="clear" w:color="auto" w:fill="auto"/>
            <w:vAlign w:val="center"/>
          </w:tcPr>
          <w:p w:rsidR="006E6D1D" w:rsidRPr="007168B6" w:rsidRDefault="006E6D1D" w:rsidP="008D6A91">
            <w:pPr>
              <w:jc w:val="left"/>
              <w:rPr>
                <w:rFonts w:eastAsia="Times New Roman" w:cs="Arial"/>
                <w:bCs/>
                <w:color w:val="000000"/>
                <w:szCs w:val="20"/>
                <w:lang w:eastAsia="pt-BR"/>
              </w:rPr>
            </w:pPr>
            <w:r w:rsidRPr="007168B6">
              <w:rPr>
                <w:rFonts w:eastAsia="Times New Roman" w:cs="Arial"/>
                <w:bCs/>
                <w:color w:val="000000"/>
                <w:szCs w:val="20"/>
                <w:lang w:eastAsia="pt-BR"/>
              </w:rPr>
              <w:t>Marcas e patentes</w:t>
            </w:r>
          </w:p>
        </w:tc>
        <w:tc>
          <w:tcPr>
            <w:tcW w:w="1605" w:type="dxa"/>
            <w:tcBorders>
              <w:top w:val="nil"/>
              <w:left w:val="nil"/>
              <w:bottom w:val="single" w:sz="8" w:space="0" w:color="000000"/>
              <w:right w:val="nil"/>
            </w:tcBorders>
            <w:shd w:val="clear" w:color="auto" w:fill="auto"/>
            <w:noWrap/>
            <w:vAlign w:val="center"/>
          </w:tcPr>
          <w:p w:rsidR="006E6D1D" w:rsidRPr="007168B6" w:rsidRDefault="006E6D1D" w:rsidP="008D6A91">
            <w:pPr>
              <w:jc w:val="right"/>
              <w:rPr>
                <w:rFonts w:eastAsia="Times New Roman" w:cs="Arial"/>
                <w:bCs/>
                <w:color w:val="000000"/>
                <w:szCs w:val="20"/>
                <w:lang w:eastAsia="pt-BR"/>
              </w:rPr>
            </w:pPr>
            <w:r>
              <w:rPr>
                <w:rFonts w:eastAsia="Times New Roman" w:cs="Arial"/>
                <w:bCs/>
                <w:color w:val="000000"/>
                <w:szCs w:val="20"/>
                <w:lang w:eastAsia="pt-BR"/>
              </w:rPr>
              <w:t>3.564,00</w:t>
            </w:r>
          </w:p>
        </w:tc>
        <w:tc>
          <w:tcPr>
            <w:tcW w:w="1605" w:type="dxa"/>
            <w:tcBorders>
              <w:top w:val="nil"/>
              <w:left w:val="nil"/>
              <w:bottom w:val="single" w:sz="8" w:space="0" w:color="000000"/>
              <w:right w:val="nil"/>
            </w:tcBorders>
            <w:shd w:val="clear" w:color="auto" w:fill="auto"/>
            <w:noWrap/>
            <w:vAlign w:val="center"/>
          </w:tcPr>
          <w:p w:rsidR="006E6D1D" w:rsidRPr="007168B6" w:rsidRDefault="006E6D1D" w:rsidP="008D6A91">
            <w:pPr>
              <w:jc w:val="right"/>
              <w:rPr>
                <w:rFonts w:eastAsia="Times New Roman" w:cs="Arial"/>
                <w:bCs/>
                <w:color w:val="000000"/>
                <w:szCs w:val="20"/>
                <w:lang w:eastAsia="pt-BR"/>
              </w:rPr>
            </w:pPr>
            <w:r>
              <w:rPr>
                <w:rFonts w:eastAsia="Times New Roman" w:cs="Arial"/>
                <w:bCs/>
                <w:color w:val="000000"/>
                <w:szCs w:val="20"/>
                <w:lang w:eastAsia="pt-BR"/>
              </w:rPr>
              <w:t>229.781,96</w:t>
            </w:r>
          </w:p>
        </w:tc>
        <w:tc>
          <w:tcPr>
            <w:tcW w:w="998" w:type="dxa"/>
            <w:tcBorders>
              <w:top w:val="nil"/>
              <w:left w:val="nil"/>
              <w:bottom w:val="single" w:sz="8" w:space="0" w:color="000000"/>
              <w:right w:val="nil"/>
            </w:tcBorders>
            <w:shd w:val="clear" w:color="auto" w:fill="auto"/>
            <w:noWrap/>
            <w:vAlign w:val="center"/>
          </w:tcPr>
          <w:p w:rsidR="006E6D1D" w:rsidRPr="007168B6" w:rsidRDefault="006E6D1D" w:rsidP="008D6A91">
            <w:pPr>
              <w:jc w:val="right"/>
              <w:rPr>
                <w:rFonts w:eastAsia="Times New Roman" w:cs="Arial"/>
                <w:bCs/>
                <w:color w:val="000000"/>
                <w:szCs w:val="20"/>
                <w:lang w:eastAsia="pt-BR"/>
              </w:rPr>
            </w:pPr>
            <w:r>
              <w:rPr>
                <w:rFonts w:eastAsia="Times New Roman" w:cs="Arial"/>
                <w:bCs/>
                <w:color w:val="000000"/>
                <w:szCs w:val="20"/>
                <w:lang w:eastAsia="pt-BR"/>
              </w:rPr>
              <w:t>-98,45%</w:t>
            </w:r>
          </w:p>
        </w:tc>
      </w:tr>
      <w:tr w:rsidR="006E6D1D" w:rsidRPr="007168B6" w:rsidTr="008D6A91">
        <w:trPr>
          <w:trHeight w:val="269"/>
        </w:trPr>
        <w:tc>
          <w:tcPr>
            <w:tcW w:w="4895" w:type="dxa"/>
            <w:tcBorders>
              <w:top w:val="nil"/>
              <w:left w:val="nil"/>
              <w:bottom w:val="single" w:sz="8" w:space="0" w:color="000000"/>
              <w:right w:val="nil"/>
            </w:tcBorders>
            <w:shd w:val="clear" w:color="auto" w:fill="D9D9D9" w:themeFill="background1" w:themeFillShade="D9"/>
            <w:vAlign w:val="center"/>
            <w:hideMark/>
          </w:tcPr>
          <w:p w:rsidR="006E6D1D" w:rsidRPr="007168B6" w:rsidRDefault="006E6D1D" w:rsidP="008D6A91">
            <w:pPr>
              <w:jc w:val="left"/>
              <w:rPr>
                <w:rFonts w:eastAsia="Times New Roman" w:cs="Arial"/>
                <w:b/>
                <w:bCs/>
                <w:color w:val="000000"/>
                <w:szCs w:val="20"/>
                <w:lang w:eastAsia="pt-BR"/>
              </w:rPr>
            </w:pPr>
            <w:r w:rsidRPr="007168B6">
              <w:rPr>
                <w:rFonts w:eastAsia="Times New Roman" w:cs="Arial"/>
                <w:b/>
                <w:bCs/>
                <w:color w:val="000000"/>
                <w:szCs w:val="20"/>
                <w:lang w:eastAsia="pt-BR"/>
              </w:rPr>
              <w:t xml:space="preserve">Total </w:t>
            </w:r>
          </w:p>
        </w:tc>
        <w:tc>
          <w:tcPr>
            <w:tcW w:w="1605" w:type="dxa"/>
            <w:tcBorders>
              <w:top w:val="nil"/>
              <w:left w:val="nil"/>
              <w:bottom w:val="single" w:sz="8" w:space="0" w:color="000000"/>
              <w:right w:val="nil"/>
            </w:tcBorders>
            <w:shd w:val="clear" w:color="auto" w:fill="D9D9D9" w:themeFill="background1" w:themeFillShade="D9"/>
            <w:noWrap/>
            <w:vAlign w:val="center"/>
            <w:hideMark/>
          </w:tcPr>
          <w:p w:rsidR="006E6D1D" w:rsidRPr="007168B6" w:rsidRDefault="006E6D1D" w:rsidP="008D6A91">
            <w:pPr>
              <w:jc w:val="right"/>
              <w:rPr>
                <w:rFonts w:eastAsia="Times New Roman" w:cs="Arial"/>
                <w:b/>
                <w:bCs/>
                <w:color w:val="000000"/>
                <w:szCs w:val="20"/>
                <w:lang w:eastAsia="pt-BR"/>
              </w:rPr>
            </w:pPr>
            <w:r w:rsidRPr="007168B6">
              <w:rPr>
                <w:rFonts w:eastAsia="Times New Roman" w:cs="Arial"/>
                <w:b/>
                <w:color w:val="000000"/>
                <w:szCs w:val="20"/>
                <w:lang w:eastAsia="pt-BR"/>
              </w:rPr>
              <w:t>24.590.923,17</w:t>
            </w:r>
          </w:p>
        </w:tc>
        <w:tc>
          <w:tcPr>
            <w:tcW w:w="1605" w:type="dxa"/>
            <w:tcBorders>
              <w:top w:val="nil"/>
              <w:left w:val="nil"/>
              <w:bottom w:val="single" w:sz="8" w:space="0" w:color="000000"/>
              <w:right w:val="nil"/>
            </w:tcBorders>
            <w:shd w:val="clear" w:color="auto" w:fill="D9D9D9" w:themeFill="background1" w:themeFillShade="D9"/>
            <w:noWrap/>
            <w:vAlign w:val="center"/>
            <w:hideMark/>
          </w:tcPr>
          <w:p w:rsidR="006E6D1D" w:rsidRPr="007168B6" w:rsidRDefault="006E6D1D" w:rsidP="008D6A91">
            <w:pPr>
              <w:jc w:val="right"/>
              <w:rPr>
                <w:rFonts w:eastAsia="Times New Roman" w:cs="Arial"/>
                <w:b/>
                <w:bCs/>
                <w:color w:val="000000"/>
                <w:szCs w:val="20"/>
                <w:lang w:eastAsia="pt-BR"/>
              </w:rPr>
            </w:pPr>
            <w:r w:rsidRPr="007168B6">
              <w:rPr>
                <w:rFonts w:eastAsia="Times New Roman" w:cs="Arial"/>
                <w:b/>
                <w:bCs/>
                <w:color w:val="000000"/>
                <w:szCs w:val="20"/>
                <w:lang w:eastAsia="pt-BR"/>
              </w:rPr>
              <w:t>23.601.413,51</w:t>
            </w:r>
          </w:p>
        </w:tc>
        <w:tc>
          <w:tcPr>
            <w:tcW w:w="998" w:type="dxa"/>
            <w:tcBorders>
              <w:top w:val="nil"/>
              <w:left w:val="nil"/>
              <w:bottom w:val="single" w:sz="8" w:space="0" w:color="000000"/>
              <w:right w:val="nil"/>
            </w:tcBorders>
            <w:shd w:val="clear" w:color="auto" w:fill="D9D9D9" w:themeFill="background1" w:themeFillShade="D9"/>
            <w:noWrap/>
            <w:vAlign w:val="center"/>
            <w:hideMark/>
          </w:tcPr>
          <w:p w:rsidR="006E6D1D" w:rsidRPr="007168B6"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4</w:t>
            </w:r>
            <w:r w:rsidRPr="007168B6">
              <w:rPr>
                <w:rFonts w:eastAsia="Times New Roman" w:cs="Arial"/>
                <w:b/>
                <w:bCs/>
                <w:color w:val="000000"/>
                <w:szCs w:val="20"/>
                <w:lang w:eastAsia="pt-BR"/>
              </w:rPr>
              <w:t>,</w:t>
            </w:r>
            <w:r>
              <w:rPr>
                <w:rFonts w:eastAsia="Times New Roman" w:cs="Arial"/>
                <w:b/>
                <w:bCs/>
                <w:color w:val="000000"/>
                <w:szCs w:val="20"/>
                <w:lang w:eastAsia="pt-BR"/>
              </w:rPr>
              <w:t>19</w:t>
            </w:r>
            <w:r w:rsidRPr="007168B6">
              <w:rPr>
                <w:rFonts w:eastAsia="Times New Roman" w:cs="Arial"/>
                <w:b/>
                <w:bCs/>
                <w:color w:val="000000"/>
                <w:szCs w:val="20"/>
                <w:lang w:eastAsia="pt-BR"/>
              </w:rPr>
              <w:t>%</w:t>
            </w:r>
          </w:p>
        </w:tc>
      </w:tr>
    </w:tbl>
    <w:p w:rsidR="006E6D1D" w:rsidRPr="006046BF" w:rsidRDefault="006E6D1D" w:rsidP="006E6D1D">
      <w:pPr>
        <w:rPr>
          <w:rFonts w:cs="Arial"/>
          <w:i/>
          <w:szCs w:val="20"/>
        </w:rPr>
      </w:pPr>
      <w:r w:rsidRPr="006046BF">
        <w:rPr>
          <w:rFonts w:cs="Arial"/>
          <w:i/>
          <w:szCs w:val="20"/>
        </w:rPr>
        <w:t>Fonte: SIAFI, 2017 e 2016.</w:t>
      </w:r>
    </w:p>
    <w:p w:rsidR="006E6D1D" w:rsidRPr="006046BF" w:rsidRDefault="006E6D1D" w:rsidP="006E6D1D">
      <w:pPr>
        <w:rPr>
          <w:rFonts w:cs="Arial"/>
          <w:i/>
          <w:szCs w:val="20"/>
        </w:rPr>
      </w:pPr>
    </w:p>
    <w:p w:rsidR="006E6D1D" w:rsidRDefault="006E6D1D" w:rsidP="006E6D1D">
      <w:pPr>
        <w:rPr>
          <w:rFonts w:cs="Arial"/>
          <w:sz w:val="22"/>
        </w:rPr>
      </w:pPr>
      <w:r>
        <w:rPr>
          <w:rFonts w:cs="Arial"/>
          <w:sz w:val="22"/>
        </w:rPr>
        <w:t>Os softwares com vida útil definida foram mensurados pelo seu custo de produção ou aquisição e ainda não possuem esforços para sua amortização regular.</w:t>
      </w:r>
    </w:p>
    <w:p w:rsidR="006E6D1D" w:rsidRDefault="006E6D1D" w:rsidP="006E6D1D">
      <w:pPr>
        <w:rPr>
          <w:rFonts w:cs="Arial"/>
          <w:sz w:val="22"/>
        </w:rPr>
      </w:pPr>
    </w:p>
    <w:p w:rsidR="006E6D1D" w:rsidRDefault="006E6D1D" w:rsidP="006E6D1D">
      <w:pPr>
        <w:rPr>
          <w:rFonts w:cs="Arial"/>
          <w:sz w:val="22"/>
        </w:rPr>
      </w:pPr>
      <w:r>
        <w:rPr>
          <w:rFonts w:cs="Arial"/>
          <w:sz w:val="22"/>
        </w:rPr>
        <w:t>Especificamente em relação aos sistemas fabricados internamente, os mesmos ainda não possuem procedimentos de mensuração dos benefícios econômicos futuros ou fornecer serviços em potencial, o que faz com que o valor tanto do intangível como o da VPD não reflitam a realidade.</w:t>
      </w:r>
    </w:p>
    <w:p w:rsidR="006E6D1D" w:rsidRPr="00C0371B" w:rsidRDefault="006E6D1D" w:rsidP="006E6D1D">
      <w:pPr>
        <w:rPr>
          <w:rFonts w:cs="Arial"/>
          <w:sz w:val="22"/>
        </w:rPr>
      </w:pPr>
      <w:r>
        <w:rPr>
          <w:rFonts w:cs="Arial"/>
          <w:sz w:val="22"/>
        </w:rPr>
        <w:t xml:space="preserve">  </w:t>
      </w:r>
    </w:p>
    <w:p w:rsidR="006E6D1D" w:rsidRPr="007168B6" w:rsidRDefault="006E6D1D" w:rsidP="006E6D1D">
      <w:pPr>
        <w:rPr>
          <w:rFonts w:cs="Arial"/>
          <w:sz w:val="22"/>
        </w:rPr>
      </w:pPr>
      <w:r w:rsidRPr="007168B6">
        <w:rPr>
          <w:rFonts w:cs="Arial"/>
          <w:sz w:val="22"/>
        </w:rPr>
        <w:t xml:space="preserve">Quanto às marcas e patentes, iremos iniciar </w:t>
      </w:r>
      <w:r>
        <w:rPr>
          <w:rFonts w:cs="Arial"/>
          <w:sz w:val="22"/>
        </w:rPr>
        <w:t xml:space="preserve">junto às áreas responsáveis, </w:t>
      </w:r>
      <w:r w:rsidRPr="007168B6">
        <w:rPr>
          <w:rFonts w:cs="Arial"/>
          <w:sz w:val="22"/>
        </w:rPr>
        <w:t>um estudo do seu real valor de mercado, visto que o registrado em 2017 se refere apenas aos custos de registro no INPI.</w:t>
      </w:r>
      <w:r>
        <w:rPr>
          <w:rFonts w:cs="Arial"/>
          <w:sz w:val="22"/>
        </w:rPr>
        <w:t xml:space="preserve"> O valor mais expressivo encontrado em 2016 foi reclassificado pois na verdade eram softwares que se encontravam na conta incorreta.</w:t>
      </w:r>
    </w:p>
    <w:p w:rsidR="006E6D1D" w:rsidRPr="004015BE" w:rsidRDefault="006E6D1D" w:rsidP="006E6D1D">
      <w:pPr>
        <w:rPr>
          <w:rFonts w:cs="Arial"/>
          <w:sz w:val="22"/>
        </w:rPr>
      </w:pPr>
    </w:p>
    <w:p w:rsidR="006E6D1D" w:rsidRDefault="006E6D1D">
      <w:pPr>
        <w:spacing w:after="160" w:line="259" w:lineRule="auto"/>
        <w:jc w:val="left"/>
        <w:rPr>
          <w:rFonts w:cs="Arial"/>
          <w:b/>
          <w:sz w:val="22"/>
        </w:rPr>
      </w:pPr>
      <w:r>
        <w:rPr>
          <w:rFonts w:cs="Arial"/>
          <w:b/>
          <w:sz w:val="22"/>
        </w:rPr>
        <w:br w:type="page"/>
      </w:r>
    </w:p>
    <w:p w:rsidR="006E6D1D" w:rsidRPr="00BE0AC8" w:rsidRDefault="006E6D1D" w:rsidP="006E6D1D">
      <w:pPr>
        <w:rPr>
          <w:rFonts w:cs="Arial"/>
          <w:b/>
          <w:sz w:val="22"/>
        </w:rPr>
      </w:pPr>
      <w:r w:rsidRPr="00BE0AC8">
        <w:rPr>
          <w:rFonts w:cs="Arial"/>
          <w:b/>
          <w:sz w:val="22"/>
        </w:rPr>
        <w:lastRenderedPageBreak/>
        <w:t>Nota 05 – Fornecedores e Contas a Pagar</w:t>
      </w:r>
    </w:p>
    <w:p w:rsidR="006E6D1D" w:rsidRPr="00BE0AC8" w:rsidRDefault="006E6D1D" w:rsidP="006E6D1D">
      <w:pPr>
        <w:rPr>
          <w:rFonts w:cs="Arial"/>
          <w:sz w:val="22"/>
        </w:rPr>
      </w:pPr>
    </w:p>
    <w:p w:rsidR="006E6D1D" w:rsidRPr="00BE0AC8" w:rsidRDefault="006E6D1D" w:rsidP="006E6D1D">
      <w:pPr>
        <w:rPr>
          <w:rFonts w:cs="Arial"/>
          <w:sz w:val="22"/>
        </w:rPr>
      </w:pPr>
      <w:r w:rsidRPr="00BE0AC8">
        <w:rPr>
          <w:rFonts w:cs="Arial"/>
          <w:sz w:val="22"/>
        </w:rPr>
        <w:t>Em 3</w:t>
      </w:r>
      <w:r>
        <w:rPr>
          <w:rFonts w:cs="Arial"/>
          <w:sz w:val="22"/>
        </w:rPr>
        <w:t>1</w:t>
      </w:r>
      <w:r w:rsidRPr="00BE0AC8">
        <w:rPr>
          <w:rFonts w:cs="Arial"/>
          <w:sz w:val="22"/>
        </w:rPr>
        <w:t>/</w:t>
      </w:r>
      <w:r>
        <w:rPr>
          <w:rFonts w:cs="Arial"/>
          <w:sz w:val="22"/>
        </w:rPr>
        <w:t>12</w:t>
      </w:r>
      <w:r w:rsidRPr="00BE0AC8">
        <w:rPr>
          <w:rFonts w:cs="Arial"/>
          <w:sz w:val="22"/>
        </w:rPr>
        <w:t>/201</w:t>
      </w:r>
      <w:r>
        <w:rPr>
          <w:rFonts w:cs="Arial"/>
          <w:sz w:val="22"/>
        </w:rPr>
        <w:t>7</w:t>
      </w:r>
      <w:r w:rsidRPr="00BE0AC8">
        <w:rPr>
          <w:rFonts w:cs="Arial"/>
          <w:sz w:val="22"/>
        </w:rPr>
        <w:t>, a A</w:t>
      </w:r>
      <w:r>
        <w:rPr>
          <w:rFonts w:cs="Arial"/>
          <w:sz w:val="22"/>
        </w:rPr>
        <w:t>NP</w:t>
      </w:r>
      <w:r w:rsidRPr="00BE0AC8">
        <w:rPr>
          <w:rFonts w:cs="Arial"/>
          <w:sz w:val="22"/>
        </w:rPr>
        <w:t xml:space="preserve"> possuía um saldo em aberto superior a R$ </w:t>
      </w:r>
      <w:r>
        <w:rPr>
          <w:rFonts w:cs="Arial"/>
          <w:sz w:val="22"/>
        </w:rPr>
        <w:t>3,4 milhões</w:t>
      </w:r>
      <w:r w:rsidRPr="00BE0AC8">
        <w:rPr>
          <w:rFonts w:cs="Arial"/>
          <w:sz w:val="22"/>
        </w:rPr>
        <w:t xml:space="preserve"> relacionados com fornecedores e contas a pagar a curto prazo.</w:t>
      </w:r>
    </w:p>
    <w:p w:rsidR="006E6D1D" w:rsidRPr="00BE0AC8" w:rsidRDefault="006E6D1D" w:rsidP="006E6D1D">
      <w:pPr>
        <w:rPr>
          <w:rFonts w:cs="Arial"/>
          <w:sz w:val="22"/>
        </w:rPr>
      </w:pPr>
    </w:p>
    <w:p w:rsidR="006E6D1D" w:rsidRPr="00BE0AC8" w:rsidRDefault="006E6D1D" w:rsidP="006E6D1D">
      <w:pPr>
        <w:rPr>
          <w:rFonts w:cs="Arial"/>
          <w:sz w:val="22"/>
        </w:rPr>
      </w:pPr>
      <w:r w:rsidRPr="00BE0AC8">
        <w:rPr>
          <w:rFonts w:cs="Arial"/>
          <w:sz w:val="22"/>
        </w:rPr>
        <w:t xml:space="preserve">A seguir, apresenta-se a tabela, relacionando as obrigações com credores nacionais a curto prazo. </w:t>
      </w:r>
    </w:p>
    <w:p w:rsidR="006E6D1D" w:rsidRPr="00BE0AC8" w:rsidRDefault="006E6D1D" w:rsidP="006E6D1D">
      <w:pPr>
        <w:rPr>
          <w:rFonts w:cs="Arial"/>
          <w:sz w:val="22"/>
        </w:rPr>
      </w:pPr>
    </w:p>
    <w:p w:rsidR="006E6D1D" w:rsidRDefault="006E6D1D" w:rsidP="006E6D1D">
      <w:pPr>
        <w:rPr>
          <w:rFonts w:cs="Arial"/>
          <w:b/>
          <w:sz w:val="22"/>
        </w:rPr>
      </w:pPr>
      <w:r w:rsidRPr="00BE0AC8">
        <w:rPr>
          <w:rFonts w:cs="Arial"/>
          <w:b/>
          <w:sz w:val="22"/>
        </w:rPr>
        <w:t>Tabela – Fornecedores e Contas a Pagar – Composição.</w:t>
      </w:r>
    </w:p>
    <w:p w:rsidR="006E6D1D" w:rsidRDefault="006E6D1D" w:rsidP="006E6D1D">
      <w:pPr>
        <w:rPr>
          <w:rFonts w:cs="Arial"/>
          <w:sz w:val="22"/>
        </w:rPr>
      </w:pPr>
    </w:p>
    <w:tbl>
      <w:tblPr>
        <w:tblW w:w="9096" w:type="dxa"/>
        <w:tblCellMar>
          <w:left w:w="70" w:type="dxa"/>
          <w:right w:w="70" w:type="dxa"/>
        </w:tblCellMar>
        <w:tblLook w:val="04A0" w:firstRow="1" w:lastRow="0" w:firstColumn="1" w:lastColumn="0" w:noHBand="0" w:noVBand="1"/>
      </w:tblPr>
      <w:tblGrid>
        <w:gridCol w:w="2212"/>
        <w:gridCol w:w="2528"/>
        <w:gridCol w:w="2641"/>
        <w:gridCol w:w="1715"/>
      </w:tblGrid>
      <w:tr w:rsidR="006E6D1D" w:rsidRPr="005B5484" w:rsidTr="008D6A91">
        <w:trPr>
          <w:trHeight w:val="264"/>
        </w:trPr>
        <w:tc>
          <w:tcPr>
            <w:tcW w:w="2212" w:type="dxa"/>
            <w:tcBorders>
              <w:top w:val="single" w:sz="4" w:space="0" w:color="000000"/>
              <w:left w:val="nil"/>
              <w:bottom w:val="single" w:sz="4" w:space="0" w:color="000000"/>
              <w:right w:val="nil"/>
            </w:tcBorders>
            <w:shd w:val="clear" w:color="auto" w:fill="auto"/>
            <w:noWrap/>
            <w:vAlign w:val="bottom"/>
            <w:hideMark/>
          </w:tcPr>
          <w:p w:rsidR="006E6D1D" w:rsidRPr="005B5484" w:rsidRDefault="006E6D1D" w:rsidP="008D6A91">
            <w:pPr>
              <w:jc w:val="left"/>
              <w:rPr>
                <w:rFonts w:eastAsia="Times New Roman" w:cs="Arial"/>
                <w:b/>
                <w:bCs/>
                <w:color w:val="FFFFFF"/>
                <w:szCs w:val="20"/>
                <w:lang w:eastAsia="pt-BR"/>
              </w:rPr>
            </w:pPr>
            <w:r w:rsidRPr="005B5484">
              <w:rPr>
                <w:rFonts w:eastAsia="Times New Roman" w:cs="Arial"/>
                <w:b/>
                <w:bCs/>
                <w:color w:val="FFFFFF"/>
                <w:szCs w:val="20"/>
                <w:lang w:eastAsia="pt-BR"/>
              </w:rPr>
              <w:t>Colunas1</w:t>
            </w:r>
          </w:p>
        </w:tc>
        <w:tc>
          <w:tcPr>
            <w:tcW w:w="2528" w:type="dxa"/>
            <w:tcBorders>
              <w:top w:val="single" w:sz="4" w:space="0" w:color="000000"/>
              <w:left w:val="nil"/>
              <w:bottom w:val="single" w:sz="4" w:space="0" w:color="000000"/>
              <w:right w:val="nil"/>
            </w:tcBorders>
            <w:shd w:val="clear" w:color="auto" w:fill="auto"/>
            <w:noWrap/>
            <w:vAlign w:val="bottom"/>
            <w:hideMark/>
          </w:tcPr>
          <w:p w:rsidR="006E6D1D" w:rsidRPr="005B5484" w:rsidRDefault="006E6D1D" w:rsidP="008D6A91">
            <w:pPr>
              <w:jc w:val="right"/>
              <w:rPr>
                <w:rFonts w:eastAsia="Times New Roman" w:cs="Arial"/>
                <w:b/>
                <w:bCs/>
                <w:color w:val="000000"/>
                <w:szCs w:val="20"/>
                <w:lang w:eastAsia="pt-BR"/>
              </w:rPr>
            </w:pPr>
            <w:r w:rsidRPr="005B5484">
              <w:rPr>
                <w:rFonts w:eastAsia="Times New Roman" w:cs="Arial"/>
                <w:b/>
                <w:bCs/>
                <w:color w:val="000000"/>
                <w:szCs w:val="20"/>
                <w:lang w:eastAsia="pt-BR"/>
              </w:rPr>
              <w:t>3</w:t>
            </w:r>
            <w:r>
              <w:rPr>
                <w:rFonts w:eastAsia="Times New Roman" w:cs="Arial"/>
                <w:b/>
                <w:bCs/>
                <w:color w:val="000000"/>
                <w:szCs w:val="20"/>
                <w:lang w:eastAsia="pt-BR"/>
              </w:rPr>
              <w:t>1</w:t>
            </w:r>
            <w:r w:rsidRPr="005B5484">
              <w:rPr>
                <w:rFonts w:eastAsia="Times New Roman" w:cs="Arial"/>
                <w:b/>
                <w:bCs/>
                <w:color w:val="000000"/>
                <w:szCs w:val="20"/>
                <w:lang w:eastAsia="pt-BR"/>
              </w:rPr>
              <w:t>/</w:t>
            </w:r>
            <w:r>
              <w:rPr>
                <w:rFonts w:eastAsia="Times New Roman" w:cs="Arial"/>
                <w:b/>
                <w:bCs/>
                <w:color w:val="000000"/>
                <w:szCs w:val="20"/>
                <w:lang w:eastAsia="pt-BR"/>
              </w:rPr>
              <w:t>12</w:t>
            </w:r>
            <w:r w:rsidRPr="005B5484">
              <w:rPr>
                <w:rFonts w:eastAsia="Times New Roman" w:cs="Arial"/>
                <w:b/>
                <w:bCs/>
                <w:color w:val="000000"/>
                <w:szCs w:val="20"/>
                <w:lang w:eastAsia="pt-BR"/>
              </w:rPr>
              <w:t>/2017</w:t>
            </w:r>
          </w:p>
        </w:tc>
        <w:tc>
          <w:tcPr>
            <w:tcW w:w="2641" w:type="dxa"/>
            <w:tcBorders>
              <w:top w:val="single" w:sz="4" w:space="0" w:color="000000"/>
              <w:left w:val="nil"/>
              <w:bottom w:val="single" w:sz="4" w:space="0" w:color="000000"/>
              <w:right w:val="nil"/>
            </w:tcBorders>
            <w:shd w:val="clear" w:color="auto" w:fill="auto"/>
            <w:noWrap/>
            <w:vAlign w:val="bottom"/>
            <w:hideMark/>
          </w:tcPr>
          <w:p w:rsidR="006E6D1D" w:rsidRPr="005B5484" w:rsidRDefault="006E6D1D" w:rsidP="008D6A91">
            <w:pPr>
              <w:jc w:val="right"/>
              <w:rPr>
                <w:rFonts w:eastAsia="Times New Roman" w:cs="Arial"/>
                <w:b/>
                <w:bCs/>
                <w:color w:val="000000"/>
                <w:szCs w:val="20"/>
                <w:lang w:eastAsia="pt-BR"/>
              </w:rPr>
            </w:pPr>
            <w:r w:rsidRPr="005B5484">
              <w:rPr>
                <w:rFonts w:eastAsia="Times New Roman" w:cs="Arial"/>
                <w:b/>
                <w:bCs/>
                <w:color w:val="000000"/>
                <w:szCs w:val="20"/>
                <w:lang w:eastAsia="pt-BR"/>
              </w:rPr>
              <w:t>31/12/2016</w:t>
            </w:r>
          </w:p>
        </w:tc>
        <w:tc>
          <w:tcPr>
            <w:tcW w:w="1715" w:type="dxa"/>
            <w:tcBorders>
              <w:top w:val="single" w:sz="4" w:space="0" w:color="000000"/>
              <w:left w:val="nil"/>
              <w:bottom w:val="single" w:sz="4" w:space="0" w:color="000000"/>
              <w:right w:val="nil"/>
            </w:tcBorders>
            <w:shd w:val="clear" w:color="auto" w:fill="auto"/>
            <w:noWrap/>
            <w:vAlign w:val="bottom"/>
            <w:hideMark/>
          </w:tcPr>
          <w:p w:rsidR="006E6D1D" w:rsidRPr="005B5484" w:rsidRDefault="006E6D1D" w:rsidP="008D6A91">
            <w:pPr>
              <w:jc w:val="right"/>
              <w:rPr>
                <w:rFonts w:eastAsia="Times New Roman" w:cs="Arial"/>
                <w:b/>
                <w:bCs/>
                <w:color w:val="000000"/>
                <w:szCs w:val="20"/>
                <w:lang w:eastAsia="pt-BR"/>
              </w:rPr>
            </w:pPr>
            <w:r w:rsidRPr="005B5484">
              <w:rPr>
                <w:rFonts w:eastAsia="Times New Roman" w:cs="Arial"/>
                <w:b/>
                <w:bCs/>
                <w:color w:val="000000"/>
                <w:szCs w:val="20"/>
                <w:lang w:eastAsia="pt-BR"/>
              </w:rPr>
              <w:t>AH (%)</w:t>
            </w:r>
          </w:p>
        </w:tc>
      </w:tr>
      <w:tr w:rsidR="006E6D1D" w:rsidRPr="005B5484" w:rsidTr="008D6A91">
        <w:trPr>
          <w:trHeight w:val="264"/>
        </w:trPr>
        <w:tc>
          <w:tcPr>
            <w:tcW w:w="2212" w:type="dxa"/>
            <w:tcBorders>
              <w:top w:val="nil"/>
              <w:left w:val="nil"/>
              <w:bottom w:val="nil"/>
              <w:right w:val="nil"/>
            </w:tcBorders>
            <w:shd w:val="clear" w:color="D9D9D9" w:fill="D9D9D9"/>
            <w:noWrap/>
            <w:vAlign w:val="bottom"/>
            <w:hideMark/>
          </w:tcPr>
          <w:p w:rsidR="006E6D1D" w:rsidRPr="005B5484" w:rsidRDefault="006E6D1D" w:rsidP="008D6A91">
            <w:pPr>
              <w:jc w:val="left"/>
              <w:rPr>
                <w:rFonts w:eastAsia="Times New Roman" w:cs="Arial"/>
                <w:color w:val="000000"/>
                <w:szCs w:val="20"/>
                <w:lang w:eastAsia="pt-BR"/>
              </w:rPr>
            </w:pPr>
            <w:r w:rsidRPr="005B5484">
              <w:rPr>
                <w:rFonts w:eastAsia="Times New Roman" w:cs="Arial"/>
                <w:color w:val="000000"/>
                <w:szCs w:val="20"/>
                <w:lang w:eastAsia="pt-BR"/>
              </w:rPr>
              <w:t>Nacionais</w:t>
            </w:r>
          </w:p>
        </w:tc>
        <w:tc>
          <w:tcPr>
            <w:tcW w:w="2528" w:type="dxa"/>
            <w:tcBorders>
              <w:top w:val="nil"/>
              <w:left w:val="nil"/>
              <w:bottom w:val="nil"/>
              <w:right w:val="nil"/>
            </w:tcBorders>
            <w:shd w:val="clear" w:color="D9D9D9" w:fill="D9D9D9"/>
            <w:noWrap/>
            <w:vAlign w:val="bottom"/>
            <w:hideMark/>
          </w:tcPr>
          <w:p w:rsidR="006E6D1D" w:rsidRPr="005B5484" w:rsidRDefault="006E6D1D" w:rsidP="008D6A91">
            <w:pPr>
              <w:jc w:val="right"/>
              <w:rPr>
                <w:rFonts w:eastAsia="Times New Roman" w:cs="Arial"/>
                <w:color w:val="000000"/>
                <w:szCs w:val="20"/>
                <w:lang w:eastAsia="pt-BR"/>
              </w:rPr>
            </w:pPr>
            <w:r w:rsidRPr="0022407A">
              <w:rPr>
                <w:rFonts w:eastAsia="Times New Roman" w:cs="Arial"/>
                <w:color w:val="000000"/>
                <w:szCs w:val="20"/>
                <w:lang w:eastAsia="pt-BR"/>
              </w:rPr>
              <w:t>3</w:t>
            </w:r>
            <w:r>
              <w:rPr>
                <w:rFonts w:eastAsia="Times New Roman" w:cs="Arial"/>
                <w:color w:val="000000"/>
                <w:szCs w:val="20"/>
                <w:lang w:eastAsia="pt-BR"/>
              </w:rPr>
              <w:t>.</w:t>
            </w:r>
            <w:r w:rsidRPr="0022407A">
              <w:rPr>
                <w:rFonts w:eastAsia="Times New Roman" w:cs="Arial"/>
                <w:color w:val="000000"/>
                <w:szCs w:val="20"/>
                <w:lang w:eastAsia="pt-BR"/>
              </w:rPr>
              <w:t>478</w:t>
            </w:r>
            <w:r>
              <w:rPr>
                <w:rFonts w:eastAsia="Times New Roman" w:cs="Arial"/>
                <w:color w:val="000000"/>
                <w:szCs w:val="20"/>
                <w:lang w:eastAsia="pt-BR"/>
              </w:rPr>
              <w:t>.</w:t>
            </w:r>
            <w:r w:rsidRPr="0022407A">
              <w:rPr>
                <w:rFonts w:eastAsia="Times New Roman" w:cs="Arial"/>
                <w:color w:val="000000"/>
                <w:szCs w:val="20"/>
                <w:lang w:eastAsia="pt-BR"/>
              </w:rPr>
              <w:t>322,42</w:t>
            </w:r>
          </w:p>
        </w:tc>
        <w:tc>
          <w:tcPr>
            <w:tcW w:w="2641" w:type="dxa"/>
            <w:tcBorders>
              <w:top w:val="nil"/>
              <w:left w:val="nil"/>
              <w:bottom w:val="nil"/>
              <w:right w:val="nil"/>
            </w:tcBorders>
            <w:shd w:val="clear" w:color="D9D9D9" w:fill="D9D9D9"/>
            <w:noWrap/>
            <w:vAlign w:val="bottom"/>
            <w:hideMark/>
          </w:tcPr>
          <w:p w:rsidR="006E6D1D" w:rsidRPr="005B5484" w:rsidRDefault="006E6D1D" w:rsidP="008D6A91">
            <w:pPr>
              <w:jc w:val="right"/>
              <w:rPr>
                <w:rFonts w:eastAsia="Times New Roman" w:cs="Arial"/>
                <w:color w:val="000000"/>
                <w:szCs w:val="20"/>
                <w:lang w:eastAsia="pt-BR"/>
              </w:rPr>
            </w:pPr>
            <w:r>
              <w:rPr>
                <w:rFonts w:eastAsia="Times New Roman" w:cs="Arial"/>
                <w:color w:val="000000"/>
                <w:szCs w:val="20"/>
                <w:lang w:eastAsia="pt-BR"/>
              </w:rPr>
              <w:t>2.503.484,90</w:t>
            </w:r>
          </w:p>
        </w:tc>
        <w:tc>
          <w:tcPr>
            <w:tcW w:w="1715" w:type="dxa"/>
            <w:tcBorders>
              <w:top w:val="nil"/>
              <w:left w:val="nil"/>
              <w:bottom w:val="nil"/>
              <w:right w:val="nil"/>
            </w:tcBorders>
            <w:shd w:val="clear" w:color="D9D9D9" w:fill="D9D9D9"/>
            <w:noWrap/>
            <w:vAlign w:val="bottom"/>
            <w:hideMark/>
          </w:tcPr>
          <w:p w:rsidR="006E6D1D" w:rsidRPr="005B5484" w:rsidRDefault="006E6D1D" w:rsidP="008D6A91">
            <w:pPr>
              <w:jc w:val="right"/>
              <w:rPr>
                <w:rFonts w:eastAsia="Times New Roman" w:cs="Arial"/>
                <w:color w:val="000000"/>
                <w:szCs w:val="20"/>
                <w:lang w:eastAsia="pt-BR"/>
              </w:rPr>
            </w:pPr>
            <w:r>
              <w:rPr>
                <w:rFonts w:eastAsia="Times New Roman" w:cs="Arial"/>
                <w:color w:val="000000"/>
                <w:szCs w:val="20"/>
                <w:lang w:eastAsia="pt-BR"/>
              </w:rPr>
              <w:t>38,94%</w:t>
            </w:r>
          </w:p>
        </w:tc>
      </w:tr>
      <w:tr w:rsidR="006E6D1D" w:rsidRPr="005B5484" w:rsidTr="008D6A91">
        <w:trPr>
          <w:trHeight w:val="264"/>
        </w:trPr>
        <w:tc>
          <w:tcPr>
            <w:tcW w:w="2212" w:type="dxa"/>
            <w:tcBorders>
              <w:top w:val="nil"/>
              <w:left w:val="nil"/>
              <w:bottom w:val="single" w:sz="4" w:space="0" w:color="000000"/>
              <w:right w:val="nil"/>
            </w:tcBorders>
            <w:shd w:val="clear" w:color="auto" w:fill="auto"/>
            <w:noWrap/>
            <w:vAlign w:val="bottom"/>
            <w:hideMark/>
          </w:tcPr>
          <w:p w:rsidR="006E6D1D" w:rsidRPr="005B5484" w:rsidRDefault="006E6D1D" w:rsidP="008D6A91">
            <w:pPr>
              <w:jc w:val="left"/>
              <w:rPr>
                <w:rFonts w:eastAsia="Times New Roman" w:cs="Arial"/>
                <w:b/>
                <w:color w:val="000000"/>
                <w:szCs w:val="20"/>
                <w:lang w:eastAsia="pt-BR"/>
              </w:rPr>
            </w:pPr>
            <w:r w:rsidRPr="005B5484">
              <w:rPr>
                <w:rFonts w:eastAsia="Times New Roman" w:cs="Arial"/>
                <w:b/>
                <w:color w:val="000000"/>
                <w:szCs w:val="20"/>
                <w:lang w:eastAsia="pt-BR"/>
              </w:rPr>
              <w:t>Total</w:t>
            </w:r>
          </w:p>
        </w:tc>
        <w:tc>
          <w:tcPr>
            <w:tcW w:w="2528" w:type="dxa"/>
            <w:tcBorders>
              <w:top w:val="nil"/>
              <w:left w:val="nil"/>
              <w:bottom w:val="single" w:sz="4" w:space="0" w:color="000000"/>
              <w:right w:val="nil"/>
            </w:tcBorders>
            <w:shd w:val="clear" w:color="auto" w:fill="auto"/>
            <w:noWrap/>
            <w:vAlign w:val="bottom"/>
            <w:hideMark/>
          </w:tcPr>
          <w:p w:rsidR="006E6D1D" w:rsidRPr="0022407A" w:rsidRDefault="006E6D1D" w:rsidP="008D6A91">
            <w:pPr>
              <w:jc w:val="right"/>
              <w:rPr>
                <w:rFonts w:eastAsia="Times New Roman" w:cs="Arial"/>
                <w:b/>
                <w:color w:val="000000"/>
                <w:szCs w:val="20"/>
                <w:lang w:eastAsia="pt-BR"/>
              </w:rPr>
            </w:pPr>
            <w:r w:rsidRPr="0022407A">
              <w:rPr>
                <w:rFonts w:eastAsia="Times New Roman" w:cs="Arial"/>
                <w:b/>
                <w:color w:val="000000"/>
                <w:szCs w:val="20"/>
                <w:lang w:eastAsia="pt-BR"/>
              </w:rPr>
              <w:t>3.478.322,42</w:t>
            </w:r>
          </w:p>
        </w:tc>
        <w:tc>
          <w:tcPr>
            <w:tcW w:w="2641" w:type="dxa"/>
            <w:tcBorders>
              <w:top w:val="nil"/>
              <w:left w:val="nil"/>
              <w:bottom w:val="single" w:sz="4" w:space="0" w:color="000000"/>
              <w:right w:val="nil"/>
            </w:tcBorders>
            <w:shd w:val="clear" w:color="auto" w:fill="auto"/>
            <w:noWrap/>
            <w:vAlign w:val="bottom"/>
            <w:hideMark/>
          </w:tcPr>
          <w:p w:rsidR="006E6D1D" w:rsidRPr="005B5484" w:rsidRDefault="006E6D1D" w:rsidP="008D6A91">
            <w:pPr>
              <w:jc w:val="right"/>
              <w:rPr>
                <w:rFonts w:eastAsia="Times New Roman" w:cs="Arial"/>
                <w:b/>
                <w:color w:val="000000"/>
                <w:szCs w:val="20"/>
                <w:lang w:eastAsia="pt-BR"/>
              </w:rPr>
            </w:pPr>
            <w:r>
              <w:rPr>
                <w:rFonts w:eastAsia="Times New Roman" w:cs="Arial"/>
                <w:color w:val="000000"/>
                <w:szCs w:val="20"/>
                <w:lang w:eastAsia="pt-BR"/>
              </w:rPr>
              <w:t>2.503.484,90</w:t>
            </w:r>
          </w:p>
        </w:tc>
        <w:tc>
          <w:tcPr>
            <w:tcW w:w="1715" w:type="dxa"/>
            <w:tcBorders>
              <w:top w:val="nil"/>
              <w:left w:val="nil"/>
              <w:bottom w:val="single" w:sz="4" w:space="0" w:color="000000"/>
              <w:right w:val="nil"/>
            </w:tcBorders>
            <w:shd w:val="clear" w:color="auto" w:fill="auto"/>
            <w:noWrap/>
            <w:vAlign w:val="bottom"/>
            <w:hideMark/>
          </w:tcPr>
          <w:p w:rsidR="006E6D1D" w:rsidRPr="005B5484" w:rsidRDefault="006E6D1D" w:rsidP="008D6A91">
            <w:pPr>
              <w:jc w:val="right"/>
              <w:rPr>
                <w:rFonts w:eastAsia="Times New Roman" w:cs="Arial"/>
                <w:b/>
                <w:color w:val="000000"/>
                <w:szCs w:val="20"/>
                <w:lang w:eastAsia="pt-BR"/>
              </w:rPr>
            </w:pPr>
            <w:r>
              <w:rPr>
                <w:rFonts w:eastAsia="Times New Roman" w:cs="Arial"/>
                <w:b/>
                <w:color w:val="000000"/>
                <w:szCs w:val="20"/>
                <w:lang w:eastAsia="pt-BR"/>
              </w:rPr>
              <w:t>38,94%</w:t>
            </w:r>
          </w:p>
        </w:tc>
      </w:tr>
    </w:tbl>
    <w:p w:rsidR="006E6D1D" w:rsidRPr="005B5484" w:rsidRDefault="006E6D1D" w:rsidP="006E6D1D">
      <w:pPr>
        <w:rPr>
          <w:rFonts w:cs="Arial"/>
          <w:i/>
          <w:szCs w:val="20"/>
        </w:rPr>
      </w:pPr>
      <w:r w:rsidRPr="005B5484">
        <w:rPr>
          <w:rFonts w:cs="Arial"/>
          <w:i/>
          <w:szCs w:val="20"/>
        </w:rPr>
        <w:t>Fonte: SIAFI, 2016 e 2017.</w:t>
      </w:r>
    </w:p>
    <w:p w:rsidR="006E6D1D" w:rsidRPr="00BE0AC8" w:rsidRDefault="006E6D1D" w:rsidP="006E6D1D">
      <w:pPr>
        <w:rPr>
          <w:rFonts w:cs="Arial"/>
          <w:sz w:val="22"/>
        </w:rPr>
      </w:pPr>
    </w:p>
    <w:p w:rsidR="006E6D1D" w:rsidRDefault="006E6D1D" w:rsidP="006E6D1D">
      <w:pPr>
        <w:rPr>
          <w:rFonts w:cs="Arial"/>
          <w:sz w:val="22"/>
        </w:rPr>
      </w:pPr>
      <w:r>
        <w:rPr>
          <w:rFonts w:cs="Arial"/>
          <w:sz w:val="22"/>
        </w:rPr>
        <w:t>Esse aumento de 38,94% baseia-se nas melhores práticas de reconhecimento do passivo de forma tempestiva, contudo ainda se apresenta muito aquém da realidade, haja visto o elevado valor que se apresenta na inscrição de RP - Restos a Pagar Não Processados (RPNP) inscritos e que poderiam estar Em Liquidação. Estamos em contínuo trabalho de aperfeiçoamento dessa prática para que os valores reflitam o mais próximo da realidade possível.</w:t>
      </w:r>
    </w:p>
    <w:p w:rsidR="006E6D1D" w:rsidRDefault="006E6D1D" w:rsidP="006E6D1D">
      <w:pPr>
        <w:rPr>
          <w:rFonts w:cs="Arial"/>
          <w:sz w:val="22"/>
        </w:rPr>
      </w:pPr>
    </w:p>
    <w:p w:rsidR="006E6D1D" w:rsidRPr="00BE0AC8" w:rsidRDefault="006E6D1D" w:rsidP="006E6D1D">
      <w:pPr>
        <w:rPr>
          <w:rFonts w:cs="Arial"/>
          <w:sz w:val="22"/>
        </w:rPr>
      </w:pPr>
      <w:r w:rsidRPr="00BE0AC8">
        <w:rPr>
          <w:rFonts w:cs="Arial"/>
          <w:sz w:val="22"/>
        </w:rPr>
        <w:t xml:space="preserve">Na tabela apresentada a seguir, relaciona-se os fornecedores </w:t>
      </w:r>
      <w:r>
        <w:rPr>
          <w:rFonts w:cs="Arial"/>
          <w:sz w:val="22"/>
        </w:rPr>
        <w:t xml:space="preserve">com seus respectivos </w:t>
      </w:r>
      <w:r w:rsidRPr="00BE0AC8">
        <w:rPr>
          <w:rFonts w:cs="Arial"/>
          <w:sz w:val="22"/>
        </w:rPr>
        <w:t>saldo</w:t>
      </w:r>
      <w:r>
        <w:rPr>
          <w:rFonts w:cs="Arial"/>
          <w:sz w:val="22"/>
        </w:rPr>
        <w:t>s</w:t>
      </w:r>
      <w:r w:rsidRPr="00BE0AC8">
        <w:rPr>
          <w:rFonts w:cs="Arial"/>
          <w:sz w:val="22"/>
        </w:rPr>
        <w:t xml:space="preserve"> em aberto na data base de 3</w:t>
      </w:r>
      <w:r>
        <w:rPr>
          <w:rFonts w:cs="Arial"/>
          <w:sz w:val="22"/>
        </w:rPr>
        <w:t>1</w:t>
      </w:r>
      <w:r w:rsidRPr="00BE0AC8">
        <w:rPr>
          <w:rFonts w:cs="Arial"/>
          <w:sz w:val="22"/>
        </w:rPr>
        <w:t>/</w:t>
      </w:r>
      <w:r>
        <w:rPr>
          <w:rFonts w:cs="Arial"/>
          <w:sz w:val="22"/>
        </w:rPr>
        <w:t>12</w:t>
      </w:r>
      <w:r w:rsidRPr="00BE0AC8">
        <w:rPr>
          <w:rFonts w:cs="Arial"/>
          <w:sz w:val="22"/>
        </w:rPr>
        <w:t>/20</w:t>
      </w:r>
      <w:r>
        <w:rPr>
          <w:rFonts w:cs="Arial"/>
          <w:sz w:val="22"/>
        </w:rPr>
        <w:t>17:</w:t>
      </w:r>
    </w:p>
    <w:p w:rsidR="006E6D1D" w:rsidRPr="00BE0AC8" w:rsidRDefault="006E6D1D" w:rsidP="006E6D1D">
      <w:pPr>
        <w:rPr>
          <w:rFonts w:cs="Arial"/>
          <w:b/>
          <w:sz w:val="22"/>
        </w:rPr>
      </w:pPr>
    </w:p>
    <w:p w:rsidR="006E6D1D" w:rsidRDefault="006E6D1D" w:rsidP="006E6D1D">
      <w:pPr>
        <w:rPr>
          <w:rFonts w:cs="Arial"/>
          <w:szCs w:val="20"/>
        </w:rPr>
      </w:pPr>
      <w:r w:rsidRPr="00BE0AC8">
        <w:rPr>
          <w:rFonts w:cs="Arial"/>
          <w:b/>
          <w:sz w:val="22"/>
        </w:rPr>
        <w:t>Tabela – Fornecedores e Contas a Pagar – Por Fornecedor.</w:t>
      </w:r>
      <w:r>
        <w:rPr>
          <w:rFonts w:cs="Arial"/>
          <w:szCs w:val="20"/>
        </w:rPr>
        <w:t xml:space="preserve">                                                                                      </w:t>
      </w:r>
    </w:p>
    <w:p w:rsidR="006E6D1D" w:rsidRDefault="006E6D1D" w:rsidP="006E6D1D">
      <w:pPr>
        <w:jc w:val="center"/>
        <w:rPr>
          <w:rFonts w:cs="Arial"/>
          <w:szCs w:val="20"/>
        </w:rPr>
      </w:pPr>
      <w:r>
        <w:rPr>
          <w:rFonts w:cs="Arial"/>
          <w:szCs w:val="20"/>
        </w:rPr>
        <w:t xml:space="preserve">                                                                                                                                                             R$ </w:t>
      </w:r>
    </w:p>
    <w:tbl>
      <w:tblPr>
        <w:tblW w:w="9113" w:type="dxa"/>
        <w:tblCellMar>
          <w:left w:w="70" w:type="dxa"/>
          <w:right w:w="70" w:type="dxa"/>
        </w:tblCellMar>
        <w:tblLook w:val="04A0" w:firstRow="1" w:lastRow="0" w:firstColumn="1" w:lastColumn="0" w:noHBand="0" w:noVBand="1"/>
      </w:tblPr>
      <w:tblGrid>
        <w:gridCol w:w="3572"/>
        <w:gridCol w:w="2637"/>
        <w:gridCol w:w="2904"/>
      </w:tblGrid>
      <w:tr w:rsidR="006E6D1D" w:rsidRPr="00FB54E6" w:rsidTr="008D6A91">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rsidR="006E6D1D" w:rsidRPr="00FB54E6" w:rsidRDefault="006E6D1D" w:rsidP="008D6A91">
            <w:pPr>
              <w:jc w:val="left"/>
              <w:rPr>
                <w:rFonts w:eastAsia="Times New Roman" w:cs="Arial"/>
                <w:b/>
                <w:bCs/>
                <w:color w:val="000000"/>
                <w:szCs w:val="20"/>
                <w:lang w:eastAsia="pt-BR"/>
              </w:rPr>
            </w:pPr>
            <w:r w:rsidRPr="00FB54E6">
              <w:rPr>
                <w:rFonts w:eastAsia="Times New Roman" w:cs="Arial"/>
                <w:b/>
                <w:bCs/>
                <w:color w:val="000000"/>
                <w:szCs w:val="20"/>
                <w:lang w:eastAsia="pt-BR"/>
              </w:rPr>
              <w:t>Fornecedor</w:t>
            </w:r>
          </w:p>
        </w:tc>
        <w:tc>
          <w:tcPr>
            <w:tcW w:w="2637" w:type="dxa"/>
            <w:tcBorders>
              <w:top w:val="single" w:sz="4" w:space="0" w:color="000000"/>
              <w:left w:val="nil"/>
              <w:bottom w:val="single" w:sz="4" w:space="0" w:color="000000"/>
              <w:right w:val="nil"/>
            </w:tcBorders>
            <w:shd w:val="clear" w:color="auto" w:fill="auto"/>
            <w:noWrap/>
            <w:vAlign w:val="bottom"/>
            <w:hideMark/>
          </w:tcPr>
          <w:p w:rsidR="006E6D1D" w:rsidRPr="00FB54E6" w:rsidRDefault="006E6D1D" w:rsidP="008D6A91">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/2017</w:t>
            </w:r>
          </w:p>
        </w:tc>
        <w:tc>
          <w:tcPr>
            <w:tcW w:w="2904" w:type="dxa"/>
            <w:tcBorders>
              <w:top w:val="single" w:sz="4" w:space="0" w:color="000000"/>
              <w:left w:val="nil"/>
              <w:bottom w:val="single" w:sz="4" w:space="0" w:color="000000"/>
              <w:right w:val="nil"/>
            </w:tcBorders>
            <w:shd w:val="clear" w:color="auto" w:fill="auto"/>
            <w:noWrap/>
            <w:vAlign w:val="bottom"/>
            <w:hideMark/>
          </w:tcPr>
          <w:p w:rsidR="006E6D1D" w:rsidRPr="00FB54E6" w:rsidRDefault="006E6D1D" w:rsidP="008D6A91">
            <w:pPr>
              <w:jc w:val="right"/>
              <w:rPr>
                <w:rFonts w:eastAsia="Times New Roman" w:cs="Arial"/>
                <w:b/>
                <w:bCs/>
                <w:color w:val="000000"/>
                <w:szCs w:val="20"/>
                <w:lang w:eastAsia="pt-BR"/>
              </w:rPr>
            </w:pPr>
            <w:r w:rsidRPr="00FB54E6">
              <w:rPr>
                <w:rFonts w:eastAsia="Times New Roman" w:cs="Arial"/>
                <w:b/>
                <w:bCs/>
                <w:color w:val="000000"/>
                <w:szCs w:val="20"/>
                <w:lang w:eastAsia="pt-BR"/>
              </w:rPr>
              <w:t>AV (%)</w:t>
            </w:r>
          </w:p>
        </w:tc>
      </w:tr>
      <w:tr w:rsidR="006E6D1D" w:rsidRPr="00FB54E6" w:rsidTr="008D6A91">
        <w:trPr>
          <w:trHeight w:val="249"/>
        </w:trPr>
        <w:tc>
          <w:tcPr>
            <w:tcW w:w="3572" w:type="dxa"/>
            <w:tcBorders>
              <w:top w:val="nil"/>
              <w:left w:val="nil"/>
              <w:bottom w:val="nil"/>
              <w:right w:val="nil"/>
            </w:tcBorders>
            <w:shd w:val="clear" w:color="D9D9D9" w:fill="D9D9D9"/>
            <w:noWrap/>
            <w:vAlign w:val="bottom"/>
            <w:hideMark/>
          </w:tcPr>
          <w:p w:rsidR="006E6D1D" w:rsidRPr="00FB54E6" w:rsidRDefault="006E6D1D" w:rsidP="008D6A91">
            <w:pPr>
              <w:jc w:val="left"/>
              <w:rPr>
                <w:rFonts w:eastAsia="Times New Roman" w:cs="Arial"/>
                <w:color w:val="000000"/>
                <w:szCs w:val="20"/>
                <w:lang w:eastAsia="pt-BR"/>
              </w:rPr>
            </w:pPr>
            <w:r>
              <w:rPr>
                <w:rFonts w:eastAsia="Times New Roman" w:cs="Arial"/>
                <w:color w:val="000000"/>
                <w:szCs w:val="20"/>
                <w:lang w:eastAsia="pt-BR"/>
              </w:rPr>
              <w:t>Universidades / PMQC</w:t>
            </w:r>
          </w:p>
        </w:tc>
        <w:tc>
          <w:tcPr>
            <w:tcW w:w="2637" w:type="dxa"/>
            <w:tcBorders>
              <w:top w:val="nil"/>
              <w:left w:val="nil"/>
              <w:bottom w:val="nil"/>
              <w:right w:val="nil"/>
            </w:tcBorders>
            <w:shd w:val="clear" w:color="D9D9D9" w:fill="D9D9D9"/>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3.265.478,39</w:t>
            </w:r>
          </w:p>
        </w:tc>
        <w:tc>
          <w:tcPr>
            <w:tcW w:w="2904" w:type="dxa"/>
            <w:tcBorders>
              <w:top w:val="nil"/>
              <w:left w:val="nil"/>
              <w:bottom w:val="nil"/>
              <w:right w:val="nil"/>
            </w:tcBorders>
            <w:shd w:val="clear" w:color="D9D9D9" w:fill="D9D9D9"/>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93,88</w:t>
            </w:r>
          </w:p>
        </w:tc>
      </w:tr>
      <w:tr w:rsidR="006E6D1D" w:rsidRPr="00FB54E6" w:rsidTr="008D6A91">
        <w:trPr>
          <w:trHeight w:val="249"/>
        </w:trPr>
        <w:tc>
          <w:tcPr>
            <w:tcW w:w="3572" w:type="dxa"/>
            <w:tcBorders>
              <w:top w:val="nil"/>
              <w:left w:val="nil"/>
              <w:bottom w:val="nil"/>
              <w:right w:val="nil"/>
            </w:tcBorders>
            <w:shd w:val="clear" w:color="auto" w:fill="auto"/>
            <w:noWrap/>
            <w:vAlign w:val="bottom"/>
            <w:hideMark/>
          </w:tcPr>
          <w:p w:rsidR="006E6D1D" w:rsidRPr="00FB54E6" w:rsidRDefault="006E6D1D" w:rsidP="008D6A91">
            <w:pPr>
              <w:jc w:val="left"/>
              <w:rPr>
                <w:rFonts w:eastAsia="Times New Roman" w:cs="Arial"/>
                <w:color w:val="000000"/>
                <w:szCs w:val="20"/>
                <w:lang w:eastAsia="pt-BR"/>
              </w:rPr>
            </w:pPr>
            <w:r>
              <w:rPr>
                <w:rFonts w:eastAsia="Times New Roman" w:cs="Arial"/>
                <w:color w:val="000000"/>
                <w:szCs w:val="20"/>
                <w:lang w:eastAsia="pt-BR"/>
              </w:rPr>
              <w:t>VR Transportes</w:t>
            </w:r>
          </w:p>
        </w:tc>
        <w:tc>
          <w:tcPr>
            <w:tcW w:w="2637" w:type="dxa"/>
            <w:tcBorders>
              <w:top w:val="nil"/>
              <w:left w:val="nil"/>
              <w:bottom w:val="nil"/>
              <w:right w:val="nil"/>
            </w:tcBorders>
            <w:shd w:val="clear" w:color="auto" w:fill="auto"/>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138.605,31</w:t>
            </w:r>
          </w:p>
        </w:tc>
        <w:tc>
          <w:tcPr>
            <w:tcW w:w="2904" w:type="dxa"/>
            <w:tcBorders>
              <w:top w:val="nil"/>
              <w:left w:val="nil"/>
              <w:bottom w:val="nil"/>
              <w:right w:val="nil"/>
            </w:tcBorders>
            <w:shd w:val="clear" w:color="auto" w:fill="auto"/>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3,98</w:t>
            </w:r>
          </w:p>
        </w:tc>
      </w:tr>
      <w:tr w:rsidR="006E6D1D" w:rsidRPr="00FB54E6" w:rsidTr="008D6A91">
        <w:trPr>
          <w:trHeight w:val="249"/>
        </w:trPr>
        <w:tc>
          <w:tcPr>
            <w:tcW w:w="3572" w:type="dxa"/>
            <w:tcBorders>
              <w:top w:val="nil"/>
              <w:left w:val="nil"/>
              <w:bottom w:val="nil"/>
              <w:right w:val="nil"/>
            </w:tcBorders>
            <w:shd w:val="clear" w:color="D9D9D9" w:fill="D9D9D9"/>
            <w:noWrap/>
            <w:vAlign w:val="bottom"/>
            <w:hideMark/>
          </w:tcPr>
          <w:p w:rsidR="006E6D1D" w:rsidRPr="00FB54E6" w:rsidRDefault="006E6D1D" w:rsidP="008D6A91">
            <w:pPr>
              <w:jc w:val="left"/>
              <w:rPr>
                <w:rFonts w:eastAsia="Times New Roman" w:cs="Arial"/>
                <w:color w:val="000000"/>
                <w:szCs w:val="20"/>
                <w:lang w:eastAsia="pt-BR"/>
              </w:rPr>
            </w:pPr>
            <w:r>
              <w:rPr>
                <w:rFonts w:eastAsia="Times New Roman" w:cs="Arial"/>
                <w:color w:val="000000"/>
                <w:szCs w:val="20"/>
                <w:lang w:eastAsia="pt-BR"/>
              </w:rPr>
              <w:t>IKHON</w:t>
            </w:r>
          </w:p>
        </w:tc>
        <w:tc>
          <w:tcPr>
            <w:tcW w:w="2637" w:type="dxa"/>
            <w:tcBorders>
              <w:top w:val="nil"/>
              <w:left w:val="nil"/>
              <w:bottom w:val="nil"/>
              <w:right w:val="nil"/>
            </w:tcBorders>
            <w:shd w:val="clear" w:color="D9D9D9" w:fill="D9D9D9"/>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35.225,19</w:t>
            </w:r>
          </w:p>
        </w:tc>
        <w:tc>
          <w:tcPr>
            <w:tcW w:w="2904" w:type="dxa"/>
            <w:tcBorders>
              <w:top w:val="nil"/>
              <w:left w:val="nil"/>
              <w:bottom w:val="nil"/>
              <w:right w:val="nil"/>
            </w:tcBorders>
            <w:shd w:val="clear" w:color="D9D9D9" w:fill="D9D9D9"/>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1,01</w:t>
            </w:r>
          </w:p>
        </w:tc>
      </w:tr>
      <w:tr w:rsidR="006E6D1D" w:rsidRPr="00FB54E6" w:rsidTr="008D6A91">
        <w:trPr>
          <w:trHeight w:val="249"/>
        </w:trPr>
        <w:tc>
          <w:tcPr>
            <w:tcW w:w="3572" w:type="dxa"/>
            <w:tcBorders>
              <w:top w:val="nil"/>
              <w:left w:val="nil"/>
              <w:bottom w:val="nil"/>
              <w:right w:val="nil"/>
            </w:tcBorders>
            <w:shd w:val="clear" w:color="auto" w:fill="auto"/>
            <w:noWrap/>
            <w:vAlign w:val="bottom"/>
            <w:hideMark/>
          </w:tcPr>
          <w:p w:rsidR="006E6D1D" w:rsidRPr="00FB54E6" w:rsidRDefault="006E6D1D" w:rsidP="008D6A91">
            <w:pPr>
              <w:jc w:val="left"/>
              <w:rPr>
                <w:rFonts w:eastAsia="Times New Roman" w:cs="Arial"/>
                <w:color w:val="000000"/>
                <w:szCs w:val="20"/>
                <w:lang w:eastAsia="pt-BR"/>
              </w:rPr>
            </w:pPr>
            <w:r>
              <w:rPr>
                <w:rFonts w:eastAsia="Times New Roman" w:cs="Arial"/>
                <w:color w:val="000000"/>
                <w:szCs w:val="20"/>
                <w:lang w:eastAsia="pt-BR"/>
              </w:rPr>
              <w:t>TOP Comércio</w:t>
            </w:r>
          </w:p>
        </w:tc>
        <w:tc>
          <w:tcPr>
            <w:tcW w:w="2637" w:type="dxa"/>
            <w:tcBorders>
              <w:top w:val="nil"/>
              <w:left w:val="nil"/>
              <w:bottom w:val="nil"/>
              <w:right w:val="nil"/>
            </w:tcBorders>
            <w:shd w:val="clear" w:color="auto" w:fill="auto"/>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15.277,14</w:t>
            </w:r>
          </w:p>
        </w:tc>
        <w:tc>
          <w:tcPr>
            <w:tcW w:w="2904" w:type="dxa"/>
            <w:tcBorders>
              <w:top w:val="nil"/>
              <w:left w:val="nil"/>
              <w:bottom w:val="nil"/>
              <w:right w:val="nil"/>
            </w:tcBorders>
            <w:shd w:val="clear" w:color="auto" w:fill="auto"/>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0,44</w:t>
            </w:r>
          </w:p>
        </w:tc>
      </w:tr>
      <w:tr w:rsidR="006E6D1D" w:rsidRPr="00FB54E6" w:rsidTr="008D6A91">
        <w:trPr>
          <w:trHeight w:val="249"/>
        </w:trPr>
        <w:tc>
          <w:tcPr>
            <w:tcW w:w="3572" w:type="dxa"/>
            <w:tcBorders>
              <w:top w:val="nil"/>
              <w:left w:val="nil"/>
              <w:bottom w:val="single" w:sz="4" w:space="0" w:color="000000"/>
              <w:right w:val="nil"/>
            </w:tcBorders>
            <w:shd w:val="clear" w:color="auto" w:fill="auto"/>
            <w:noWrap/>
            <w:vAlign w:val="bottom"/>
            <w:hideMark/>
          </w:tcPr>
          <w:p w:rsidR="006E6D1D" w:rsidRPr="00FB54E6" w:rsidRDefault="006E6D1D" w:rsidP="008D6A91">
            <w:pPr>
              <w:jc w:val="left"/>
              <w:rPr>
                <w:rFonts w:eastAsia="Times New Roman" w:cs="Arial"/>
                <w:color w:val="000000"/>
                <w:szCs w:val="20"/>
                <w:lang w:eastAsia="pt-BR"/>
              </w:rPr>
            </w:pPr>
            <w:r w:rsidRPr="00FB54E6">
              <w:rPr>
                <w:rFonts w:eastAsia="Times New Roman" w:cs="Arial"/>
                <w:color w:val="000000"/>
                <w:szCs w:val="20"/>
                <w:lang w:eastAsia="pt-BR"/>
              </w:rPr>
              <w:t>Demais</w:t>
            </w:r>
            <w:r>
              <w:rPr>
                <w:rFonts w:eastAsia="Times New Roman" w:cs="Arial"/>
                <w:color w:val="000000"/>
                <w:szCs w:val="20"/>
                <w:lang w:eastAsia="pt-BR"/>
              </w:rPr>
              <w:t xml:space="preserve"> fornecedores</w:t>
            </w:r>
          </w:p>
        </w:tc>
        <w:tc>
          <w:tcPr>
            <w:tcW w:w="2637" w:type="dxa"/>
            <w:tcBorders>
              <w:top w:val="nil"/>
              <w:left w:val="nil"/>
              <w:bottom w:val="single" w:sz="4" w:space="0" w:color="000000"/>
              <w:right w:val="nil"/>
            </w:tcBorders>
            <w:shd w:val="clear" w:color="auto" w:fill="auto"/>
            <w:noWrap/>
            <w:vAlign w:val="bottom"/>
            <w:hideMark/>
          </w:tcPr>
          <w:p w:rsidR="006E6D1D" w:rsidRPr="00FB54E6" w:rsidRDefault="006E6D1D" w:rsidP="008D6A91">
            <w:pPr>
              <w:jc w:val="right"/>
              <w:rPr>
                <w:rFonts w:eastAsia="Times New Roman" w:cs="Arial"/>
                <w:color w:val="000000"/>
                <w:szCs w:val="20"/>
                <w:lang w:eastAsia="pt-BR"/>
              </w:rPr>
            </w:pPr>
            <w:r w:rsidRPr="00FB54E6">
              <w:rPr>
                <w:rFonts w:eastAsia="Times New Roman" w:cs="Arial"/>
                <w:color w:val="000000"/>
                <w:szCs w:val="20"/>
                <w:lang w:eastAsia="pt-BR"/>
              </w:rPr>
              <w:t>23.</w:t>
            </w:r>
            <w:r>
              <w:rPr>
                <w:rFonts w:eastAsia="Times New Roman" w:cs="Arial"/>
                <w:color w:val="000000"/>
                <w:szCs w:val="20"/>
                <w:lang w:eastAsia="pt-BR"/>
              </w:rPr>
              <w:t>736</w:t>
            </w:r>
            <w:r w:rsidRPr="00FB54E6">
              <w:rPr>
                <w:rFonts w:eastAsia="Times New Roman" w:cs="Arial"/>
                <w:color w:val="000000"/>
                <w:szCs w:val="20"/>
                <w:lang w:eastAsia="pt-BR"/>
              </w:rPr>
              <w:t>,</w:t>
            </w:r>
            <w:r>
              <w:rPr>
                <w:rFonts w:eastAsia="Times New Roman" w:cs="Arial"/>
                <w:color w:val="000000"/>
                <w:szCs w:val="20"/>
                <w:lang w:eastAsia="pt-BR"/>
              </w:rPr>
              <w:t>39</w:t>
            </w:r>
          </w:p>
        </w:tc>
        <w:tc>
          <w:tcPr>
            <w:tcW w:w="2904" w:type="dxa"/>
            <w:tcBorders>
              <w:top w:val="nil"/>
              <w:left w:val="nil"/>
              <w:bottom w:val="nil"/>
              <w:right w:val="nil"/>
            </w:tcBorders>
            <w:shd w:val="clear" w:color="auto" w:fill="auto"/>
            <w:noWrap/>
            <w:vAlign w:val="bottom"/>
            <w:hideMark/>
          </w:tcPr>
          <w:p w:rsidR="006E6D1D" w:rsidRPr="00FB54E6" w:rsidRDefault="006E6D1D" w:rsidP="008D6A91">
            <w:pPr>
              <w:jc w:val="right"/>
              <w:rPr>
                <w:rFonts w:eastAsia="Times New Roman" w:cs="Arial"/>
                <w:color w:val="000000"/>
                <w:szCs w:val="20"/>
                <w:lang w:eastAsia="pt-BR"/>
              </w:rPr>
            </w:pPr>
            <w:r>
              <w:rPr>
                <w:rFonts w:eastAsia="Times New Roman" w:cs="Arial"/>
                <w:color w:val="000000"/>
                <w:szCs w:val="20"/>
                <w:lang w:eastAsia="pt-BR"/>
              </w:rPr>
              <w:t>0,68</w:t>
            </w:r>
          </w:p>
        </w:tc>
      </w:tr>
      <w:tr w:rsidR="006E6D1D" w:rsidRPr="00FB54E6" w:rsidTr="008D6A91">
        <w:trPr>
          <w:trHeight w:val="249"/>
        </w:trPr>
        <w:tc>
          <w:tcPr>
            <w:tcW w:w="3572" w:type="dxa"/>
            <w:tcBorders>
              <w:top w:val="nil"/>
              <w:left w:val="nil"/>
              <w:bottom w:val="single" w:sz="4" w:space="0" w:color="auto"/>
              <w:right w:val="nil"/>
            </w:tcBorders>
            <w:shd w:val="clear" w:color="D9D9D9" w:fill="D9D9D9"/>
            <w:noWrap/>
            <w:vAlign w:val="bottom"/>
            <w:hideMark/>
          </w:tcPr>
          <w:p w:rsidR="006E6D1D" w:rsidRPr="00FB54E6" w:rsidRDefault="006E6D1D" w:rsidP="008D6A91">
            <w:pPr>
              <w:jc w:val="left"/>
              <w:rPr>
                <w:rFonts w:eastAsia="Times New Roman" w:cs="Arial"/>
                <w:b/>
                <w:bCs/>
                <w:color w:val="000000"/>
                <w:szCs w:val="20"/>
                <w:lang w:eastAsia="pt-BR"/>
              </w:rPr>
            </w:pPr>
            <w:r w:rsidRPr="00FB54E6">
              <w:rPr>
                <w:rFonts w:eastAsia="Times New Roman" w:cs="Arial"/>
                <w:b/>
                <w:bCs/>
                <w:color w:val="000000"/>
                <w:szCs w:val="20"/>
                <w:lang w:eastAsia="pt-BR"/>
              </w:rPr>
              <w:t>Total</w:t>
            </w:r>
          </w:p>
        </w:tc>
        <w:tc>
          <w:tcPr>
            <w:tcW w:w="2637" w:type="dxa"/>
            <w:tcBorders>
              <w:top w:val="nil"/>
              <w:left w:val="nil"/>
              <w:bottom w:val="single" w:sz="4" w:space="0" w:color="auto"/>
              <w:right w:val="nil"/>
            </w:tcBorders>
            <w:shd w:val="clear" w:color="D9D9D9" w:fill="D9D9D9"/>
            <w:noWrap/>
            <w:vAlign w:val="bottom"/>
            <w:hideMark/>
          </w:tcPr>
          <w:p w:rsidR="006E6D1D" w:rsidRPr="00FB54E6" w:rsidRDefault="006E6D1D" w:rsidP="008D6A9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sidRPr="0022407A">
              <w:rPr>
                <w:rFonts w:eastAsia="Times New Roman" w:cs="Arial"/>
                <w:b/>
                <w:color w:val="000000"/>
                <w:szCs w:val="20"/>
                <w:lang w:eastAsia="pt-BR"/>
              </w:rPr>
              <w:t>3.478.322,42</w:t>
            </w:r>
          </w:p>
        </w:tc>
        <w:tc>
          <w:tcPr>
            <w:tcW w:w="2904" w:type="dxa"/>
            <w:tcBorders>
              <w:top w:val="single" w:sz="4" w:space="0" w:color="000000"/>
              <w:left w:val="nil"/>
              <w:bottom w:val="single" w:sz="4" w:space="0" w:color="auto"/>
              <w:right w:val="nil"/>
            </w:tcBorders>
            <w:shd w:val="clear" w:color="D9D9D9" w:fill="D9D9D9"/>
            <w:noWrap/>
            <w:vAlign w:val="bottom"/>
            <w:hideMark/>
          </w:tcPr>
          <w:p w:rsidR="006E6D1D" w:rsidRPr="00FB54E6" w:rsidRDefault="006E6D1D" w:rsidP="008D6A9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100,00 </w:t>
            </w:r>
          </w:p>
        </w:tc>
      </w:tr>
    </w:tbl>
    <w:p w:rsidR="006E6D1D" w:rsidRPr="00F43675" w:rsidRDefault="006E6D1D" w:rsidP="006E6D1D">
      <w:pPr>
        <w:jc w:val="left"/>
        <w:rPr>
          <w:rFonts w:cs="Arial"/>
          <w:i/>
          <w:szCs w:val="20"/>
        </w:rPr>
      </w:pPr>
      <w:r w:rsidRPr="00F43675">
        <w:rPr>
          <w:rFonts w:cs="Arial"/>
          <w:i/>
          <w:szCs w:val="20"/>
        </w:rPr>
        <w:t xml:space="preserve"> Fonte: SIAFI, 2017.</w:t>
      </w:r>
    </w:p>
    <w:p w:rsidR="006E6D1D" w:rsidRDefault="006E6D1D" w:rsidP="006E6D1D">
      <w:pPr>
        <w:rPr>
          <w:rFonts w:cs="Arial"/>
          <w:szCs w:val="20"/>
        </w:rPr>
      </w:pPr>
    </w:p>
    <w:p w:rsidR="006E6D1D" w:rsidRDefault="006E6D1D" w:rsidP="006E6D1D">
      <w:pPr>
        <w:tabs>
          <w:tab w:val="left" w:pos="3735"/>
        </w:tabs>
        <w:rPr>
          <w:rFonts w:cs="Arial"/>
          <w:szCs w:val="20"/>
        </w:rPr>
      </w:pPr>
      <w:r>
        <w:rPr>
          <w:rFonts w:cs="Arial"/>
          <w:szCs w:val="20"/>
        </w:rPr>
        <w:tab/>
      </w:r>
    </w:p>
    <w:p w:rsidR="006E6D1D" w:rsidRDefault="006E6D1D" w:rsidP="006E6D1D">
      <w:pPr>
        <w:rPr>
          <w:rFonts w:cs="Arial"/>
          <w:szCs w:val="20"/>
        </w:rPr>
      </w:pPr>
    </w:p>
    <w:p w:rsidR="006E6D1D" w:rsidRPr="006A52C4" w:rsidRDefault="006E6D1D" w:rsidP="006E6D1D">
      <w:pPr>
        <w:jc w:val="right"/>
        <w:rPr>
          <w:rFonts w:cs="Arial"/>
          <w:szCs w:val="20"/>
        </w:rPr>
      </w:pPr>
    </w:p>
    <w:p w:rsidR="006E6D1D" w:rsidRDefault="006E6D1D" w:rsidP="006E6D1D">
      <w:pPr>
        <w:rPr>
          <w:rFonts w:cs="Arial"/>
          <w:b/>
          <w:sz w:val="22"/>
        </w:rPr>
      </w:pPr>
    </w:p>
    <w:p w:rsidR="006E6D1D" w:rsidRDefault="006E6D1D">
      <w:pPr>
        <w:spacing w:after="160" w:line="259" w:lineRule="auto"/>
        <w:jc w:val="left"/>
        <w:rPr>
          <w:rFonts w:cs="Arial"/>
          <w:b/>
          <w:sz w:val="22"/>
        </w:rPr>
      </w:pPr>
      <w:r>
        <w:rPr>
          <w:rFonts w:cs="Arial"/>
          <w:b/>
          <w:sz w:val="22"/>
        </w:rPr>
        <w:br w:type="page"/>
      </w:r>
    </w:p>
    <w:p w:rsidR="006E6D1D" w:rsidRPr="00407107" w:rsidRDefault="006E6D1D" w:rsidP="006E6D1D">
      <w:pPr>
        <w:rPr>
          <w:rFonts w:cs="Arial"/>
          <w:b/>
          <w:sz w:val="22"/>
        </w:rPr>
      </w:pPr>
      <w:r w:rsidRPr="00407107">
        <w:rPr>
          <w:rFonts w:cs="Arial"/>
          <w:b/>
          <w:sz w:val="22"/>
        </w:rPr>
        <w:lastRenderedPageBreak/>
        <w:t>Nota 0</w:t>
      </w:r>
      <w:r>
        <w:rPr>
          <w:rFonts w:cs="Arial"/>
          <w:b/>
          <w:sz w:val="22"/>
        </w:rPr>
        <w:t>6</w:t>
      </w:r>
      <w:r w:rsidRPr="00407107">
        <w:rPr>
          <w:rFonts w:cs="Arial"/>
          <w:b/>
          <w:sz w:val="22"/>
        </w:rPr>
        <w:t xml:space="preserve"> – </w:t>
      </w:r>
      <w:r>
        <w:rPr>
          <w:rFonts w:cs="Arial"/>
          <w:b/>
          <w:sz w:val="22"/>
        </w:rPr>
        <w:t>Garantias Contratuais a Executar</w:t>
      </w:r>
    </w:p>
    <w:p w:rsidR="006E6D1D" w:rsidRPr="00407107" w:rsidRDefault="006E6D1D" w:rsidP="006E6D1D">
      <w:pPr>
        <w:rPr>
          <w:rFonts w:cs="Arial"/>
          <w:sz w:val="22"/>
        </w:rPr>
      </w:pPr>
    </w:p>
    <w:p w:rsidR="006E6D1D" w:rsidRPr="00407107" w:rsidRDefault="006E6D1D" w:rsidP="006E6D1D">
      <w:pPr>
        <w:rPr>
          <w:rFonts w:cs="Arial"/>
          <w:sz w:val="22"/>
        </w:rPr>
      </w:pPr>
      <w:r w:rsidRPr="00407107">
        <w:rPr>
          <w:rFonts w:cs="Arial"/>
          <w:sz w:val="22"/>
        </w:rPr>
        <w:t>Em 3</w:t>
      </w:r>
      <w:r>
        <w:rPr>
          <w:rFonts w:cs="Arial"/>
          <w:sz w:val="22"/>
        </w:rPr>
        <w:t>1</w:t>
      </w:r>
      <w:r w:rsidRPr="00407107">
        <w:rPr>
          <w:rFonts w:cs="Arial"/>
          <w:sz w:val="22"/>
        </w:rPr>
        <w:t>/</w:t>
      </w:r>
      <w:r>
        <w:rPr>
          <w:rFonts w:cs="Arial"/>
          <w:sz w:val="22"/>
        </w:rPr>
        <w:t>12</w:t>
      </w:r>
      <w:r w:rsidRPr="00407107">
        <w:rPr>
          <w:rFonts w:cs="Arial"/>
          <w:sz w:val="22"/>
        </w:rPr>
        <w:t>/201</w:t>
      </w:r>
      <w:r>
        <w:rPr>
          <w:rFonts w:cs="Arial"/>
          <w:sz w:val="22"/>
        </w:rPr>
        <w:t>7</w:t>
      </w:r>
      <w:r w:rsidRPr="00407107">
        <w:rPr>
          <w:rFonts w:cs="Arial"/>
          <w:sz w:val="22"/>
        </w:rPr>
        <w:t>, a A</w:t>
      </w:r>
      <w:r>
        <w:rPr>
          <w:rFonts w:cs="Arial"/>
          <w:sz w:val="22"/>
        </w:rPr>
        <w:t xml:space="preserve">NP </w:t>
      </w:r>
      <w:r w:rsidRPr="00407107">
        <w:rPr>
          <w:rFonts w:cs="Arial"/>
          <w:sz w:val="22"/>
        </w:rPr>
        <w:t xml:space="preserve">possuía um saldo superior a R$ </w:t>
      </w:r>
      <w:r>
        <w:rPr>
          <w:rFonts w:cs="Arial"/>
          <w:sz w:val="22"/>
        </w:rPr>
        <w:t xml:space="preserve">17 milhões </w:t>
      </w:r>
      <w:r w:rsidRPr="00407107">
        <w:rPr>
          <w:rFonts w:cs="Arial"/>
          <w:sz w:val="22"/>
        </w:rPr>
        <w:t xml:space="preserve">em </w:t>
      </w:r>
      <w:r>
        <w:rPr>
          <w:rFonts w:cs="Arial"/>
          <w:sz w:val="22"/>
        </w:rPr>
        <w:t>garantias contratuais a executar recebidas. As garantias possuem como objeto o fiel cumprimento das obrigações assumidas nos contratos firmados com os fornecedores da Agência, bem como das obrigações assumidas nos contratos de concessões de infraestruturas aeroportuárias.</w:t>
      </w:r>
    </w:p>
    <w:p w:rsidR="006E6D1D" w:rsidRPr="00407107" w:rsidRDefault="006E6D1D" w:rsidP="006E6D1D">
      <w:pPr>
        <w:rPr>
          <w:rFonts w:cs="Arial"/>
          <w:sz w:val="22"/>
        </w:rPr>
      </w:pPr>
    </w:p>
    <w:p w:rsidR="006E6D1D" w:rsidRPr="00407107" w:rsidRDefault="006E6D1D" w:rsidP="006E6D1D">
      <w:pPr>
        <w:rPr>
          <w:rFonts w:cs="Arial"/>
          <w:sz w:val="22"/>
        </w:rPr>
      </w:pPr>
      <w:r w:rsidRPr="00407107">
        <w:rPr>
          <w:rFonts w:cs="Arial"/>
          <w:sz w:val="22"/>
        </w:rPr>
        <w:t xml:space="preserve">A seguir, apresenta-se a tabela segregando-se essas </w:t>
      </w:r>
      <w:r>
        <w:rPr>
          <w:rFonts w:cs="Arial"/>
          <w:sz w:val="22"/>
        </w:rPr>
        <w:t>garantias</w:t>
      </w:r>
      <w:r w:rsidRPr="00407107">
        <w:rPr>
          <w:rFonts w:cs="Arial"/>
          <w:sz w:val="22"/>
        </w:rPr>
        <w:t xml:space="preserve"> de acordo com a </w:t>
      </w:r>
      <w:r>
        <w:rPr>
          <w:rFonts w:cs="Arial"/>
          <w:sz w:val="22"/>
        </w:rPr>
        <w:t>respectiva modalidade:</w:t>
      </w:r>
    </w:p>
    <w:p w:rsidR="006E6D1D" w:rsidRPr="00407107" w:rsidRDefault="006E6D1D" w:rsidP="006E6D1D">
      <w:pPr>
        <w:rPr>
          <w:rFonts w:cs="Arial"/>
          <w:sz w:val="22"/>
        </w:rPr>
      </w:pPr>
    </w:p>
    <w:p w:rsidR="006E6D1D" w:rsidRPr="00407107" w:rsidRDefault="006E6D1D" w:rsidP="006E6D1D">
      <w:pPr>
        <w:rPr>
          <w:rFonts w:cs="Arial"/>
          <w:b/>
          <w:sz w:val="22"/>
        </w:rPr>
      </w:pPr>
      <w:r w:rsidRPr="00F976AC">
        <w:rPr>
          <w:rFonts w:cs="Arial"/>
          <w:b/>
          <w:sz w:val="22"/>
        </w:rPr>
        <w:t>Tabela –</w:t>
      </w:r>
      <w:r w:rsidRPr="00407107">
        <w:rPr>
          <w:rFonts w:cs="Arial"/>
          <w:b/>
          <w:sz w:val="22"/>
        </w:rPr>
        <w:t xml:space="preserve"> </w:t>
      </w:r>
      <w:r>
        <w:rPr>
          <w:rFonts w:cs="Arial"/>
          <w:b/>
          <w:sz w:val="22"/>
        </w:rPr>
        <w:t>Garantias Contratuais a Executar</w:t>
      </w:r>
      <w:r w:rsidRPr="00407107">
        <w:rPr>
          <w:rFonts w:cs="Arial"/>
          <w:b/>
          <w:sz w:val="22"/>
        </w:rPr>
        <w:t xml:space="preserve"> – Composição.</w:t>
      </w:r>
    </w:p>
    <w:p w:rsidR="006E6D1D" w:rsidRDefault="006E6D1D" w:rsidP="006E6D1D">
      <w:pPr>
        <w:ind w:left="5664" w:firstLine="708"/>
        <w:jc w:val="center"/>
        <w:rPr>
          <w:rFonts w:cs="Arial"/>
          <w:sz w:val="22"/>
        </w:rPr>
      </w:pPr>
      <w:r>
        <w:rPr>
          <w:rFonts w:cs="Arial"/>
          <w:szCs w:val="20"/>
        </w:rPr>
        <w:t xml:space="preserve">                                              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6E6D1D" w:rsidRPr="00484C19" w:rsidTr="008D6A91">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rsidR="006E6D1D" w:rsidRPr="00484C19" w:rsidRDefault="006E6D1D" w:rsidP="008D6A91">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/2017</w:t>
            </w:r>
          </w:p>
        </w:tc>
        <w:tc>
          <w:tcPr>
            <w:tcW w:w="1732" w:type="dxa"/>
            <w:tcBorders>
              <w:top w:val="single" w:sz="4" w:space="0" w:color="000000"/>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sidRPr="00484C19">
              <w:rPr>
                <w:rFonts w:eastAsia="Times New Roman" w:cs="Arial"/>
                <w:b/>
                <w:bCs/>
                <w:color w:val="000000"/>
                <w:szCs w:val="20"/>
                <w:lang w:eastAsia="pt-BR"/>
              </w:rPr>
              <w:t>31/12/2016</w:t>
            </w:r>
          </w:p>
        </w:tc>
        <w:tc>
          <w:tcPr>
            <w:tcW w:w="1865" w:type="dxa"/>
            <w:tcBorders>
              <w:top w:val="single" w:sz="4" w:space="0" w:color="000000"/>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6E6D1D" w:rsidRPr="00484C19" w:rsidTr="008D6A91">
        <w:trPr>
          <w:trHeight w:val="229"/>
        </w:trPr>
        <w:tc>
          <w:tcPr>
            <w:tcW w:w="2694" w:type="dxa"/>
            <w:tcBorders>
              <w:top w:val="nil"/>
              <w:left w:val="nil"/>
              <w:bottom w:val="nil"/>
              <w:right w:val="nil"/>
            </w:tcBorders>
            <w:shd w:val="clear" w:color="D9D9D9" w:fill="D9D9D9"/>
            <w:noWrap/>
            <w:vAlign w:val="bottom"/>
            <w:hideMark/>
          </w:tcPr>
          <w:p w:rsidR="006E6D1D" w:rsidRPr="00484C19" w:rsidRDefault="006E6D1D" w:rsidP="008D6A91">
            <w:pPr>
              <w:jc w:val="left"/>
              <w:rPr>
                <w:rFonts w:eastAsia="Times New Roman" w:cs="Arial"/>
                <w:color w:val="000000"/>
                <w:szCs w:val="20"/>
                <w:lang w:eastAsia="pt-BR"/>
              </w:rPr>
            </w:pPr>
            <w:r w:rsidRPr="00484C19">
              <w:rPr>
                <w:rFonts w:eastAsia="Times New Roman" w:cs="Arial"/>
                <w:color w:val="000000"/>
                <w:szCs w:val="20"/>
                <w:lang w:eastAsia="pt-BR"/>
              </w:rPr>
              <w:t xml:space="preserve">Seguros-Garantia </w:t>
            </w:r>
            <w:proofErr w:type="gramStart"/>
            <w:r w:rsidRPr="00484C19">
              <w:rPr>
                <w:rFonts w:eastAsia="Times New Roman" w:cs="Arial"/>
                <w:color w:val="000000"/>
                <w:szCs w:val="20"/>
                <w:lang w:eastAsia="pt-BR"/>
              </w:rPr>
              <w:t>a Executar</w:t>
            </w:r>
            <w:proofErr w:type="gramEnd"/>
          </w:p>
        </w:tc>
        <w:tc>
          <w:tcPr>
            <w:tcW w:w="1970"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5.562.682,69</w:t>
            </w:r>
          </w:p>
        </w:tc>
        <w:tc>
          <w:tcPr>
            <w:tcW w:w="1732"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sidRPr="00484C19">
              <w:rPr>
                <w:rFonts w:eastAsia="Times New Roman" w:cs="Arial"/>
                <w:color w:val="000000"/>
                <w:szCs w:val="20"/>
                <w:lang w:eastAsia="pt-BR"/>
              </w:rPr>
              <w:t>4</w:t>
            </w:r>
            <w:r>
              <w:rPr>
                <w:rFonts w:eastAsia="Times New Roman" w:cs="Arial"/>
                <w:color w:val="000000"/>
                <w:szCs w:val="20"/>
                <w:lang w:eastAsia="pt-BR"/>
              </w:rPr>
              <w:t>.018.684,93</w:t>
            </w:r>
          </w:p>
        </w:tc>
        <w:tc>
          <w:tcPr>
            <w:tcW w:w="1865"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sidRPr="00484C19">
              <w:rPr>
                <w:rFonts w:eastAsia="Times New Roman" w:cs="Arial"/>
                <w:color w:val="000000"/>
                <w:szCs w:val="20"/>
                <w:lang w:eastAsia="pt-BR"/>
              </w:rPr>
              <w:t>38,</w:t>
            </w:r>
            <w:r>
              <w:rPr>
                <w:rFonts w:eastAsia="Times New Roman" w:cs="Arial"/>
                <w:color w:val="000000"/>
                <w:szCs w:val="20"/>
                <w:lang w:eastAsia="pt-BR"/>
              </w:rPr>
              <w:t>42</w:t>
            </w:r>
            <w:r w:rsidRPr="00484C19">
              <w:rPr>
                <w:rFonts w:eastAsia="Times New Roman" w:cs="Arial"/>
                <w:color w:val="000000"/>
                <w:szCs w:val="20"/>
                <w:lang w:eastAsia="pt-BR"/>
              </w:rPr>
              <w:t>%</w:t>
            </w:r>
          </w:p>
        </w:tc>
        <w:tc>
          <w:tcPr>
            <w:tcW w:w="930"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30</w:t>
            </w:r>
            <w:r w:rsidRPr="00484C19">
              <w:rPr>
                <w:rFonts w:eastAsia="Times New Roman" w:cs="Arial"/>
                <w:color w:val="000000"/>
                <w:szCs w:val="20"/>
                <w:lang w:eastAsia="pt-BR"/>
              </w:rPr>
              <w:t>,</w:t>
            </w:r>
            <w:r>
              <w:rPr>
                <w:rFonts w:eastAsia="Times New Roman" w:cs="Arial"/>
                <w:color w:val="000000"/>
                <w:szCs w:val="20"/>
                <w:lang w:eastAsia="pt-BR"/>
              </w:rPr>
              <w:t>92</w:t>
            </w:r>
            <w:r w:rsidRPr="00484C19">
              <w:rPr>
                <w:rFonts w:eastAsia="Times New Roman" w:cs="Arial"/>
                <w:color w:val="000000"/>
                <w:szCs w:val="20"/>
                <w:lang w:eastAsia="pt-BR"/>
              </w:rPr>
              <w:t>%</w:t>
            </w:r>
          </w:p>
        </w:tc>
      </w:tr>
      <w:tr w:rsidR="006E6D1D" w:rsidRPr="00484C19" w:rsidTr="008D6A91">
        <w:trPr>
          <w:trHeight w:val="229"/>
        </w:trPr>
        <w:tc>
          <w:tcPr>
            <w:tcW w:w="2694" w:type="dxa"/>
            <w:tcBorders>
              <w:top w:val="nil"/>
              <w:left w:val="nil"/>
              <w:bottom w:val="nil"/>
              <w:right w:val="nil"/>
            </w:tcBorders>
            <w:shd w:val="clear" w:color="auto" w:fill="auto"/>
            <w:noWrap/>
            <w:vAlign w:val="bottom"/>
            <w:hideMark/>
          </w:tcPr>
          <w:p w:rsidR="006E6D1D" w:rsidRPr="00484C19" w:rsidRDefault="006E6D1D" w:rsidP="008D6A91">
            <w:pPr>
              <w:jc w:val="left"/>
              <w:rPr>
                <w:rFonts w:eastAsia="Times New Roman" w:cs="Arial"/>
                <w:color w:val="000000"/>
                <w:szCs w:val="20"/>
                <w:lang w:eastAsia="pt-BR"/>
              </w:rPr>
            </w:pPr>
            <w:r w:rsidRPr="00484C19">
              <w:rPr>
                <w:rFonts w:eastAsia="Times New Roman" w:cs="Arial"/>
                <w:color w:val="000000"/>
                <w:szCs w:val="20"/>
                <w:lang w:eastAsia="pt-BR"/>
              </w:rPr>
              <w:t xml:space="preserve">Caução </w:t>
            </w:r>
            <w:proofErr w:type="gramStart"/>
            <w:r w:rsidRPr="00484C19">
              <w:rPr>
                <w:rFonts w:eastAsia="Times New Roman" w:cs="Arial"/>
                <w:color w:val="000000"/>
                <w:szCs w:val="20"/>
                <w:lang w:eastAsia="pt-BR"/>
              </w:rPr>
              <w:t>a Executar</w:t>
            </w:r>
            <w:proofErr w:type="gramEnd"/>
          </w:p>
        </w:tc>
        <w:tc>
          <w:tcPr>
            <w:tcW w:w="1970" w:type="dxa"/>
            <w:tcBorders>
              <w:top w:val="nil"/>
              <w:left w:val="nil"/>
              <w:bottom w:val="nil"/>
              <w:right w:val="nil"/>
            </w:tcBorders>
            <w:shd w:val="clear" w:color="auto" w:fill="auto"/>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10.601.306,47</w:t>
            </w:r>
          </w:p>
        </w:tc>
        <w:tc>
          <w:tcPr>
            <w:tcW w:w="1732" w:type="dxa"/>
            <w:tcBorders>
              <w:top w:val="nil"/>
              <w:left w:val="nil"/>
              <w:bottom w:val="nil"/>
              <w:right w:val="nil"/>
            </w:tcBorders>
            <w:shd w:val="clear" w:color="auto" w:fill="auto"/>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30.351.254,89</w:t>
            </w:r>
          </w:p>
        </w:tc>
        <w:tc>
          <w:tcPr>
            <w:tcW w:w="1865" w:type="dxa"/>
            <w:tcBorders>
              <w:top w:val="nil"/>
              <w:left w:val="nil"/>
              <w:bottom w:val="nil"/>
              <w:right w:val="nil"/>
            </w:tcBorders>
            <w:shd w:val="clear" w:color="auto" w:fill="auto"/>
            <w:noWrap/>
            <w:vAlign w:val="bottom"/>
            <w:hideMark/>
          </w:tcPr>
          <w:p w:rsidR="006E6D1D" w:rsidRPr="00484C19" w:rsidRDefault="006E6D1D" w:rsidP="008D6A91">
            <w:pPr>
              <w:jc w:val="right"/>
              <w:rPr>
                <w:rFonts w:eastAsia="Times New Roman" w:cs="Arial"/>
                <w:color w:val="000000"/>
                <w:szCs w:val="20"/>
                <w:lang w:eastAsia="pt-BR"/>
              </w:rPr>
            </w:pPr>
            <w:r w:rsidRPr="00484C19">
              <w:rPr>
                <w:rFonts w:eastAsia="Times New Roman" w:cs="Arial"/>
                <w:color w:val="000000"/>
                <w:szCs w:val="20"/>
                <w:lang w:eastAsia="pt-BR"/>
              </w:rPr>
              <w:t>-6</w:t>
            </w:r>
            <w:r>
              <w:rPr>
                <w:rFonts w:eastAsia="Times New Roman" w:cs="Arial"/>
                <w:color w:val="000000"/>
                <w:szCs w:val="20"/>
                <w:lang w:eastAsia="pt-BR"/>
              </w:rPr>
              <w:t>5</w:t>
            </w:r>
            <w:r w:rsidRPr="00484C19">
              <w:rPr>
                <w:rFonts w:eastAsia="Times New Roman" w:cs="Arial"/>
                <w:color w:val="000000"/>
                <w:szCs w:val="20"/>
                <w:lang w:eastAsia="pt-BR"/>
              </w:rPr>
              <w:t>,</w:t>
            </w:r>
            <w:r>
              <w:rPr>
                <w:rFonts w:eastAsia="Times New Roman" w:cs="Arial"/>
                <w:color w:val="000000"/>
                <w:szCs w:val="20"/>
                <w:lang w:eastAsia="pt-BR"/>
              </w:rPr>
              <w:t>07</w:t>
            </w:r>
            <w:r w:rsidRPr="00484C19">
              <w:rPr>
                <w:rFonts w:eastAsia="Times New Roman" w:cs="Arial"/>
                <w:color w:val="000000"/>
                <w:szCs w:val="20"/>
                <w:lang w:eastAsia="pt-BR"/>
              </w:rPr>
              <w:t>%</w:t>
            </w:r>
          </w:p>
        </w:tc>
        <w:tc>
          <w:tcPr>
            <w:tcW w:w="930" w:type="dxa"/>
            <w:tcBorders>
              <w:top w:val="nil"/>
              <w:left w:val="nil"/>
              <w:bottom w:val="nil"/>
              <w:right w:val="nil"/>
            </w:tcBorders>
            <w:shd w:val="clear" w:color="auto" w:fill="auto"/>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58</w:t>
            </w:r>
            <w:r w:rsidRPr="00484C19">
              <w:rPr>
                <w:rFonts w:eastAsia="Times New Roman" w:cs="Arial"/>
                <w:color w:val="000000"/>
                <w:szCs w:val="20"/>
                <w:lang w:eastAsia="pt-BR"/>
              </w:rPr>
              <w:t>,</w:t>
            </w:r>
            <w:r>
              <w:rPr>
                <w:rFonts w:eastAsia="Times New Roman" w:cs="Arial"/>
                <w:color w:val="000000"/>
                <w:szCs w:val="20"/>
                <w:lang w:eastAsia="pt-BR"/>
              </w:rPr>
              <w:t>92</w:t>
            </w:r>
            <w:r w:rsidRPr="00484C19">
              <w:rPr>
                <w:rFonts w:eastAsia="Times New Roman" w:cs="Arial"/>
                <w:color w:val="000000"/>
                <w:szCs w:val="20"/>
                <w:lang w:eastAsia="pt-BR"/>
              </w:rPr>
              <w:t>%</w:t>
            </w:r>
          </w:p>
        </w:tc>
      </w:tr>
      <w:tr w:rsidR="006E6D1D" w:rsidRPr="00484C19" w:rsidTr="008D6A91">
        <w:trPr>
          <w:trHeight w:val="229"/>
        </w:trPr>
        <w:tc>
          <w:tcPr>
            <w:tcW w:w="2694" w:type="dxa"/>
            <w:tcBorders>
              <w:top w:val="nil"/>
              <w:left w:val="nil"/>
              <w:bottom w:val="nil"/>
              <w:right w:val="nil"/>
            </w:tcBorders>
            <w:shd w:val="clear" w:color="D9D9D9" w:fill="D9D9D9"/>
            <w:noWrap/>
            <w:vAlign w:val="bottom"/>
            <w:hideMark/>
          </w:tcPr>
          <w:p w:rsidR="006E6D1D" w:rsidRPr="00484C19" w:rsidRDefault="006E6D1D" w:rsidP="008D6A91">
            <w:pPr>
              <w:jc w:val="left"/>
              <w:rPr>
                <w:rFonts w:eastAsia="Times New Roman" w:cs="Arial"/>
                <w:color w:val="000000"/>
                <w:szCs w:val="20"/>
                <w:lang w:eastAsia="pt-BR"/>
              </w:rPr>
            </w:pPr>
            <w:r>
              <w:rPr>
                <w:rFonts w:eastAsia="Times New Roman" w:cs="Arial"/>
                <w:color w:val="000000"/>
                <w:szCs w:val="20"/>
                <w:lang w:eastAsia="pt-BR"/>
              </w:rPr>
              <w:t>Fianças Bancárias</w:t>
            </w:r>
          </w:p>
        </w:tc>
        <w:tc>
          <w:tcPr>
            <w:tcW w:w="1970"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1.829.172,78</w:t>
            </w:r>
          </w:p>
        </w:tc>
        <w:tc>
          <w:tcPr>
            <w:tcW w:w="1732"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1.257.110,45</w:t>
            </w:r>
          </w:p>
        </w:tc>
        <w:tc>
          <w:tcPr>
            <w:tcW w:w="1865"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45</w:t>
            </w:r>
            <w:r w:rsidRPr="00484C19">
              <w:rPr>
                <w:rFonts w:eastAsia="Times New Roman" w:cs="Arial"/>
                <w:color w:val="000000"/>
                <w:szCs w:val="20"/>
                <w:lang w:eastAsia="pt-BR"/>
              </w:rPr>
              <w:t>,</w:t>
            </w:r>
            <w:r>
              <w:rPr>
                <w:rFonts w:eastAsia="Times New Roman" w:cs="Arial"/>
                <w:color w:val="000000"/>
                <w:szCs w:val="20"/>
                <w:lang w:eastAsia="pt-BR"/>
              </w:rPr>
              <w:t>51</w:t>
            </w:r>
            <w:r w:rsidRPr="00484C19">
              <w:rPr>
                <w:rFonts w:eastAsia="Times New Roman" w:cs="Arial"/>
                <w:color w:val="000000"/>
                <w:szCs w:val="20"/>
                <w:lang w:eastAsia="pt-BR"/>
              </w:rPr>
              <w:t>%</w:t>
            </w:r>
          </w:p>
        </w:tc>
        <w:tc>
          <w:tcPr>
            <w:tcW w:w="930" w:type="dxa"/>
            <w:tcBorders>
              <w:top w:val="nil"/>
              <w:left w:val="nil"/>
              <w:bottom w:val="nil"/>
              <w:right w:val="nil"/>
            </w:tcBorders>
            <w:shd w:val="clear" w:color="D9D9D9" w:fill="D9D9D9"/>
            <w:noWrap/>
            <w:vAlign w:val="bottom"/>
            <w:hideMark/>
          </w:tcPr>
          <w:p w:rsidR="006E6D1D" w:rsidRPr="00484C19" w:rsidRDefault="006E6D1D" w:rsidP="008D6A91">
            <w:pPr>
              <w:jc w:val="right"/>
              <w:rPr>
                <w:rFonts w:eastAsia="Times New Roman" w:cs="Arial"/>
                <w:color w:val="000000"/>
                <w:szCs w:val="20"/>
                <w:lang w:eastAsia="pt-BR"/>
              </w:rPr>
            </w:pPr>
            <w:r>
              <w:rPr>
                <w:rFonts w:eastAsia="Times New Roman" w:cs="Arial"/>
                <w:color w:val="000000"/>
                <w:szCs w:val="20"/>
                <w:lang w:eastAsia="pt-BR"/>
              </w:rPr>
              <w:t>1</w:t>
            </w:r>
            <w:r w:rsidRPr="00484C19">
              <w:rPr>
                <w:rFonts w:eastAsia="Times New Roman" w:cs="Arial"/>
                <w:color w:val="000000"/>
                <w:szCs w:val="20"/>
                <w:lang w:eastAsia="pt-BR"/>
              </w:rPr>
              <w:t>0,</w:t>
            </w:r>
            <w:r>
              <w:rPr>
                <w:rFonts w:eastAsia="Times New Roman" w:cs="Arial"/>
                <w:color w:val="000000"/>
                <w:szCs w:val="20"/>
                <w:lang w:eastAsia="pt-BR"/>
              </w:rPr>
              <w:t>17</w:t>
            </w:r>
            <w:r w:rsidRPr="00484C19">
              <w:rPr>
                <w:rFonts w:eastAsia="Times New Roman" w:cs="Arial"/>
                <w:color w:val="000000"/>
                <w:szCs w:val="20"/>
                <w:lang w:eastAsia="pt-BR"/>
              </w:rPr>
              <w:t>%</w:t>
            </w:r>
          </w:p>
        </w:tc>
      </w:tr>
      <w:tr w:rsidR="006E6D1D" w:rsidRPr="00484C19" w:rsidTr="008D6A91">
        <w:trPr>
          <w:trHeight w:val="229"/>
        </w:trPr>
        <w:tc>
          <w:tcPr>
            <w:tcW w:w="2694" w:type="dxa"/>
            <w:tcBorders>
              <w:top w:val="nil"/>
              <w:left w:val="nil"/>
              <w:bottom w:val="single" w:sz="4" w:space="0" w:color="000000"/>
              <w:right w:val="nil"/>
            </w:tcBorders>
            <w:shd w:val="clear" w:color="auto" w:fill="auto"/>
            <w:noWrap/>
            <w:vAlign w:val="bottom"/>
            <w:hideMark/>
          </w:tcPr>
          <w:p w:rsidR="006E6D1D" w:rsidRPr="00484C19" w:rsidRDefault="006E6D1D" w:rsidP="008D6A91">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17.993.161,94</w:t>
            </w:r>
          </w:p>
        </w:tc>
        <w:tc>
          <w:tcPr>
            <w:tcW w:w="1732" w:type="dxa"/>
            <w:tcBorders>
              <w:top w:val="nil"/>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3</w:t>
            </w:r>
            <w:r w:rsidRPr="00484C19">
              <w:rPr>
                <w:rFonts w:eastAsia="Times New Roman" w:cs="Arial"/>
                <w:b/>
                <w:bCs/>
                <w:color w:val="000000"/>
                <w:szCs w:val="20"/>
                <w:lang w:eastAsia="pt-BR"/>
              </w:rPr>
              <w:t>5.</w:t>
            </w:r>
            <w:r>
              <w:rPr>
                <w:rFonts w:eastAsia="Times New Roman" w:cs="Arial"/>
                <w:b/>
                <w:bCs/>
                <w:color w:val="000000"/>
                <w:szCs w:val="20"/>
                <w:lang w:eastAsia="pt-BR"/>
              </w:rPr>
              <w:t>6</w:t>
            </w:r>
            <w:r w:rsidRPr="00484C19">
              <w:rPr>
                <w:rFonts w:eastAsia="Times New Roman" w:cs="Arial"/>
                <w:b/>
                <w:bCs/>
                <w:color w:val="000000"/>
                <w:szCs w:val="20"/>
                <w:lang w:eastAsia="pt-BR"/>
              </w:rPr>
              <w:t>2</w:t>
            </w:r>
            <w:r>
              <w:rPr>
                <w:rFonts w:eastAsia="Times New Roman" w:cs="Arial"/>
                <w:b/>
                <w:bCs/>
                <w:color w:val="000000"/>
                <w:szCs w:val="20"/>
                <w:lang w:eastAsia="pt-BR"/>
              </w:rPr>
              <w:t>7</w:t>
            </w:r>
            <w:r w:rsidRPr="00484C19">
              <w:rPr>
                <w:rFonts w:eastAsia="Times New Roman" w:cs="Arial"/>
                <w:b/>
                <w:bCs/>
                <w:color w:val="000000"/>
                <w:szCs w:val="20"/>
                <w:lang w:eastAsia="pt-BR"/>
              </w:rPr>
              <w:t>.</w:t>
            </w:r>
            <w:r>
              <w:rPr>
                <w:rFonts w:eastAsia="Times New Roman" w:cs="Arial"/>
                <w:b/>
                <w:bCs/>
                <w:color w:val="000000"/>
                <w:szCs w:val="20"/>
                <w:lang w:eastAsia="pt-BR"/>
              </w:rPr>
              <w:t>050</w:t>
            </w:r>
            <w:r w:rsidRPr="00484C19">
              <w:rPr>
                <w:rFonts w:eastAsia="Times New Roman" w:cs="Arial"/>
                <w:b/>
                <w:bCs/>
                <w:color w:val="000000"/>
                <w:szCs w:val="20"/>
                <w:lang w:eastAsia="pt-BR"/>
              </w:rPr>
              <w:t>,</w:t>
            </w:r>
            <w:r>
              <w:rPr>
                <w:rFonts w:eastAsia="Times New Roman" w:cs="Arial"/>
                <w:b/>
                <w:bCs/>
                <w:color w:val="000000"/>
                <w:szCs w:val="20"/>
                <w:lang w:eastAsia="pt-BR"/>
              </w:rPr>
              <w:t>27</w:t>
            </w:r>
          </w:p>
        </w:tc>
        <w:tc>
          <w:tcPr>
            <w:tcW w:w="1865" w:type="dxa"/>
            <w:tcBorders>
              <w:top w:val="nil"/>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-49,50</w:t>
            </w:r>
            <w:r w:rsidRPr="00484C19">
              <w:rPr>
                <w:rFonts w:eastAsia="Times New Roman" w:cs="Arial"/>
                <w:b/>
                <w:bCs/>
                <w:color w:val="000000"/>
                <w:szCs w:val="20"/>
                <w:lang w:eastAsia="pt-BR"/>
              </w:rPr>
              <w:t>%</w:t>
            </w:r>
          </w:p>
        </w:tc>
        <w:tc>
          <w:tcPr>
            <w:tcW w:w="930" w:type="dxa"/>
            <w:tcBorders>
              <w:top w:val="nil"/>
              <w:left w:val="nil"/>
              <w:bottom w:val="single" w:sz="4" w:space="0" w:color="000000"/>
              <w:right w:val="nil"/>
            </w:tcBorders>
            <w:shd w:val="clear" w:color="auto" w:fill="auto"/>
            <w:noWrap/>
            <w:vAlign w:val="bottom"/>
            <w:hideMark/>
          </w:tcPr>
          <w:p w:rsidR="006E6D1D" w:rsidRPr="00484C19" w:rsidRDefault="006E6D1D" w:rsidP="008D6A91">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r w:rsidRPr="00484C19">
              <w:rPr>
                <w:rFonts w:eastAsia="Times New Roman" w:cs="Arial"/>
                <w:b/>
                <w:bCs/>
                <w:color w:val="000000"/>
                <w:szCs w:val="20"/>
                <w:lang w:eastAsia="pt-BR"/>
              </w:rPr>
              <w:t>%</w:t>
            </w:r>
          </w:p>
        </w:tc>
      </w:tr>
    </w:tbl>
    <w:p w:rsidR="006E6D1D" w:rsidRPr="00484C19" w:rsidRDefault="006E6D1D" w:rsidP="006E6D1D">
      <w:pPr>
        <w:rPr>
          <w:rFonts w:cs="Arial"/>
          <w:i/>
          <w:szCs w:val="20"/>
        </w:rPr>
      </w:pPr>
      <w:r w:rsidRPr="00484C19">
        <w:rPr>
          <w:rFonts w:cs="Arial"/>
          <w:i/>
          <w:szCs w:val="20"/>
        </w:rPr>
        <w:t>Fonte: SIAFI, 2017 e 2016.</w:t>
      </w:r>
    </w:p>
    <w:p w:rsidR="006E6D1D" w:rsidRDefault="006E6D1D" w:rsidP="006E6D1D">
      <w:pPr>
        <w:rPr>
          <w:rFonts w:cs="Arial"/>
          <w:szCs w:val="20"/>
        </w:rPr>
      </w:pPr>
    </w:p>
    <w:p w:rsidR="006E6D1D" w:rsidRPr="00407107" w:rsidRDefault="006E6D1D" w:rsidP="006E6D1D">
      <w:pPr>
        <w:rPr>
          <w:rFonts w:cs="Arial"/>
          <w:b/>
          <w:sz w:val="22"/>
        </w:rPr>
      </w:pPr>
      <w:r w:rsidRPr="00F976AC">
        <w:rPr>
          <w:rFonts w:cs="Arial"/>
          <w:b/>
          <w:sz w:val="22"/>
        </w:rPr>
        <w:t xml:space="preserve">Tabela </w:t>
      </w:r>
      <w:r w:rsidRPr="00407107">
        <w:rPr>
          <w:rFonts w:cs="Arial"/>
          <w:b/>
          <w:sz w:val="22"/>
        </w:rPr>
        <w:t xml:space="preserve">– </w:t>
      </w:r>
      <w:r>
        <w:rPr>
          <w:rFonts w:cs="Arial"/>
          <w:b/>
          <w:sz w:val="22"/>
        </w:rPr>
        <w:t>Garantias mais expressivas</w:t>
      </w:r>
      <w:r w:rsidRPr="00407107">
        <w:rPr>
          <w:rFonts w:cs="Arial"/>
          <w:b/>
          <w:sz w:val="22"/>
        </w:rPr>
        <w:t>.</w:t>
      </w:r>
    </w:p>
    <w:p w:rsidR="006E6D1D" w:rsidRDefault="006E6D1D" w:rsidP="006E6D1D">
      <w:pPr>
        <w:jc w:val="right"/>
        <w:rPr>
          <w:rFonts w:cs="Arial"/>
          <w:szCs w:val="20"/>
        </w:rPr>
      </w:pPr>
      <w:r>
        <w:rPr>
          <w:rFonts w:cs="Arial"/>
          <w:szCs w:val="20"/>
        </w:rPr>
        <w:t xml:space="preserve">  R$</w:t>
      </w: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6E6D1D" w:rsidRPr="00FF5ACF" w:rsidTr="008D6A91">
        <w:trPr>
          <w:trHeight w:val="255"/>
        </w:trPr>
        <w:tc>
          <w:tcPr>
            <w:tcW w:w="2298" w:type="dxa"/>
            <w:tcBorders>
              <w:top w:val="single" w:sz="4" w:space="0" w:color="000000"/>
              <w:left w:val="nil"/>
              <w:bottom w:val="single" w:sz="4" w:space="0" w:color="000000"/>
              <w:right w:val="nil"/>
            </w:tcBorders>
            <w:shd w:val="clear" w:color="auto" w:fill="auto"/>
            <w:noWrap/>
            <w:vAlign w:val="bottom"/>
          </w:tcPr>
          <w:p w:rsidR="006E6D1D" w:rsidRPr="00FF5ACF" w:rsidRDefault="006E6D1D" w:rsidP="008D6A91">
            <w:pPr>
              <w:jc w:val="left"/>
              <w:rPr>
                <w:rFonts w:eastAsia="Times New Roman" w:cs="Arial"/>
                <w:b/>
                <w:bCs/>
                <w:szCs w:val="20"/>
                <w:lang w:eastAsia="pt-BR"/>
              </w:rPr>
            </w:pPr>
            <w:r>
              <w:rPr>
                <w:rFonts w:eastAsia="Times New Roman" w:cs="Arial"/>
                <w:b/>
                <w:bCs/>
                <w:szCs w:val="20"/>
                <w:lang w:eastAsia="pt-BR"/>
              </w:rPr>
              <w:t>TIPO</w:t>
            </w:r>
          </w:p>
        </w:tc>
        <w:tc>
          <w:tcPr>
            <w:tcW w:w="3733" w:type="dxa"/>
            <w:tcBorders>
              <w:top w:val="single" w:sz="4" w:space="0" w:color="000000"/>
              <w:left w:val="nil"/>
              <w:bottom w:val="single" w:sz="4" w:space="0" w:color="000000"/>
              <w:right w:val="nil"/>
            </w:tcBorders>
            <w:shd w:val="clear" w:color="auto" w:fill="auto"/>
            <w:noWrap/>
            <w:vAlign w:val="bottom"/>
          </w:tcPr>
          <w:p w:rsidR="006E6D1D" w:rsidRPr="00FF5ACF" w:rsidRDefault="006E6D1D" w:rsidP="008D6A91">
            <w:pPr>
              <w:jc w:val="left"/>
              <w:rPr>
                <w:rFonts w:eastAsia="Times New Roman" w:cs="Arial"/>
                <w:b/>
                <w:bCs/>
                <w:szCs w:val="20"/>
                <w:lang w:eastAsia="pt-BR"/>
              </w:rPr>
            </w:pPr>
            <w:r>
              <w:rPr>
                <w:rFonts w:eastAsia="Times New Roman" w:cs="Arial"/>
                <w:b/>
                <w:bCs/>
                <w:szCs w:val="20"/>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rsidR="006E6D1D" w:rsidRPr="00FF5ACF" w:rsidRDefault="006E6D1D" w:rsidP="008D6A9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w:t>
            </w:r>
            <w:r w:rsidRPr="00FF5ACF">
              <w:rPr>
                <w:rFonts w:eastAsia="Times New Roman" w:cs="Arial"/>
                <w:b/>
                <w:bCs/>
                <w:color w:val="000000"/>
                <w:szCs w:val="20"/>
                <w:lang w:eastAsia="pt-BR"/>
              </w:rPr>
              <w:t>/2017</w:t>
            </w:r>
          </w:p>
        </w:tc>
        <w:tc>
          <w:tcPr>
            <w:tcW w:w="1061" w:type="dxa"/>
            <w:tcBorders>
              <w:top w:val="single" w:sz="4" w:space="0" w:color="000000"/>
              <w:left w:val="nil"/>
              <w:bottom w:val="single" w:sz="4" w:space="0" w:color="000000"/>
              <w:right w:val="nil"/>
            </w:tcBorders>
            <w:shd w:val="clear" w:color="auto" w:fill="auto"/>
            <w:noWrap/>
            <w:vAlign w:val="bottom"/>
            <w:hideMark/>
          </w:tcPr>
          <w:p w:rsidR="006E6D1D" w:rsidRPr="00FF5ACF" w:rsidRDefault="006E6D1D" w:rsidP="008D6A9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6E6D1D" w:rsidRPr="00FF5ACF" w:rsidTr="008D6A91">
        <w:trPr>
          <w:trHeight w:val="510"/>
        </w:trPr>
        <w:tc>
          <w:tcPr>
            <w:tcW w:w="2298" w:type="dxa"/>
            <w:tcBorders>
              <w:top w:val="nil"/>
              <w:left w:val="nil"/>
              <w:bottom w:val="nil"/>
              <w:right w:val="nil"/>
            </w:tcBorders>
            <w:shd w:val="clear" w:color="auto" w:fill="D9D9D9" w:themeFill="background1" w:themeFillShade="D9"/>
            <w:noWrap/>
            <w:vAlign w:val="bottom"/>
            <w:hideMark/>
          </w:tcPr>
          <w:p w:rsidR="006E6D1D" w:rsidRPr="00FF5ACF" w:rsidRDefault="006E6D1D" w:rsidP="008D6A91">
            <w:pPr>
              <w:jc w:val="left"/>
              <w:rPr>
                <w:rFonts w:eastAsia="Times New Roman" w:cs="Arial"/>
                <w:color w:val="000000"/>
                <w:szCs w:val="20"/>
                <w:lang w:eastAsia="pt-BR"/>
              </w:rPr>
            </w:pPr>
            <w:r>
              <w:rPr>
                <w:rFonts w:eastAsia="Times New Roman" w:cs="Arial"/>
                <w:color w:val="000000"/>
                <w:szCs w:val="20"/>
                <w:lang w:eastAsia="pt-BR"/>
              </w:rPr>
              <w:t>Seguro-Garantia</w:t>
            </w:r>
          </w:p>
        </w:tc>
        <w:tc>
          <w:tcPr>
            <w:tcW w:w="3733" w:type="dxa"/>
            <w:tcBorders>
              <w:top w:val="nil"/>
              <w:left w:val="nil"/>
              <w:bottom w:val="nil"/>
              <w:right w:val="nil"/>
            </w:tcBorders>
            <w:shd w:val="clear" w:color="auto" w:fill="D9D9D9" w:themeFill="background1" w:themeFillShade="D9"/>
            <w:vAlign w:val="bottom"/>
            <w:hideMark/>
          </w:tcPr>
          <w:p w:rsidR="006E6D1D" w:rsidRPr="00FF5ACF" w:rsidRDefault="006E6D1D" w:rsidP="008D6A91">
            <w:pPr>
              <w:jc w:val="left"/>
              <w:rPr>
                <w:rFonts w:eastAsia="Times New Roman" w:cs="Arial"/>
                <w:color w:val="000000"/>
                <w:szCs w:val="20"/>
                <w:lang w:eastAsia="pt-BR"/>
              </w:rPr>
            </w:pPr>
            <w:r>
              <w:rPr>
                <w:rFonts w:eastAsia="Times New Roman" w:cs="Arial"/>
                <w:color w:val="000000"/>
                <w:szCs w:val="20"/>
                <w:lang w:eastAsia="pt-BR"/>
              </w:rPr>
              <w:t>Halliburton</w:t>
            </w:r>
          </w:p>
        </w:tc>
        <w:tc>
          <w:tcPr>
            <w:tcW w:w="2161" w:type="dxa"/>
            <w:tcBorders>
              <w:top w:val="nil"/>
              <w:left w:val="nil"/>
              <w:bottom w:val="nil"/>
              <w:right w:val="nil"/>
            </w:tcBorders>
            <w:shd w:val="clear" w:color="auto" w:fill="D9D9D9" w:themeFill="background1" w:themeFillShade="D9"/>
            <w:noWrap/>
            <w:vAlign w:val="bottom"/>
            <w:hideMark/>
          </w:tcPr>
          <w:p w:rsidR="006E6D1D" w:rsidRPr="00FF5ACF" w:rsidRDefault="006E6D1D" w:rsidP="008D6A91">
            <w:pPr>
              <w:jc w:val="right"/>
              <w:rPr>
                <w:rFonts w:eastAsia="Times New Roman" w:cs="Arial"/>
                <w:color w:val="000000"/>
                <w:szCs w:val="20"/>
                <w:lang w:eastAsia="pt-BR"/>
              </w:rPr>
            </w:pPr>
            <w:r w:rsidRPr="00EE0B93">
              <w:rPr>
                <w:rFonts w:eastAsia="Times New Roman" w:cs="Arial"/>
                <w:color w:val="000000"/>
                <w:szCs w:val="20"/>
                <w:lang w:eastAsia="pt-BR"/>
              </w:rPr>
              <w:t>1.021.678,17</w:t>
            </w:r>
          </w:p>
        </w:tc>
        <w:tc>
          <w:tcPr>
            <w:tcW w:w="1061" w:type="dxa"/>
            <w:tcBorders>
              <w:top w:val="nil"/>
              <w:left w:val="nil"/>
              <w:bottom w:val="nil"/>
              <w:right w:val="nil"/>
            </w:tcBorders>
            <w:shd w:val="clear" w:color="auto" w:fill="D9D9D9" w:themeFill="background1" w:themeFillShade="D9"/>
            <w:noWrap/>
            <w:vAlign w:val="bottom"/>
            <w:hideMark/>
          </w:tcPr>
          <w:p w:rsidR="006E6D1D" w:rsidRPr="00FF5ACF" w:rsidRDefault="006E6D1D" w:rsidP="008D6A91">
            <w:pPr>
              <w:jc w:val="right"/>
              <w:rPr>
                <w:rFonts w:eastAsia="Times New Roman" w:cs="Arial"/>
                <w:color w:val="000000"/>
                <w:szCs w:val="20"/>
                <w:lang w:eastAsia="pt-BR"/>
              </w:rPr>
            </w:pPr>
            <w:r>
              <w:rPr>
                <w:rFonts w:eastAsia="Times New Roman" w:cs="Arial"/>
                <w:color w:val="000000"/>
                <w:szCs w:val="20"/>
                <w:lang w:eastAsia="pt-BR"/>
              </w:rPr>
              <w:t>5,68</w:t>
            </w:r>
            <w:r w:rsidRPr="00FF5ACF">
              <w:rPr>
                <w:rFonts w:eastAsia="Times New Roman" w:cs="Arial"/>
                <w:color w:val="000000"/>
                <w:szCs w:val="20"/>
                <w:lang w:eastAsia="pt-BR"/>
              </w:rPr>
              <w:t>%</w:t>
            </w:r>
          </w:p>
        </w:tc>
      </w:tr>
      <w:tr w:rsidR="006E6D1D" w:rsidRPr="00FF5ACF" w:rsidTr="008D6A91">
        <w:trPr>
          <w:trHeight w:val="510"/>
        </w:trPr>
        <w:tc>
          <w:tcPr>
            <w:tcW w:w="2298" w:type="dxa"/>
            <w:tcBorders>
              <w:top w:val="nil"/>
              <w:left w:val="nil"/>
              <w:bottom w:val="nil"/>
              <w:right w:val="nil"/>
            </w:tcBorders>
            <w:shd w:val="clear" w:color="auto" w:fill="auto"/>
            <w:noWrap/>
            <w:vAlign w:val="bottom"/>
            <w:hideMark/>
          </w:tcPr>
          <w:p w:rsidR="006E6D1D" w:rsidRPr="00FF5ACF" w:rsidRDefault="006E6D1D" w:rsidP="008D6A91">
            <w:pPr>
              <w:jc w:val="left"/>
              <w:rPr>
                <w:rFonts w:eastAsia="Times New Roman" w:cs="Arial"/>
                <w:color w:val="000000"/>
                <w:szCs w:val="20"/>
                <w:lang w:eastAsia="pt-BR"/>
              </w:rPr>
            </w:pPr>
            <w:r>
              <w:rPr>
                <w:rFonts w:eastAsia="Times New Roman" w:cs="Arial"/>
                <w:color w:val="000000"/>
                <w:szCs w:val="20"/>
                <w:lang w:eastAsia="pt-BR"/>
              </w:rPr>
              <w:t>Caução</w:t>
            </w:r>
          </w:p>
        </w:tc>
        <w:tc>
          <w:tcPr>
            <w:tcW w:w="3733" w:type="dxa"/>
            <w:tcBorders>
              <w:top w:val="nil"/>
              <w:left w:val="nil"/>
              <w:bottom w:val="nil"/>
              <w:right w:val="nil"/>
            </w:tcBorders>
            <w:shd w:val="clear" w:color="auto" w:fill="auto"/>
            <w:vAlign w:val="bottom"/>
            <w:hideMark/>
          </w:tcPr>
          <w:p w:rsidR="006E6D1D" w:rsidRPr="00FF5ACF" w:rsidRDefault="006E6D1D" w:rsidP="008D6A91">
            <w:pPr>
              <w:jc w:val="left"/>
              <w:rPr>
                <w:rFonts w:eastAsia="Times New Roman" w:cs="Arial"/>
                <w:color w:val="000000"/>
                <w:szCs w:val="20"/>
                <w:lang w:eastAsia="pt-BR"/>
              </w:rPr>
            </w:pPr>
            <w:r>
              <w:rPr>
                <w:rFonts w:eastAsia="Times New Roman" w:cs="Arial"/>
                <w:color w:val="000000"/>
                <w:szCs w:val="20"/>
                <w:lang w:eastAsia="pt-BR"/>
              </w:rPr>
              <w:t>Global Serviços geofísicos</w:t>
            </w:r>
          </w:p>
        </w:tc>
        <w:tc>
          <w:tcPr>
            <w:tcW w:w="2161" w:type="dxa"/>
            <w:tcBorders>
              <w:top w:val="nil"/>
              <w:left w:val="nil"/>
              <w:bottom w:val="nil"/>
              <w:right w:val="nil"/>
            </w:tcBorders>
            <w:shd w:val="clear" w:color="auto" w:fill="auto"/>
            <w:noWrap/>
            <w:vAlign w:val="bottom"/>
            <w:hideMark/>
          </w:tcPr>
          <w:p w:rsidR="006E6D1D" w:rsidRPr="00FF5ACF" w:rsidRDefault="006E6D1D" w:rsidP="008D6A91">
            <w:pPr>
              <w:jc w:val="right"/>
              <w:rPr>
                <w:rFonts w:eastAsia="Times New Roman" w:cs="Arial"/>
                <w:color w:val="000000"/>
                <w:szCs w:val="20"/>
                <w:lang w:eastAsia="pt-BR"/>
              </w:rPr>
            </w:pPr>
            <w:r>
              <w:rPr>
                <w:rFonts w:eastAsia="Times New Roman" w:cs="Arial"/>
                <w:color w:val="000000"/>
                <w:szCs w:val="20"/>
                <w:lang w:eastAsia="pt-BR"/>
              </w:rPr>
              <w:t>8.923.921,05</w:t>
            </w:r>
          </w:p>
        </w:tc>
        <w:tc>
          <w:tcPr>
            <w:tcW w:w="1061" w:type="dxa"/>
            <w:tcBorders>
              <w:top w:val="nil"/>
              <w:left w:val="nil"/>
              <w:bottom w:val="nil"/>
              <w:right w:val="nil"/>
            </w:tcBorders>
            <w:shd w:val="clear" w:color="auto" w:fill="auto"/>
            <w:noWrap/>
            <w:vAlign w:val="bottom"/>
            <w:hideMark/>
          </w:tcPr>
          <w:p w:rsidR="006E6D1D" w:rsidRPr="00FF5ACF" w:rsidRDefault="006E6D1D" w:rsidP="008D6A91">
            <w:pPr>
              <w:jc w:val="right"/>
              <w:rPr>
                <w:rFonts w:eastAsia="Times New Roman" w:cs="Arial"/>
                <w:color w:val="000000"/>
                <w:szCs w:val="20"/>
                <w:lang w:eastAsia="pt-BR"/>
              </w:rPr>
            </w:pPr>
            <w:r>
              <w:rPr>
                <w:rFonts w:eastAsia="Times New Roman" w:cs="Arial"/>
                <w:color w:val="000000"/>
                <w:szCs w:val="20"/>
                <w:lang w:eastAsia="pt-BR"/>
              </w:rPr>
              <w:t>49,60</w:t>
            </w:r>
            <w:r w:rsidRPr="00FF5ACF">
              <w:rPr>
                <w:rFonts w:eastAsia="Times New Roman" w:cs="Arial"/>
                <w:color w:val="000000"/>
                <w:szCs w:val="20"/>
                <w:lang w:eastAsia="pt-BR"/>
              </w:rPr>
              <w:t>%</w:t>
            </w:r>
          </w:p>
        </w:tc>
      </w:tr>
      <w:tr w:rsidR="006E6D1D" w:rsidRPr="00FF5ACF" w:rsidTr="008D6A91">
        <w:trPr>
          <w:trHeight w:val="510"/>
        </w:trPr>
        <w:tc>
          <w:tcPr>
            <w:tcW w:w="2298" w:type="dxa"/>
            <w:tcBorders>
              <w:top w:val="nil"/>
              <w:left w:val="nil"/>
              <w:bottom w:val="nil"/>
              <w:right w:val="nil"/>
            </w:tcBorders>
            <w:shd w:val="clear" w:color="auto" w:fill="D9D9D9" w:themeFill="background1" w:themeFillShade="D9"/>
            <w:noWrap/>
            <w:vAlign w:val="bottom"/>
          </w:tcPr>
          <w:p w:rsidR="006E6D1D" w:rsidRDefault="006E6D1D" w:rsidP="008D6A91">
            <w:pPr>
              <w:jc w:val="left"/>
              <w:rPr>
                <w:rFonts w:eastAsia="Times New Roman" w:cs="Arial"/>
                <w:color w:val="000000"/>
                <w:szCs w:val="20"/>
                <w:lang w:eastAsia="pt-BR"/>
              </w:rPr>
            </w:pPr>
            <w:r>
              <w:rPr>
                <w:rFonts w:eastAsia="Times New Roman" w:cs="Arial"/>
                <w:color w:val="000000"/>
                <w:szCs w:val="20"/>
                <w:lang w:eastAsia="pt-BR"/>
              </w:rPr>
              <w:t>Fianças</w:t>
            </w:r>
          </w:p>
        </w:tc>
        <w:tc>
          <w:tcPr>
            <w:tcW w:w="3733" w:type="dxa"/>
            <w:tcBorders>
              <w:top w:val="nil"/>
              <w:left w:val="nil"/>
              <w:bottom w:val="nil"/>
              <w:right w:val="nil"/>
            </w:tcBorders>
            <w:shd w:val="clear" w:color="auto" w:fill="D9D9D9" w:themeFill="background1" w:themeFillShade="D9"/>
            <w:vAlign w:val="bottom"/>
          </w:tcPr>
          <w:p w:rsidR="006E6D1D" w:rsidRDefault="006E6D1D" w:rsidP="008D6A91">
            <w:pPr>
              <w:jc w:val="left"/>
              <w:rPr>
                <w:rFonts w:eastAsia="Times New Roman" w:cs="Arial"/>
                <w:color w:val="000000"/>
                <w:szCs w:val="20"/>
                <w:lang w:eastAsia="pt-BR"/>
              </w:rPr>
            </w:pPr>
            <w:proofErr w:type="spellStart"/>
            <w:r>
              <w:rPr>
                <w:rFonts w:eastAsia="Times New Roman" w:cs="Arial"/>
                <w:color w:val="000000"/>
                <w:szCs w:val="20"/>
                <w:lang w:eastAsia="pt-BR"/>
              </w:rPr>
              <w:t>Plansul</w:t>
            </w:r>
            <w:proofErr w:type="spellEnd"/>
          </w:p>
        </w:tc>
        <w:tc>
          <w:tcPr>
            <w:tcW w:w="2161" w:type="dxa"/>
            <w:tcBorders>
              <w:top w:val="nil"/>
              <w:left w:val="nil"/>
              <w:bottom w:val="nil"/>
              <w:right w:val="nil"/>
            </w:tcBorders>
            <w:shd w:val="clear" w:color="auto" w:fill="D9D9D9" w:themeFill="background1" w:themeFillShade="D9"/>
            <w:noWrap/>
            <w:vAlign w:val="bottom"/>
          </w:tcPr>
          <w:p w:rsidR="006E6D1D" w:rsidRPr="00EE0B93" w:rsidRDefault="006E6D1D" w:rsidP="008D6A91">
            <w:pPr>
              <w:jc w:val="right"/>
              <w:rPr>
                <w:rFonts w:eastAsia="Times New Roman" w:cs="Arial"/>
                <w:color w:val="000000"/>
                <w:szCs w:val="20"/>
                <w:lang w:eastAsia="pt-BR"/>
              </w:rPr>
            </w:pPr>
            <w:r w:rsidRPr="00EE0B93">
              <w:rPr>
                <w:rFonts w:eastAsia="Times New Roman" w:cs="Arial"/>
                <w:color w:val="000000"/>
                <w:szCs w:val="20"/>
                <w:lang w:eastAsia="pt-BR"/>
              </w:rPr>
              <w:t>742.747,30</w:t>
            </w:r>
          </w:p>
        </w:tc>
        <w:tc>
          <w:tcPr>
            <w:tcW w:w="1061" w:type="dxa"/>
            <w:tcBorders>
              <w:top w:val="nil"/>
              <w:left w:val="nil"/>
              <w:bottom w:val="nil"/>
              <w:right w:val="nil"/>
            </w:tcBorders>
            <w:shd w:val="clear" w:color="auto" w:fill="D9D9D9" w:themeFill="background1" w:themeFillShade="D9"/>
            <w:noWrap/>
            <w:vAlign w:val="bottom"/>
          </w:tcPr>
          <w:p w:rsidR="006E6D1D" w:rsidRDefault="006E6D1D" w:rsidP="008D6A91">
            <w:pPr>
              <w:jc w:val="right"/>
              <w:rPr>
                <w:rFonts w:eastAsia="Times New Roman" w:cs="Arial"/>
                <w:color w:val="000000"/>
                <w:szCs w:val="20"/>
                <w:lang w:eastAsia="pt-BR"/>
              </w:rPr>
            </w:pPr>
            <w:r>
              <w:rPr>
                <w:rFonts w:eastAsia="Times New Roman" w:cs="Arial"/>
                <w:color w:val="000000"/>
                <w:szCs w:val="20"/>
                <w:lang w:eastAsia="pt-BR"/>
              </w:rPr>
              <w:t>4,13%</w:t>
            </w:r>
          </w:p>
        </w:tc>
      </w:tr>
    </w:tbl>
    <w:p w:rsidR="006E6D1D" w:rsidRPr="00892CDD" w:rsidRDefault="006E6D1D" w:rsidP="006E6D1D">
      <w:pPr>
        <w:rPr>
          <w:i/>
          <w:noProof/>
          <w:szCs w:val="20"/>
          <w:lang w:eastAsia="pt-BR"/>
        </w:rPr>
      </w:pPr>
      <w:r w:rsidRPr="00892CDD">
        <w:rPr>
          <w:i/>
          <w:noProof/>
          <w:szCs w:val="20"/>
          <w:lang w:eastAsia="pt-BR"/>
        </w:rPr>
        <w:t>Fonte: SIAFI, 2017</w:t>
      </w:r>
      <w:r>
        <w:rPr>
          <w:i/>
          <w:noProof/>
          <w:szCs w:val="20"/>
          <w:lang w:eastAsia="pt-BR"/>
        </w:rPr>
        <w:t xml:space="preserve"> e Apólice de Seguros</w:t>
      </w:r>
      <w:r w:rsidRPr="00892CDD">
        <w:rPr>
          <w:i/>
          <w:noProof/>
          <w:szCs w:val="20"/>
          <w:lang w:eastAsia="pt-BR"/>
        </w:rPr>
        <w:t>.</w:t>
      </w:r>
    </w:p>
    <w:p w:rsidR="006E6D1D" w:rsidRDefault="006E6D1D" w:rsidP="006E6D1D">
      <w:pPr>
        <w:rPr>
          <w:rFonts w:cs="Arial"/>
          <w:szCs w:val="20"/>
        </w:rPr>
      </w:pPr>
    </w:p>
    <w:p w:rsidR="006E6D1D" w:rsidRPr="00314E05" w:rsidRDefault="006E6D1D" w:rsidP="006E6D1D">
      <w:pPr>
        <w:rPr>
          <w:rFonts w:cs="Arial"/>
          <w:szCs w:val="20"/>
        </w:rPr>
      </w:pPr>
      <w:r>
        <w:rPr>
          <w:rFonts w:cs="Arial"/>
          <w:szCs w:val="20"/>
        </w:rPr>
        <w:t>No entanto, o saldo total das garantias ainda não espelha 100% da realidade e e</w:t>
      </w:r>
      <w:r w:rsidRPr="00314E05">
        <w:rPr>
          <w:rFonts w:cs="Arial"/>
          <w:szCs w:val="20"/>
        </w:rPr>
        <w:t xml:space="preserve">stamos em contínuo trabalho de </w:t>
      </w:r>
      <w:r>
        <w:rPr>
          <w:rFonts w:cs="Arial"/>
          <w:szCs w:val="20"/>
        </w:rPr>
        <w:t>aperfeiçoamento dessa prática</w:t>
      </w:r>
      <w:r w:rsidRPr="00314E05">
        <w:rPr>
          <w:rFonts w:cs="Arial"/>
          <w:szCs w:val="20"/>
        </w:rPr>
        <w:t>.</w:t>
      </w:r>
    </w:p>
    <w:p w:rsidR="006E6D1D" w:rsidRDefault="006E6D1D" w:rsidP="006E6D1D">
      <w:pPr>
        <w:rPr>
          <w:rFonts w:cs="Arial"/>
          <w:szCs w:val="20"/>
        </w:rPr>
      </w:pPr>
    </w:p>
    <w:p w:rsidR="006E6D1D" w:rsidRDefault="006E6D1D" w:rsidP="006E6D1D">
      <w:pPr>
        <w:rPr>
          <w:rFonts w:cs="Arial"/>
          <w:szCs w:val="20"/>
        </w:rPr>
      </w:pPr>
    </w:p>
    <w:p w:rsidR="006E6D1D" w:rsidRPr="002A533A" w:rsidRDefault="006E6D1D" w:rsidP="006E6D1D">
      <w:pPr>
        <w:rPr>
          <w:rFonts w:cs="Arial"/>
          <w:b/>
          <w:szCs w:val="20"/>
        </w:rPr>
      </w:pPr>
    </w:p>
    <w:p w:rsidR="006E6D1D" w:rsidRDefault="006E6D1D">
      <w:pPr>
        <w:spacing w:after="160" w:line="259" w:lineRule="auto"/>
        <w:jc w:val="left"/>
        <w:rPr>
          <w:rFonts w:cs="Arial"/>
          <w:b/>
          <w:szCs w:val="20"/>
        </w:rPr>
      </w:pPr>
      <w:r>
        <w:rPr>
          <w:rFonts w:cs="Arial"/>
          <w:b/>
          <w:szCs w:val="20"/>
        </w:rPr>
        <w:br w:type="page"/>
      </w:r>
    </w:p>
    <w:p w:rsidR="006E6D1D" w:rsidRPr="002A533A" w:rsidRDefault="006E6D1D" w:rsidP="006E6D1D">
      <w:pPr>
        <w:rPr>
          <w:rFonts w:cs="Arial"/>
          <w:b/>
          <w:szCs w:val="20"/>
        </w:rPr>
      </w:pPr>
      <w:bookmarkStart w:id="0" w:name="_GoBack"/>
      <w:bookmarkEnd w:id="0"/>
      <w:r w:rsidRPr="002A533A">
        <w:rPr>
          <w:rFonts w:cs="Arial"/>
          <w:b/>
          <w:szCs w:val="20"/>
        </w:rPr>
        <w:lastRenderedPageBreak/>
        <w:t>Nota 0</w:t>
      </w:r>
      <w:r>
        <w:rPr>
          <w:rFonts w:cs="Arial"/>
          <w:b/>
          <w:szCs w:val="20"/>
        </w:rPr>
        <w:t>7</w:t>
      </w:r>
      <w:r w:rsidRPr="002A533A">
        <w:rPr>
          <w:rFonts w:cs="Arial"/>
          <w:b/>
          <w:szCs w:val="20"/>
        </w:rPr>
        <w:t xml:space="preserve"> – Ajustes de Exercícios Anteriores</w:t>
      </w:r>
    </w:p>
    <w:p w:rsidR="006E6D1D" w:rsidRPr="002A533A" w:rsidRDefault="006E6D1D" w:rsidP="006E6D1D">
      <w:pPr>
        <w:rPr>
          <w:rFonts w:cs="Arial"/>
          <w:szCs w:val="20"/>
        </w:rPr>
      </w:pPr>
    </w:p>
    <w:p w:rsidR="006E6D1D" w:rsidRPr="002A533A" w:rsidRDefault="006E6D1D" w:rsidP="006E6D1D">
      <w:pPr>
        <w:rPr>
          <w:rFonts w:cs="Arial"/>
          <w:szCs w:val="20"/>
        </w:rPr>
      </w:pPr>
      <w:r w:rsidRPr="002A533A">
        <w:rPr>
          <w:rFonts w:cs="Arial"/>
          <w:szCs w:val="20"/>
        </w:rPr>
        <w:t xml:space="preserve">Os ajustes de exercícios anteriores reconhecidos do exercício de 2017 referem-se a erros imputados a exercícios anteriores bem como à mudança de política contábil. </w:t>
      </w:r>
    </w:p>
    <w:p w:rsidR="006E6D1D" w:rsidRPr="002A533A" w:rsidRDefault="006E6D1D" w:rsidP="006E6D1D">
      <w:pPr>
        <w:rPr>
          <w:rFonts w:cs="Arial"/>
          <w:szCs w:val="20"/>
        </w:rPr>
      </w:pPr>
    </w:p>
    <w:p w:rsidR="006E6D1D" w:rsidRPr="002A533A" w:rsidRDefault="006E6D1D" w:rsidP="006E6D1D">
      <w:pPr>
        <w:rPr>
          <w:rFonts w:cs="Arial"/>
          <w:szCs w:val="20"/>
        </w:rPr>
      </w:pPr>
      <w:r w:rsidRPr="002A533A">
        <w:rPr>
          <w:rFonts w:cs="Arial"/>
          <w:szCs w:val="20"/>
        </w:rPr>
        <w:t>A seguir, apresenta-se a tabela com a variações dos Ajustes de Exercícios Anteriores:</w:t>
      </w:r>
    </w:p>
    <w:p w:rsidR="006E6D1D" w:rsidRPr="002A533A" w:rsidRDefault="006E6D1D" w:rsidP="006E6D1D">
      <w:pPr>
        <w:rPr>
          <w:rFonts w:cs="Arial"/>
          <w:szCs w:val="20"/>
        </w:rPr>
      </w:pPr>
    </w:p>
    <w:p w:rsidR="006E6D1D" w:rsidRPr="002A533A" w:rsidRDefault="006E6D1D" w:rsidP="006E6D1D">
      <w:pPr>
        <w:rPr>
          <w:rFonts w:cs="Arial"/>
          <w:b/>
          <w:szCs w:val="20"/>
        </w:rPr>
      </w:pPr>
      <w:r w:rsidRPr="002A533A">
        <w:rPr>
          <w:rFonts w:cs="Arial"/>
          <w:b/>
          <w:szCs w:val="20"/>
        </w:rPr>
        <w:t>Tabela – Ajustes de Exercícios Anteriores – Variação.</w:t>
      </w:r>
    </w:p>
    <w:p w:rsidR="006E6D1D" w:rsidRPr="002A533A" w:rsidRDefault="006E6D1D" w:rsidP="006E6D1D">
      <w:pPr>
        <w:jc w:val="center"/>
        <w:rPr>
          <w:rFonts w:cs="Arial"/>
          <w:szCs w:val="20"/>
        </w:rPr>
      </w:pPr>
      <w:r w:rsidRPr="002A533A">
        <w:rPr>
          <w:rFonts w:cs="Arial"/>
          <w:szCs w:val="20"/>
        </w:rPr>
        <w:t xml:space="preserve">                                                                                                                                            R$</w:t>
      </w:r>
    </w:p>
    <w:tbl>
      <w:tblPr>
        <w:tblW w:w="9038" w:type="dxa"/>
        <w:tblCellMar>
          <w:left w:w="70" w:type="dxa"/>
          <w:right w:w="70" w:type="dxa"/>
        </w:tblCellMar>
        <w:tblLook w:val="04A0" w:firstRow="1" w:lastRow="0" w:firstColumn="1" w:lastColumn="0" w:noHBand="0" w:noVBand="1"/>
      </w:tblPr>
      <w:tblGrid>
        <w:gridCol w:w="3550"/>
        <w:gridCol w:w="2162"/>
        <w:gridCol w:w="2162"/>
        <w:gridCol w:w="1164"/>
      </w:tblGrid>
      <w:tr w:rsidR="006E6D1D" w:rsidRPr="002A533A" w:rsidTr="008D6A91">
        <w:trPr>
          <w:trHeight w:val="317"/>
        </w:trPr>
        <w:tc>
          <w:tcPr>
            <w:tcW w:w="3550" w:type="dxa"/>
            <w:tcBorders>
              <w:top w:val="single" w:sz="4" w:space="0" w:color="000000"/>
              <w:left w:val="nil"/>
              <w:bottom w:val="single" w:sz="4" w:space="0" w:color="000000"/>
              <w:right w:val="nil"/>
            </w:tcBorders>
            <w:shd w:val="clear" w:color="auto" w:fill="auto"/>
            <w:noWrap/>
            <w:vAlign w:val="bottom"/>
            <w:hideMark/>
          </w:tcPr>
          <w:p w:rsidR="006E6D1D" w:rsidRPr="002A533A" w:rsidRDefault="006E6D1D" w:rsidP="008D6A91">
            <w:pPr>
              <w:jc w:val="left"/>
              <w:rPr>
                <w:rFonts w:eastAsia="Times New Roman" w:cs="Arial"/>
                <w:b/>
                <w:bCs/>
                <w:color w:val="FFFFFF"/>
                <w:szCs w:val="20"/>
                <w:lang w:eastAsia="pt-BR"/>
              </w:rPr>
            </w:pPr>
            <w:r w:rsidRPr="002A533A">
              <w:rPr>
                <w:rFonts w:eastAsia="Times New Roman" w:cs="Arial"/>
                <w:b/>
                <w:bCs/>
                <w:color w:val="FFFFFF"/>
                <w:szCs w:val="20"/>
                <w:lang w:eastAsia="pt-BR"/>
              </w:rPr>
              <w:t>Colunas1</w:t>
            </w:r>
          </w:p>
        </w:tc>
        <w:tc>
          <w:tcPr>
            <w:tcW w:w="2162" w:type="dxa"/>
            <w:tcBorders>
              <w:top w:val="single" w:sz="4" w:space="0" w:color="000000"/>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31/12/2017</w:t>
            </w:r>
          </w:p>
        </w:tc>
        <w:tc>
          <w:tcPr>
            <w:tcW w:w="2162" w:type="dxa"/>
            <w:tcBorders>
              <w:top w:val="single" w:sz="4" w:space="0" w:color="000000"/>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31/12/2016</w:t>
            </w:r>
          </w:p>
        </w:tc>
        <w:tc>
          <w:tcPr>
            <w:tcW w:w="1164" w:type="dxa"/>
            <w:tcBorders>
              <w:top w:val="single" w:sz="4" w:space="0" w:color="000000"/>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AH (%)</w:t>
            </w:r>
          </w:p>
        </w:tc>
      </w:tr>
      <w:tr w:rsidR="006E6D1D" w:rsidRPr="002A533A" w:rsidTr="008D6A91">
        <w:trPr>
          <w:trHeight w:val="317"/>
        </w:trPr>
        <w:tc>
          <w:tcPr>
            <w:tcW w:w="3550" w:type="dxa"/>
            <w:tcBorders>
              <w:top w:val="nil"/>
              <w:left w:val="nil"/>
              <w:bottom w:val="nil"/>
              <w:right w:val="nil"/>
            </w:tcBorders>
            <w:shd w:val="clear" w:color="D9D9D9" w:fill="D9D9D9"/>
            <w:noWrap/>
            <w:vAlign w:val="bottom"/>
            <w:hideMark/>
          </w:tcPr>
          <w:p w:rsidR="006E6D1D" w:rsidRPr="002A533A" w:rsidRDefault="006E6D1D" w:rsidP="008D6A91">
            <w:pPr>
              <w:jc w:val="left"/>
              <w:rPr>
                <w:rFonts w:eastAsia="Times New Roman" w:cs="Arial"/>
                <w:color w:val="000000"/>
                <w:szCs w:val="20"/>
                <w:lang w:eastAsia="pt-BR"/>
              </w:rPr>
            </w:pPr>
            <w:r w:rsidRPr="002A533A">
              <w:rPr>
                <w:rFonts w:eastAsia="Times New Roman" w:cs="Arial"/>
                <w:color w:val="000000"/>
                <w:szCs w:val="20"/>
                <w:lang w:eastAsia="pt-BR"/>
              </w:rPr>
              <w:t>Ajustes de Exercícios Anteriores</w:t>
            </w:r>
          </w:p>
        </w:tc>
        <w:tc>
          <w:tcPr>
            <w:tcW w:w="2162" w:type="dxa"/>
            <w:tcBorders>
              <w:top w:val="nil"/>
              <w:left w:val="nil"/>
              <w:bottom w:val="nil"/>
              <w:right w:val="nil"/>
            </w:tcBorders>
            <w:shd w:val="clear" w:color="D9D9D9" w:fill="D9D9D9"/>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(17.436.875,48)</w:t>
            </w:r>
          </w:p>
        </w:tc>
        <w:tc>
          <w:tcPr>
            <w:tcW w:w="2162" w:type="dxa"/>
            <w:tcBorders>
              <w:top w:val="nil"/>
              <w:left w:val="nil"/>
              <w:bottom w:val="nil"/>
              <w:right w:val="nil"/>
            </w:tcBorders>
            <w:shd w:val="clear" w:color="D9D9D9" w:fill="D9D9D9"/>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(32.877.390,31)</w:t>
            </w:r>
          </w:p>
        </w:tc>
        <w:tc>
          <w:tcPr>
            <w:tcW w:w="1164" w:type="dxa"/>
            <w:tcBorders>
              <w:top w:val="nil"/>
              <w:left w:val="nil"/>
              <w:bottom w:val="nil"/>
              <w:right w:val="nil"/>
            </w:tcBorders>
            <w:shd w:val="clear" w:color="D9D9D9" w:fill="D9D9D9"/>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-46,96</w:t>
            </w:r>
          </w:p>
        </w:tc>
      </w:tr>
      <w:tr w:rsidR="006E6D1D" w:rsidRPr="002A533A" w:rsidTr="008D6A91">
        <w:trPr>
          <w:trHeight w:val="317"/>
        </w:trPr>
        <w:tc>
          <w:tcPr>
            <w:tcW w:w="3550" w:type="dxa"/>
            <w:tcBorders>
              <w:top w:val="nil"/>
              <w:left w:val="nil"/>
              <w:bottom w:val="single" w:sz="4" w:space="0" w:color="000000"/>
              <w:right w:val="nil"/>
            </w:tcBorders>
            <w:shd w:val="clear" w:color="auto" w:fill="auto"/>
            <w:noWrap/>
            <w:vAlign w:val="bottom"/>
            <w:hideMark/>
          </w:tcPr>
          <w:p w:rsidR="006E6D1D" w:rsidRPr="002A533A" w:rsidRDefault="006E6D1D" w:rsidP="008D6A91">
            <w:pPr>
              <w:jc w:val="left"/>
              <w:rPr>
                <w:rFonts w:eastAsia="Times New Roman" w:cs="Arial"/>
                <w:b/>
                <w:bCs/>
                <w:color w:val="000000"/>
                <w:szCs w:val="20"/>
                <w:lang w:eastAsia="pt-BR"/>
              </w:rPr>
            </w:pPr>
            <w:r w:rsidRPr="002A533A">
              <w:rPr>
                <w:rFonts w:eastAsia="Times New Roman" w:cs="Arial"/>
                <w:b/>
                <w:bCs/>
                <w:color w:val="000000"/>
                <w:szCs w:val="20"/>
                <w:lang w:eastAsia="pt-BR"/>
              </w:rPr>
              <w:t>Total</w:t>
            </w:r>
          </w:p>
        </w:tc>
        <w:tc>
          <w:tcPr>
            <w:tcW w:w="2162" w:type="dxa"/>
            <w:tcBorders>
              <w:top w:val="nil"/>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color w:val="000000"/>
                <w:szCs w:val="20"/>
                <w:lang w:eastAsia="pt-BR"/>
              </w:rPr>
              <w:t>(17.436.875,48)</w:t>
            </w:r>
          </w:p>
        </w:tc>
        <w:tc>
          <w:tcPr>
            <w:tcW w:w="2162" w:type="dxa"/>
            <w:tcBorders>
              <w:top w:val="nil"/>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color w:val="000000"/>
                <w:szCs w:val="20"/>
                <w:lang w:eastAsia="pt-BR"/>
              </w:rPr>
              <w:t>(32.877.390,31)</w:t>
            </w:r>
          </w:p>
        </w:tc>
        <w:tc>
          <w:tcPr>
            <w:tcW w:w="1164" w:type="dxa"/>
            <w:tcBorders>
              <w:top w:val="nil"/>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-46,96</w:t>
            </w:r>
          </w:p>
        </w:tc>
      </w:tr>
    </w:tbl>
    <w:p w:rsidR="006E6D1D" w:rsidRPr="002A533A" w:rsidRDefault="006E6D1D" w:rsidP="006E6D1D">
      <w:pPr>
        <w:rPr>
          <w:rFonts w:cs="Arial"/>
          <w:i/>
          <w:szCs w:val="20"/>
        </w:rPr>
      </w:pPr>
      <w:r w:rsidRPr="002A533A">
        <w:rPr>
          <w:rFonts w:cs="Arial"/>
          <w:i/>
          <w:szCs w:val="20"/>
        </w:rPr>
        <w:t>Fonte: SIAFI, 2017 e 2016.</w:t>
      </w:r>
    </w:p>
    <w:p w:rsidR="006E6D1D" w:rsidRPr="002A533A" w:rsidRDefault="006E6D1D" w:rsidP="006E6D1D">
      <w:pPr>
        <w:rPr>
          <w:rFonts w:cs="Arial"/>
          <w:szCs w:val="20"/>
        </w:rPr>
      </w:pPr>
    </w:p>
    <w:p w:rsidR="006E6D1D" w:rsidRPr="002A533A" w:rsidRDefault="006E6D1D" w:rsidP="006E6D1D">
      <w:pPr>
        <w:rPr>
          <w:rFonts w:cs="Arial"/>
          <w:szCs w:val="20"/>
        </w:rPr>
      </w:pPr>
      <w:r w:rsidRPr="002A533A">
        <w:rPr>
          <w:rFonts w:cs="Arial"/>
          <w:szCs w:val="20"/>
        </w:rPr>
        <w:t>Os erros correspondem às omissões de despesas (as informações não estavam disponíveis quando da elaboração das demonstrações contábeis do período a que se referem), cujos fatos geradores ocorreram em exercícios anteriores e somente foram descobertos através de análise apurada da equipe de contabilidade durante o exercício de 2017. Estes ajustes correspondem aos reconhecimentos de passivos relacionados a despesa orçamentária classificada como Despesa de Exercícios Anteriores – DEA. Mormente, os passivos reconhecidos referem-se a despesas de exercícios encerrados, para os quais o orçamento consignava crédito próprio, com saldo suficiente para atendê-las, mas que não foram processados em época própria.</w:t>
      </w:r>
    </w:p>
    <w:p w:rsidR="006E6D1D" w:rsidRPr="002A533A" w:rsidRDefault="006E6D1D" w:rsidP="006E6D1D">
      <w:pPr>
        <w:rPr>
          <w:rFonts w:cs="Arial"/>
          <w:szCs w:val="20"/>
        </w:rPr>
      </w:pPr>
    </w:p>
    <w:p w:rsidR="006E6D1D" w:rsidRPr="002A533A" w:rsidRDefault="006E6D1D" w:rsidP="006E6D1D">
      <w:pPr>
        <w:rPr>
          <w:rFonts w:cs="Arial"/>
          <w:szCs w:val="20"/>
        </w:rPr>
      </w:pPr>
      <w:r w:rsidRPr="002A533A">
        <w:rPr>
          <w:rFonts w:cs="Arial"/>
          <w:szCs w:val="20"/>
        </w:rPr>
        <w:t>Verifica-se uma relevante diminuição dos ajustes devedores pelo fato de ter havido, no exercício corrente, menos reconhecimento de passivos quando comparados os exercícios de 2017 e 2016, sobretudo relativos fornecedores. Outros fatos não mais ocorridos em 2017 guardam relação com ajustes de despesas com folha de pagamento havidos em 2016. Estes ajustes visaram adequar os saldos de contas de adiantamentos a pessoal.</w:t>
      </w:r>
    </w:p>
    <w:p w:rsidR="006E6D1D" w:rsidRPr="002A533A" w:rsidRDefault="006E6D1D" w:rsidP="006E6D1D">
      <w:pPr>
        <w:rPr>
          <w:rFonts w:cs="Arial"/>
          <w:szCs w:val="20"/>
        </w:rPr>
      </w:pPr>
    </w:p>
    <w:p w:rsidR="006E6D1D" w:rsidRPr="002A533A" w:rsidRDefault="006E6D1D" w:rsidP="006E6D1D">
      <w:pPr>
        <w:rPr>
          <w:rFonts w:cs="Arial"/>
          <w:szCs w:val="20"/>
        </w:rPr>
      </w:pPr>
      <w:r w:rsidRPr="002A533A">
        <w:rPr>
          <w:rFonts w:cs="Arial"/>
          <w:szCs w:val="20"/>
        </w:rPr>
        <w:t xml:space="preserve">Os ajustes decorrentes de mudança de política contábil estão relacionados ao </w:t>
      </w:r>
      <w:proofErr w:type="spellStart"/>
      <w:r w:rsidRPr="002A533A">
        <w:rPr>
          <w:rFonts w:cs="Arial"/>
          <w:szCs w:val="20"/>
        </w:rPr>
        <w:t>desreconhecimento</w:t>
      </w:r>
      <w:proofErr w:type="spellEnd"/>
      <w:r w:rsidRPr="002A533A">
        <w:rPr>
          <w:rFonts w:cs="Arial"/>
          <w:szCs w:val="20"/>
        </w:rPr>
        <w:t xml:space="preserve"> de ativos correspondentes a adiantamentos de transferências voluntárias, bem como de créditos a receber apurados em tomada de contas. As transferências voluntárias passaram a ser reconhecidas como despesas por não atenderem os requisitos de seu reconhecimento como ativos, ou seja, recursos controlados pela entidade como resultado de evento passado. Já os créditos a receber apurados em tomada de contas especial, pela nova política contábil, somente serão reconhecidos como ativo após decisão do Tribunal de Contas da União. </w:t>
      </w:r>
    </w:p>
    <w:p w:rsidR="006E6D1D" w:rsidRPr="002A533A" w:rsidRDefault="006E6D1D" w:rsidP="006E6D1D">
      <w:pPr>
        <w:rPr>
          <w:rFonts w:cs="Arial"/>
          <w:szCs w:val="20"/>
        </w:rPr>
      </w:pPr>
    </w:p>
    <w:p w:rsidR="006E6D1D" w:rsidRPr="002A533A" w:rsidRDefault="006E6D1D" w:rsidP="006E6D1D">
      <w:pPr>
        <w:rPr>
          <w:rFonts w:cs="Arial"/>
          <w:szCs w:val="20"/>
        </w:rPr>
      </w:pPr>
      <w:r w:rsidRPr="002A533A">
        <w:rPr>
          <w:rFonts w:cs="Arial"/>
          <w:szCs w:val="20"/>
        </w:rPr>
        <w:t>A seguir, é apresentada a tabela com a composição dos ajustes de exercícios anteriores na data-base de 31/12/2017:</w:t>
      </w:r>
    </w:p>
    <w:p w:rsidR="006E6D1D" w:rsidRPr="002A533A" w:rsidRDefault="006E6D1D" w:rsidP="006E6D1D">
      <w:pPr>
        <w:rPr>
          <w:rFonts w:cs="Arial"/>
          <w:b/>
          <w:szCs w:val="20"/>
        </w:rPr>
      </w:pPr>
    </w:p>
    <w:p w:rsidR="006E6D1D" w:rsidRPr="002A533A" w:rsidRDefault="006E6D1D" w:rsidP="006E6D1D">
      <w:pPr>
        <w:rPr>
          <w:rFonts w:cs="Arial"/>
          <w:szCs w:val="20"/>
        </w:rPr>
      </w:pPr>
      <w:r w:rsidRPr="002A533A">
        <w:rPr>
          <w:rFonts w:cs="Arial"/>
          <w:b/>
          <w:szCs w:val="20"/>
        </w:rPr>
        <w:t>Tabela – Ajustes de Exercícios Anteriores – Composição.</w:t>
      </w:r>
      <w:r w:rsidRPr="002A533A">
        <w:rPr>
          <w:rFonts w:cs="Arial"/>
          <w:szCs w:val="20"/>
        </w:rPr>
        <w:t xml:space="preserve">     </w:t>
      </w:r>
    </w:p>
    <w:p w:rsidR="006E6D1D" w:rsidRPr="002A533A" w:rsidRDefault="006E6D1D" w:rsidP="006E6D1D">
      <w:pPr>
        <w:rPr>
          <w:rFonts w:cs="Arial"/>
          <w:szCs w:val="20"/>
        </w:rPr>
      </w:pPr>
      <w:r w:rsidRPr="002A533A">
        <w:rPr>
          <w:rFonts w:cs="Arial"/>
          <w:szCs w:val="20"/>
        </w:rPr>
        <w:t xml:space="preserve">                                                                                       </w:t>
      </w:r>
      <w:r w:rsidRPr="002A533A">
        <w:rPr>
          <w:rFonts w:cs="Arial"/>
          <w:szCs w:val="20"/>
        </w:rPr>
        <w:tab/>
      </w:r>
      <w:r w:rsidRPr="002A533A">
        <w:rPr>
          <w:rFonts w:cs="Arial"/>
          <w:szCs w:val="20"/>
        </w:rPr>
        <w:tab/>
      </w:r>
      <w:r w:rsidRPr="002A533A">
        <w:rPr>
          <w:rFonts w:cs="Arial"/>
          <w:szCs w:val="20"/>
        </w:rPr>
        <w:tab/>
        <w:t xml:space="preserve">                         R$</w:t>
      </w:r>
    </w:p>
    <w:tbl>
      <w:tblPr>
        <w:tblW w:w="9107" w:type="dxa"/>
        <w:tblCellMar>
          <w:left w:w="70" w:type="dxa"/>
          <w:right w:w="70" w:type="dxa"/>
        </w:tblCellMar>
        <w:tblLook w:val="04A0" w:firstRow="1" w:lastRow="0" w:firstColumn="1" w:lastColumn="0" w:noHBand="0" w:noVBand="1"/>
      </w:tblPr>
      <w:tblGrid>
        <w:gridCol w:w="5631"/>
        <w:gridCol w:w="2231"/>
        <w:gridCol w:w="1245"/>
      </w:tblGrid>
      <w:tr w:rsidR="006E6D1D" w:rsidRPr="002A533A" w:rsidTr="008D6A91">
        <w:trPr>
          <w:trHeight w:val="267"/>
        </w:trPr>
        <w:tc>
          <w:tcPr>
            <w:tcW w:w="5631" w:type="dxa"/>
            <w:tcBorders>
              <w:top w:val="single" w:sz="4" w:space="0" w:color="000000"/>
              <w:left w:val="nil"/>
              <w:bottom w:val="single" w:sz="4" w:space="0" w:color="000000"/>
              <w:right w:val="nil"/>
            </w:tcBorders>
            <w:shd w:val="clear" w:color="auto" w:fill="auto"/>
            <w:vAlign w:val="bottom"/>
            <w:hideMark/>
          </w:tcPr>
          <w:p w:rsidR="006E6D1D" w:rsidRPr="002A533A" w:rsidRDefault="006E6D1D" w:rsidP="008D6A91">
            <w:pPr>
              <w:jc w:val="left"/>
              <w:rPr>
                <w:rFonts w:eastAsia="Times New Roman" w:cs="Arial"/>
                <w:b/>
                <w:bCs/>
                <w:color w:val="FFFFFF"/>
                <w:szCs w:val="20"/>
                <w:lang w:eastAsia="pt-BR"/>
              </w:rPr>
            </w:pPr>
            <w:r w:rsidRPr="002A533A">
              <w:rPr>
                <w:rFonts w:eastAsia="Times New Roman" w:cs="Arial"/>
                <w:b/>
                <w:bCs/>
                <w:color w:val="FFFFFF"/>
                <w:szCs w:val="20"/>
                <w:lang w:eastAsia="pt-BR"/>
              </w:rPr>
              <w:t>Colunas1</w:t>
            </w:r>
          </w:p>
        </w:tc>
        <w:tc>
          <w:tcPr>
            <w:tcW w:w="2231" w:type="dxa"/>
            <w:tcBorders>
              <w:top w:val="single" w:sz="4" w:space="0" w:color="000000"/>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30/09/2017</w:t>
            </w:r>
          </w:p>
        </w:tc>
        <w:tc>
          <w:tcPr>
            <w:tcW w:w="1245" w:type="dxa"/>
            <w:tcBorders>
              <w:top w:val="single" w:sz="4" w:space="0" w:color="000000"/>
              <w:left w:val="nil"/>
              <w:bottom w:val="single" w:sz="4" w:space="0" w:color="000000"/>
              <w:right w:val="nil"/>
            </w:tcBorders>
            <w:shd w:val="clear" w:color="auto" w:fill="auto"/>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AV (%)</w:t>
            </w:r>
          </w:p>
        </w:tc>
      </w:tr>
      <w:tr w:rsidR="006E6D1D" w:rsidRPr="002A533A" w:rsidTr="008D6A91">
        <w:trPr>
          <w:trHeight w:val="534"/>
        </w:trPr>
        <w:tc>
          <w:tcPr>
            <w:tcW w:w="5631" w:type="dxa"/>
            <w:tcBorders>
              <w:top w:val="nil"/>
              <w:left w:val="nil"/>
              <w:bottom w:val="nil"/>
              <w:right w:val="nil"/>
            </w:tcBorders>
            <w:shd w:val="clear" w:color="D9D9D9" w:fill="D9D9D9"/>
            <w:vAlign w:val="bottom"/>
            <w:hideMark/>
          </w:tcPr>
          <w:p w:rsidR="006E6D1D" w:rsidRPr="002A533A" w:rsidRDefault="006E6D1D" w:rsidP="008D6A91">
            <w:pPr>
              <w:jc w:val="left"/>
              <w:rPr>
                <w:rFonts w:eastAsia="Times New Roman" w:cs="Arial"/>
                <w:color w:val="000000"/>
                <w:szCs w:val="20"/>
                <w:lang w:eastAsia="pt-BR"/>
              </w:rPr>
            </w:pPr>
            <w:r w:rsidRPr="002A533A">
              <w:rPr>
                <w:rFonts w:eastAsia="Times New Roman" w:cs="Arial"/>
                <w:color w:val="000000"/>
                <w:szCs w:val="20"/>
                <w:lang w:eastAsia="pt-BR"/>
              </w:rPr>
              <w:t>Ajustes de Exercícios Anteriores - Despesas de Exercícios Anteriores</w:t>
            </w:r>
          </w:p>
        </w:tc>
        <w:tc>
          <w:tcPr>
            <w:tcW w:w="2231" w:type="dxa"/>
            <w:tcBorders>
              <w:top w:val="nil"/>
              <w:left w:val="nil"/>
              <w:bottom w:val="nil"/>
              <w:right w:val="nil"/>
            </w:tcBorders>
            <w:shd w:val="clear" w:color="D9D9D9" w:fill="D9D9D9"/>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 xml:space="preserve">-1.382.865,18 </w:t>
            </w:r>
          </w:p>
        </w:tc>
        <w:tc>
          <w:tcPr>
            <w:tcW w:w="1245" w:type="dxa"/>
            <w:tcBorders>
              <w:top w:val="nil"/>
              <w:left w:val="nil"/>
              <w:bottom w:val="nil"/>
              <w:right w:val="nil"/>
            </w:tcBorders>
            <w:shd w:val="clear" w:color="D9D9D9" w:fill="D9D9D9"/>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 xml:space="preserve">7,93 </w:t>
            </w:r>
          </w:p>
        </w:tc>
      </w:tr>
      <w:tr w:rsidR="006E6D1D" w:rsidRPr="002A533A" w:rsidTr="008D6A91">
        <w:trPr>
          <w:trHeight w:val="534"/>
        </w:trPr>
        <w:tc>
          <w:tcPr>
            <w:tcW w:w="5631" w:type="dxa"/>
            <w:tcBorders>
              <w:top w:val="nil"/>
              <w:left w:val="nil"/>
              <w:bottom w:val="nil"/>
              <w:right w:val="nil"/>
            </w:tcBorders>
            <w:shd w:val="clear" w:color="auto" w:fill="auto"/>
            <w:vAlign w:val="bottom"/>
            <w:hideMark/>
          </w:tcPr>
          <w:p w:rsidR="006E6D1D" w:rsidRPr="002A533A" w:rsidRDefault="006E6D1D" w:rsidP="008D6A91">
            <w:pPr>
              <w:jc w:val="left"/>
              <w:rPr>
                <w:rFonts w:eastAsia="Times New Roman" w:cs="Arial"/>
                <w:color w:val="000000"/>
                <w:szCs w:val="20"/>
                <w:lang w:eastAsia="pt-BR"/>
              </w:rPr>
            </w:pPr>
            <w:r w:rsidRPr="002A533A">
              <w:rPr>
                <w:rFonts w:eastAsia="Times New Roman" w:cs="Arial"/>
                <w:color w:val="000000"/>
                <w:szCs w:val="20"/>
                <w:lang w:eastAsia="pt-BR"/>
              </w:rPr>
              <w:t>Ajustes de Exercícios Anteriores - Mudança de Política Contábil</w:t>
            </w:r>
          </w:p>
        </w:tc>
        <w:tc>
          <w:tcPr>
            <w:tcW w:w="2231" w:type="dxa"/>
            <w:tcBorders>
              <w:top w:val="nil"/>
              <w:left w:val="nil"/>
              <w:bottom w:val="nil"/>
              <w:right w:val="nil"/>
            </w:tcBorders>
            <w:shd w:val="clear" w:color="auto" w:fill="auto"/>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 xml:space="preserve">-16.072.415,79 </w:t>
            </w:r>
          </w:p>
        </w:tc>
        <w:tc>
          <w:tcPr>
            <w:tcW w:w="1245" w:type="dxa"/>
            <w:tcBorders>
              <w:top w:val="nil"/>
              <w:left w:val="nil"/>
              <w:bottom w:val="nil"/>
              <w:right w:val="nil"/>
            </w:tcBorders>
            <w:shd w:val="clear" w:color="auto" w:fill="auto"/>
            <w:noWrap/>
            <w:vAlign w:val="bottom"/>
            <w:hideMark/>
          </w:tcPr>
          <w:p w:rsidR="006E6D1D" w:rsidRPr="002A533A" w:rsidRDefault="006E6D1D" w:rsidP="008D6A91">
            <w:pPr>
              <w:jc w:val="right"/>
              <w:rPr>
                <w:rFonts w:eastAsia="Times New Roman" w:cs="Arial"/>
                <w:color w:val="000000"/>
                <w:szCs w:val="20"/>
                <w:lang w:eastAsia="pt-BR"/>
              </w:rPr>
            </w:pPr>
            <w:r w:rsidRPr="002A533A">
              <w:rPr>
                <w:rFonts w:eastAsia="Times New Roman" w:cs="Arial"/>
                <w:color w:val="000000"/>
                <w:szCs w:val="20"/>
                <w:lang w:eastAsia="pt-BR"/>
              </w:rPr>
              <w:t xml:space="preserve">92,17 </w:t>
            </w:r>
          </w:p>
        </w:tc>
      </w:tr>
      <w:tr w:rsidR="006E6D1D" w:rsidRPr="002A533A" w:rsidTr="008D6A91">
        <w:trPr>
          <w:trHeight w:val="267"/>
        </w:trPr>
        <w:tc>
          <w:tcPr>
            <w:tcW w:w="5631" w:type="dxa"/>
            <w:tcBorders>
              <w:top w:val="nil"/>
              <w:left w:val="nil"/>
              <w:bottom w:val="single" w:sz="4" w:space="0" w:color="000000"/>
              <w:right w:val="nil"/>
            </w:tcBorders>
            <w:shd w:val="clear" w:color="D9D9D9" w:fill="D9D9D9"/>
            <w:noWrap/>
            <w:vAlign w:val="bottom"/>
            <w:hideMark/>
          </w:tcPr>
          <w:p w:rsidR="006E6D1D" w:rsidRPr="002A533A" w:rsidRDefault="006E6D1D" w:rsidP="008D6A91">
            <w:pPr>
              <w:jc w:val="left"/>
              <w:rPr>
                <w:rFonts w:eastAsia="Times New Roman" w:cs="Arial"/>
                <w:b/>
                <w:bCs/>
                <w:color w:val="000000"/>
                <w:szCs w:val="20"/>
                <w:lang w:eastAsia="pt-BR"/>
              </w:rPr>
            </w:pPr>
            <w:r w:rsidRPr="002A533A">
              <w:rPr>
                <w:rFonts w:eastAsia="Times New Roman" w:cs="Arial"/>
                <w:b/>
                <w:bCs/>
                <w:color w:val="000000"/>
                <w:szCs w:val="20"/>
                <w:lang w:eastAsia="pt-BR"/>
              </w:rPr>
              <w:t>Total</w:t>
            </w:r>
          </w:p>
        </w:tc>
        <w:tc>
          <w:tcPr>
            <w:tcW w:w="2231" w:type="dxa"/>
            <w:tcBorders>
              <w:top w:val="nil"/>
              <w:left w:val="nil"/>
              <w:bottom w:val="single" w:sz="4" w:space="0" w:color="000000"/>
              <w:right w:val="nil"/>
            </w:tcBorders>
            <w:shd w:val="clear" w:color="D9D9D9" w:fill="D9D9D9"/>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w:t>
            </w:r>
            <w:r w:rsidRPr="002A533A">
              <w:rPr>
                <w:rFonts w:eastAsia="Times New Roman" w:cs="Arial"/>
                <w:color w:val="000000"/>
                <w:szCs w:val="20"/>
                <w:lang w:eastAsia="pt-BR"/>
              </w:rPr>
              <w:t>17.436.875,48</w:t>
            </w:r>
          </w:p>
        </w:tc>
        <w:tc>
          <w:tcPr>
            <w:tcW w:w="1245" w:type="dxa"/>
            <w:tcBorders>
              <w:top w:val="nil"/>
              <w:left w:val="nil"/>
              <w:bottom w:val="single" w:sz="4" w:space="0" w:color="000000"/>
              <w:right w:val="nil"/>
            </w:tcBorders>
            <w:shd w:val="clear" w:color="D9D9D9" w:fill="D9D9D9"/>
            <w:noWrap/>
            <w:vAlign w:val="bottom"/>
            <w:hideMark/>
          </w:tcPr>
          <w:p w:rsidR="006E6D1D" w:rsidRPr="002A533A" w:rsidRDefault="006E6D1D" w:rsidP="008D6A91">
            <w:pPr>
              <w:jc w:val="right"/>
              <w:rPr>
                <w:rFonts w:eastAsia="Times New Roman" w:cs="Arial"/>
                <w:b/>
                <w:bCs/>
                <w:color w:val="000000"/>
                <w:szCs w:val="20"/>
                <w:lang w:eastAsia="pt-BR"/>
              </w:rPr>
            </w:pPr>
            <w:r w:rsidRPr="002A533A">
              <w:rPr>
                <w:rFonts w:eastAsia="Times New Roman" w:cs="Arial"/>
                <w:b/>
                <w:bCs/>
                <w:color w:val="000000"/>
                <w:szCs w:val="20"/>
                <w:lang w:eastAsia="pt-BR"/>
              </w:rPr>
              <w:t xml:space="preserve">100,00 </w:t>
            </w:r>
          </w:p>
        </w:tc>
      </w:tr>
    </w:tbl>
    <w:p w:rsidR="006E6D1D" w:rsidRPr="002A533A" w:rsidRDefault="006E6D1D" w:rsidP="006E6D1D">
      <w:pPr>
        <w:rPr>
          <w:rFonts w:cs="Arial"/>
          <w:i/>
          <w:szCs w:val="20"/>
        </w:rPr>
      </w:pPr>
      <w:r w:rsidRPr="002A533A">
        <w:rPr>
          <w:rFonts w:cs="Arial"/>
          <w:i/>
          <w:szCs w:val="20"/>
        </w:rPr>
        <w:t>Fonte: SIAFI, 2017.</w:t>
      </w:r>
    </w:p>
    <w:p w:rsidR="006E6D1D" w:rsidRPr="002A533A" w:rsidRDefault="006E6D1D" w:rsidP="006E6D1D">
      <w:pPr>
        <w:rPr>
          <w:rFonts w:cs="Arial"/>
          <w:szCs w:val="20"/>
        </w:rPr>
      </w:pPr>
    </w:p>
    <w:p w:rsidR="009209CF" w:rsidRDefault="009209CF" w:rsidP="00270E09">
      <w:pPr>
        <w:rPr>
          <w:rFonts w:eastAsia="Times New Roman" w:cs="Arial"/>
          <w:sz w:val="22"/>
        </w:rPr>
      </w:pPr>
    </w:p>
    <w:p w:rsidR="00833DB9" w:rsidRDefault="00833DB9" w:rsidP="00270E09">
      <w:pPr>
        <w:rPr>
          <w:rFonts w:eastAsia="Times New Roman" w:cs="Arial"/>
          <w:sz w:val="22"/>
        </w:rPr>
      </w:pPr>
    </w:p>
    <w:p w:rsidR="009209CF" w:rsidRPr="00270E09" w:rsidRDefault="009209CF" w:rsidP="00270E09">
      <w:pPr>
        <w:rPr>
          <w:rFonts w:ascii="Times New Roman" w:eastAsia="Times New Roman" w:hAnsi="Times New Roman" w:cs="Times New Roman"/>
          <w:sz w:val="24"/>
          <w:szCs w:val="24"/>
          <w:lang w:eastAsia="pt-BR"/>
        </w:rPr>
      </w:pPr>
    </w:p>
    <w:p w:rsidR="00051094" w:rsidRPr="00051094" w:rsidRDefault="00051094" w:rsidP="00A26F8D">
      <w:pPr>
        <w:rPr>
          <w:rFonts w:cs="Arial"/>
          <w:sz w:val="22"/>
        </w:rPr>
      </w:pPr>
    </w:p>
    <w:sectPr w:rsidR="00051094" w:rsidRPr="00051094" w:rsidSect="00602F9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E44" w:rsidRDefault="00844E44" w:rsidP="00602F9A">
      <w:r>
        <w:separator/>
      </w:r>
    </w:p>
  </w:endnote>
  <w:endnote w:type="continuationSeparator" w:id="0">
    <w:p w:rsidR="00844E44" w:rsidRDefault="00844E44" w:rsidP="0060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530"/>
    </w:tblGrid>
    <w:tr w:rsidR="00A51619" w:rsidTr="00A51619">
      <w:tc>
        <w:tcPr>
          <w:tcW w:w="4530" w:type="dxa"/>
        </w:tcPr>
        <w:p w:rsidR="00A51619" w:rsidRDefault="00A51619" w:rsidP="00A51619">
          <w:pPr>
            <w:pStyle w:val="Rodap"/>
            <w:rPr>
              <w:rFonts w:ascii="Helvetica-Bold" w:hAnsi="Helvetica-Bold" w:cs="Helvetica-Bold"/>
              <w:b/>
              <w:bCs/>
              <w:sz w:val="16"/>
              <w:szCs w:val="16"/>
            </w:rPr>
          </w:pPr>
        </w:p>
      </w:tc>
      <w:tc>
        <w:tcPr>
          <w:tcW w:w="5530" w:type="dxa"/>
        </w:tcPr>
        <w:p w:rsidR="00A51619" w:rsidRDefault="00A51619" w:rsidP="00052E3C">
          <w:pPr>
            <w:pStyle w:val="Rodap"/>
            <w:jc w:val="right"/>
            <w:rPr>
              <w:rFonts w:ascii="Helvetica-Bold" w:hAnsi="Helvetica-Bold" w:cs="Helvetica-Bold"/>
              <w:b/>
              <w:bCs/>
              <w:sz w:val="16"/>
              <w:szCs w:val="16"/>
            </w:rPr>
          </w:pPr>
          <w:r>
            <w:rPr>
              <w:rFonts w:ascii="Helvetica-Bold" w:hAnsi="Helvetica-Bold" w:cs="Helvetica-Bold"/>
              <w:b/>
              <w:bCs/>
              <w:sz w:val="16"/>
              <w:szCs w:val="16"/>
            </w:rPr>
            <w:t>201</w:t>
          </w:r>
          <w:r w:rsidR="00052E3C">
            <w:rPr>
              <w:rFonts w:ascii="Helvetica-Bold" w:hAnsi="Helvetica-Bold" w:cs="Helvetica-Bold"/>
              <w:b/>
              <w:bCs/>
              <w:sz w:val="16"/>
              <w:szCs w:val="16"/>
            </w:rPr>
            <w:t>7</w:t>
          </w:r>
        </w:p>
      </w:tc>
    </w:tr>
  </w:tbl>
  <w:p w:rsidR="00A51619" w:rsidRDefault="00A51619" w:rsidP="00A51619">
    <w:pPr>
      <w:pStyle w:val="Rodap"/>
    </w:pPr>
    <w:r>
      <w:rPr>
        <w:rFonts w:ascii="Helvetica-Bold" w:hAnsi="Helvetica-Bold" w:cs="Helvetica-Bold"/>
        <w:b/>
        <w:b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E44" w:rsidRDefault="00844E44" w:rsidP="00602F9A">
      <w:r>
        <w:separator/>
      </w:r>
    </w:p>
  </w:footnote>
  <w:footnote w:type="continuationSeparator" w:id="0">
    <w:p w:rsidR="00844E44" w:rsidRDefault="00844E44" w:rsidP="00602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171267988"/>
  <w:bookmarkEnd w:id="1"/>
  <w:p w:rsidR="00100FCD" w:rsidRPr="00B47CD5" w:rsidRDefault="00A31B04" w:rsidP="00A31B04">
    <w:pPr>
      <w:tabs>
        <w:tab w:val="left" w:pos="567"/>
      </w:tabs>
      <w:jc w:val="left"/>
      <w:rPr>
        <w:b/>
        <w:sz w:val="16"/>
        <w:szCs w:val="16"/>
      </w:rPr>
    </w:pPr>
    <w:r>
      <w:rPr>
        <w:snapToGrid w:val="0"/>
      </w:rPr>
      <w:object w:dxaOrig="86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74.5pt" o:ole="" fillcolor="window">
          <v:imagedata r:id="rId1" o:title=""/>
        </v:shape>
        <o:OLEObject Type="Embed" ProgID="Word.Picture.8" ShapeID="_x0000_i1025" DrawAspect="Content" ObjectID="_1578931169" r:id="rId2"/>
      </w:object>
    </w:r>
  </w:p>
  <w:p w:rsidR="00602F9A" w:rsidRPr="00602F9A" w:rsidRDefault="00602F9A" w:rsidP="00602F9A">
    <w:pPr>
      <w:pStyle w:val="Cabealh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5BC4"/>
    <w:multiLevelType w:val="hybridMultilevel"/>
    <w:tmpl w:val="89945BA8"/>
    <w:lvl w:ilvl="0" w:tplc="0416000D">
      <w:start w:val="1"/>
      <w:numFmt w:val="bullet"/>
      <w:lvlText w:val=""/>
      <w:lvlJc w:val="left"/>
      <w:pPr>
        <w:ind w:left="2205" w:hanging="360"/>
      </w:pPr>
      <w:rPr>
        <w:rFonts w:ascii="Wingdings" w:hAnsi="Wingdings" w:hint="default"/>
      </w:rPr>
    </w:lvl>
    <w:lvl w:ilvl="1" w:tplc="04160003" w:tentative="1">
      <w:start w:val="1"/>
      <w:numFmt w:val="bullet"/>
      <w:lvlText w:val="o"/>
      <w:lvlJc w:val="left"/>
      <w:pPr>
        <w:ind w:left="2925" w:hanging="360"/>
      </w:pPr>
      <w:rPr>
        <w:rFonts w:ascii="Courier New" w:hAnsi="Courier New" w:cs="Courier New" w:hint="default"/>
      </w:rPr>
    </w:lvl>
    <w:lvl w:ilvl="2" w:tplc="04160005" w:tentative="1">
      <w:start w:val="1"/>
      <w:numFmt w:val="bullet"/>
      <w:lvlText w:val=""/>
      <w:lvlJc w:val="left"/>
      <w:pPr>
        <w:ind w:left="3645" w:hanging="360"/>
      </w:pPr>
      <w:rPr>
        <w:rFonts w:ascii="Wingdings" w:hAnsi="Wingdings" w:hint="default"/>
      </w:rPr>
    </w:lvl>
    <w:lvl w:ilvl="3" w:tplc="04160001" w:tentative="1">
      <w:start w:val="1"/>
      <w:numFmt w:val="bullet"/>
      <w:lvlText w:val=""/>
      <w:lvlJc w:val="left"/>
      <w:pPr>
        <w:ind w:left="4365" w:hanging="360"/>
      </w:pPr>
      <w:rPr>
        <w:rFonts w:ascii="Symbol" w:hAnsi="Symbol" w:hint="default"/>
      </w:rPr>
    </w:lvl>
    <w:lvl w:ilvl="4" w:tplc="04160003" w:tentative="1">
      <w:start w:val="1"/>
      <w:numFmt w:val="bullet"/>
      <w:lvlText w:val="o"/>
      <w:lvlJc w:val="left"/>
      <w:pPr>
        <w:ind w:left="5085" w:hanging="360"/>
      </w:pPr>
      <w:rPr>
        <w:rFonts w:ascii="Courier New" w:hAnsi="Courier New" w:cs="Courier New" w:hint="default"/>
      </w:rPr>
    </w:lvl>
    <w:lvl w:ilvl="5" w:tplc="04160005" w:tentative="1">
      <w:start w:val="1"/>
      <w:numFmt w:val="bullet"/>
      <w:lvlText w:val=""/>
      <w:lvlJc w:val="left"/>
      <w:pPr>
        <w:ind w:left="5805" w:hanging="360"/>
      </w:pPr>
      <w:rPr>
        <w:rFonts w:ascii="Wingdings" w:hAnsi="Wingdings" w:hint="default"/>
      </w:rPr>
    </w:lvl>
    <w:lvl w:ilvl="6" w:tplc="04160001" w:tentative="1">
      <w:start w:val="1"/>
      <w:numFmt w:val="bullet"/>
      <w:lvlText w:val=""/>
      <w:lvlJc w:val="left"/>
      <w:pPr>
        <w:ind w:left="6525" w:hanging="360"/>
      </w:pPr>
      <w:rPr>
        <w:rFonts w:ascii="Symbol" w:hAnsi="Symbol" w:hint="default"/>
      </w:rPr>
    </w:lvl>
    <w:lvl w:ilvl="7" w:tplc="04160003" w:tentative="1">
      <w:start w:val="1"/>
      <w:numFmt w:val="bullet"/>
      <w:lvlText w:val="o"/>
      <w:lvlJc w:val="left"/>
      <w:pPr>
        <w:ind w:left="7245" w:hanging="360"/>
      </w:pPr>
      <w:rPr>
        <w:rFonts w:ascii="Courier New" w:hAnsi="Courier New" w:cs="Courier New" w:hint="default"/>
      </w:rPr>
    </w:lvl>
    <w:lvl w:ilvl="8" w:tplc="04160005" w:tentative="1">
      <w:start w:val="1"/>
      <w:numFmt w:val="bullet"/>
      <w:lvlText w:val=""/>
      <w:lvlJc w:val="left"/>
      <w:pPr>
        <w:ind w:left="7965" w:hanging="360"/>
      </w:pPr>
      <w:rPr>
        <w:rFonts w:ascii="Wingdings" w:hAnsi="Wingdings" w:hint="default"/>
      </w:rPr>
    </w:lvl>
  </w:abstractNum>
  <w:abstractNum w:abstractNumId="1" w15:restartNumberingAfterBreak="0">
    <w:nsid w:val="167B2303"/>
    <w:multiLevelType w:val="hybridMultilevel"/>
    <w:tmpl w:val="D7CE7C28"/>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2" w15:restartNumberingAfterBreak="0">
    <w:nsid w:val="178F0E3B"/>
    <w:multiLevelType w:val="hybridMultilevel"/>
    <w:tmpl w:val="DBF6F1D4"/>
    <w:lvl w:ilvl="0" w:tplc="0416000F">
      <w:start w:val="1"/>
      <w:numFmt w:val="decimal"/>
      <w:lvlText w:val="%1."/>
      <w:lvlJc w:val="left"/>
      <w:pPr>
        <w:tabs>
          <w:tab w:val="num" w:pos="578"/>
        </w:tabs>
        <w:ind w:left="578" w:hanging="360"/>
      </w:p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3" w15:restartNumberingAfterBreak="0">
    <w:nsid w:val="19F6330D"/>
    <w:multiLevelType w:val="hybridMultilevel"/>
    <w:tmpl w:val="7D209A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E621C"/>
    <w:multiLevelType w:val="hybridMultilevel"/>
    <w:tmpl w:val="43D23D42"/>
    <w:lvl w:ilvl="0" w:tplc="0416000F">
      <w:start w:val="1"/>
      <w:numFmt w:val="decimal"/>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23E9594F"/>
    <w:multiLevelType w:val="hybridMultilevel"/>
    <w:tmpl w:val="8A8EF510"/>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42C5E2D"/>
    <w:multiLevelType w:val="hybridMultilevel"/>
    <w:tmpl w:val="2B70C2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430411"/>
    <w:multiLevelType w:val="hybridMultilevel"/>
    <w:tmpl w:val="3CD075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AB94008"/>
    <w:multiLevelType w:val="hybridMultilevel"/>
    <w:tmpl w:val="8014F3F0"/>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9" w15:restartNumberingAfterBreak="0">
    <w:nsid w:val="2F4A74C5"/>
    <w:multiLevelType w:val="hybridMultilevel"/>
    <w:tmpl w:val="E7B84354"/>
    <w:lvl w:ilvl="0" w:tplc="83BC59F8">
      <w:start w:val="1"/>
      <w:numFmt w:val="decimal"/>
      <w:lvlText w:val="%1."/>
      <w:lvlJc w:val="left"/>
      <w:pPr>
        <w:ind w:left="1140" w:hanging="360"/>
      </w:pPr>
      <w:rPr>
        <w:rFonts w:ascii="Times New Roman" w:eastAsia="Times New Roman" w:hAnsi="Times New Roman" w:cs="Times New Roman"/>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0" w15:restartNumberingAfterBreak="0">
    <w:nsid w:val="3061427A"/>
    <w:multiLevelType w:val="hybridMultilevel"/>
    <w:tmpl w:val="50BA5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505E64"/>
    <w:multiLevelType w:val="hybridMultilevel"/>
    <w:tmpl w:val="125E07CC"/>
    <w:lvl w:ilvl="0" w:tplc="1B2A7CB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6160BF"/>
    <w:multiLevelType w:val="hybridMultilevel"/>
    <w:tmpl w:val="9EFCA6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D3656E"/>
    <w:multiLevelType w:val="hybridMultilevel"/>
    <w:tmpl w:val="F69C4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FDC0B25"/>
    <w:multiLevelType w:val="hybridMultilevel"/>
    <w:tmpl w:val="0BF4E1DC"/>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548F3207"/>
    <w:multiLevelType w:val="hybridMultilevel"/>
    <w:tmpl w:val="3C3AD740"/>
    <w:lvl w:ilvl="0" w:tplc="540256F8">
      <w:start w:val="1"/>
      <w:numFmt w:val="decimal"/>
      <w:lvlText w:val="%1."/>
      <w:lvlJc w:val="left"/>
      <w:pPr>
        <w:tabs>
          <w:tab w:val="num" w:pos="720"/>
        </w:tabs>
        <w:ind w:left="720" w:hanging="360"/>
      </w:pPr>
      <w:rPr>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88F22E9"/>
    <w:multiLevelType w:val="hybridMultilevel"/>
    <w:tmpl w:val="6730324C"/>
    <w:lvl w:ilvl="0" w:tplc="3042DCCE">
      <w:start w:val="1"/>
      <w:numFmt w:val="decimal"/>
      <w:lvlText w:val="%1."/>
      <w:lvlJc w:val="left"/>
      <w:pPr>
        <w:ind w:left="1469" w:hanging="1185"/>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52B6A66"/>
    <w:multiLevelType w:val="hybridMultilevel"/>
    <w:tmpl w:val="69CA02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9056AC"/>
    <w:multiLevelType w:val="hybridMultilevel"/>
    <w:tmpl w:val="56AA20A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6F347720"/>
    <w:multiLevelType w:val="hybridMultilevel"/>
    <w:tmpl w:val="BB9E22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D72373"/>
    <w:multiLevelType w:val="hybridMultilevel"/>
    <w:tmpl w:val="2804A7D8"/>
    <w:lvl w:ilvl="0" w:tplc="9A38DAAC">
      <w:start w:val="1"/>
      <w:numFmt w:val="decimal"/>
      <w:lvlText w:val="%1."/>
      <w:lvlJc w:val="left"/>
      <w:pPr>
        <w:tabs>
          <w:tab w:val="num" w:pos="502"/>
        </w:tabs>
        <w:ind w:left="502" w:hanging="360"/>
      </w:pPr>
      <w:rPr>
        <w:sz w:val="24"/>
        <w:szCs w:val="24"/>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1" w15:restartNumberingAfterBreak="0">
    <w:nsid w:val="72376EA4"/>
    <w:multiLevelType w:val="hybridMultilevel"/>
    <w:tmpl w:val="2976DC7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15:restartNumberingAfterBreak="0">
    <w:nsid w:val="7D3D59D0"/>
    <w:multiLevelType w:val="hybridMultilevel"/>
    <w:tmpl w:val="75DAC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D9472D4"/>
    <w:multiLevelType w:val="hybridMultilevel"/>
    <w:tmpl w:val="489285CA"/>
    <w:lvl w:ilvl="0" w:tplc="0416000F">
      <w:start w:val="1"/>
      <w:numFmt w:val="decimal"/>
      <w:lvlText w:val="%1."/>
      <w:lvlJc w:val="left"/>
      <w:pPr>
        <w:ind w:left="1724"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22"/>
  </w:num>
  <w:num w:numId="2">
    <w:abstractNumId w:val="19"/>
  </w:num>
  <w:num w:numId="3">
    <w:abstractNumId w:val="15"/>
  </w:num>
  <w:num w:numId="4">
    <w:abstractNumId w:val="6"/>
  </w:num>
  <w:num w:numId="5">
    <w:abstractNumId w:val="2"/>
  </w:num>
  <w:num w:numId="6">
    <w:abstractNumId w:val="7"/>
  </w:num>
  <w:num w:numId="7">
    <w:abstractNumId w:val="12"/>
  </w:num>
  <w:num w:numId="8">
    <w:abstractNumId w:val="9"/>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0"/>
  </w:num>
  <w:num w:numId="21">
    <w:abstractNumId w:val="1"/>
  </w:num>
  <w:num w:numId="22">
    <w:abstractNumId w:val="8"/>
  </w:num>
  <w:num w:numId="23">
    <w:abstractNumId w:val="13"/>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9A"/>
    <w:rsid w:val="0001188D"/>
    <w:rsid w:val="00023136"/>
    <w:rsid w:val="0004011E"/>
    <w:rsid w:val="00045689"/>
    <w:rsid w:val="00051094"/>
    <w:rsid w:val="00052E3C"/>
    <w:rsid w:val="00052E5D"/>
    <w:rsid w:val="00053EC3"/>
    <w:rsid w:val="00055047"/>
    <w:rsid w:val="00081374"/>
    <w:rsid w:val="00083AB8"/>
    <w:rsid w:val="000A1C26"/>
    <w:rsid w:val="000A39AD"/>
    <w:rsid w:val="000A42CA"/>
    <w:rsid w:val="000D080D"/>
    <w:rsid w:val="000D7EA7"/>
    <w:rsid w:val="000E04D4"/>
    <w:rsid w:val="00100FCD"/>
    <w:rsid w:val="001067A5"/>
    <w:rsid w:val="001127BD"/>
    <w:rsid w:val="00114132"/>
    <w:rsid w:val="00122FA5"/>
    <w:rsid w:val="00133669"/>
    <w:rsid w:val="00136FBB"/>
    <w:rsid w:val="0014342D"/>
    <w:rsid w:val="001545BD"/>
    <w:rsid w:val="001547F7"/>
    <w:rsid w:val="0017280F"/>
    <w:rsid w:val="00177F91"/>
    <w:rsid w:val="0018614E"/>
    <w:rsid w:val="001867F4"/>
    <w:rsid w:val="0019104D"/>
    <w:rsid w:val="001B270D"/>
    <w:rsid w:val="001C285E"/>
    <w:rsid w:val="001D3370"/>
    <w:rsid w:val="00213AE6"/>
    <w:rsid w:val="0021732B"/>
    <w:rsid w:val="00233756"/>
    <w:rsid w:val="0023387B"/>
    <w:rsid w:val="00233CB7"/>
    <w:rsid w:val="0023590D"/>
    <w:rsid w:val="00242972"/>
    <w:rsid w:val="002508AC"/>
    <w:rsid w:val="0025470D"/>
    <w:rsid w:val="00270E09"/>
    <w:rsid w:val="002722C0"/>
    <w:rsid w:val="00272D57"/>
    <w:rsid w:val="00277B32"/>
    <w:rsid w:val="002A0038"/>
    <w:rsid w:val="002A087F"/>
    <w:rsid w:val="002A1399"/>
    <w:rsid w:val="002A6BE1"/>
    <w:rsid w:val="002A703F"/>
    <w:rsid w:val="002A7E22"/>
    <w:rsid w:val="002A7EA2"/>
    <w:rsid w:val="002C46AC"/>
    <w:rsid w:val="002F26B8"/>
    <w:rsid w:val="0030216A"/>
    <w:rsid w:val="003067CA"/>
    <w:rsid w:val="00306985"/>
    <w:rsid w:val="003209DB"/>
    <w:rsid w:val="003340CA"/>
    <w:rsid w:val="003345B8"/>
    <w:rsid w:val="00337497"/>
    <w:rsid w:val="0035559B"/>
    <w:rsid w:val="00361619"/>
    <w:rsid w:val="00367F84"/>
    <w:rsid w:val="003700E1"/>
    <w:rsid w:val="00372214"/>
    <w:rsid w:val="0039147A"/>
    <w:rsid w:val="00392E61"/>
    <w:rsid w:val="00395D94"/>
    <w:rsid w:val="003A0E60"/>
    <w:rsid w:val="003C5055"/>
    <w:rsid w:val="003D08B6"/>
    <w:rsid w:val="003E6934"/>
    <w:rsid w:val="003F1706"/>
    <w:rsid w:val="003F5AE6"/>
    <w:rsid w:val="003F63FC"/>
    <w:rsid w:val="00423020"/>
    <w:rsid w:val="004239CB"/>
    <w:rsid w:val="004368A9"/>
    <w:rsid w:val="00450B24"/>
    <w:rsid w:val="004614F2"/>
    <w:rsid w:val="004749E9"/>
    <w:rsid w:val="00480FF7"/>
    <w:rsid w:val="004853DD"/>
    <w:rsid w:val="00493C33"/>
    <w:rsid w:val="00494C80"/>
    <w:rsid w:val="00496E58"/>
    <w:rsid w:val="004B02D5"/>
    <w:rsid w:val="004C42D3"/>
    <w:rsid w:val="004E0E71"/>
    <w:rsid w:val="004E2A73"/>
    <w:rsid w:val="00515387"/>
    <w:rsid w:val="00537BCC"/>
    <w:rsid w:val="0055302F"/>
    <w:rsid w:val="005B4DAC"/>
    <w:rsid w:val="005B6845"/>
    <w:rsid w:val="005B7C2E"/>
    <w:rsid w:val="005C02EE"/>
    <w:rsid w:val="005C2CBF"/>
    <w:rsid w:val="005C5DB3"/>
    <w:rsid w:val="005C66A3"/>
    <w:rsid w:val="005E4A0C"/>
    <w:rsid w:val="005E5C7C"/>
    <w:rsid w:val="00602F9A"/>
    <w:rsid w:val="00602FA2"/>
    <w:rsid w:val="00605CA2"/>
    <w:rsid w:val="00606870"/>
    <w:rsid w:val="00623B28"/>
    <w:rsid w:val="006256C1"/>
    <w:rsid w:val="00652621"/>
    <w:rsid w:val="00663D1A"/>
    <w:rsid w:val="0066742E"/>
    <w:rsid w:val="0069052A"/>
    <w:rsid w:val="0069506A"/>
    <w:rsid w:val="006A0949"/>
    <w:rsid w:val="006A1E1A"/>
    <w:rsid w:val="006A6E6A"/>
    <w:rsid w:val="006A7E6E"/>
    <w:rsid w:val="006B33A1"/>
    <w:rsid w:val="006B3DFE"/>
    <w:rsid w:val="006C1405"/>
    <w:rsid w:val="006C25C9"/>
    <w:rsid w:val="006C370A"/>
    <w:rsid w:val="006C4951"/>
    <w:rsid w:val="006D5526"/>
    <w:rsid w:val="006E2215"/>
    <w:rsid w:val="006E6D1D"/>
    <w:rsid w:val="00705CAF"/>
    <w:rsid w:val="007127DB"/>
    <w:rsid w:val="00731874"/>
    <w:rsid w:val="007353C0"/>
    <w:rsid w:val="00755BF9"/>
    <w:rsid w:val="00762BBB"/>
    <w:rsid w:val="007815F1"/>
    <w:rsid w:val="00783CE4"/>
    <w:rsid w:val="0079409F"/>
    <w:rsid w:val="007A7F55"/>
    <w:rsid w:val="007B3628"/>
    <w:rsid w:val="007B660F"/>
    <w:rsid w:val="007C564C"/>
    <w:rsid w:val="007F1DA9"/>
    <w:rsid w:val="00810D2C"/>
    <w:rsid w:val="0083209C"/>
    <w:rsid w:val="00832161"/>
    <w:rsid w:val="00833DB9"/>
    <w:rsid w:val="0083554E"/>
    <w:rsid w:val="00844E44"/>
    <w:rsid w:val="00845C4D"/>
    <w:rsid w:val="00847CD1"/>
    <w:rsid w:val="00847F3E"/>
    <w:rsid w:val="00857672"/>
    <w:rsid w:val="00867E8D"/>
    <w:rsid w:val="0089389A"/>
    <w:rsid w:val="008C0432"/>
    <w:rsid w:val="008C6BE1"/>
    <w:rsid w:val="008C7533"/>
    <w:rsid w:val="008D2300"/>
    <w:rsid w:val="008D434E"/>
    <w:rsid w:val="008D77EA"/>
    <w:rsid w:val="008E7357"/>
    <w:rsid w:val="008F5E31"/>
    <w:rsid w:val="00901052"/>
    <w:rsid w:val="009209CF"/>
    <w:rsid w:val="009357EA"/>
    <w:rsid w:val="00945E59"/>
    <w:rsid w:val="00950EFE"/>
    <w:rsid w:val="009524C5"/>
    <w:rsid w:val="00957CFC"/>
    <w:rsid w:val="00965A26"/>
    <w:rsid w:val="009A68F5"/>
    <w:rsid w:val="009A6EC9"/>
    <w:rsid w:val="009C0020"/>
    <w:rsid w:val="009C6F29"/>
    <w:rsid w:val="009D3464"/>
    <w:rsid w:val="009D7FE8"/>
    <w:rsid w:val="009F2E8F"/>
    <w:rsid w:val="00A26F8D"/>
    <w:rsid w:val="00A31B04"/>
    <w:rsid w:val="00A32568"/>
    <w:rsid w:val="00A4731B"/>
    <w:rsid w:val="00A51619"/>
    <w:rsid w:val="00A83146"/>
    <w:rsid w:val="00AA1003"/>
    <w:rsid w:val="00AB1BB8"/>
    <w:rsid w:val="00AD0A6C"/>
    <w:rsid w:val="00AD31BC"/>
    <w:rsid w:val="00AD6AB1"/>
    <w:rsid w:val="00B01256"/>
    <w:rsid w:val="00B130A8"/>
    <w:rsid w:val="00B1334C"/>
    <w:rsid w:val="00B21DF1"/>
    <w:rsid w:val="00B24922"/>
    <w:rsid w:val="00B303F2"/>
    <w:rsid w:val="00B342F4"/>
    <w:rsid w:val="00B353E4"/>
    <w:rsid w:val="00B47CD5"/>
    <w:rsid w:val="00B577B8"/>
    <w:rsid w:val="00B67405"/>
    <w:rsid w:val="00B676C0"/>
    <w:rsid w:val="00B72E73"/>
    <w:rsid w:val="00B93025"/>
    <w:rsid w:val="00BA279F"/>
    <w:rsid w:val="00BC634B"/>
    <w:rsid w:val="00BC776E"/>
    <w:rsid w:val="00BD51C4"/>
    <w:rsid w:val="00BE16B1"/>
    <w:rsid w:val="00BE3582"/>
    <w:rsid w:val="00BE6AE8"/>
    <w:rsid w:val="00BF08F4"/>
    <w:rsid w:val="00BF27FE"/>
    <w:rsid w:val="00BF550E"/>
    <w:rsid w:val="00C0371B"/>
    <w:rsid w:val="00C13110"/>
    <w:rsid w:val="00C207FD"/>
    <w:rsid w:val="00C235B2"/>
    <w:rsid w:val="00C25808"/>
    <w:rsid w:val="00C30E99"/>
    <w:rsid w:val="00C349E3"/>
    <w:rsid w:val="00C52773"/>
    <w:rsid w:val="00C7231E"/>
    <w:rsid w:val="00C76145"/>
    <w:rsid w:val="00CA4B93"/>
    <w:rsid w:val="00CA7EE7"/>
    <w:rsid w:val="00CB29F6"/>
    <w:rsid w:val="00CB5CC9"/>
    <w:rsid w:val="00CD1688"/>
    <w:rsid w:val="00CE443E"/>
    <w:rsid w:val="00D117A6"/>
    <w:rsid w:val="00D12DB5"/>
    <w:rsid w:val="00D20CB1"/>
    <w:rsid w:val="00D23074"/>
    <w:rsid w:val="00D32C6D"/>
    <w:rsid w:val="00D343B8"/>
    <w:rsid w:val="00D37CD2"/>
    <w:rsid w:val="00D40142"/>
    <w:rsid w:val="00D51954"/>
    <w:rsid w:val="00D550AD"/>
    <w:rsid w:val="00D63EE3"/>
    <w:rsid w:val="00D700F8"/>
    <w:rsid w:val="00DD2A4C"/>
    <w:rsid w:val="00DD5391"/>
    <w:rsid w:val="00E0027B"/>
    <w:rsid w:val="00E0414E"/>
    <w:rsid w:val="00E47ED6"/>
    <w:rsid w:val="00E575DD"/>
    <w:rsid w:val="00E63606"/>
    <w:rsid w:val="00E80717"/>
    <w:rsid w:val="00E84315"/>
    <w:rsid w:val="00E8483A"/>
    <w:rsid w:val="00EA2859"/>
    <w:rsid w:val="00EB79E1"/>
    <w:rsid w:val="00EC1B75"/>
    <w:rsid w:val="00EC423B"/>
    <w:rsid w:val="00ED13F7"/>
    <w:rsid w:val="00EF0429"/>
    <w:rsid w:val="00EF122B"/>
    <w:rsid w:val="00F07BE7"/>
    <w:rsid w:val="00F12FDA"/>
    <w:rsid w:val="00F32546"/>
    <w:rsid w:val="00F435E1"/>
    <w:rsid w:val="00FA06EC"/>
    <w:rsid w:val="00FA4EDF"/>
    <w:rsid w:val="00FB6D4C"/>
    <w:rsid w:val="00FC4D2E"/>
    <w:rsid w:val="00FD4093"/>
    <w:rsid w:val="00FE2FB6"/>
    <w:rsid w:val="00FF1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docId w15:val="{A3696A73-DEFF-4C2C-B903-55B595F6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F9A"/>
    <w:pPr>
      <w:spacing w:after="0" w:line="240" w:lineRule="auto"/>
      <w:jc w:val="both"/>
    </w:pPr>
    <w:rPr>
      <w:rFonts w:ascii="Arial" w:hAnsi="Arial"/>
      <w:sz w:val="20"/>
    </w:rPr>
  </w:style>
  <w:style w:type="paragraph" w:styleId="Ttulo3">
    <w:name w:val="heading 3"/>
    <w:basedOn w:val="Normal"/>
    <w:next w:val="Normal"/>
    <w:link w:val="Ttulo3Char"/>
    <w:qFormat/>
    <w:rsid w:val="00B47CD5"/>
    <w:pPr>
      <w:keepNext/>
      <w:jc w:val="cente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B47CD5"/>
    <w:pPr>
      <w:keepNext/>
      <w:jc w:val="center"/>
      <w:outlineLvl w:val="3"/>
    </w:pPr>
    <w:rPr>
      <w:rFonts w:eastAsia="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02F9A"/>
    <w:pPr>
      <w:tabs>
        <w:tab w:val="center" w:pos="4252"/>
        <w:tab w:val="right" w:pos="8504"/>
      </w:tabs>
    </w:pPr>
  </w:style>
  <w:style w:type="character" w:customStyle="1" w:styleId="CabealhoChar">
    <w:name w:val="Cabeçalho Char"/>
    <w:basedOn w:val="Fontepargpadro"/>
    <w:link w:val="Cabealho"/>
    <w:rsid w:val="00602F9A"/>
    <w:rPr>
      <w:rFonts w:ascii="Arial" w:hAnsi="Arial"/>
      <w:sz w:val="20"/>
    </w:rPr>
  </w:style>
  <w:style w:type="paragraph" w:styleId="Rodap">
    <w:name w:val="footer"/>
    <w:basedOn w:val="Normal"/>
    <w:link w:val="RodapChar"/>
    <w:unhideWhenUsed/>
    <w:rsid w:val="00602F9A"/>
    <w:pPr>
      <w:tabs>
        <w:tab w:val="center" w:pos="4252"/>
        <w:tab w:val="right" w:pos="8504"/>
      </w:tabs>
    </w:pPr>
  </w:style>
  <w:style w:type="character" w:customStyle="1" w:styleId="RodapChar">
    <w:name w:val="Rodapé Char"/>
    <w:basedOn w:val="Fontepargpadro"/>
    <w:link w:val="Rodap"/>
    <w:rsid w:val="00602F9A"/>
    <w:rPr>
      <w:rFonts w:ascii="Arial" w:hAnsi="Arial"/>
      <w:sz w:val="20"/>
    </w:rPr>
  </w:style>
  <w:style w:type="table" w:styleId="Tabelacomgrade">
    <w:name w:val="Table Grid"/>
    <w:basedOn w:val="Tabelanormal"/>
    <w:uiPriority w:val="39"/>
    <w:rsid w:val="006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A6E6A"/>
    <w:pPr>
      <w:ind w:left="720"/>
      <w:contextualSpacing/>
    </w:pPr>
  </w:style>
  <w:style w:type="character" w:customStyle="1" w:styleId="Ttulo3Char">
    <w:name w:val="Título 3 Char"/>
    <w:basedOn w:val="Fontepargpadro"/>
    <w:link w:val="Ttulo3"/>
    <w:rsid w:val="00B47CD5"/>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B47CD5"/>
    <w:rPr>
      <w:rFonts w:ascii="Arial" w:eastAsia="Times New Roman" w:hAnsi="Arial" w:cs="Times New Roman"/>
      <w:b/>
      <w:bCs/>
      <w:sz w:val="28"/>
      <w:szCs w:val="20"/>
      <w:lang w:eastAsia="pt-BR"/>
    </w:rPr>
  </w:style>
  <w:style w:type="character" w:styleId="Forte">
    <w:name w:val="Strong"/>
    <w:basedOn w:val="Fontepargpadro"/>
    <w:uiPriority w:val="22"/>
    <w:qFormat/>
    <w:rsid w:val="00B47CD5"/>
    <w:rPr>
      <w:b/>
      <w:bCs/>
    </w:rPr>
  </w:style>
  <w:style w:type="paragraph" w:styleId="Textodebalo">
    <w:name w:val="Balloon Text"/>
    <w:basedOn w:val="Normal"/>
    <w:link w:val="TextodebaloChar"/>
    <w:rsid w:val="00B47CD5"/>
    <w:pPr>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B47CD5"/>
    <w:rPr>
      <w:rFonts w:ascii="Tahoma" w:eastAsia="Times New Roman" w:hAnsi="Tahoma" w:cs="Tahoma"/>
      <w:sz w:val="16"/>
      <w:szCs w:val="16"/>
      <w:lang w:eastAsia="pt-BR"/>
    </w:rPr>
  </w:style>
  <w:style w:type="paragraph" w:customStyle="1" w:styleId="Default">
    <w:name w:val="Default"/>
    <w:rsid w:val="00B47CD5"/>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pple-converted-space">
    <w:name w:val="apple-converted-space"/>
    <w:basedOn w:val="Fontepargpadro"/>
    <w:rsid w:val="00B47CD5"/>
  </w:style>
  <w:style w:type="character" w:customStyle="1" w:styleId="unit">
    <w:name w:val="unit"/>
    <w:basedOn w:val="Fontepargpadro"/>
    <w:rsid w:val="00B47CD5"/>
  </w:style>
  <w:style w:type="paragraph" w:styleId="NormalWeb">
    <w:name w:val="Normal (Web)"/>
    <w:basedOn w:val="Normal"/>
    <w:uiPriority w:val="99"/>
    <w:semiHidden/>
    <w:unhideWhenUsed/>
    <w:rsid w:val="00B47CD5"/>
    <w:pPr>
      <w:spacing w:before="100" w:beforeAutospacing="1" w:after="100" w:afterAutospacing="1"/>
      <w:jc w:val="left"/>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9795">
      <w:bodyDiv w:val="1"/>
      <w:marLeft w:val="0"/>
      <w:marRight w:val="0"/>
      <w:marTop w:val="0"/>
      <w:marBottom w:val="0"/>
      <w:divBdr>
        <w:top w:val="none" w:sz="0" w:space="0" w:color="auto"/>
        <w:left w:val="none" w:sz="0" w:space="0" w:color="auto"/>
        <w:bottom w:val="none" w:sz="0" w:space="0" w:color="auto"/>
        <w:right w:val="none" w:sz="0" w:space="0" w:color="auto"/>
      </w:divBdr>
    </w:div>
    <w:div w:id="233783093">
      <w:bodyDiv w:val="1"/>
      <w:marLeft w:val="0"/>
      <w:marRight w:val="0"/>
      <w:marTop w:val="0"/>
      <w:marBottom w:val="0"/>
      <w:divBdr>
        <w:top w:val="none" w:sz="0" w:space="0" w:color="auto"/>
        <w:left w:val="none" w:sz="0" w:space="0" w:color="auto"/>
        <w:bottom w:val="none" w:sz="0" w:space="0" w:color="auto"/>
        <w:right w:val="none" w:sz="0" w:space="0" w:color="auto"/>
      </w:divBdr>
    </w:div>
    <w:div w:id="281115818">
      <w:bodyDiv w:val="1"/>
      <w:marLeft w:val="0"/>
      <w:marRight w:val="0"/>
      <w:marTop w:val="0"/>
      <w:marBottom w:val="0"/>
      <w:divBdr>
        <w:top w:val="none" w:sz="0" w:space="0" w:color="auto"/>
        <w:left w:val="none" w:sz="0" w:space="0" w:color="auto"/>
        <w:bottom w:val="none" w:sz="0" w:space="0" w:color="auto"/>
        <w:right w:val="none" w:sz="0" w:space="0" w:color="auto"/>
      </w:divBdr>
    </w:div>
    <w:div w:id="515777124">
      <w:bodyDiv w:val="1"/>
      <w:marLeft w:val="0"/>
      <w:marRight w:val="0"/>
      <w:marTop w:val="0"/>
      <w:marBottom w:val="0"/>
      <w:divBdr>
        <w:top w:val="none" w:sz="0" w:space="0" w:color="auto"/>
        <w:left w:val="none" w:sz="0" w:space="0" w:color="auto"/>
        <w:bottom w:val="none" w:sz="0" w:space="0" w:color="auto"/>
        <w:right w:val="none" w:sz="0" w:space="0" w:color="auto"/>
      </w:divBdr>
    </w:div>
    <w:div w:id="638606002">
      <w:bodyDiv w:val="1"/>
      <w:marLeft w:val="0"/>
      <w:marRight w:val="0"/>
      <w:marTop w:val="0"/>
      <w:marBottom w:val="0"/>
      <w:divBdr>
        <w:top w:val="none" w:sz="0" w:space="0" w:color="auto"/>
        <w:left w:val="none" w:sz="0" w:space="0" w:color="auto"/>
        <w:bottom w:val="none" w:sz="0" w:space="0" w:color="auto"/>
        <w:right w:val="none" w:sz="0" w:space="0" w:color="auto"/>
      </w:divBdr>
    </w:div>
    <w:div w:id="678774646">
      <w:bodyDiv w:val="1"/>
      <w:marLeft w:val="0"/>
      <w:marRight w:val="0"/>
      <w:marTop w:val="0"/>
      <w:marBottom w:val="0"/>
      <w:divBdr>
        <w:top w:val="none" w:sz="0" w:space="0" w:color="auto"/>
        <w:left w:val="none" w:sz="0" w:space="0" w:color="auto"/>
        <w:bottom w:val="none" w:sz="0" w:space="0" w:color="auto"/>
        <w:right w:val="none" w:sz="0" w:space="0" w:color="auto"/>
      </w:divBdr>
    </w:div>
    <w:div w:id="716972137">
      <w:bodyDiv w:val="1"/>
      <w:marLeft w:val="0"/>
      <w:marRight w:val="0"/>
      <w:marTop w:val="0"/>
      <w:marBottom w:val="0"/>
      <w:divBdr>
        <w:top w:val="none" w:sz="0" w:space="0" w:color="auto"/>
        <w:left w:val="none" w:sz="0" w:space="0" w:color="auto"/>
        <w:bottom w:val="none" w:sz="0" w:space="0" w:color="auto"/>
        <w:right w:val="none" w:sz="0" w:space="0" w:color="auto"/>
      </w:divBdr>
    </w:div>
    <w:div w:id="726732521">
      <w:bodyDiv w:val="1"/>
      <w:marLeft w:val="0"/>
      <w:marRight w:val="0"/>
      <w:marTop w:val="0"/>
      <w:marBottom w:val="0"/>
      <w:divBdr>
        <w:top w:val="none" w:sz="0" w:space="0" w:color="auto"/>
        <w:left w:val="none" w:sz="0" w:space="0" w:color="auto"/>
        <w:bottom w:val="none" w:sz="0" w:space="0" w:color="auto"/>
        <w:right w:val="none" w:sz="0" w:space="0" w:color="auto"/>
      </w:divBdr>
    </w:div>
    <w:div w:id="728501381">
      <w:bodyDiv w:val="1"/>
      <w:marLeft w:val="0"/>
      <w:marRight w:val="0"/>
      <w:marTop w:val="0"/>
      <w:marBottom w:val="0"/>
      <w:divBdr>
        <w:top w:val="none" w:sz="0" w:space="0" w:color="auto"/>
        <w:left w:val="none" w:sz="0" w:space="0" w:color="auto"/>
        <w:bottom w:val="none" w:sz="0" w:space="0" w:color="auto"/>
        <w:right w:val="none" w:sz="0" w:space="0" w:color="auto"/>
      </w:divBdr>
    </w:div>
    <w:div w:id="743335213">
      <w:bodyDiv w:val="1"/>
      <w:marLeft w:val="0"/>
      <w:marRight w:val="0"/>
      <w:marTop w:val="0"/>
      <w:marBottom w:val="0"/>
      <w:divBdr>
        <w:top w:val="none" w:sz="0" w:space="0" w:color="auto"/>
        <w:left w:val="none" w:sz="0" w:space="0" w:color="auto"/>
        <w:bottom w:val="none" w:sz="0" w:space="0" w:color="auto"/>
        <w:right w:val="none" w:sz="0" w:space="0" w:color="auto"/>
      </w:divBdr>
    </w:div>
    <w:div w:id="774206231">
      <w:bodyDiv w:val="1"/>
      <w:marLeft w:val="0"/>
      <w:marRight w:val="0"/>
      <w:marTop w:val="0"/>
      <w:marBottom w:val="0"/>
      <w:divBdr>
        <w:top w:val="none" w:sz="0" w:space="0" w:color="auto"/>
        <w:left w:val="none" w:sz="0" w:space="0" w:color="auto"/>
        <w:bottom w:val="none" w:sz="0" w:space="0" w:color="auto"/>
        <w:right w:val="none" w:sz="0" w:space="0" w:color="auto"/>
      </w:divBdr>
    </w:div>
    <w:div w:id="825365867">
      <w:bodyDiv w:val="1"/>
      <w:marLeft w:val="0"/>
      <w:marRight w:val="0"/>
      <w:marTop w:val="0"/>
      <w:marBottom w:val="0"/>
      <w:divBdr>
        <w:top w:val="none" w:sz="0" w:space="0" w:color="auto"/>
        <w:left w:val="none" w:sz="0" w:space="0" w:color="auto"/>
        <w:bottom w:val="none" w:sz="0" w:space="0" w:color="auto"/>
        <w:right w:val="none" w:sz="0" w:space="0" w:color="auto"/>
      </w:divBdr>
    </w:div>
    <w:div w:id="844787668">
      <w:bodyDiv w:val="1"/>
      <w:marLeft w:val="0"/>
      <w:marRight w:val="0"/>
      <w:marTop w:val="0"/>
      <w:marBottom w:val="0"/>
      <w:divBdr>
        <w:top w:val="none" w:sz="0" w:space="0" w:color="auto"/>
        <w:left w:val="none" w:sz="0" w:space="0" w:color="auto"/>
        <w:bottom w:val="none" w:sz="0" w:space="0" w:color="auto"/>
        <w:right w:val="none" w:sz="0" w:space="0" w:color="auto"/>
      </w:divBdr>
    </w:div>
    <w:div w:id="918488966">
      <w:bodyDiv w:val="1"/>
      <w:marLeft w:val="0"/>
      <w:marRight w:val="0"/>
      <w:marTop w:val="0"/>
      <w:marBottom w:val="0"/>
      <w:divBdr>
        <w:top w:val="none" w:sz="0" w:space="0" w:color="auto"/>
        <w:left w:val="none" w:sz="0" w:space="0" w:color="auto"/>
        <w:bottom w:val="none" w:sz="0" w:space="0" w:color="auto"/>
        <w:right w:val="none" w:sz="0" w:space="0" w:color="auto"/>
      </w:divBdr>
    </w:div>
    <w:div w:id="1015811842">
      <w:bodyDiv w:val="1"/>
      <w:marLeft w:val="0"/>
      <w:marRight w:val="0"/>
      <w:marTop w:val="0"/>
      <w:marBottom w:val="0"/>
      <w:divBdr>
        <w:top w:val="none" w:sz="0" w:space="0" w:color="auto"/>
        <w:left w:val="none" w:sz="0" w:space="0" w:color="auto"/>
        <w:bottom w:val="none" w:sz="0" w:space="0" w:color="auto"/>
        <w:right w:val="none" w:sz="0" w:space="0" w:color="auto"/>
      </w:divBdr>
    </w:div>
    <w:div w:id="1030954945">
      <w:bodyDiv w:val="1"/>
      <w:marLeft w:val="0"/>
      <w:marRight w:val="0"/>
      <w:marTop w:val="0"/>
      <w:marBottom w:val="0"/>
      <w:divBdr>
        <w:top w:val="none" w:sz="0" w:space="0" w:color="auto"/>
        <w:left w:val="none" w:sz="0" w:space="0" w:color="auto"/>
        <w:bottom w:val="none" w:sz="0" w:space="0" w:color="auto"/>
        <w:right w:val="none" w:sz="0" w:space="0" w:color="auto"/>
      </w:divBdr>
    </w:div>
    <w:div w:id="1035889983">
      <w:bodyDiv w:val="1"/>
      <w:marLeft w:val="0"/>
      <w:marRight w:val="0"/>
      <w:marTop w:val="0"/>
      <w:marBottom w:val="0"/>
      <w:divBdr>
        <w:top w:val="none" w:sz="0" w:space="0" w:color="auto"/>
        <w:left w:val="none" w:sz="0" w:space="0" w:color="auto"/>
        <w:bottom w:val="none" w:sz="0" w:space="0" w:color="auto"/>
        <w:right w:val="none" w:sz="0" w:space="0" w:color="auto"/>
      </w:divBdr>
    </w:div>
    <w:div w:id="1180315124">
      <w:bodyDiv w:val="1"/>
      <w:marLeft w:val="0"/>
      <w:marRight w:val="0"/>
      <w:marTop w:val="0"/>
      <w:marBottom w:val="0"/>
      <w:divBdr>
        <w:top w:val="none" w:sz="0" w:space="0" w:color="auto"/>
        <w:left w:val="none" w:sz="0" w:space="0" w:color="auto"/>
        <w:bottom w:val="none" w:sz="0" w:space="0" w:color="auto"/>
        <w:right w:val="none" w:sz="0" w:space="0" w:color="auto"/>
      </w:divBdr>
    </w:div>
    <w:div w:id="1185361552">
      <w:bodyDiv w:val="1"/>
      <w:marLeft w:val="0"/>
      <w:marRight w:val="0"/>
      <w:marTop w:val="0"/>
      <w:marBottom w:val="0"/>
      <w:divBdr>
        <w:top w:val="none" w:sz="0" w:space="0" w:color="auto"/>
        <w:left w:val="none" w:sz="0" w:space="0" w:color="auto"/>
        <w:bottom w:val="none" w:sz="0" w:space="0" w:color="auto"/>
        <w:right w:val="none" w:sz="0" w:space="0" w:color="auto"/>
      </w:divBdr>
    </w:div>
    <w:div w:id="1463578218">
      <w:bodyDiv w:val="1"/>
      <w:marLeft w:val="0"/>
      <w:marRight w:val="0"/>
      <w:marTop w:val="0"/>
      <w:marBottom w:val="0"/>
      <w:divBdr>
        <w:top w:val="none" w:sz="0" w:space="0" w:color="auto"/>
        <w:left w:val="none" w:sz="0" w:space="0" w:color="auto"/>
        <w:bottom w:val="none" w:sz="0" w:space="0" w:color="auto"/>
        <w:right w:val="none" w:sz="0" w:space="0" w:color="auto"/>
      </w:divBdr>
    </w:div>
    <w:div w:id="1510176395">
      <w:bodyDiv w:val="1"/>
      <w:marLeft w:val="0"/>
      <w:marRight w:val="0"/>
      <w:marTop w:val="0"/>
      <w:marBottom w:val="0"/>
      <w:divBdr>
        <w:top w:val="none" w:sz="0" w:space="0" w:color="auto"/>
        <w:left w:val="none" w:sz="0" w:space="0" w:color="auto"/>
        <w:bottom w:val="none" w:sz="0" w:space="0" w:color="auto"/>
        <w:right w:val="none" w:sz="0" w:space="0" w:color="auto"/>
      </w:divBdr>
    </w:div>
    <w:div w:id="1552882420">
      <w:bodyDiv w:val="1"/>
      <w:marLeft w:val="0"/>
      <w:marRight w:val="0"/>
      <w:marTop w:val="0"/>
      <w:marBottom w:val="0"/>
      <w:divBdr>
        <w:top w:val="none" w:sz="0" w:space="0" w:color="auto"/>
        <w:left w:val="none" w:sz="0" w:space="0" w:color="auto"/>
        <w:bottom w:val="none" w:sz="0" w:space="0" w:color="auto"/>
        <w:right w:val="none" w:sz="0" w:space="0" w:color="auto"/>
      </w:divBdr>
    </w:div>
    <w:div w:id="1678001912">
      <w:bodyDiv w:val="1"/>
      <w:marLeft w:val="0"/>
      <w:marRight w:val="0"/>
      <w:marTop w:val="0"/>
      <w:marBottom w:val="0"/>
      <w:divBdr>
        <w:top w:val="none" w:sz="0" w:space="0" w:color="auto"/>
        <w:left w:val="none" w:sz="0" w:space="0" w:color="auto"/>
        <w:bottom w:val="none" w:sz="0" w:space="0" w:color="auto"/>
        <w:right w:val="none" w:sz="0" w:space="0" w:color="auto"/>
      </w:divBdr>
    </w:div>
    <w:div w:id="1712731670">
      <w:bodyDiv w:val="1"/>
      <w:marLeft w:val="0"/>
      <w:marRight w:val="0"/>
      <w:marTop w:val="0"/>
      <w:marBottom w:val="0"/>
      <w:divBdr>
        <w:top w:val="none" w:sz="0" w:space="0" w:color="auto"/>
        <w:left w:val="none" w:sz="0" w:space="0" w:color="auto"/>
        <w:bottom w:val="none" w:sz="0" w:space="0" w:color="auto"/>
        <w:right w:val="none" w:sz="0" w:space="0" w:color="auto"/>
      </w:divBdr>
    </w:div>
    <w:div w:id="1881548634">
      <w:bodyDiv w:val="1"/>
      <w:marLeft w:val="0"/>
      <w:marRight w:val="0"/>
      <w:marTop w:val="0"/>
      <w:marBottom w:val="0"/>
      <w:divBdr>
        <w:top w:val="none" w:sz="0" w:space="0" w:color="auto"/>
        <w:left w:val="none" w:sz="0" w:space="0" w:color="auto"/>
        <w:bottom w:val="none" w:sz="0" w:space="0" w:color="auto"/>
        <w:right w:val="none" w:sz="0" w:space="0" w:color="auto"/>
      </w:divBdr>
    </w:div>
    <w:div w:id="1881670335">
      <w:bodyDiv w:val="1"/>
      <w:marLeft w:val="0"/>
      <w:marRight w:val="0"/>
      <w:marTop w:val="0"/>
      <w:marBottom w:val="0"/>
      <w:divBdr>
        <w:top w:val="none" w:sz="0" w:space="0" w:color="auto"/>
        <w:left w:val="none" w:sz="0" w:space="0" w:color="auto"/>
        <w:bottom w:val="none" w:sz="0" w:space="0" w:color="auto"/>
        <w:right w:val="none" w:sz="0" w:space="0" w:color="auto"/>
      </w:divBdr>
    </w:div>
    <w:div w:id="2008903304">
      <w:bodyDiv w:val="1"/>
      <w:marLeft w:val="0"/>
      <w:marRight w:val="0"/>
      <w:marTop w:val="0"/>
      <w:marBottom w:val="0"/>
      <w:divBdr>
        <w:top w:val="none" w:sz="0" w:space="0" w:color="auto"/>
        <w:left w:val="none" w:sz="0" w:space="0" w:color="auto"/>
        <w:bottom w:val="none" w:sz="0" w:space="0" w:color="auto"/>
        <w:right w:val="none" w:sz="0" w:space="0" w:color="auto"/>
      </w:divBdr>
    </w:div>
    <w:div w:id="2014337607">
      <w:bodyDiv w:val="1"/>
      <w:marLeft w:val="0"/>
      <w:marRight w:val="0"/>
      <w:marTop w:val="0"/>
      <w:marBottom w:val="0"/>
      <w:divBdr>
        <w:top w:val="none" w:sz="0" w:space="0" w:color="auto"/>
        <w:left w:val="none" w:sz="0" w:space="0" w:color="auto"/>
        <w:bottom w:val="none" w:sz="0" w:space="0" w:color="auto"/>
        <w:right w:val="none" w:sz="0" w:space="0" w:color="auto"/>
      </w:divBdr>
    </w:div>
    <w:div w:id="2086490911">
      <w:bodyDiv w:val="1"/>
      <w:marLeft w:val="0"/>
      <w:marRight w:val="0"/>
      <w:marTop w:val="0"/>
      <w:marBottom w:val="0"/>
      <w:divBdr>
        <w:top w:val="none" w:sz="0" w:space="0" w:color="auto"/>
        <w:left w:val="none" w:sz="0" w:space="0" w:color="auto"/>
        <w:bottom w:val="none" w:sz="0" w:space="0" w:color="auto"/>
        <w:right w:val="none" w:sz="0" w:space="0" w:color="auto"/>
      </w:divBdr>
    </w:div>
    <w:div w:id="2089039110">
      <w:bodyDiv w:val="1"/>
      <w:marLeft w:val="0"/>
      <w:marRight w:val="0"/>
      <w:marTop w:val="0"/>
      <w:marBottom w:val="0"/>
      <w:divBdr>
        <w:top w:val="none" w:sz="0" w:space="0" w:color="auto"/>
        <w:left w:val="none" w:sz="0" w:space="0" w:color="auto"/>
        <w:bottom w:val="none" w:sz="0" w:space="0" w:color="auto"/>
        <w:right w:val="none" w:sz="0" w:space="0" w:color="auto"/>
      </w:divBdr>
    </w:div>
    <w:div w:id="2098743896">
      <w:bodyDiv w:val="1"/>
      <w:marLeft w:val="0"/>
      <w:marRight w:val="0"/>
      <w:marTop w:val="0"/>
      <w:marBottom w:val="0"/>
      <w:divBdr>
        <w:top w:val="none" w:sz="0" w:space="0" w:color="auto"/>
        <w:left w:val="none" w:sz="0" w:space="0" w:color="auto"/>
        <w:bottom w:val="none" w:sz="0" w:space="0" w:color="auto"/>
        <w:right w:val="none" w:sz="0" w:space="0" w:color="auto"/>
      </w:divBdr>
    </w:div>
    <w:div w:id="2100174881">
      <w:bodyDiv w:val="1"/>
      <w:marLeft w:val="0"/>
      <w:marRight w:val="0"/>
      <w:marTop w:val="0"/>
      <w:marBottom w:val="0"/>
      <w:divBdr>
        <w:top w:val="none" w:sz="0" w:space="0" w:color="auto"/>
        <w:left w:val="none" w:sz="0" w:space="0" w:color="auto"/>
        <w:bottom w:val="none" w:sz="0" w:space="0" w:color="auto"/>
        <w:right w:val="none" w:sz="0" w:space="0" w:color="auto"/>
      </w:divBdr>
    </w:div>
    <w:div w:id="21022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0BB9-B9ED-46CB-85FA-9C82EC34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2935</Words>
  <Characters>15849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Janilson Antonio Da Silva Suzart</dc:creator>
  <cp:keywords/>
  <dc:description/>
  <cp:lastModifiedBy>THIAGO DA SILVA TELLES CONSTANTINO</cp:lastModifiedBy>
  <cp:revision>3</cp:revision>
  <cp:lastPrinted>2017-10-16T17:24:00Z</cp:lastPrinted>
  <dcterms:created xsi:type="dcterms:W3CDTF">2018-01-31T21:11:00Z</dcterms:created>
  <dcterms:modified xsi:type="dcterms:W3CDTF">2018-01-31T21:13:00Z</dcterms:modified>
</cp:coreProperties>
</file>