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A4" w:rsidRPr="002A26A4" w:rsidRDefault="002A26A4" w:rsidP="002A26A4">
      <w:pPr>
        <w:keepNext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8"/>
          <w:szCs w:val="24"/>
          <w:lang w:eastAsia="pt-BR"/>
        </w:rPr>
      </w:pPr>
      <w:r w:rsidRPr="002A26A4">
        <w:rPr>
          <w:rFonts w:ascii="Arial" w:eastAsia="Times New Roman" w:hAnsi="Arial" w:cs="Arial"/>
          <w:b/>
          <w:bCs/>
          <w:sz w:val="18"/>
          <w:szCs w:val="24"/>
          <w:lang w:eastAsia="pt-BR"/>
        </w:rPr>
        <w:t>AGÊNCIA NACIONAL DO PETRÓLEO, GÁS NATURAL E BIOCOMBUSTÍVEIS</w:t>
      </w:r>
    </w:p>
    <w:p w:rsidR="002A26A4" w:rsidRPr="002A26A4" w:rsidRDefault="002A26A4" w:rsidP="002A26A4">
      <w:pPr>
        <w:pBdr>
          <w:top w:val="single" w:sz="2" w:space="0" w:color="000080"/>
          <w:bottom w:val="single" w:sz="2" w:space="0" w:color="000080"/>
        </w:pBd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color w:val="000080"/>
          <w:sz w:val="26"/>
          <w:szCs w:val="20"/>
          <w:lang w:eastAsia="pt-BR"/>
        </w:rPr>
      </w:pPr>
      <w:r w:rsidRPr="002A26A4">
        <w:rPr>
          <w:rFonts w:ascii="Arial" w:eastAsia="Times New Roman" w:hAnsi="Arial" w:cs="Times New Roman"/>
          <w:b/>
          <w:color w:val="000080"/>
          <w:sz w:val="26"/>
          <w:szCs w:val="20"/>
          <w:lang w:eastAsia="pt-BR"/>
        </w:rPr>
        <w:t>PORTARIA ANP Nº 248, DE 28.7.2016 - DOU 29.7.2016</w:t>
      </w:r>
    </w:p>
    <w:p w:rsidR="002A26A4" w:rsidRPr="002A26A4" w:rsidRDefault="002A26A4" w:rsidP="002A26A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 </w:t>
      </w:r>
    </w:p>
    <w:p w:rsidR="002A26A4" w:rsidRPr="002A26A4" w:rsidRDefault="002A26A4" w:rsidP="002A26A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O DIRETOR-GERAL SUBSTITUTO da AGÊNCIA NACIONAL DO PETRÓLEO, GÁS NATURAL E BIOCOMBUSTÍVEIS - ANP, com base na Portaria ANP nº </w:t>
      </w:r>
      <w:hyperlink r:id="rId4" w:history="1">
        <w:r w:rsidRPr="002A26A4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193</w:t>
        </w:r>
      </w:hyperlink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de 23 de junho de 2016, e nos termos da Lei nº </w:t>
      </w:r>
      <w:hyperlink r:id="rId5" w:history="1">
        <w:r w:rsidRPr="002A26A4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10.871</w:t>
        </w:r>
      </w:hyperlink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, de 20 de maio de 2004, com a redação dada pela Lei nº </w:t>
      </w:r>
      <w:hyperlink r:id="rId6" w:history="1">
        <w:r w:rsidRPr="002A26A4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11.292</w:t>
        </w:r>
      </w:hyperlink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de 26 de abril de 2006, regulamentadas pelo Decreto nº </w:t>
      </w:r>
      <w:hyperlink r:id="rId7" w:history="1">
        <w:r w:rsidRPr="002A26A4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7.133</w:t>
        </w:r>
      </w:hyperlink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, de 19 de março de 2010, e</w:t>
      </w:r>
    </w:p>
    <w:p w:rsidR="002A26A4" w:rsidRPr="002A26A4" w:rsidRDefault="002A26A4" w:rsidP="002A26A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Considerando a deliberação da Diretoria Colegiada na Resolução de Diretoria nº 601, de 27 de julho de 2016,</w:t>
      </w:r>
    </w:p>
    <w:p w:rsidR="002A26A4" w:rsidRPr="002A26A4" w:rsidRDefault="002A26A4" w:rsidP="002A26A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Resolve:</w:t>
      </w:r>
    </w:p>
    <w:p w:rsidR="002A26A4" w:rsidRPr="002A26A4" w:rsidRDefault="002A26A4" w:rsidP="002A26A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 </w:t>
      </w:r>
    </w:p>
    <w:p w:rsidR="002A26A4" w:rsidRPr="002A26A4" w:rsidRDefault="002A26A4" w:rsidP="002A26A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bookmarkStart w:id="0" w:name="art1"/>
      <w:bookmarkEnd w:id="0"/>
      <w:r w:rsidRPr="002A26A4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1º</w:t>
      </w:r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Fixar, de acordo com o Anexo I desta Portaria, as metas de desempenho institucional da Agência Nacional do Petróleo, Gás Natural e Biocombustíveis - ANP para o período de avaliação de desempenho compreendido de 01 de agosto de 2016 a 31 de julho de 2017, em consonância com o que dispõe o a</w:t>
      </w:r>
      <w:bookmarkStart w:id="1" w:name="_GoBack"/>
      <w:bookmarkEnd w:id="1"/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rtigo </w:t>
      </w:r>
      <w:hyperlink r:id="rId8" w:history="1">
        <w:r w:rsidRPr="002A26A4">
          <w:rPr>
            <w:rFonts w:ascii="Arial" w:eastAsia="Times New Roman" w:hAnsi="Arial" w:cs="Times New Roman"/>
            <w:i/>
            <w:iCs/>
            <w:color w:val="0000FF"/>
            <w:sz w:val="20"/>
            <w:szCs w:val="20"/>
            <w:u w:val="single"/>
            <w:lang w:eastAsia="pt-BR"/>
          </w:rPr>
          <w:t>5</w:t>
        </w:r>
      </w:hyperlink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º do Decreto nº 7.133, de 19 de março de 2010.</w:t>
      </w:r>
    </w:p>
    <w:p w:rsidR="002A26A4" w:rsidRPr="002A26A4" w:rsidRDefault="002A26A4" w:rsidP="002A26A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bookmarkStart w:id="2" w:name="art2"/>
      <w:bookmarkEnd w:id="2"/>
      <w:r w:rsidRPr="002A26A4">
        <w:rPr>
          <w:rFonts w:ascii="Arial" w:eastAsia="Times New Roman" w:hAnsi="Arial" w:cs="Times New Roman"/>
          <w:b/>
          <w:bCs/>
          <w:color w:val="000080"/>
          <w:sz w:val="20"/>
          <w:szCs w:val="20"/>
          <w:lang w:eastAsia="pt-BR"/>
        </w:rPr>
        <w:t>Art. 2º</w:t>
      </w:r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 xml:space="preserve"> Esta Portaria entra em vigor na data de sua publicação.</w:t>
      </w:r>
    </w:p>
    <w:p w:rsidR="002A26A4" w:rsidRPr="002A26A4" w:rsidRDefault="002A26A4" w:rsidP="002A26A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 </w:t>
      </w:r>
    </w:p>
    <w:p w:rsidR="002A26A4" w:rsidRPr="002A26A4" w:rsidRDefault="002A26A4" w:rsidP="002A26A4">
      <w:pPr>
        <w:snapToGrid w:val="0"/>
        <w:spacing w:before="261" w:after="40" w:line="240" w:lineRule="auto"/>
        <w:ind w:firstLine="357"/>
        <w:jc w:val="center"/>
        <w:rPr>
          <w:rFonts w:ascii="Arial" w:eastAsia="Times New Roman" w:hAnsi="Arial" w:cs="Times New Roman"/>
          <w:i/>
          <w:color w:val="000080"/>
          <w:sz w:val="20"/>
          <w:szCs w:val="24"/>
          <w:lang w:eastAsia="pt-BR"/>
        </w:rPr>
      </w:pPr>
      <w:r w:rsidRPr="002A26A4">
        <w:rPr>
          <w:rFonts w:ascii="Arial" w:eastAsia="Times New Roman" w:hAnsi="Arial" w:cs="Times New Roman"/>
          <w:i/>
          <w:color w:val="000080"/>
          <w:sz w:val="20"/>
          <w:szCs w:val="24"/>
          <w:lang w:eastAsia="pt-BR"/>
        </w:rPr>
        <w:t>AURÉLIO CESAR NOGUEIRA AMARAL</w:t>
      </w:r>
    </w:p>
    <w:p w:rsidR="002A26A4" w:rsidRDefault="002A26A4" w:rsidP="002A26A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sectPr w:rsidR="002A26A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2A26A4"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  <w:t> </w:t>
      </w:r>
    </w:p>
    <w:p w:rsidR="002A26A4" w:rsidRPr="002A26A4" w:rsidRDefault="002A26A4" w:rsidP="002A26A4">
      <w:pPr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uppressAutoHyphens/>
        <w:spacing w:before="81" w:after="40" w:line="240" w:lineRule="auto"/>
        <w:ind w:firstLine="567"/>
        <w:jc w:val="both"/>
        <w:rPr>
          <w:rFonts w:ascii="Arial" w:eastAsia="Times New Roman" w:hAnsi="Arial" w:cs="Times New Roman"/>
          <w:color w:val="000080"/>
          <w:sz w:val="20"/>
          <w:szCs w:val="20"/>
          <w:lang w:eastAsia="pt-BR"/>
        </w:rPr>
      </w:pPr>
    </w:p>
    <w:p w:rsidR="002A26A4" w:rsidRPr="002A26A4" w:rsidRDefault="002A26A4" w:rsidP="002A26A4">
      <w:pPr>
        <w:keepNext/>
        <w:tabs>
          <w:tab w:val="left" w:pos="720"/>
          <w:tab w:val="left" w:pos="1698"/>
          <w:tab w:val="left" w:pos="2304"/>
          <w:tab w:val="left" w:pos="2820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  <w:tab w:val="left" w:pos="8641"/>
          <w:tab w:val="left" w:pos="9362"/>
          <w:tab w:val="left" w:pos="10083"/>
          <w:tab w:val="left" w:pos="10801"/>
          <w:tab w:val="left" w:pos="11522"/>
          <w:tab w:val="left" w:pos="12243"/>
          <w:tab w:val="left" w:pos="12964"/>
          <w:tab w:val="left" w:pos="13682"/>
          <w:tab w:val="left" w:pos="14403"/>
          <w:tab w:val="left" w:pos="15123"/>
          <w:tab w:val="left" w:pos="15844"/>
          <w:tab w:val="left" w:pos="16562"/>
          <w:tab w:val="left" w:pos="17283"/>
          <w:tab w:val="left" w:pos="18004"/>
          <w:tab w:val="left" w:pos="18722"/>
          <w:tab w:val="left" w:pos="19443"/>
          <w:tab w:val="left" w:pos="20164"/>
          <w:tab w:val="left" w:pos="20885"/>
        </w:tabs>
        <w:spacing w:before="240" w:after="120" w:line="240" w:lineRule="auto"/>
        <w:jc w:val="center"/>
        <w:rPr>
          <w:rFonts w:ascii="Arial" w:eastAsia="Times New Roman" w:hAnsi="Arial" w:cs="Times New Roman"/>
          <w:b/>
          <w:color w:val="000080"/>
          <w:sz w:val="24"/>
          <w:szCs w:val="24"/>
          <w:lang w:eastAsia="pt-BR"/>
        </w:rPr>
      </w:pPr>
      <w:r w:rsidRPr="002A26A4">
        <w:rPr>
          <w:rFonts w:ascii="Arial" w:eastAsia="Times New Roman" w:hAnsi="Arial" w:cs="Times New Roman"/>
          <w:b/>
          <w:color w:val="000080"/>
          <w:sz w:val="24"/>
          <w:szCs w:val="24"/>
          <w:lang w:eastAsia="pt-BR"/>
        </w:rPr>
        <w:t>ANEXO I</w:t>
      </w:r>
    </w:p>
    <w:p w:rsidR="002A26A4" w:rsidRPr="002A26A4" w:rsidRDefault="002A26A4" w:rsidP="002A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09"/>
        <w:gridCol w:w="654"/>
        <w:gridCol w:w="3919"/>
        <w:gridCol w:w="1379"/>
        <w:gridCol w:w="4150"/>
        <w:gridCol w:w="1380"/>
      </w:tblGrid>
      <w:tr w:rsidR="002A26A4" w:rsidRPr="002A26A4" w:rsidTr="002A26A4">
        <w:trPr>
          <w:jc w:val="center"/>
        </w:trPr>
        <w:tc>
          <w:tcPr>
            <w:tcW w:w="77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DIM</w:t>
            </w:r>
          </w:p>
        </w:tc>
        <w:tc>
          <w:tcPr>
            <w:tcW w:w="20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0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1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770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SOCIEDADE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PESO: 50</w:t>
            </w:r>
          </w:p>
        </w:tc>
        <w:tc>
          <w:tcPr>
            <w:tcW w:w="201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0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Desenvolver um ambiente regulatório estável e moderno, por meio da formulação e implementação transparente de suas regulamentações, protegendo os interesses dos consumidores e promovendo a concorrência.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42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Aperfeiçoar os instrumentos de regulação visando garantir a elaboração de regulamentos efetivos e transparentes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Aprimorar os procedimentos de autorização, qualificação, credenciamento e outorga adotados pela ANP com foco na simplificação administrativa e na redução dos prazos de análise da documentação dos agentes econômicos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85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Reforçar a atuação da ANP na defesa da concorrência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0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1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0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Monitorar e fiscalizar o mercado regulado de forma a garantir a oferta de produtos e serviços adequados às necessidades da sociedade e do meio ambiente, assegurando padrões de qualidade de produtos, sua adequação ao uso e a adoção de boas práticas de gestão operacional.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42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Aumentar a efetividade das ações de fiscalização do abastecimento, aprimorando o combate à adulteração e à sonegação, inclusive, por meio de convênios com outros entes públicos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30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Intensificar as ações de fiscalização da indústria do petróleo, com foco na eficiência da produção, na segurança operacional e na proteção do meio ambiente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30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Aperfeiçoar os procedimentos de instrução e julgamento de processos administrativos sancionadores visando garantir a celeridade nos julgamentos de 1ª instância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30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Estimular a participação social no combate à adulteração e à sonegação por meio dos canais de relacionamento da ANP</w:t>
            </w:r>
          </w:p>
        </w:tc>
        <w:tc>
          <w:tcPr>
            <w:tcW w:w="42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10</w:t>
            </w:r>
          </w:p>
        </w:tc>
      </w:tr>
    </w:tbl>
    <w:p w:rsidR="002A26A4" w:rsidRPr="002A26A4" w:rsidRDefault="002A26A4" w:rsidP="002A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6A4" w:rsidRPr="002A26A4" w:rsidRDefault="002A26A4" w:rsidP="002A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602"/>
        <w:gridCol w:w="890"/>
        <w:gridCol w:w="3976"/>
        <w:gridCol w:w="1346"/>
        <w:gridCol w:w="3831"/>
        <w:gridCol w:w="1346"/>
      </w:tblGrid>
      <w:tr w:rsidR="002A26A4" w:rsidRPr="002A26A4" w:rsidTr="002A26A4">
        <w:trPr>
          <w:jc w:val="center"/>
        </w:trPr>
        <w:tc>
          <w:tcPr>
            <w:tcW w:w="79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DIM</w:t>
            </w:r>
          </w:p>
        </w:tc>
        <w:tc>
          <w:tcPr>
            <w:tcW w:w="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799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FINANÇAS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PESO: 18</w:t>
            </w:r>
          </w:p>
        </w:tc>
        <w:tc>
          <w:tcPr>
            <w:tcW w:w="27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20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Adotar um modelo de gestão financeira que favoreça a transparência na utilização de recursos e que assegure a integração entre o fluxo orçamentário, o fluxo financeiro e as atividades das unidades organizacionais.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41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Aprimorar os procedimentos de contratação de bens e serviços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40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Aperfeiçoar o sistema de gestão orçamentária do Plano de Ação Anual (PAA)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40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Aperfeiçoar a administrar a execução financeira do orçamento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20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20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 xml:space="preserve">Divulgar </w:t>
            </w:r>
            <w:proofErr w:type="spellStart"/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proativamente</w:t>
            </w:r>
            <w:proofErr w:type="spellEnd"/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 xml:space="preserve"> à sociedade, ao governo e ao mercado regulado os resultados obtidos com a execução de projetos e processos, demonstrando a qualidade da utilização dos recursos disponibilizados à ANP, com foco na maximização do retorno à sociedade.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41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Publicar estudos, dados estatísticos e informações periódicas das indústrias de petróleo, gás natural e biocombustíveis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80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Simplificar e ampliar o acesso dos cidadãos e agentes econômicos às informações e serviços prestados pela ANP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20</w:t>
            </w:r>
          </w:p>
        </w:tc>
      </w:tr>
      <w:tr w:rsidR="002A26A4" w:rsidRPr="002A26A4" w:rsidTr="002A26A4">
        <w:trPr>
          <w:jc w:val="center"/>
        </w:trPr>
        <w:tc>
          <w:tcPr>
            <w:tcW w:w="79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DIM</w:t>
            </w:r>
          </w:p>
        </w:tc>
        <w:tc>
          <w:tcPr>
            <w:tcW w:w="27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20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799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PROCESSOS INTERNOS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PESO: 24</w:t>
            </w:r>
          </w:p>
        </w:tc>
        <w:tc>
          <w:tcPr>
            <w:tcW w:w="27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20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 xml:space="preserve">Garantir a implementação dos procedimentos previstos na regulamentação vigente, bem como incentivar e orientar os agentes regulados a adotar as melhores práticas da indústria, de modo a garantir a segurança operacional, a qualidade dos </w:t>
            </w: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produtos e a preservação do meio ambiente.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41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60</w:t>
            </w: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Estimular o incremento da atividade exploratória e da produção de petróleo e gás natural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60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Garantir o cumprimento do compromisso de conteúdo local previsto nos contratos de exploração e produção de petróleo e gás natural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Controlar, calcular e efetuar a distribuição das participações governamentais e de terceiros e fiscalizar instalações que movimentam petróleo e gás natural para fins de royalties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25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1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 xml:space="preserve">Garantir o cumprimento do compromisso da aplicação de recursos e projetos de </w:t>
            </w:r>
            <w:proofErr w:type="gramStart"/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P,D</w:t>
            </w:r>
            <w:proofErr w:type="gramEnd"/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 xml:space="preserve"> &amp; I (Pesquisa, Desenvolvimento e Inovação)</w:t>
            </w:r>
          </w:p>
        </w:tc>
        <w:tc>
          <w:tcPr>
            <w:tcW w:w="41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</w:t>
            </w:r>
          </w:p>
        </w:tc>
      </w:tr>
    </w:tbl>
    <w:p w:rsidR="002A26A4" w:rsidRPr="002A26A4" w:rsidRDefault="002A26A4" w:rsidP="002A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6A4" w:rsidRPr="002A26A4" w:rsidRDefault="002A26A4" w:rsidP="002A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710"/>
        <w:gridCol w:w="866"/>
        <w:gridCol w:w="3915"/>
        <w:gridCol w:w="1402"/>
        <w:gridCol w:w="3696"/>
        <w:gridCol w:w="1402"/>
      </w:tblGrid>
      <w:tr w:rsidR="002A26A4" w:rsidRPr="002A26A4" w:rsidTr="002A26A4">
        <w:trPr>
          <w:jc w:val="center"/>
        </w:trPr>
        <w:tc>
          <w:tcPr>
            <w:tcW w:w="73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DIM</w:t>
            </w:r>
          </w:p>
        </w:tc>
        <w:tc>
          <w:tcPr>
            <w:tcW w:w="23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06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100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PROCESSOS INTERNOS (CONT.)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PESO: 24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PESO: 24</w:t>
            </w:r>
          </w:p>
        </w:tc>
        <w:tc>
          <w:tcPr>
            <w:tcW w:w="235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6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Atuar de forma proativa no fornecimento de subsídios para a formulação de políticas públicas voltadas para as indústrias do petróleo, gás natural e biocombustíveis, transformando o conhecimento técnico da ANP em benefícios para a sociedade.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381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0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Ampliar a realização de estudos e a capacidade da ANP de apresentar subsídios técnicos às políticas públicas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20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00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Aumentar o conhecimento sobre as bacias sedimentares brasileiras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80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23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06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100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6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Promover o desenvolvimento com excelência do conhecimento técnico e regulatório de seus servidores, para que estes possam identificar e incorporar à regulamentação produzida pela ANP os avanços tecnológicos e as futuras melhores práticas das indústrias do petróleo, gás natural e biocombustíveis.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Meta: &gt;= 85%</w:t>
            </w:r>
          </w:p>
        </w:tc>
        <w:tc>
          <w:tcPr>
            <w:tcW w:w="381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100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Promover a capacitação dos servidores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70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00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Ampliar e atualizar o acervo bibliográfico da ANP com o objetivo de subsidiar os servidores com material técnico necessário ao desenvolvimento de suas atividades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30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235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063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100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63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Aplicar técnicas modernas de gerenciamento de projetos e processos na condução da estratégia e desenvolver a cultura de gestão de projetos e processos na ANP.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381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Desenvolver e institucionalizar a Gestão da Estratégia na ANP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004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Desenvolver e institucionalizar a Gestão de Processos na ANP</w:t>
            </w:r>
          </w:p>
        </w:tc>
        <w:tc>
          <w:tcPr>
            <w:tcW w:w="381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</w:tr>
    </w:tbl>
    <w:p w:rsidR="002A26A4" w:rsidRPr="002A26A4" w:rsidRDefault="002A26A4" w:rsidP="002A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172"/>
        <w:gridCol w:w="2006"/>
        <w:gridCol w:w="2006"/>
        <w:gridCol w:w="2202"/>
        <w:gridCol w:w="2205"/>
        <w:gridCol w:w="2507"/>
        <w:gridCol w:w="893"/>
      </w:tblGrid>
      <w:tr w:rsidR="002A26A4" w:rsidRPr="002A26A4" w:rsidTr="002A26A4">
        <w:trPr>
          <w:jc w:val="center"/>
        </w:trPr>
        <w:tc>
          <w:tcPr>
            <w:tcW w:w="1493" w:type="pct"/>
            <w:gridSpan w:val="2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DIM</w:t>
            </w:r>
          </w:p>
        </w:tc>
        <w:tc>
          <w:tcPr>
            <w:tcW w:w="71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8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78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776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APRENDIZADO E CRESCIMENTO</w:t>
            </w:r>
          </w:p>
        </w:tc>
        <w:tc>
          <w:tcPr>
            <w:tcW w:w="71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GESTÃO DA INFORMAÇÃO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PESO: 4</w:t>
            </w:r>
          </w:p>
        </w:tc>
        <w:tc>
          <w:tcPr>
            <w:tcW w:w="71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78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Fortalecer a gestão da Tecnologia da Informação, estabelecendo um modelo transparente de priorização de projetos, alinhado aos objetivos estratégicos da ANP, e integrando seu desenvolvimento com o planejamento operacional das unidades organizacionais.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78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Aprimorar os instrumentos de planejamento e de definição de prioridades para utilização dos recursos de tecnologia da informação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100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1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8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78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8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 xml:space="preserve">Implantar um conjunto de </w:t>
            </w: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sistemas, bancos de dados e instrumentos de comunicação integrados, que permitam a otimização operacional das atividades e que contribuam para o processo de tomada de decisão com informações úteis e confiáveis.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788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 xml:space="preserve">Garantir a disponibilidade e a </w:t>
            </w: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melhoria contínua dos serviços de TI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50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Executar com excelência os projetos priorizados pela Diretoria e garantir a melhoria contínua dos sistemas em operação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</w:tr>
      <w:tr w:rsidR="002A26A4" w:rsidRPr="002A26A4" w:rsidTr="002A26A4">
        <w:trPr>
          <w:jc w:val="center"/>
        </w:trPr>
        <w:tc>
          <w:tcPr>
            <w:tcW w:w="776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1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1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8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78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GESTÃO DE PESSOAS PESO: 2</w:t>
            </w:r>
          </w:p>
        </w:tc>
        <w:tc>
          <w:tcPr>
            <w:tcW w:w="71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78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 xml:space="preserve">Identificar e promover o desenvolvimento de líderes e futuros líderes, por meio da valorização e aprimoramento de suas competências técnicas e de gestão, preparando-os para assumir posições gerenciais e funções chave na organização segundo uma política de consequências, considerando os </w:t>
            </w: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resultados alcançados e o compromisso com a instituição.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78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Realizar a capacitação dos gestores da Agência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100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1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87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Mapear as competências necessárias para o alcance dos objetivos estratégicos da instituição e garantir sua disponibilidade, estruturando um modelo de gestão por competências.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78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Realizar o mapeamento das competências necessárias à consecução dos objetivos estratégicos da ANP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100</w:t>
            </w:r>
          </w:p>
        </w:tc>
      </w:tr>
    </w:tbl>
    <w:p w:rsidR="002A26A4" w:rsidRPr="002A26A4" w:rsidRDefault="002A26A4" w:rsidP="002A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172"/>
        <w:gridCol w:w="2171"/>
        <w:gridCol w:w="2171"/>
        <w:gridCol w:w="2037"/>
        <w:gridCol w:w="2040"/>
        <w:gridCol w:w="2507"/>
        <w:gridCol w:w="893"/>
      </w:tblGrid>
      <w:tr w:rsidR="002A26A4" w:rsidRPr="002A26A4" w:rsidTr="002A26A4">
        <w:trPr>
          <w:jc w:val="center"/>
        </w:trPr>
        <w:tc>
          <w:tcPr>
            <w:tcW w:w="1552" w:type="pct"/>
            <w:gridSpan w:val="2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DIM</w:t>
            </w:r>
          </w:p>
        </w:tc>
        <w:tc>
          <w:tcPr>
            <w:tcW w:w="7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2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72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jc w:val="center"/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776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APRENDIZADO E CRESCIMENTO</w:t>
            </w:r>
          </w:p>
        </w:tc>
        <w:tc>
          <w:tcPr>
            <w:tcW w:w="7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GEST. PESSOAS (CONT.)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PESO: 2</w:t>
            </w:r>
          </w:p>
        </w:tc>
        <w:tc>
          <w:tcPr>
            <w:tcW w:w="7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2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Mapear as competências necessárias para o alcance dos objetivos estratégicos da instituição e garantir sua disponibilidade, estruturando um modelo de gestão por competências.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72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Realizar o mapeamento das competências necessárias à consecução dos objetivos estratégicos da ANP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100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2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72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APRENDIZADO E CRESCIMENTO - BASE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PESO: 2</w:t>
            </w:r>
          </w:p>
        </w:tc>
        <w:tc>
          <w:tcPr>
            <w:tcW w:w="776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728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 xml:space="preserve">Implementar um modelo de gestão que favoreça o aumento da produtividade da ANP e que permita avaliar e recompensar os servidores de forma </w:t>
            </w:r>
            <w:proofErr w:type="spellStart"/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meritocrática</w:t>
            </w:r>
            <w:proofErr w:type="spellEnd"/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, com ênfase em sua contribuição para a produtividade da agência.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729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Aprimorar as ferramentas de avaliação de desempenho utilizadas na ANP e disseminar a sua correta aplicação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Desenvolver e disseminar programas voltados à promoção da saúde e da qualidade de vida da força de trabalho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2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72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728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 xml:space="preserve">Aprimorar a estrutura organizacional de forma a promover a integração de diretores, gestores e servidores a partir da perspectiva da instituição como um todo, valorizando a comunicação e a contribuição </w:t>
            </w: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multidisciplinar na construção das decisões.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729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Garantir a implementação da Gestão da Estratégia na ANP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Executar com excelência o mapeamento dos processos priorizados pela Diretoria e garantir a sua melhoria contínua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50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7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28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#META GLOBAL</w:t>
            </w:r>
          </w:p>
        </w:tc>
        <w:tc>
          <w:tcPr>
            <w:tcW w:w="72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METAS INTERMEDIÁRIAS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PESO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728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Fortalecer a governança da Agência por meio da alocação preferencial de servidores de carreira em suas posições gerenciais estratégicas e da elaboração de normas e regulamentos claros e objetivos, que favoreçam a atuação isonômica e transparente e o controle social.</w:t>
            </w:r>
          </w:p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Meta: &gt;= 85%</w:t>
            </w:r>
          </w:p>
        </w:tc>
        <w:tc>
          <w:tcPr>
            <w:tcW w:w="729" w:type="pct"/>
            <w:vMerge w:val="restar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Elaborar a regulamentação prevista na Agenda Regulatória e promover a atualização do estoque regulatório da ANP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20</w:t>
            </w:r>
          </w:p>
        </w:tc>
      </w:tr>
      <w:tr w:rsidR="002A26A4" w:rsidRPr="002A26A4" w:rsidTr="002A26A4">
        <w:trPr>
          <w:jc w:val="center"/>
        </w:trPr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2A26A4" w:rsidRPr="002A26A4" w:rsidRDefault="002A26A4" w:rsidP="002A26A4">
            <w:pPr>
              <w:spacing w:after="0" w:line="240" w:lineRule="auto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896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Implantar mecanismos de melhoria contínua da gestão interna</w:t>
            </w:r>
          </w:p>
        </w:tc>
        <w:tc>
          <w:tcPr>
            <w:tcW w:w="319" w:type="pct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A26A4" w:rsidRPr="002A26A4" w:rsidRDefault="002A26A4" w:rsidP="002A26A4">
            <w:pPr>
              <w:widowControl w:val="0"/>
              <w:tabs>
                <w:tab w:val="left" w:pos="720"/>
                <w:tab w:val="left" w:pos="1698"/>
                <w:tab w:val="left" w:pos="2304"/>
                <w:tab w:val="left" w:pos="2820"/>
                <w:tab w:val="left" w:pos="2880"/>
                <w:tab w:val="left" w:pos="3601"/>
                <w:tab w:val="left" w:pos="4322"/>
                <w:tab w:val="left" w:pos="5043"/>
                <w:tab w:val="left" w:pos="5761"/>
                <w:tab w:val="left" w:pos="6482"/>
                <w:tab w:val="left" w:pos="7203"/>
                <w:tab w:val="left" w:pos="7923"/>
                <w:tab w:val="left" w:pos="8641"/>
                <w:tab w:val="left" w:pos="9362"/>
                <w:tab w:val="left" w:pos="10083"/>
                <w:tab w:val="left" w:pos="10801"/>
                <w:tab w:val="left" w:pos="11522"/>
                <w:tab w:val="left" w:pos="12243"/>
                <w:tab w:val="left" w:pos="12964"/>
                <w:tab w:val="left" w:pos="13682"/>
                <w:tab w:val="left" w:pos="14403"/>
                <w:tab w:val="left" w:pos="15123"/>
                <w:tab w:val="left" w:pos="15844"/>
                <w:tab w:val="left" w:pos="16562"/>
                <w:tab w:val="left" w:pos="17283"/>
                <w:tab w:val="left" w:pos="18004"/>
                <w:tab w:val="left" w:pos="18722"/>
                <w:tab w:val="left" w:pos="19443"/>
                <w:tab w:val="left" w:pos="20164"/>
                <w:tab w:val="left" w:pos="20885"/>
              </w:tabs>
              <w:spacing w:before="60" w:after="60" w:line="240" w:lineRule="auto"/>
              <w:ind w:left="60" w:right="60"/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</w:pPr>
            <w:r w:rsidRPr="002A26A4">
              <w:rPr>
                <w:rFonts w:ascii="Arial" w:eastAsia="Times New Roman" w:hAnsi="Arial" w:cs="Times New Roman"/>
                <w:color w:val="0000FF"/>
                <w:sz w:val="20"/>
                <w:szCs w:val="20"/>
                <w:lang w:eastAsia="pt-BR"/>
              </w:rPr>
              <w:t>80</w:t>
            </w:r>
          </w:p>
        </w:tc>
      </w:tr>
    </w:tbl>
    <w:p w:rsidR="002A26A4" w:rsidRPr="002A26A4" w:rsidRDefault="002A26A4" w:rsidP="002A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011F" w:rsidRDefault="002A26A4"/>
    <w:sectPr w:rsidR="00EF011F" w:rsidSect="002A26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A4"/>
    <w:rsid w:val="002A26A4"/>
    <w:rsid w:val="00546AB5"/>
    <w:rsid w:val="0093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32CD-8045-411D-AEA0-7035483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26A4"/>
    <w:pPr>
      <w:keepNext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26A4"/>
    <w:rPr>
      <w:rFonts w:ascii="Arial" w:eastAsia="Times New Roman" w:hAnsi="Arial" w:cs="Arial"/>
      <w:b/>
      <w:bCs/>
      <w:sz w:val="1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A26A4"/>
    <w:rPr>
      <w:i/>
      <w:iCs/>
      <w:color w:val="0000FF"/>
      <w:u w:val="single"/>
    </w:rPr>
  </w:style>
  <w:style w:type="paragraph" w:customStyle="1" w:styleId="assinatura">
    <w:name w:val="assinatura"/>
    <w:basedOn w:val="Normal"/>
    <w:rsid w:val="002A26A4"/>
    <w:pPr>
      <w:snapToGrid w:val="0"/>
      <w:spacing w:before="261" w:after="40" w:line="240" w:lineRule="auto"/>
      <w:ind w:firstLine="357"/>
      <w:jc w:val="center"/>
    </w:pPr>
    <w:rPr>
      <w:rFonts w:ascii="Arial" w:eastAsia="Times New Roman" w:hAnsi="Arial" w:cs="Times New Roman"/>
      <w:i/>
      <w:color w:val="000080"/>
      <w:sz w:val="20"/>
      <w:szCs w:val="24"/>
      <w:lang w:eastAsia="pt-BR"/>
    </w:rPr>
  </w:style>
  <w:style w:type="paragraph" w:customStyle="1" w:styleId="anexo">
    <w:name w:val="anexo"/>
    <w:basedOn w:val="Normal"/>
    <w:rsid w:val="002A26A4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240" w:after="120" w:line="240" w:lineRule="auto"/>
      <w:jc w:val="center"/>
    </w:pPr>
    <w:rPr>
      <w:rFonts w:ascii="Arial" w:eastAsia="Times New Roman" w:hAnsi="Arial" w:cs="Times New Roman"/>
      <w:b/>
      <w:color w:val="000080"/>
      <w:sz w:val="24"/>
      <w:szCs w:val="24"/>
      <w:lang w:eastAsia="pt-BR"/>
    </w:rPr>
  </w:style>
  <w:style w:type="paragraph" w:customStyle="1" w:styleId="Norma">
    <w:name w:val="Norma"/>
    <w:rsid w:val="002A26A4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  <w:lang w:eastAsia="pt-BR"/>
    </w:rPr>
  </w:style>
  <w:style w:type="paragraph" w:customStyle="1" w:styleId="Tabela-Texto">
    <w:name w:val="Tabela-Texto"/>
    <w:rsid w:val="002A26A4"/>
    <w:pPr>
      <w:widowControl w:val="0"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60" w:after="60" w:line="240" w:lineRule="auto"/>
      <w:ind w:left="60" w:right="60"/>
    </w:pPr>
    <w:rPr>
      <w:rFonts w:ascii="Arial" w:eastAsia="Times New Roman" w:hAnsi="Arial" w:cs="Times New Roman"/>
      <w:color w:val="0000FF"/>
      <w:sz w:val="20"/>
      <w:szCs w:val="20"/>
      <w:lang w:eastAsia="pt-BR"/>
    </w:rPr>
  </w:style>
  <w:style w:type="paragraph" w:customStyle="1" w:styleId="Tabela-Titulo">
    <w:name w:val="Tabela-Titulo"/>
    <w:basedOn w:val="Tabela-Texto"/>
    <w:rsid w:val="002A26A4"/>
    <w:pPr>
      <w:jc w:val="center"/>
    </w:pPr>
    <w:rPr>
      <w:b/>
    </w:rPr>
  </w:style>
  <w:style w:type="paragraph" w:customStyle="1" w:styleId="Texto">
    <w:name w:val="Texto"/>
    <w:basedOn w:val="Normal"/>
    <w:autoRedefine/>
    <w:rsid w:val="002A26A4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xt.anp.gov.br/NXT/gateway.dll/leg/decretos/NXT/gateway.dll?f=id$id=Dec%207.133%20-%202010$an=art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xt.anp.gov.br/NXT/gateway.dll/leg/decretos/NXT/gateway.dll?f=id$id=Dec%207.133%20-%202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xt.anp.gov.br/NXT/gateway.dll/leg/leis/NXT/gateway.dll?f=id$id=Lei%2011.292%20-%202006" TargetMode="External"/><Relationship Id="rId5" Type="http://schemas.openxmlformats.org/officeDocument/2006/relationships/hyperlink" Target="http://nxt.anp.gov.br/NXT/gateway.dll/leg/leis/NXT/gateway.dll?f=id$id=Lei%2010.871%20-%2020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xt.anp.gov.br/NXT/gateway.dll/leg/portarias_anp/NXT/gateway.dll?f=id$id=PANP%20193%20-%2020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1644</Words>
  <Characters>8883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MARCELO VIANNA DE MENEZES</dc:creator>
  <cp:keywords/>
  <dc:description/>
  <cp:lastModifiedBy>EDUARDO MARCELO VIANNA DE MENEZES</cp:lastModifiedBy>
  <cp:revision>1</cp:revision>
  <dcterms:created xsi:type="dcterms:W3CDTF">2016-10-20T14:13:00Z</dcterms:created>
  <dcterms:modified xsi:type="dcterms:W3CDTF">2016-10-20T14:18:00Z</dcterms:modified>
</cp:coreProperties>
</file>