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4A2" w:rsidRPr="007A1541" w:rsidRDefault="00CA64A2" w:rsidP="00414E94">
      <w:pPr>
        <w:pStyle w:val="BodyText"/>
        <w:jc w:val="center"/>
        <w:rPr>
          <w:rFonts w:ascii="Times New Roman" w:eastAsia="Arial Unicode MS" w:hAnsi="Times New Roman"/>
          <w:b/>
          <w:color w:val="000000"/>
          <w:szCs w:val="24"/>
          <w:u w:val="single"/>
        </w:rPr>
      </w:pPr>
      <w:bookmarkStart w:id="0" w:name="_GoBack"/>
      <w:bookmarkEnd w:id="0"/>
      <w:r w:rsidRPr="007A1541">
        <w:rPr>
          <w:rFonts w:ascii="Times New Roman" w:eastAsia="Arial Unicode MS" w:hAnsi="Times New Roman"/>
          <w:b/>
          <w:color w:val="000000"/>
          <w:szCs w:val="24"/>
          <w:u w:val="single"/>
        </w:rPr>
        <w:t>ANEXO A</w:t>
      </w:r>
      <w:r w:rsidR="0026284D" w:rsidRPr="007A1541">
        <w:rPr>
          <w:b/>
          <w:color w:val="000000"/>
        </w:rPr>
        <w:t xml:space="preserve"> _ DEFINIÇÕES DE TERMOS E EXPRESSÕES</w:t>
      </w:r>
    </w:p>
    <w:p w:rsidR="00CA64A2" w:rsidRPr="007A1541" w:rsidRDefault="00CA64A2" w:rsidP="00414E94">
      <w:pPr>
        <w:pStyle w:val="BodyText"/>
        <w:jc w:val="center"/>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I – </w:t>
      </w:r>
      <w:r w:rsidRPr="007A1541">
        <w:rPr>
          <w:rFonts w:ascii="Times New Roman" w:eastAsia="Arial Unicode MS" w:hAnsi="Times New Roman"/>
          <w:color w:val="000000"/>
          <w:szCs w:val="24"/>
          <w:u w:val="single"/>
        </w:rPr>
        <w:t>Sala</w:t>
      </w:r>
      <w:r w:rsidRPr="007A1541">
        <w:rPr>
          <w:rFonts w:ascii="Times New Roman" w:eastAsia="Arial Unicode MS" w:hAnsi="Times New Roman"/>
          <w:color w:val="000000"/>
          <w:szCs w:val="24"/>
        </w:rPr>
        <w:t xml:space="preserve">, </w:t>
      </w:r>
      <w:r w:rsidRPr="007A1541">
        <w:rPr>
          <w:rFonts w:ascii="Times New Roman" w:eastAsia="Arial Unicode MS" w:hAnsi="Times New Roman"/>
          <w:color w:val="000000"/>
          <w:szCs w:val="24"/>
          <w:u w:val="single"/>
        </w:rPr>
        <w:t>Espaço</w:t>
      </w:r>
      <w:r w:rsidRPr="007A1541">
        <w:rPr>
          <w:rFonts w:ascii="Times New Roman" w:eastAsia="Arial Unicode MS" w:hAnsi="Times New Roman"/>
          <w:color w:val="000000"/>
          <w:szCs w:val="24"/>
        </w:rPr>
        <w:t xml:space="preserve"> ou </w:t>
      </w:r>
      <w:r w:rsidRPr="007A1541">
        <w:rPr>
          <w:rFonts w:ascii="Times New Roman" w:eastAsia="Arial Unicode MS" w:hAnsi="Times New Roman"/>
          <w:color w:val="000000"/>
          <w:szCs w:val="24"/>
          <w:u w:val="single"/>
        </w:rPr>
        <w:t>Local de Exibição</w:t>
      </w:r>
      <w:r w:rsidRPr="007A1541">
        <w:rPr>
          <w:rFonts w:ascii="Times New Roman" w:eastAsia="Arial Unicode MS" w:hAnsi="Times New Roman"/>
          <w:color w:val="000000"/>
          <w:szCs w:val="24"/>
        </w:rPr>
        <w:t>: Todo recinto, em ambiente aberto ou fechado, no qual se realize projeção</w:t>
      </w:r>
      <w:r w:rsidR="00182D50" w:rsidRPr="007A1541">
        <w:rPr>
          <w:rFonts w:ascii="Times New Roman" w:eastAsia="Arial Unicode MS" w:hAnsi="Times New Roman"/>
          <w:color w:val="000000"/>
          <w:szCs w:val="24"/>
        </w:rPr>
        <w:t xml:space="preserve"> exibição ou apresentação</w:t>
      </w:r>
      <w:r w:rsidRPr="007A1541">
        <w:rPr>
          <w:rFonts w:ascii="Times New Roman" w:eastAsia="Arial Unicode MS" w:hAnsi="Times New Roman"/>
          <w:color w:val="000000"/>
          <w:szCs w:val="24"/>
        </w:rPr>
        <w:t xml:space="preserve"> de obra audiovisual cinematográfica ou video</w:t>
      </w:r>
      <w:r w:rsidR="00182D50" w:rsidRPr="007A1541">
        <w:rPr>
          <w:rFonts w:ascii="Times New Roman" w:eastAsia="Arial Unicode MS" w:hAnsi="Times New Roman"/>
          <w:color w:val="000000"/>
          <w:szCs w:val="24"/>
        </w:rPr>
        <w:t>fono</w:t>
      </w:r>
      <w:r w:rsidRPr="007A1541">
        <w:rPr>
          <w:rFonts w:ascii="Times New Roman" w:eastAsia="Arial Unicode MS" w:hAnsi="Times New Roman"/>
          <w:color w:val="000000"/>
          <w:szCs w:val="24"/>
        </w:rPr>
        <w:t>gráfica, a partir de qualquer suporte</w:t>
      </w:r>
      <w:r w:rsidR="00182D50" w:rsidRPr="007A1541">
        <w:rPr>
          <w:rFonts w:ascii="Times New Roman" w:eastAsia="Arial Unicode MS" w:hAnsi="Times New Roman"/>
          <w:color w:val="000000"/>
          <w:szCs w:val="24"/>
        </w:rPr>
        <w:t xml:space="preserve"> ou</w:t>
      </w:r>
      <w:r w:rsidRPr="007A1541">
        <w:rPr>
          <w:rFonts w:ascii="Times New Roman" w:eastAsia="Arial Unicode MS" w:hAnsi="Times New Roman"/>
          <w:color w:val="000000"/>
          <w:szCs w:val="24"/>
        </w:rPr>
        <w:t xml:space="preserve"> meio</w:t>
      </w:r>
      <w:r w:rsidR="00182D50" w:rsidRPr="007A1541">
        <w:rPr>
          <w:rFonts w:ascii="Times New Roman" w:eastAsia="Arial Unicode MS" w:hAnsi="Times New Roman"/>
          <w:color w:val="000000"/>
          <w:szCs w:val="24"/>
        </w:rPr>
        <w:t>,</w:t>
      </w:r>
      <w:r w:rsidR="007A1541" w:rsidRPr="007A1541">
        <w:rPr>
          <w:rFonts w:ascii="Times New Roman" w:eastAsia="Arial Unicode MS" w:hAnsi="Times New Roman"/>
          <w:color w:val="000000"/>
          <w:szCs w:val="24"/>
        </w:rPr>
        <w:t xml:space="preserve"> </w:t>
      </w:r>
      <w:r w:rsidR="00182D50" w:rsidRPr="007A1541">
        <w:rPr>
          <w:rFonts w:ascii="Times New Roman" w:eastAsia="Arial Unicode MS" w:hAnsi="Times New Roman"/>
          <w:color w:val="000000"/>
          <w:szCs w:val="24"/>
        </w:rPr>
        <w:t xml:space="preserve">mediante o uso </w:t>
      </w:r>
      <w:r w:rsidRPr="007A1541">
        <w:rPr>
          <w:rFonts w:ascii="Times New Roman" w:eastAsia="Arial Unicode MS" w:hAnsi="Times New Roman"/>
          <w:color w:val="000000"/>
          <w:szCs w:val="24"/>
        </w:rPr>
        <w:t>de qualquer tecnologia, em caráter público ou privado, com ou sem finalidade comercial.</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II – </w:t>
      </w:r>
      <w:r w:rsidRPr="007A1541">
        <w:rPr>
          <w:rFonts w:ascii="Times New Roman" w:eastAsia="Arial Unicode MS" w:hAnsi="Times New Roman"/>
          <w:color w:val="000000"/>
          <w:szCs w:val="24"/>
          <w:u w:val="single"/>
        </w:rPr>
        <w:t>Complexo</w:t>
      </w:r>
      <w:r w:rsidRPr="007A1541">
        <w:rPr>
          <w:rFonts w:ascii="Times New Roman" w:eastAsia="Arial Unicode MS" w:hAnsi="Times New Roman"/>
          <w:color w:val="000000"/>
          <w:szCs w:val="24"/>
        </w:rPr>
        <w:t xml:space="preserve">: </w:t>
      </w:r>
      <w:r w:rsidR="0026284D" w:rsidRPr="007A1541">
        <w:rPr>
          <w:rFonts w:ascii="Times New Roman" w:eastAsia="Arial Unicode MS" w:hAnsi="Times New Roman"/>
          <w:color w:val="000000"/>
          <w:szCs w:val="24"/>
        </w:rPr>
        <w:t>C</w:t>
      </w:r>
      <w:r w:rsidRPr="007A1541">
        <w:rPr>
          <w:rFonts w:ascii="Times New Roman" w:eastAsia="Arial Unicode MS" w:hAnsi="Times New Roman"/>
          <w:color w:val="000000"/>
          <w:szCs w:val="24"/>
        </w:rPr>
        <w:t xml:space="preserve">onjunto </w:t>
      </w:r>
      <w:r w:rsidR="007A1541" w:rsidRPr="007A1541">
        <w:rPr>
          <w:rFonts w:ascii="Times New Roman" w:eastAsia="Arial Unicode MS" w:hAnsi="Times New Roman"/>
          <w:color w:val="000000"/>
          <w:szCs w:val="24"/>
        </w:rPr>
        <w:t xml:space="preserve">de </w:t>
      </w:r>
      <w:r w:rsidRPr="007A1541">
        <w:rPr>
          <w:rFonts w:ascii="Times New Roman" w:eastAsia="Arial Unicode MS" w:hAnsi="Times New Roman"/>
          <w:color w:val="000000"/>
          <w:szCs w:val="24"/>
        </w:rPr>
        <w:t xml:space="preserve">salas, espaços ou locais de exibição registrados na ANCINE e </w:t>
      </w:r>
      <w:r w:rsidR="00182D50" w:rsidRPr="007A1541">
        <w:rPr>
          <w:rFonts w:ascii="Times New Roman" w:eastAsia="Arial Unicode MS" w:hAnsi="Times New Roman"/>
          <w:color w:val="000000"/>
          <w:szCs w:val="24"/>
        </w:rPr>
        <w:t>abrangidos no contrato social de uma mesma sociedade empresária exibidora</w:t>
      </w:r>
      <w:r w:rsidRPr="007A1541">
        <w:rPr>
          <w:rFonts w:ascii="Times New Roman" w:eastAsia="Arial Unicode MS" w:hAnsi="Times New Roman"/>
          <w:color w:val="000000"/>
          <w:szCs w:val="24"/>
        </w:rPr>
        <w:t>, situados em uma mesma unidade arquitetônica, em posição geminada ou não.</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III – </w:t>
      </w:r>
      <w:r w:rsidRPr="007A1541">
        <w:rPr>
          <w:rFonts w:ascii="Times New Roman" w:eastAsia="Arial Unicode MS" w:hAnsi="Times New Roman"/>
          <w:color w:val="000000"/>
          <w:szCs w:val="24"/>
          <w:u w:val="single"/>
        </w:rPr>
        <w:t>Empresa Exibidora</w:t>
      </w:r>
      <w:r w:rsidRPr="007A1541">
        <w:rPr>
          <w:rFonts w:ascii="Times New Roman" w:eastAsia="Arial Unicode MS" w:hAnsi="Times New Roman"/>
          <w:color w:val="000000"/>
          <w:szCs w:val="24"/>
        </w:rPr>
        <w:t xml:space="preserve">: </w:t>
      </w:r>
      <w:r w:rsidR="00182D50" w:rsidRPr="007A1541">
        <w:rPr>
          <w:rFonts w:ascii="Times New Roman" w:eastAsia="Arial Unicode MS" w:hAnsi="Times New Roman"/>
          <w:color w:val="000000"/>
          <w:szCs w:val="24"/>
        </w:rPr>
        <w:t>sociedade empresária</w:t>
      </w:r>
      <w:r w:rsidRPr="007A1541">
        <w:rPr>
          <w:rFonts w:ascii="Times New Roman" w:eastAsia="Arial Unicode MS" w:hAnsi="Times New Roman"/>
          <w:color w:val="000000"/>
          <w:szCs w:val="24"/>
        </w:rPr>
        <w:t xml:space="preserve"> portadora de CNPJ e de Certificado de Registro de Empresa na ANCINE nessa qualidade, capacitada a realizar a projeção de obras audiovisuais.</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IV – </w:t>
      </w:r>
      <w:r w:rsidRPr="007A1541">
        <w:rPr>
          <w:rFonts w:ascii="Times New Roman" w:eastAsia="Arial Unicode MS" w:hAnsi="Times New Roman"/>
          <w:color w:val="000000"/>
          <w:szCs w:val="24"/>
          <w:u w:val="single"/>
        </w:rPr>
        <w:t>Grupo</w:t>
      </w:r>
      <w:r w:rsidRPr="007A1541">
        <w:rPr>
          <w:rFonts w:ascii="Times New Roman" w:eastAsia="Arial Unicode MS" w:hAnsi="Times New Roman"/>
          <w:color w:val="000000"/>
          <w:szCs w:val="24"/>
        </w:rPr>
        <w:t xml:space="preserve">: </w:t>
      </w:r>
      <w:r w:rsidR="00182D50" w:rsidRPr="007A1541">
        <w:rPr>
          <w:rFonts w:ascii="Times New Roman" w:eastAsia="Arial Unicode MS" w:hAnsi="Times New Roman"/>
          <w:color w:val="000000"/>
          <w:szCs w:val="24"/>
        </w:rPr>
        <w:t>sociedades empresárias</w:t>
      </w:r>
      <w:r w:rsidRPr="007A1541">
        <w:rPr>
          <w:rFonts w:ascii="Times New Roman" w:eastAsia="Arial Unicode MS" w:hAnsi="Times New Roman"/>
          <w:color w:val="000000"/>
          <w:szCs w:val="24"/>
        </w:rPr>
        <w:t xml:space="preserve"> </w:t>
      </w:r>
      <w:r w:rsidR="00210650" w:rsidRPr="007A1541">
        <w:rPr>
          <w:rFonts w:ascii="Times New Roman" w:eastAsia="Arial Unicode MS" w:hAnsi="Times New Roman"/>
          <w:color w:val="000000"/>
          <w:szCs w:val="24"/>
        </w:rPr>
        <w:t>e</w:t>
      </w:r>
      <w:r w:rsidRPr="007A1541">
        <w:rPr>
          <w:rFonts w:ascii="Times New Roman" w:eastAsia="Arial Unicode MS" w:hAnsi="Times New Roman"/>
          <w:color w:val="000000"/>
          <w:szCs w:val="24"/>
        </w:rPr>
        <w:t>xibid</w:t>
      </w:r>
      <w:r w:rsidR="00210650" w:rsidRPr="007A1541">
        <w:rPr>
          <w:rFonts w:ascii="Times New Roman" w:eastAsia="Arial Unicode MS" w:hAnsi="Times New Roman"/>
          <w:color w:val="000000"/>
          <w:szCs w:val="24"/>
        </w:rPr>
        <w:t xml:space="preserve">oras </w:t>
      </w:r>
      <w:r w:rsidRPr="007A1541">
        <w:rPr>
          <w:rFonts w:ascii="Times New Roman" w:eastAsia="Arial Unicode MS" w:hAnsi="Times New Roman"/>
          <w:color w:val="000000"/>
          <w:szCs w:val="24"/>
        </w:rPr>
        <w:t>que, a pedido de seus responsáveis e com base na composição societária de cada uma, obt</w:t>
      </w:r>
      <w:r w:rsidR="00B61F4B" w:rsidRPr="007A1541">
        <w:rPr>
          <w:rFonts w:ascii="Times New Roman" w:eastAsia="Arial Unicode MS" w:hAnsi="Times New Roman"/>
          <w:color w:val="000000"/>
          <w:szCs w:val="24"/>
        </w:rPr>
        <w:t>iverem</w:t>
      </w:r>
      <w:r w:rsidRPr="007A1541">
        <w:rPr>
          <w:rFonts w:ascii="Times New Roman" w:eastAsia="Arial Unicode MS" w:hAnsi="Times New Roman"/>
          <w:color w:val="000000"/>
          <w:szCs w:val="24"/>
        </w:rPr>
        <w:t xml:space="preserve"> o reconhecimento </w:t>
      </w:r>
      <w:r w:rsidR="007A1541" w:rsidRPr="007A1541">
        <w:rPr>
          <w:rFonts w:ascii="Times New Roman" w:eastAsia="Arial Unicode MS" w:hAnsi="Times New Roman"/>
          <w:color w:val="000000"/>
          <w:szCs w:val="24"/>
        </w:rPr>
        <w:t xml:space="preserve">pela ANCINE </w:t>
      </w:r>
      <w:r w:rsidRPr="007A1541">
        <w:rPr>
          <w:rFonts w:ascii="Times New Roman" w:eastAsia="Arial Unicode MS" w:hAnsi="Times New Roman"/>
          <w:color w:val="000000"/>
          <w:szCs w:val="24"/>
        </w:rPr>
        <w:t>de integra</w:t>
      </w:r>
      <w:r w:rsidR="00210650" w:rsidRPr="007A1541">
        <w:rPr>
          <w:rFonts w:ascii="Times New Roman" w:eastAsia="Arial Unicode MS" w:hAnsi="Times New Roman"/>
          <w:color w:val="000000"/>
          <w:szCs w:val="24"/>
        </w:rPr>
        <w:t>rem</w:t>
      </w:r>
      <w:r w:rsidRPr="007A1541">
        <w:rPr>
          <w:rFonts w:ascii="Times New Roman" w:eastAsia="Arial Unicode MS" w:hAnsi="Times New Roman"/>
          <w:color w:val="000000"/>
          <w:szCs w:val="24"/>
        </w:rPr>
        <w:t xml:space="preserve"> um mesmo conjunto</w:t>
      </w:r>
      <w:r w:rsidR="00B61F4B" w:rsidRPr="007A1541">
        <w:rPr>
          <w:rFonts w:ascii="Times New Roman" w:eastAsia="Arial Unicode MS" w:hAnsi="Times New Roman"/>
          <w:color w:val="000000"/>
          <w:szCs w:val="24"/>
        </w:rPr>
        <w:t xml:space="preserve"> que, para efeito de controle e aferições e mantida a sua composição societária, prevalecerá </w:t>
      </w:r>
      <w:r w:rsidR="00210650" w:rsidRPr="007A1541">
        <w:rPr>
          <w:rFonts w:ascii="Times New Roman" w:eastAsia="Arial Unicode MS" w:hAnsi="Times New Roman"/>
          <w:color w:val="000000"/>
          <w:szCs w:val="24"/>
        </w:rPr>
        <w:t>pelo prazo mínimo e continuado de um semestre do ano civil.</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V – </w:t>
      </w:r>
      <w:r w:rsidRPr="007A1541">
        <w:rPr>
          <w:rFonts w:ascii="Times New Roman" w:eastAsia="Arial Unicode MS" w:hAnsi="Times New Roman"/>
          <w:color w:val="000000"/>
          <w:szCs w:val="24"/>
          <w:u w:val="single"/>
        </w:rPr>
        <w:t>Circuito</w:t>
      </w:r>
      <w:r w:rsidRPr="007A1541">
        <w:rPr>
          <w:rFonts w:ascii="Times New Roman" w:eastAsia="Arial Unicode MS" w:hAnsi="Times New Roman"/>
          <w:color w:val="000000"/>
          <w:szCs w:val="24"/>
        </w:rPr>
        <w:t xml:space="preserve">: Empresas </w:t>
      </w:r>
      <w:r w:rsidR="0026284D" w:rsidRPr="007A1541">
        <w:rPr>
          <w:rFonts w:ascii="Times New Roman" w:eastAsia="Arial Unicode MS" w:hAnsi="Times New Roman"/>
          <w:color w:val="000000"/>
          <w:szCs w:val="24"/>
        </w:rPr>
        <w:t>e</w:t>
      </w:r>
      <w:r w:rsidRPr="007A1541">
        <w:rPr>
          <w:rFonts w:ascii="Times New Roman" w:eastAsia="Arial Unicode MS" w:hAnsi="Times New Roman"/>
          <w:color w:val="000000"/>
          <w:szCs w:val="24"/>
        </w:rPr>
        <w:t>xibidoras distint</w:t>
      </w:r>
      <w:r w:rsidR="007A1541" w:rsidRPr="007A1541">
        <w:rPr>
          <w:rFonts w:ascii="Times New Roman" w:eastAsia="Arial Unicode MS" w:hAnsi="Times New Roman"/>
          <w:color w:val="000000"/>
          <w:szCs w:val="24"/>
        </w:rPr>
        <w:t>a</w:t>
      </w:r>
      <w:r w:rsidRPr="007A1541">
        <w:rPr>
          <w:rFonts w:ascii="Times New Roman" w:eastAsia="Arial Unicode MS" w:hAnsi="Times New Roman"/>
          <w:color w:val="000000"/>
          <w:szCs w:val="24"/>
        </w:rPr>
        <w:t>s, que, a pedido de seus responsáveis e com base na pública e notória composição de seus lançamentos, verificada em períodos anteriores continuados e não inferiores aos dois últimos semestres de programação, obtenham da A</w:t>
      </w:r>
      <w:r w:rsidR="007A1541" w:rsidRPr="007A1541">
        <w:rPr>
          <w:rFonts w:ascii="Times New Roman" w:eastAsia="Arial Unicode MS" w:hAnsi="Times New Roman"/>
          <w:color w:val="000000"/>
          <w:szCs w:val="24"/>
        </w:rPr>
        <w:t>NCINE</w:t>
      </w:r>
      <w:r w:rsidRPr="007A1541">
        <w:rPr>
          <w:rFonts w:ascii="Times New Roman" w:eastAsia="Arial Unicode MS" w:hAnsi="Times New Roman"/>
          <w:color w:val="000000"/>
          <w:szCs w:val="24"/>
        </w:rPr>
        <w:t xml:space="preserve"> o reconhecimento de serem integrantes de um mesmo conjunto programador, para efeito de controle e aferições internas e desde que mantidas as condições que embasaram a solicitação e o reconhecimento como conjunto.</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VI – </w:t>
      </w:r>
      <w:r w:rsidRPr="007A1541">
        <w:rPr>
          <w:rFonts w:ascii="Times New Roman" w:eastAsia="Arial Unicode MS" w:hAnsi="Times New Roman"/>
          <w:color w:val="000000"/>
          <w:szCs w:val="24"/>
          <w:u w:val="single"/>
        </w:rPr>
        <w:t>Geminad</w:t>
      </w:r>
      <w:r w:rsidR="00182D50" w:rsidRPr="007A1541">
        <w:rPr>
          <w:rFonts w:ascii="Times New Roman" w:eastAsia="Arial Unicode MS" w:hAnsi="Times New Roman"/>
          <w:color w:val="000000"/>
          <w:szCs w:val="24"/>
          <w:u w:val="single"/>
        </w:rPr>
        <w:t>o</w:t>
      </w:r>
      <w:r w:rsidRPr="007A1541">
        <w:rPr>
          <w:rFonts w:ascii="Times New Roman" w:eastAsia="Arial Unicode MS" w:hAnsi="Times New Roman"/>
          <w:color w:val="000000"/>
          <w:szCs w:val="24"/>
        </w:rPr>
        <w:t xml:space="preserve">: Posição contígua de salas, espaços ou locais de exibição dentro de um mesmo conjunto arquitetônico, não considerada imprescindível para efeito de sua classificação como complexo, desde que comprovada sua propriedade por uma mesma </w:t>
      </w:r>
      <w:r w:rsidR="0026284D" w:rsidRPr="007A1541">
        <w:rPr>
          <w:rFonts w:ascii="Times New Roman" w:eastAsia="Arial Unicode MS" w:hAnsi="Times New Roman"/>
          <w:color w:val="000000"/>
          <w:szCs w:val="24"/>
        </w:rPr>
        <w:t>e</w:t>
      </w:r>
      <w:r w:rsidRPr="007A1541">
        <w:rPr>
          <w:rFonts w:ascii="Times New Roman" w:eastAsia="Arial Unicode MS" w:hAnsi="Times New Roman"/>
          <w:color w:val="000000"/>
          <w:szCs w:val="24"/>
        </w:rPr>
        <w:t xml:space="preserve">mpresa </w:t>
      </w:r>
      <w:r w:rsidR="0026284D" w:rsidRPr="007A1541">
        <w:rPr>
          <w:rFonts w:ascii="Times New Roman" w:eastAsia="Arial Unicode MS" w:hAnsi="Times New Roman"/>
          <w:color w:val="000000"/>
          <w:szCs w:val="24"/>
        </w:rPr>
        <w:t>e</w:t>
      </w:r>
      <w:r w:rsidRPr="007A1541">
        <w:rPr>
          <w:rFonts w:ascii="Times New Roman" w:eastAsia="Arial Unicode MS" w:hAnsi="Times New Roman"/>
          <w:color w:val="000000"/>
          <w:szCs w:val="24"/>
        </w:rPr>
        <w:t>xibidora.</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VII – </w:t>
      </w:r>
      <w:r w:rsidRPr="007A1541">
        <w:rPr>
          <w:rFonts w:ascii="Times New Roman" w:eastAsia="Arial Unicode MS" w:hAnsi="Times New Roman"/>
          <w:color w:val="000000"/>
          <w:szCs w:val="24"/>
          <w:u w:val="single"/>
        </w:rPr>
        <w:t>Empresa Exibidora Responsável</w:t>
      </w:r>
      <w:r w:rsidR="00182D50" w:rsidRPr="007A1541">
        <w:rPr>
          <w:rFonts w:ascii="Times New Roman" w:eastAsia="Arial Unicode MS" w:hAnsi="Times New Roman"/>
          <w:color w:val="000000"/>
          <w:szCs w:val="24"/>
        </w:rPr>
        <w:t>: a sociedade empresária</w:t>
      </w:r>
      <w:r w:rsidRPr="007A1541">
        <w:rPr>
          <w:rFonts w:ascii="Times New Roman" w:eastAsia="Arial Unicode MS" w:hAnsi="Times New Roman"/>
          <w:color w:val="000000"/>
          <w:szCs w:val="24"/>
        </w:rPr>
        <w:t xml:space="preserve"> que solicitou e obteve o registro na ANCINE e com concordância das demais</w:t>
      </w:r>
      <w:r w:rsidR="00B61F4B" w:rsidRPr="007A1541">
        <w:rPr>
          <w:rFonts w:ascii="Times New Roman" w:eastAsia="Arial Unicode MS" w:hAnsi="Times New Roman"/>
          <w:color w:val="000000"/>
          <w:szCs w:val="24"/>
        </w:rPr>
        <w:t xml:space="preserve"> empresas</w:t>
      </w:r>
      <w:r w:rsidRPr="007A1541">
        <w:rPr>
          <w:rFonts w:ascii="Times New Roman" w:eastAsia="Arial Unicode MS" w:hAnsi="Times New Roman"/>
          <w:color w:val="000000"/>
          <w:szCs w:val="24"/>
        </w:rPr>
        <w:t xml:space="preserve">, sejam elas </w:t>
      </w:r>
      <w:r w:rsidR="00B61F4B" w:rsidRPr="007A1541">
        <w:rPr>
          <w:rFonts w:ascii="Times New Roman" w:eastAsia="Arial Unicode MS" w:hAnsi="Times New Roman"/>
          <w:color w:val="000000"/>
          <w:szCs w:val="24"/>
        </w:rPr>
        <w:t>p</w:t>
      </w:r>
      <w:r w:rsidRPr="007A1541">
        <w:rPr>
          <w:rFonts w:ascii="Times New Roman" w:eastAsia="Arial Unicode MS" w:hAnsi="Times New Roman"/>
          <w:color w:val="000000"/>
          <w:szCs w:val="24"/>
        </w:rPr>
        <w:t xml:space="preserve">roprietárias, </w:t>
      </w:r>
      <w:r w:rsidR="00B61F4B" w:rsidRPr="007A1541">
        <w:rPr>
          <w:rFonts w:ascii="Times New Roman" w:eastAsia="Arial Unicode MS" w:hAnsi="Times New Roman"/>
          <w:color w:val="000000"/>
          <w:szCs w:val="24"/>
        </w:rPr>
        <w:t>a</w:t>
      </w:r>
      <w:r w:rsidRPr="007A1541">
        <w:rPr>
          <w:rFonts w:ascii="Times New Roman" w:eastAsia="Arial Unicode MS" w:hAnsi="Times New Roman"/>
          <w:color w:val="000000"/>
          <w:szCs w:val="24"/>
        </w:rPr>
        <w:t xml:space="preserve">rrendatárias ou </w:t>
      </w:r>
      <w:r w:rsidR="00B61F4B" w:rsidRPr="007A1541">
        <w:rPr>
          <w:rFonts w:ascii="Times New Roman" w:eastAsia="Arial Unicode MS" w:hAnsi="Times New Roman"/>
          <w:color w:val="000000"/>
          <w:szCs w:val="24"/>
        </w:rPr>
        <w:t>l</w:t>
      </w:r>
      <w:r w:rsidRPr="007A1541">
        <w:rPr>
          <w:rFonts w:ascii="Times New Roman" w:eastAsia="Arial Unicode MS" w:hAnsi="Times New Roman"/>
          <w:color w:val="000000"/>
          <w:szCs w:val="24"/>
        </w:rPr>
        <w:t>ocatárias, se prop</w:t>
      </w:r>
      <w:r w:rsidR="00B61F4B" w:rsidRPr="007A1541">
        <w:rPr>
          <w:rFonts w:ascii="Times New Roman" w:eastAsia="Arial Unicode MS" w:hAnsi="Times New Roman"/>
          <w:color w:val="000000"/>
          <w:szCs w:val="24"/>
        </w:rPr>
        <w:t>ôs</w:t>
      </w:r>
      <w:r w:rsidRPr="007A1541">
        <w:rPr>
          <w:rFonts w:ascii="Times New Roman" w:eastAsia="Arial Unicode MS" w:hAnsi="Times New Roman"/>
          <w:color w:val="000000"/>
          <w:szCs w:val="24"/>
        </w:rPr>
        <w:t xml:space="preserve"> centralizar o fornecimento de informações à Agência, em nome de um </w:t>
      </w:r>
      <w:r w:rsidR="0026284D" w:rsidRPr="007A1541">
        <w:rPr>
          <w:rFonts w:ascii="Times New Roman" w:eastAsia="Arial Unicode MS" w:hAnsi="Times New Roman"/>
          <w:color w:val="000000"/>
          <w:szCs w:val="24"/>
        </w:rPr>
        <w:t>g</w:t>
      </w:r>
      <w:r w:rsidRPr="007A1541">
        <w:rPr>
          <w:rFonts w:ascii="Times New Roman" w:eastAsia="Arial Unicode MS" w:hAnsi="Times New Roman"/>
          <w:color w:val="000000"/>
          <w:szCs w:val="24"/>
        </w:rPr>
        <w:t xml:space="preserve">rupo ou </w:t>
      </w:r>
      <w:r w:rsidR="0026284D" w:rsidRPr="007A1541">
        <w:rPr>
          <w:rFonts w:ascii="Times New Roman" w:eastAsia="Arial Unicode MS" w:hAnsi="Times New Roman"/>
          <w:color w:val="000000"/>
          <w:szCs w:val="24"/>
        </w:rPr>
        <w:t>c</w:t>
      </w:r>
      <w:r w:rsidRPr="007A1541">
        <w:rPr>
          <w:rFonts w:ascii="Times New Roman" w:eastAsia="Arial Unicode MS" w:hAnsi="Times New Roman"/>
          <w:color w:val="000000"/>
          <w:szCs w:val="24"/>
        </w:rPr>
        <w:t>ircuito.</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VIII – </w:t>
      </w:r>
      <w:r w:rsidRPr="007A1541">
        <w:rPr>
          <w:rFonts w:ascii="Times New Roman" w:eastAsia="Arial Unicode MS" w:hAnsi="Times New Roman"/>
          <w:color w:val="000000"/>
          <w:szCs w:val="24"/>
          <w:u w:val="single"/>
        </w:rPr>
        <w:t>Empresa Proprietária</w:t>
      </w:r>
      <w:r w:rsidRPr="007A1541">
        <w:rPr>
          <w:rFonts w:ascii="Times New Roman" w:eastAsia="Arial Unicode MS" w:hAnsi="Times New Roman"/>
          <w:color w:val="000000"/>
          <w:szCs w:val="24"/>
        </w:rPr>
        <w:t xml:space="preserve">: </w:t>
      </w:r>
      <w:r w:rsidR="00182D50" w:rsidRPr="007A1541">
        <w:rPr>
          <w:rFonts w:ascii="Times New Roman" w:eastAsia="Arial Unicode MS" w:hAnsi="Times New Roman"/>
          <w:color w:val="000000"/>
          <w:szCs w:val="24"/>
        </w:rPr>
        <w:t>a</w:t>
      </w:r>
      <w:r w:rsidRPr="007A1541">
        <w:rPr>
          <w:rFonts w:ascii="Times New Roman" w:eastAsia="Arial Unicode MS" w:hAnsi="Times New Roman"/>
          <w:color w:val="000000"/>
          <w:szCs w:val="24"/>
        </w:rPr>
        <w:t xml:space="preserve"> </w:t>
      </w:r>
      <w:r w:rsidR="00182D50" w:rsidRPr="007A1541">
        <w:rPr>
          <w:rFonts w:ascii="Times New Roman" w:eastAsia="Arial Unicode MS" w:hAnsi="Times New Roman"/>
          <w:color w:val="000000"/>
          <w:szCs w:val="24"/>
        </w:rPr>
        <w:t>sociedade empresária</w:t>
      </w:r>
      <w:r w:rsidRPr="007A1541">
        <w:rPr>
          <w:rFonts w:ascii="Times New Roman" w:eastAsia="Arial Unicode MS" w:hAnsi="Times New Roman"/>
          <w:color w:val="000000"/>
          <w:szCs w:val="24"/>
        </w:rPr>
        <w:t xml:space="preserve"> </w:t>
      </w:r>
      <w:r w:rsidR="00B61F4B" w:rsidRPr="007A1541">
        <w:rPr>
          <w:rFonts w:ascii="Times New Roman" w:eastAsia="Arial Unicode MS" w:hAnsi="Times New Roman"/>
          <w:color w:val="000000"/>
          <w:szCs w:val="24"/>
        </w:rPr>
        <w:t>e</w:t>
      </w:r>
      <w:r w:rsidRPr="007A1541">
        <w:rPr>
          <w:rFonts w:ascii="Times New Roman" w:eastAsia="Arial Unicode MS" w:hAnsi="Times New Roman"/>
          <w:color w:val="000000"/>
          <w:szCs w:val="24"/>
        </w:rPr>
        <w:t>xibidora registrada na ANCINE como proprietária da sala, esp</w:t>
      </w:r>
      <w:r w:rsidR="00D8389A" w:rsidRPr="007A1541">
        <w:rPr>
          <w:rFonts w:ascii="Times New Roman" w:eastAsia="Arial Unicode MS" w:hAnsi="Times New Roman"/>
          <w:color w:val="000000"/>
          <w:szCs w:val="24"/>
        </w:rPr>
        <w:t>aço, local ou complexo</w:t>
      </w:r>
      <w:r w:rsidRPr="007A1541">
        <w:rPr>
          <w:rFonts w:ascii="Times New Roman" w:eastAsia="Arial Unicode MS" w:hAnsi="Times New Roman"/>
          <w:color w:val="000000"/>
          <w:szCs w:val="24"/>
        </w:rPr>
        <w:t xml:space="preserve"> de exibição, aí compreendido não apenas o fundo comercial de negócio, mas também a propriedade do imóvel em que situado, ou, no qual realizada a exibição, pela qual é única responsável perante a Agência quanto ao cumprimento de exigências previstas em Lei.</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IX – </w:t>
      </w:r>
      <w:r w:rsidRPr="007A1541">
        <w:rPr>
          <w:rFonts w:ascii="Times New Roman" w:eastAsia="Arial Unicode MS" w:hAnsi="Times New Roman"/>
          <w:color w:val="000000"/>
          <w:szCs w:val="24"/>
          <w:u w:val="single"/>
        </w:rPr>
        <w:t>Empresa Arrendatária</w:t>
      </w:r>
      <w:r w:rsidRPr="007A1541">
        <w:rPr>
          <w:rFonts w:ascii="Times New Roman" w:eastAsia="Arial Unicode MS" w:hAnsi="Times New Roman"/>
          <w:color w:val="000000"/>
          <w:szCs w:val="24"/>
        </w:rPr>
        <w:t xml:space="preserve">: </w:t>
      </w:r>
      <w:r w:rsidR="00D8389A" w:rsidRPr="007A1541">
        <w:rPr>
          <w:rFonts w:ascii="Times New Roman" w:eastAsia="Arial Unicode MS" w:hAnsi="Times New Roman"/>
          <w:color w:val="000000"/>
          <w:szCs w:val="24"/>
        </w:rPr>
        <w:t xml:space="preserve">a sociedade empresária </w:t>
      </w:r>
      <w:r w:rsidR="00B61F4B" w:rsidRPr="007A1541">
        <w:rPr>
          <w:rFonts w:ascii="Times New Roman" w:eastAsia="Arial Unicode MS" w:hAnsi="Times New Roman"/>
          <w:color w:val="000000"/>
          <w:szCs w:val="24"/>
        </w:rPr>
        <w:t>e</w:t>
      </w:r>
      <w:r w:rsidRPr="007A1541">
        <w:rPr>
          <w:rFonts w:ascii="Times New Roman" w:eastAsia="Arial Unicode MS" w:hAnsi="Times New Roman"/>
          <w:color w:val="000000"/>
          <w:szCs w:val="24"/>
        </w:rPr>
        <w:t>xibidora registrada na ANCINE como</w:t>
      </w:r>
      <w:r w:rsidR="00D8389A" w:rsidRPr="007A1541">
        <w:rPr>
          <w:rFonts w:ascii="Times New Roman" w:eastAsia="Arial Unicode MS" w:hAnsi="Times New Roman"/>
          <w:color w:val="000000"/>
          <w:szCs w:val="24"/>
        </w:rPr>
        <w:t xml:space="preserve"> proprietária da sala, espaço,</w:t>
      </w:r>
      <w:r w:rsidRPr="007A1541">
        <w:rPr>
          <w:rFonts w:ascii="Times New Roman" w:eastAsia="Arial Unicode MS" w:hAnsi="Times New Roman"/>
          <w:color w:val="000000"/>
          <w:szCs w:val="24"/>
        </w:rPr>
        <w:t xml:space="preserve"> local </w:t>
      </w:r>
      <w:r w:rsidR="00D8389A" w:rsidRPr="007A1541">
        <w:rPr>
          <w:rFonts w:ascii="Times New Roman" w:eastAsia="Arial Unicode MS" w:hAnsi="Times New Roman"/>
          <w:color w:val="000000"/>
          <w:szCs w:val="24"/>
        </w:rPr>
        <w:t xml:space="preserve">ou complexo </w:t>
      </w:r>
      <w:r w:rsidRPr="007A1541">
        <w:rPr>
          <w:rFonts w:ascii="Times New Roman" w:eastAsia="Arial Unicode MS" w:hAnsi="Times New Roman"/>
          <w:color w:val="000000"/>
          <w:szCs w:val="24"/>
        </w:rPr>
        <w:t xml:space="preserve">de exibição, </w:t>
      </w:r>
      <w:r w:rsidR="00B61F4B" w:rsidRPr="007A1541">
        <w:rPr>
          <w:rFonts w:ascii="Times New Roman" w:eastAsia="Arial Unicode MS" w:hAnsi="Times New Roman"/>
          <w:color w:val="000000"/>
          <w:szCs w:val="24"/>
        </w:rPr>
        <w:t>quando</w:t>
      </w:r>
      <w:r w:rsidRPr="007A1541">
        <w:rPr>
          <w:rFonts w:ascii="Times New Roman" w:eastAsia="Arial Unicode MS" w:hAnsi="Times New Roman"/>
          <w:color w:val="000000"/>
          <w:szCs w:val="24"/>
        </w:rPr>
        <w:t xml:space="preserve"> aí compreendido apen</w:t>
      </w:r>
      <w:r w:rsidR="00D8389A" w:rsidRPr="007A1541">
        <w:rPr>
          <w:rFonts w:ascii="Times New Roman" w:eastAsia="Arial Unicode MS" w:hAnsi="Times New Roman"/>
          <w:color w:val="000000"/>
          <w:szCs w:val="24"/>
        </w:rPr>
        <w:t>as o fundo comercial de negócio.</w:t>
      </w:r>
    </w:p>
    <w:p w:rsidR="00D8389A" w:rsidRPr="007A1541" w:rsidRDefault="00D8389A"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lastRenderedPageBreak/>
        <w:t xml:space="preserve">X – </w:t>
      </w:r>
      <w:r w:rsidRPr="007A1541">
        <w:rPr>
          <w:rFonts w:ascii="Times New Roman" w:eastAsia="Arial Unicode MS" w:hAnsi="Times New Roman"/>
          <w:color w:val="000000"/>
          <w:szCs w:val="24"/>
          <w:u w:val="single"/>
        </w:rPr>
        <w:t>Empresa Locatária</w:t>
      </w:r>
      <w:r w:rsidRPr="007A1541">
        <w:rPr>
          <w:rFonts w:ascii="Times New Roman" w:eastAsia="Arial Unicode MS" w:hAnsi="Times New Roman"/>
          <w:color w:val="000000"/>
          <w:szCs w:val="24"/>
        </w:rPr>
        <w:t xml:space="preserve">: </w:t>
      </w:r>
      <w:r w:rsidR="00D8389A" w:rsidRPr="007A1541">
        <w:rPr>
          <w:rFonts w:ascii="Times New Roman" w:eastAsia="Arial Unicode MS" w:hAnsi="Times New Roman"/>
          <w:color w:val="000000"/>
          <w:szCs w:val="24"/>
        </w:rPr>
        <w:t xml:space="preserve">a sociedade empresária </w:t>
      </w:r>
      <w:r w:rsidR="00B61F4B" w:rsidRPr="007A1541">
        <w:rPr>
          <w:rFonts w:ascii="Times New Roman" w:eastAsia="Arial Unicode MS" w:hAnsi="Times New Roman"/>
          <w:color w:val="000000"/>
          <w:szCs w:val="24"/>
        </w:rPr>
        <w:t>e</w:t>
      </w:r>
      <w:r w:rsidRPr="007A1541">
        <w:rPr>
          <w:rFonts w:ascii="Times New Roman" w:eastAsia="Arial Unicode MS" w:hAnsi="Times New Roman"/>
          <w:color w:val="000000"/>
          <w:szCs w:val="24"/>
        </w:rPr>
        <w:t xml:space="preserve">xibidora registrada na ANCINE como </w:t>
      </w:r>
      <w:r w:rsidR="00D8389A" w:rsidRPr="007A1541">
        <w:rPr>
          <w:rFonts w:ascii="Times New Roman" w:eastAsia="Arial Unicode MS" w:hAnsi="Times New Roman"/>
          <w:color w:val="000000"/>
          <w:szCs w:val="24"/>
        </w:rPr>
        <w:t>responsável pela sala, espaço</w:t>
      </w:r>
      <w:r w:rsidRPr="007A1541">
        <w:rPr>
          <w:rFonts w:ascii="Times New Roman" w:eastAsia="Arial Unicode MS" w:hAnsi="Times New Roman"/>
          <w:color w:val="000000"/>
          <w:szCs w:val="24"/>
        </w:rPr>
        <w:t xml:space="preserve"> local</w:t>
      </w:r>
      <w:r w:rsidR="00D8389A" w:rsidRPr="007A1541">
        <w:rPr>
          <w:rFonts w:ascii="Times New Roman" w:eastAsia="Arial Unicode MS" w:hAnsi="Times New Roman"/>
          <w:color w:val="000000"/>
          <w:szCs w:val="24"/>
        </w:rPr>
        <w:t xml:space="preserve"> ou complexo</w:t>
      </w:r>
      <w:r w:rsidRPr="007A1541">
        <w:rPr>
          <w:rFonts w:ascii="Times New Roman" w:eastAsia="Arial Unicode MS" w:hAnsi="Times New Roman"/>
          <w:color w:val="000000"/>
          <w:szCs w:val="24"/>
        </w:rPr>
        <w:t xml:space="preserve"> de exibição, detentora do fundo comercial de negócio em caráter temporário e conforme contrato de locação.</w:t>
      </w:r>
    </w:p>
    <w:p w:rsidR="00D8389A" w:rsidRPr="007A1541" w:rsidRDefault="00D8389A"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XI – </w:t>
      </w:r>
      <w:r w:rsidRPr="007A1541">
        <w:rPr>
          <w:rFonts w:ascii="Times New Roman" w:eastAsia="Arial Unicode MS" w:hAnsi="Times New Roman"/>
          <w:color w:val="000000"/>
          <w:szCs w:val="24"/>
          <w:u w:val="single"/>
        </w:rPr>
        <w:t>Transferência de Obrigatoriedade</w:t>
      </w:r>
      <w:r w:rsidRPr="007A1541">
        <w:rPr>
          <w:rFonts w:ascii="Times New Roman" w:eastAsia="Arial Unicode MS" w:hAnsi="Times New Roman"/>
          <w:color w:val="000000"/>
          <w:szCs w:val="24"/>
        </w:rPr>
        <w:t xml:space="preserve"> </w:t>
      </w:r>
      <w:r w:rsidR="00CB26D9" w:rsidRPr="007A1541">
        <w:rPr>
          <w:rFonts w:ascii="Times New Roman" w:eastAsia="Arial Unicode MS" w:hAnsi="Times New Roman"/>
          <w:color w:val="000000"/>
          <w:szCs w:val="24"/>
        </w:rPr>
        <w:t>ou</w:t>
      </w:r>
      <w:r w:rsidRPr="007A1541">
        <w:rPr>
          <w:rFonts w:ascii="Times New Roman" w:eastAsia="Arial Unicode MS" w:hAnsi="Times New Roman"/>
          <w:color w:val="000000"/>
          <w:szCs w:val="24"/>
        </w:rPr>
        <w:t xml:space="preserve"> </w:t>
      </w:r>
      <w:r w:rsidRPr="007A1541">
        <w:rPr>
          <w:rFonts w:ascii="Times New Roman" w:eastAsia="Arial Unicode MS" w:hAnsi="Times New Roman"/>
          <w:color w:val="000000"/>
          <w:szCs w:val="24"/>
          <w:u w:val="single"/>
        </w:rPr>
        <w:t>Transferência Parcial</w:t>
      </w:r>
      <w:r w:rsidRPr="007A1541">
        <w:rPr>
          <w:rFonts w:ascii="Times New Roman" w:eastAsia="Arial Unicode MS" w:hAnsi="Times New Roman"/>
          <w:color w:val="000000"/>
          <w:szCs w:val="24"/>
        </w:rPr>
        <w:t xml:space="preserve">: Mecanismo pelo qual a </w:t>
      </w:r>
      <w:r w:rsidR="002351C6" w:rsidRPr="007A1541">
        <w:rPr>
          <w:rFonts w:ascii="Times New Roman" w:eastAsia="Arial Unicode MS" w:hAnsi="Times New Roman"/>
          <w:color w:val="000000"/>
          <w:szCs w:val="24"/>
        </w:rPr>
        <w:t>sociedade empresária e</w:t>
      </w:r>
      <w:r w:rsidRPr="007A1541">
        <w:rPr>
          <w:rFonts w:ascii="Times New Roman" w:eastAsia="Arial Unicode MS" w:hAnsi="Times New Roman"/>
          <w:color w:val="000000"/>
          <w:szCs w:val="24"/>
        </w:rPr>
        <w:t>xibidora responsável pelo cumprimento da obrigatoriedade de exibição poderá solicitar a parcial transferência do número de dias a que uma sala, espaço ou local de exibição estiver sujeito, para salas, e</w:t>
      </w:r>
      <w:r w:rsidR="009E294B" w:rsidRPr="007A1541">
        <w:rPr>
          <w:rFonts w:ascii="Times New Roman" w:eastAsia="Arial Unicode MS" w:hAnsi="Times New Roman"/>
          <w:color w:val="000000"/>
          <w:szCs w:val="24"/>
        </w:rPr>
        <w:t xml:space="preserve">spaços, </w:t>
      </w:r>
      <w:r w:rsidRPr="007A1541">
        <w:rPr>
          <w:rFonts w:ascii="Times New Roman" w:eastAsia="Arial Unicode MS" w:hAnsi="Times New Roman"/>
          <w:color w:val="000000"/>
          <w:szCs w:val="24"/>
        </w:rPr>
        <w:t>locais</w:t>
      </w:r>
      <w:r w:rsidR="009E294B" w:rsidRPr="007A1541">
        <w:rPr>
          <w:rFonts w:ascii="Times New Roman" w:eastAsia="Arial Unicode MS" w:hAnsi="Times New Roman"/>
          <w:color w:val="000000"/>
          <w:szCs w:val="24"/>
        </w:rPr>
        <w:t xml:space="preserve"> e complexos</w:t>
      </w:r>
      <w:r w:rsidR="007A1541" w:rsidRPr="007A1541">
        <w:rPr>
          <w:rFonts w:ascii="Times New Roman" w:eastAsia="Arial Unicode MS" w:hAnsi="Times New Roman"/>
          <w:color w:val="000000"/>
          <w:szCs w:val="24"/>
        </w:rPr>
        <w:t xml:space="preserve"> </w:t>
      </w:r>
      <w:r w:rsidRPr="007A1541">
        <w:rPr>
          <w:rFonts w:ascii="Times New Roman" w:eastAsia="Arial Unicode MS" w:hAnsi="Times New Roman"/>
          <w:color w:val="000000"/>
          <w:szCs w:val="24"/>
        </w:rPr>
        <w:t xml:space="preserve">de exibição </w:t>
      </w:r>
      <w:r w:rsidR="009E294B" w:rsidRPr="007A1541">
        <w:rPr>
          <w:rFonts w:ascii="Times New Roman" w:eastAsia="Arial Unicode MS" w:hAnsi="Times New Roman"/>
          <w:color w:val="000000"/>
          <w:szCs w:val="24"/>
        </w:rPr>
        <w:t>de sua responsabilidade.</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XII – </w:t>
      </w:r>
      <w:r w:rsidRPr="007A1541">
        <w:rPr>
          <w:rFonts w:ascii="Times New Roman" w:eastAsia="Arial Unicode MS" w:hAnsi="Times New Roman"/>
          <w:color w:val="000000"/>
          <w:szCs w:val="24"/>
          <w:u w:val="single"/>
        </w:rPr>
        <w:t>Limite de Transferência</w:t>
      </w:r>
      <w:r w:rsidRPr="007A1541">
        <w:rPr>
          <w:rFonts w:ascii="Times New Roman" w:eastAsia="Arial Unicode MS" w:hAnsi="Times New Roman"/>
          <w:color w:val="000000"/>
          <w:szCs w:val="24"/>
        </w:rPr>
        <w:t>: Número ou índice máximo aceito com base na regulamentação desta Instrução Normativa para transferência de parte dos dias de sua obrigatoriedade.</w:t>
      </w:r>
      <w:r w:rsidR="00085ED4" w:rsidRPr="007A1541">
        <w:rPr>
          <w:rFonts w:ascii="Times New Roman" w:eastAsia="Arial Unicode MS" w:hAnsi="Times New Roman"/>
          <w:color w:val="000000"/>
          <w:szCs w:val="24"/>
        </w:rPr>
        <w:t xml:space="preserve"> </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XIII – </w:t>
      </w:r>
      <w:r w:rsidRPr="007A1541">
        <w:rPr>
          <w:rFonts w:ascii="Times New Roman" w:eastAsia="Arial Unicode MS" w:hAnsi="Times New Roman"/>
          <w:color w:val="000000"/>
          <w:szCs w:val="24"/>
          <w:u w:val="single"/>
        </w:rPr>
        <w:t>Complexo de Origem</w:t>
      </w:r>
      <w:r w:rsidRPr="007A1541">
        <w:rPr>
          <w:rFonts w:ascii="Times New Roman" w:eastAsia="Arial Unicode MS" w:hAnsi="Times New Roman"/>
          <w:color w:val="000000"/>
          <w:szCs w:val="24"/>
        </w:rPr>
        <w:t>: Conjunto de salas, espaços ou locais de exibição sujeito à obriga</w:t>
      </w:r>
      <w:r w:rsidR="00917343" w:rsidRPr="007A1541">
        <w:rPr>
          <w:rFonts w:ascii="Times New Roman" w:eastAsia="Arial Unicode MS" w:hAnsi="Times New Roman"/>
          <w:color w:val="000000"/>
          <w:szCs w:val="24"/>
        </w:rPr>
        <w:t>toriedade</w:t>
      </w:r>
      <w:r w:rsidRPr="007A1541">
        <w:rPr>
          <w:rFonts w:ascii="Times New Roman" w:eastAsia="Arial Unicode MS" w:hAnsi="Times New Roman"/>
          <w:color w:val="000000"/>
          <w:szCs w:val="24"/>
        </w:rPr>
        <w:t xml:space="preserve"> original</w:t>
      </w:r>
      <w:r w:rsidR="00917343" w:rsidRPr="007A1541">
        <w:rPr>
          <w:rFonts w:ascii="Times New Roman" w:eastAsia="Arial Unicode MS" w:hAnsi="Times New Roman"/>
          <w:color w:val="000000"/>
          <w:szCs w:val="24"/>
        </w:rPr>
        <w:t>,</w:t>
      </w:r>
      <w:r w:rsidRPr="007A1541">
        <w:rPr>
          <w:rFonts w:ascii="Times New Roman" w:eastAsia="Arial Unicode MS" w:hAnsi="Times New Roman"/>
          <w:color w:val="000000"/>
          <w:szCs w:val="24"/>
        </w:rPr>
        <w:t xml:space="preserve"> cuja transferência parcial de dias </w:t>
      </w:r>
      <w:r w:rsidR="00917343" w:rsidRPr="007A1541">
        <w:rPr>
          <w:rFonts w:ascii="Times New Roman" w:eastAsia="Arial Unicode MS" w:hAnsi="Times New Roman"/>
          <w:color w:val="000000"/>
          <w:szCs w:val="24"/>
        </w:rPr>
        <w:t>e</w:t>
      </w:r>
      <w:r w:rsidRPr="007A1541">
        <w:rPr>
          <w:rFonts w:ascii="Times New Roman" w:eastAsia="Arial Unicode MS" w:hAnsi="Times New Roman"/>
          <w:color w:val="000000"/>
          <w:szCs w:val="24"/>
        </w:rPr>
        <w:t>stiver sendo solicitada.</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XIV – </w:t>
      </w:r>
      <w:r w:rsidRPr="007A1541">
        <w:rPr>
          <w:rFonts w:ascii="Times New Roman" w:eastAsia="Arial Unicode MS" w:hAnsi="Times New Roman"/>
          <w:color w:val="000000"/>
          <w:szCs w:val="24"/>
          <w:u w:val="single"/>
        </w:rPr>
        <w:t>Complexo de Destino ou Destinatário</w:t>
      </w:r>
      <w:r w:rsidRPr="007A1541">
        <w:rPr>
          <w:rFonts w:ascii="Times New Roman" w:eastAsia="Arial Unicode MS" w:hAnsi="Times New Roman"/>
          <w:color w:val="000000"/>
          <w:szCs w:val="24"/>
        </w:rPr>
        <w:t>: Conjunto de salas, espaços ou locais de exibição aos quais estiver sendo parcialmente transferida a cota dos dias de obrigatoriedade de outro complexo.</w:t>
      </w:r>
    </w:p>
    <w:p w:rsidR="009B196D" w:rsidRPr="007A1541" w:rsidRDefault="009B196D" w:rsidP="009B196D">
      <w:pPr>
        <w:pStyle w:val="BodyText"/>
        <w:jc w:val="both"/>
        <w:rPr>
          <w:rFonts w:ascii="Times New Roman" w:eastAsia="Arial Unicode MS" w:hAnsi="Times New Roman"/>
          <w:color w:val="000000"/>
          <w:szCs w:val="24"/>
        </w:rPr>
      </w:pPr>
    </w:p>
    <w:p w:rsidR="009B196D" w:rsidRPr="007A1541" w:rsidRDefault="009B196D" w:rsidP="009B196D">
      <w:pPr>
        <w:pStyle w:val="BodyText"/>
        <w:jc w:val="both"/>
        <w:rPr>
          <w:rFonts w:ascii="Times New Roman" w:hAnsi="Times New Roman"/>
          <w:color w:val="000000"/>
        </w:rPr>
      </w:pPr>
      <w:r w:rsidRPr="007A1541">
        <w:rPr>
          <w:rFonts w:ascii="Times New Roman" w:eastAsia="Arial Unicode MS" w:hAnsi="Times New Roman"/>
          <w:color w:val="000000"/>
          <w:szCs w:val="24"/>
        </w:rPr>
        <w:t xml:space="preserve">XV – </w:t>
      </w:r>
      <w:r w:rsidRPr="007A1541">
        <w:rPr>
          <w:rFonts w:ascii="Times New Roman" w:hAnsi="Times New Roman"/>
          <w:color w:val="000000"/>
          <w:u w:val="single"/>
        </w:rPr>
        <w:t>Freqüência Média Semanal</w:t>
      </w:r>
      <w:r w:rsidRPr="007A1541">
        <w:rPr>
          <w:rFonts w:ascii="Times New Roman" w:hAnsi="Times New Roman"/>
          <w:color w:val="000000"/>
        </w:rPr>
        <w:t xml:space="preserve"> ou </w:t>
      </w:r>
      <w:r w:rsidRPr="007A1541">
        <w:rPr>
          <w:rFonts w:ascii="Times New Roman" w:hAnsi="Times New Roman"/>
          <w:color w:val="000000"/>
          <w:u w:val="single"/>
        </w:rPr>
        <w:t>Índice de Freqüência</w:t>
      </w:r>
      <w:r w:rsidRPr="007A1541">
        <w:rPr>
          <w:rFonts w:ascii="Times New Roman" w:hAnsi="Times New Roman"/>
          <w:color w:val="000000"/>
        </w:rPr>
        <w:t>: Total de espectadores registrados nos borderôs de exibição correspondentes às semanas d</w:t>
      </w:r>
      <w:r w:rsidR="00917343" w:rsidRPr="007A1541">
        <w:rPr>
          <w:rFonts w:ascii="Times New Roman" w:hAnsi="Times New Roman"/>
          <w:color w:val="000000"/>
        </w:rPr>
        <w:t>o</w:t>
      </w:r>
      <w:r w:rsidRPr="007A1541">
        <w:rPr>
          <w:rFonts w:ascii="Times New Roman" w:hAnsi="Times New Roman"/>
          <w:color w:val="000000"/>
        </w:rPr>
        <w:t xml:space="preserve"> período fixado </w:t>
      </w:r>
      <w:r w:rsidR="00917343" w:rsidRPr="007A1541">
        <w:rPr>
          <w:rFonts w:ascii="Times New Roman" w:hAnsi="Times New Roman"/>
          <w:color w:val="000000"/>
        </w:rPr>
        <w:t xml:space="preserve">nesta </w:t>
      </w:r>
      <w:r w:rsidRPr="007A1541">
        <w:rPr>
          <w:rFonts w:ascii="Times New Roman" w:hAnsi="Times New Roman"/>
          <w:color w:val="000000"/>
        </w:rPr>
        <w:t xml:space="preserve">Instrução Normativa, dividido pelo número de semanas cinematográficas nele contidas, independente da quantidade de sessões e obras exibidas ou da forma em que programadas pelas </w:t>
      </w:r>
      <w:r w:rsidRPr="007A1541">
        <w:rPr>
          <w:rFonts w:ascii="Times New Roman" w:eastAsia="Arial Unicode MS" w:hAnsi="Times New Roman"/>
          <w:color w:val="000000"/>
          <w:szCs w:val="24"/>
        </w:rPr>
        <w:t>salas, espaços ou locais de exibição</w:t>
      </w:r>
      <w:r w:rsidRPr="007A1541">
        <w:rPr>
          <w:rFonts w:ascii="Times New Roman" w:hAnsi="Times New Roman"/>
          <w:color w:val="000000"/>
        </w:rPr>
        <w:t>, ou, fator de cálculo, expresso em indicador relativo a essa média semanal de freqüência.</w:t>
      </w:r>
    </w:p>
    <w:p w:rsidR="009B196D" w:rsidRPr="007A1541" w:rsidRDefault="009B196D" w:rsidP="009B196D">
      <w:pPr>
        <w:pStyle w:val="BodyText"/>
        <w:jc w:val="both"/>
        <w:rPr>
          <w:rFonts w:ascii="Times New Roman" w:hAnsi="Times New Roman"/>
          <w:color w:val="000000"/>
        </w:rPr>
      </w:pPr>
    </w:p>
    <w:p w:rsidR="009B196D" w:rsidRPr="007A1541" w:rsidRDefault="009B196D" w:rsidP="009B196D">
      <w:pPr>
        <w:pStyle w:val="BodyText"/>
        <w:jc w:val="both"/>
        <w:rPr>
          <w:rFonts w:ascii="Times New Roman" w:eastAsia="Arial Unicode MS" w:hAnsi="Times New Roman"/>
          <w:color w:val="000000"/>
          <w:szCs w:val="24"/>
        </w:rPr>
      </w:pPr>
      <w:r w:rsidRPr="007A1541">
        <w:rPr>
          <w:rFonts w:ascii="Times New Roman" w:hAnsi="Times New Roman"/>
          <w:color w:val="000000"/>
        </w:rPr>
        <w:t xml:space="preserve">XVI – </w:t>
      </w:r>
      <w:r w:rsidRPr="007A1541">
        <w:rPr>
          <w:rFonts w:ascii="Times New Roman" w:hAnsi="Times New Roman"/>
          <w:color w:val="000000"/>
          <w:u w:val="single"/>
        </w:rPr>
        <w:t>Lotação da Sala</w:t>
      </w:r>
      <w:r w:rsidRPr="007A1541">
        <w:rPr>
          <w:rFonts w:ascii="Times New Roman" w:hAnsi="Times New Roman"/>
          <w:color w:val="000000"/>
        </w:rPr>
        <w:t xml:space="preserve"> ou </w:t>
      </w:r>
      <w:r w:rsidRPr="007A1541">
        <w:rPr>
          <w:rFonts w:ascii="Times New Roman" w:hAnsi="Times New Roman"/>
          <w:color w:val="000000"/>
          <w:u w:val="single"/>
        </w:rPr>
        <w:t>Número de Poltronas</w:t>
      </w:r>
      <w:r w:rsidRPr="007A1541">
        <w:rPr>
          <w:rFonts w:ascii="Times New Roman" w:hAnsi="Times New Roman"/>
          <w:color w:val="000000"/>
        </w:rPr>
        <w:t xml:space="preserve">: Total de assentos, cadeiras ou poltronas fixas existentes em uma mesma </w:t>
      </w:r>
      <w:r w:rsidRPr="007A1541">
        <w:rPr>
          <w:rFonts w:ascii="Times New Roman" w:eastAsia="Arial Unicode MS" w:hAnsi="Times New Roman"/>
          <w:color w:val="000000"/>
          <w:szCs w:val="24"/>
        </w:rPr>
        <w:t>sala, espaço ou local de exibição e constante de seu registro na ANCINE.</w:t>
      </w:r>
    </w:p>
    <w:p w:rsidR="009B196D" w:rsidRPr="007A1541" w:rsidRDefault="009B196D" w:rsidP="009B196D">
      <w:pPr>
        <w:pStyle w:val="BodyText"/>
        <w:jc w:val="both"/>
        <w:rPr>
          <w:rFonts w:ascii="Times New Roman" w:hAnsi="Times New Roman"/>
          <w:color w:val="000000"/>
        </w:rPr>
      </w:pPr>
    </w:p>
    <w:p w:rsidR="009B196D" w:rsidRPr="007A1541" w:rsidRDefault="009B196D" w:rsidP="009B196D">
      <w:pPr>
        <w:pStyle w:val="BodyText"/>
        <w:jc w:val="both"/>
        <w:rPr>
          <w:rFonts w:ascii="Times New Roman" w:hAnsi="Times New Roman"/>
          <w:color w:val="000000"/>
        </w:rPr>
      </w:pPr>
      <w:r w:rsidRPr="007A1541">
        <w:rPr>
          <w:rFonts w:ascii="Times New Roman" w:hAnsi="Times New Roman"/>
          <w:color w:val="000000"/>
        </w:rPr>
        <w:t xml:space="preserve">XVII – </w:t>
      </w:r>
      <w:r w:rsidRPr="007A1541">
        <w:rPr>
          <w:rFonts w:ascii="Times New Roman" w:hAnsi="Times New Roman"/>
          <w:color w:val="000000"/>
          <w:u w:val="single"/>
        </w:rPr>
        <w:t>Lugares Oferecidos</w:t>
      </w:r>
      <w:r w:rsidRPr="007A1541">
        <w:rPr>
          <w:rFonts w:ascii="Times New Roman" w:hAnsi="Times New Roman"/>
          <w:color w:val="000000"/>
        </w:rPr>
        <w:t xml:space="preserve">: Lotação da sala </w:t>
      </w:r>
      <w:r w:rsidRPr="007A1541">
        <w:rPr>
          <w:rFonts w:ascii="Times New Roman" w:eastAsia="Arial Unicode MS" w:hAnsi="Times New Roman"/>
          <w:color w:val="000000"/>
          <w:szCs w:val="24"/>
        </w:rPr>
        <w:t xml:space="preserve">espaço ou local de exibição </w:t>
      </w:r>
      <w:r w:rsidRPr="007A1541">
        <w:rPr>
          <w:rFonts w:ascii="Times New Roman" w:hAnsi="Times New Roman"/>
          <w:color w:val="000000"/>
        </w:rPr>
        <w:t>ou número de poltronas ali existentes, multiplicado pelo número de sessões oferecidas ao público durante o período aferido.</w:t>
      </w:r>
    </w:p>
    <w:p w:rsidR="009B196D" w:rsidRPr="007A1541" w:rsidRDefault="009B196D" w:rsidP="009B196D">
      <w:pPr>
        <w:pStyle w:val="BodyText"/>
        <w:jc w:val="both"/>
        <w:rPr>
          <w:rFonts w:ascii="Times New Roman" w:hAnsi="Times New Roman"/>
          <w:color w:val="000000"/>
        </w:rPr>
      </w:pPr>
    </w:p>
    <w:p w:rsidR="009B196D" w:rsidRPr="007A1541" w:rsidRDefault="009B196D" w:rsidP="009B196D">
      <w:pPr>
        <w:pStyle w:val="BodyText"/>
        <w:jc w:val="both"/>
        <w:rPr>
          <w:rFonts w:ascii="Times New Roman" w:hAnsi="Times New Roman"/>
          <w:color w:val="000000"/>
        </w:rPr>
      </w:pPr>
      <w:r w:rsidRPr="007A1541">
        <w:rPr>
          <w:rFonts w:ascii="Times New Roman" w:hAnsi="Times New Roman"/>
          <w:color w:val="000000"/>
        </w:rPr>
        <w:t xml:space="preserve">XVIII – </w:t>
      </w:r>
      <w:r w:rsidRPr="007A1541">
        <w:rPr>
          <w:rFonts w:ascii="Times New Roman" w:hAnsi="Times New Roman"/>
          <w:color w:val="000000"/>
          <w:u w:val="single"/>
        </w:rPr>
        <w:t>Total de Ingressos Obtidos</w:t>
      </w:r>
      <w:r w:rsidRPr="007A1541">
        <w:rPr>
          <w:rFonts w:ascii="Times New Roman" w:hAnsi="Times New Roman"/>
          <w:color w:val="000000"/>
        </w:rPr>
        <w:t>: Total de ingressos aferido no período e registrado em borderô pelos sistemas de controle homologados pela ANCINE nos termos do Art. 17 da MP 2.228-1/01 ou, enquanto não regulamentada tal homologação, nos termos do seu Art. 18 e respectivo regulamento.</w:t>
      </w:r>
    </w:p>
    <w:p w:rsidR="009B196D" w:rsidRPr="007A1541" w:rsidRDefault="009B196D" w:rsidP="009B196D">
      <w:pPr>
        <w:pStyle w:val="BodyText"/>
        <w:jc w:val="both"/>
        <w:rPr>
          <w:rFonts w:ascii="Times New Roman" w:hAnsi="Times New Roman"/>
          <w:color w:val="000000"/>
        </w:rPr>
      </w:pPr>
    </w:p>
    <w:p w:rsidR="00917343" w:rsidRPr="007A1541" w:rsidRDefault="00CB26D9" w:rsidP="009B196D">
      <w:pPr>
        <w:pStyle w:val="BodyText"/>
        <w:jc w:val="both"/>
        <w:rPr>
          <w:rFonts w:ascii="Times New Roman" w:hAnsi="Times New Roman"/>
          <w:color w:val="000000"/>
        </w:rPr>
      </w:pPr>
      <w:r w:rsidRPr="007A1541">
        <w:rPr>
          <w:rFonts w:ascii="Times New Roman" w:hAnsi="Times New Roman"/>
          <w:color w:val="000000"/>
        </w:rPr>
        <w:t>X</w:t>
      </w:r>
      <w:r w:rsidR="009B196D" w:rsidRPr="007A1541">
        <w:rPr>
          <w:rFonts w:ascii="Times New Roman" w:hAnsi="Times New Roman"/>
          <w:color w:val="000000"/>
        </w:rPr>
        <w:t xml:space="preserve">IX – </w:t>
      </w:r>
      <w:r w:rsidR="009B196D" w:rsidRPr="007A1541">
        <w:rPr>
          <w:rFonts w:ascii="Times New Roman" w:hAnsi="Times New Roman"/>
          <w:color w:val="000000"/>
          <w:u w:val="single"/>
        </w:rPr>
        <w:t>Semana Cinematográfica</w:t>
      </w:r>
      <w:r w:rsidR="009B196D" w:rsidRPr="007A1541">
        <w:rPr>
          <w:rFonts w:ascii="Times New Roman" w:hAnsi="Times New Roman"/>
          <w:color w:val="000000"/>
        </w:rPr>
        <w:t xml:space="preserve">: </w:t>
      </w:r>
      <w:r w:rsidR="00917343" w:rsidRPr="007A1541">
        <w:rPr>
          <w:rFonts w:ascii="Times New Roman" w:hAnsi="Times New Roman"/>
          <w:color w:val="000000"/>
        </w:rPr>
        <w:t xml:space="preserve">Conjunto de sete dias consecutivos em que o cinema exibe um mesmo Programa, contado a partir da </w:t>
      </w:r>
      <w:r w:rsidR="009B196D" w:rsidRPr="007A1541">
        <w:rPr>
          <w:rFonts w:ascii="Times New Roman" w:hAnsi="Times New Roman"/>
          <w:color w:val="000000"/>
        </w:rPr>
        <w:t>primeira sessão d</w:t>
      </w:r>
      <w:r w:rsidR="00917343" w:rsidRPr="007A1541">
        <w:rPr>
          <w:rFonts w:ascii="Times New Roman" w:hAnsi="Times New Roman"/>
          <w:color w:val="000000"/>
        </w:rPr>
        <w:t>o primeiro dia exibido.</w:t>
      </w:r>
    </w:p>
    <w:p w:rsidR="009B196D" w:rsidRPr="007A1541" w:rsidRDefault="009B196D" w:rsidP="009B196D">
      <w:pPr>
        <w:pStyle w:val="BodyText"/>
        <w:jc w:val="both"/>
        <w:rPr>
          <w:rFonts w:ascii="Times New Roman" w:hAnsi="Times New Roman"/>
          <w:color w:val="000000"/>
        </w:rPr>
      </w:pPr>
    </w:p>
    <w:p w:rsidR="009B196D" w:rsidRPr="007A1541" w:rsidRDefault="009B196D" w:rsidP="009B196D">
      <w:pPr>
        <w:pStyle w:val="BodyText"/>
        <w:jc w:val="both"/>
        <w:rPr>
          <w:rFonts w:ascii="Times New Roman" w:hAnsi="Times New Roman"/>
          <w:color w:val="000000"/>
        </w:rPr>
      </w:pPr>
      <w:r w:rsidRPr="007A1541">
        <w:rPr>
          <w:rFonts w:ascii="Times New Roman" w:hAnsi="Times New Roman"/>
          <w:color w:val="000000"/>
        </w:rPr>
        <w:t xml:space="preserve">XX – </w:t>
      </w:r>
      <w:r w:rsidRPr="007A1541">
        <w:rPr>
          <w:rFonts w:ascii="Times New Roman" w:hAnsi="Times New Roman"/>
          <w:color w:val="000000"/>
          <w:u w:val="single"/>
        </w:rPr>
        <w:t>Cumprimento</w:t>
      </w:r>
      <w:r w:rsidR="00085ED4" w:rsidRPr="007A1541">
        <w:rPr>
          <w:rFonts w:ascii="Times New Roman" w:hAnsi="Times New Roman"/>
          <w:color w:val="000000"/>
        </w:rPr>
        <w:t>: E</w:t>
      </w:r>
      <w:r w:rsidRPr="007A1541">
        <w:rPr>
          <w:rFonts w:ascii="Times New Roman" w:hAnsi="Times New Roman"/>
          <w:color w:val="000000"/>
        </w:rPr>
        <w:t>xibição de obras audiovisuais brasileiras portadoras de CP</w:t>
      </w:r>
      <w:r w:rsidR="00CB26D9" w:rsidRPr="007A1541">
        <w:rPr>
          <w:rFonts w:ascii="Times New Roman" w:hAnsi="Times New Roman"/>
          <w:color w:val="000000"/>
        </w:rPr>
        <w:t>B</w:t>
      </w:r>
      <w:r w:rsidR="00085ED4" w:rsidRPr="007A1541">
        <w:rPr>
          <w:rFonts w:ascii="Times New Roman" w:hAnsi="Times New Roman"/>
          <w:color w:val="000000"/>
        </w:rPr>
        <w:t xml:space="preserve"> ou equivalente</w:t>
      </w:r>
      <w:r w:rsidRPr="007A1541">
        <w:rPr>
          <w:rFonts w:ascii="Times New Roman" w:hAnsi="Times New Roman"/>
          <w:color w:val="000000"/>
        </w:rPr>
        <w:t xml:space="preserve"> e CRT, cuja exibição se confirme como válida para quitação gradual, total ou parcial do número mínimo de dias de obrigatoriedade a que sujeita a sala, espaço ou local de exibição</w:t>
      </w:r>
      <w:r w:rsidR="00CB26D9" w:rsidRPr="007A1541">
        <w:rPr>
          <w:rFonts w:ascii="Times New Roman" w:hAnsi="Times New Roman"/>
          <w:color w:val="000000"/>
        </w:rPr>
        <w:t>, aferida semestralmente</w:t>
      </w:r>
      <w:r w:rsidRPr="007A1541">
        <w:rPr>
          <w:rFonts w:ascii="Times New Roman" w:hAnsi="Times New Roman"/>
          <w:color w:val="000000"/>
        </w:rPr>
        <w:t>.</w:t>
      </w:r>
    </w:p>
    <w:p w:rsidR="009B196D" w:rsidRPr="007A1541" w:rsidRDefault="009B196D" w:rsidP="009B196D">
      <w:pPr>
        <w:pStyle w:val="BodyText"/>
        <w:jc w:val="both"/>
        <w:rPr>
          <w:rFonts w:ascii="Times New Roman" w:hAnsi="Times New Roman"/>
          <w:color w:val="000000"/>
        </w:rPr>
      </w:pPr>
    </w:p>
    <w:p w:rsidR="00E564EC" w:rsidRPr="007A1541" w:rsidRDefault="009B196D" w:rsidP="009B196D">
      <w:pPr>
        <w:pStyle w:val="BodyText"/>
        <w:jc w:val="both"/>
        <w:rPr>
          <w:rFonts w:ascii="Times New Roman" w:hAnsi="Times New Roman"/>
          <w:color w:val="000000"/>
        </w:rPr>
      </w:pPr>
      <w:r w:rsidRPr="007A1541">
        <w:rPr>
          <w:rFonts w:ascii="Times New Roman" w:hAnsi="Times New Roman"/>
          <w:color w:val="000000"/>
        </w:rPr>
        <w:t xml:space="preserve">XXI – </w:t>
      </w:r>
      <w:r w:rsidRPr="007A1541">
        <w:rPr>
          <w:rFonts w:ascii="Times New Roman" w:hAnsi="Times New Roman"/>
          <w:color w:val="000000"/>
          <w:u w:val="single"/>
        </w:rPr>
        <w:t>Informações dos Semestres Anteriores</w:t>
      </w:r>
      <w:r w:rsidRPr="007A1541">
        <w:rPr>
          <w:rFonts w:ascii="Times New Roman" w:hAnsi="Times New Roman"/>
          <w:color w:val="000000"/>
        </w:rPr>
        <w:t xml:space="preserve">: Conjunto de dados quantitativos ou qualitativos que </w:t>
      </w:r>
      <w:r w:rsidR="00CB04A8" w:rsidRPr="007A1541">
        <w:rPr>
          <w:rFonts w:ascii="Times New Roman" w:hAnsi="Times New Roman"/>
          <w:color w:val="000000"/>
        </w:rPr>
        <w:t>observem</w:t>
      </w:r>
      <w:r w:rsidRPr="007A1541">
        <w:rPr>
          <w:rFonts w:ascii="Times New Roman" w:hAnsi="Times New Roman"/>
          <w:color w:val="000000"/>
        </w:rPr>
        <w:t xml:space="preserve"> especificamente</w:t>
      </w:r>
      <w:r w:rsidR="00CB04A8" w:rsidRPr="007A1541">
        <w:rPr>
          <w:rFonts w:ascii="Times New Roman" w:hAnsi="Times New Roman"/>
          <w:color w:val="000000"/>
        </w:rPr>
        <w:t xml:space="preserve"> o disposto </w:t>
      </w:r>
      <w:r w:rsidRPr="007A1541">
        <w:rPr>
          <w:rFonts w:ascii="Times New Roman" w:hAnsi="Times New Roman"/>
          <w:color w:val="000000"/>
        </w:rPr>
        <w:t>nos Anexos desta Instrução Normativa como exigíveis para atendimento dos dispositivos previstos em Lei e por ela regulamentados</w:t>
      </w:r>
      <w:r w:rsidR="00E564EC" w:rsidRPr="007A1541">
        <w:rPr>
          <w:rFonts w:ascii="Times New Roman" w:hAnsi="Times New Roman"/>
          <w:color w:val="000000"/>
        </w:rPr>
        <w:t>.</w:t>
      </w:r>
    </w:p>
    <w:p w:rsidR="009B196D" w:rsidRPr="007A1541" w:rsidRDefault="009B196D" w:rsidP="009B196D">
      <w:pPr>
        <w:pStyle w:val="BodyText"/>
        <w:jc w:val="both"/>
        <w:rPr>
          <w:rFonts w:ascii="Times New Roman" w:hAnsi="Times New Roman"/>
          <w:color w:val="000000"/>
        </w:rPr>
      </w:pPr>
    </w:p>
    <w:p w:rsidR="00E564EC" w:rsidRPr="007A1541" w:rsidRDefault="009B196D" w:rsidP="009B196D">
      <w:pPr>
        <w:pStyle w:val="BodyText"/>
        <w:jc w:val="both"/>
        <w:rPr>
          <w:rFonts w:ascii="Times New Roman" w:hAnsi="Times New Roman"/>
          <w:color w:val="000000"/>
        </w:rPr>
      </w:pPr>
      <w:r w:rsidRPr="007A1541">
        <w:rPr>
          <w:rFonts w:ascii="Times New Roman" w:hAnsi="Times New Roman"/>
          <w:color w:val="000000"/>
        </w:rPr>
        <w:t xml:space="preserve">XXII – </w:t>
      </w:r>
      <w:r w:rsidRPr="007A1541">
        <w:rPr>
          <w:rFonts w:ascii="Times New Roman" w:hAnsi="Times New Roman"/>
          <w:color w:val="000000"/>
          <w:u w:val="single"/>
        </w:rPr>
        <w:t>Fechamento Temporário ou Parcial</w:t>
      </w:r>
      <w:r w:rsidRPr="007A1541">
        <w:rPr>
          <w:rFonts w:ascii="Times New Roman" w:hAnsi="Times New Roman"/>
          <w:color w:val="000000"/>
        </w:rPr>
        <w:t>: Interrupção na seqüência contínua de dias de operação de uma sala, espaço ou local de exibição ou redução não definitiva na lotação ou no número de sessões, que, devidamente registrados na ANCINE, influam na aferição de números ou índices, dos quais a obrigatoriedade de exibição, a transferência de dias, ou a continuidade em exibição, previstos em Lei se sirvam como parâmetros</w:t>
      </w:r>
      <w:r w:rsidR="00E564EC" w:rsidRPr="007A1541">
        <w:rPr>
          <w:rFonts w:ascii="Times New Roman" w:hAnsi="Times New Roman"/>
          <w:color w:val="000000"/>
        </w:rPr>
        <w:t>.</w:t>
      </w:r>
    </w:p>
    <w:p w:rsidR="009B196D" w:rsidRPr="007A1541" w:rsidRDefault="009B196D" w:rsidP="009B196D">
      <w:pPr>
        <w:pStyle w:val="BodyText"/>
        <w:jc w:val="both"/>
        <w:rPr>
          <w:rFonts w:ascii="Times New Roman" w:hAnsi="Times New Roman"/>
          <w:color w:val="000000"/>
        </w:rPr>
      </w:pPr>
    </w:p>
    <w:p w:rsidR="009B196D" w:rsidRPr="007A1541" w:rsidRDefault="009B196D" w:rsidP="009B196D">
      <w:pPr>
        <w:pStyle w:val="BodyText"/>
        <w:jc w:val="both"/>
        <w:rPr>
          <w:rFonts w:ascii="Times New Roman" w:hAnsi="Times New Roman"/>
          <w:color w:val="000000"/>
        </w:rPr>
      </w:pPr>
      <w:r w:rsidRPr="007A1541">
        <w:rPr>
          <w:rFonts w:ascii="Times New Roman" w:hAnsi="Times New Roman"/>
          <w:color w:val="000000"/>
        </w:rPr>
        <w:t xml:space="preserve">XXIII – </w:t>
      </w:r>
      <w:r w:rsidRPr="007A1541">
        <w:rPr>
          <w:rFonts w:ascii="Times New Roman" w:hAnsi="Times New Roman"/>
          <w:color w:val="000000"/>
          <w:u w:val="single"/>
        </w:rPr>
        <w:t>Regime de Funcionamento</w:t>
      </w:r>
      <w:r w:rsidRPr="007A1541">
        <w:rPr>
          <w:rFonts w:ascii="Times New Roman" w:hAnsi="Times New Roman"/>
          <w:color w:val="000000"/>
        </w:rPr>
        <w:t xml:space="preserve"> </w:t>
      </w:r>
      <w:r w:rsidR="00E564EC" w:rsidRPr="007A1541">
        <w:rPr>
          <w:rFonts w:ascii="Times New Roman" w:hAnsi="Times New Roman"/>
          <w:color w:val="000000"/>
        </w:rPr>
        <w:t>ou</w:t>
      </w:r>
      <w:r w:rsidRPr="007A1541">
        <w:rPr>
          <w:rFonts w:ascii="Times New Roman" w:hAnsi="Times New Roman"/>
          <w:color w:val="000000"/>
        </w:rPr>
        <w:t xml:space="preserve"> </w:t>
      </w:r>
      <w:r w:rsidRPr="007A1541">
        <w:rPr>
          <w:rFonts w:ascii="Times New Roman" w:hAnsi="Times New Roman"/>
          <w:color w:val="000000"/>
          <w:u w:val="single"/>
        </w:rPr>
        <w:t>Programação</w:t>
      </w:r>
      <w:r w:rsidRPr="007A1541">
        <w:rPr>
          <w:rFonts w:ascii="Times New Roman" w:hAnsi="Times New Roman"/>
          <w:color w:val="000000"/>
        </w:rPr>
        <w:t>: Modalidades diferenciadas praticadas pelo mercado exibidor como opções possíveis às atividades de exibição, no que diz respeito a</w:t>
      </w:r>
      <w:r w:rsidR="00E564EC" w:rsidRPr="007A1541">
        <w:rPr>
          <w:rFonts w:ascii="Times New Roman" w:hAnsi="Times New Roman"/>
          <w:color w:val="000000"/>
        </w:rPr>
        <w:t>o</w:t>
      </w:r>
      <w:r w:rsidRPr="007A1541">
        <w:rPr>
          <w:rFonts w:ascii="Times New Roman" w:hAnsi="Times New Roman"/>
          <w:color w:val="000000"/>
        </w:rPr>
        <w:t xml:space="preserve"> número de dias de operação, de sessões oferecidas, </w:t>
      </w:r>
      <w:r w:rsidR="00E564EC" w:rsidRPr="007A1541">
        <w:rPr>
          <w:rFonts w:ascii="Times New Roman" w:hAnsi="Times New Roman"/>
          <w:color w:val="000000"/>
        </w:rPr>
        <w:t xml:space="preserve">à </w:t>
      </w:r>
      <w:r w:rsidRPr="007A1541">
        <w:rPr>
          <w:rFonts w:ascii="Times New Roman" w:hAnsi="Times New Roman"/>
          <w:color w:val="000000"/>
        </w:rPr>
        <w:t xml:space="preserve">multiplicidade de obras exibidas em uma mesma sessão </w:t>
      </w:r>
      <w:r w:rsidR="00E564EC" w:rsidRPr="007A1541">
        <w:rPr>
          <w:rFonts w:ascii="Times New Roman" w:hAnsi="Times New Roman"/>
          <w:color w:val="000000"/>
        </w:rPr>
        <w:t>ao</w:t>
      </w:r>
      <w:r w:rsidRPr="007A1541">
        <w:rPr>
          <w:rFonts w:ascii="Times New Roman" w:hAnsi="Times New Roman"/>
          <w:color w:val="000000"/>
        </w:rPr>
        <w:t xml:space="preserve"> mesmo </w:t>
      </w:r>
      <w:r w:rsidR="00E564EC" w:rsidRPr="007A1541">
        <w:rPr>
          <w:rFonts w:ascii="Times New Roman" w:hAnsi="Times New Roman"/>
          <w:color w:val="000000"/>
        </w:rPr>
        <w:t xml:space="preserve">preço de </w:t>
      </w:r>
      <w:r w:rsidRPr="007A1541">
        <w:rPr>
          <w:rFonts w:ascii="Times New Roman" w:hAnsi="Times New Roman"/>
          <w:color w:val="000000"/>
        </w:rPr>
        <w:t xml:space="preserve">ingresso e </w:t>
      </w:r>
      <w:r w:rsidR="00E564EC" w:rsidRPr="007A1541">
        <w:rPr>
          <w:rFonts w:ascii="Times New Roman" w:hAnsi="Times New Roman"/>
          <w:color w:val="000000"/>
        </w:rPr>
        <w:t xml:space="preserve">à </w:t>
      </w:r>
      <w:r w:rsidRPr="007A1541">
        <w:rPr>
          <w:rFonts w:ascii="Times New Roman" w:hAnsi="Times New Roman"/>
          <w:color w:val="000000"/>
        </w:rPr>
        <w:t>sua relação com o cumprimento da obrigação de exibição prevista em Lei e fixada em Decreto.</w:t>
      </w:r>
    </w:p>
    <w:p w:rsidR="009B196D" w:rsidRPr="007A1541" w:rsidRDefault="009B196D" w:rsidP="009B196D">
      <w:pPr>
        <w:pStyle w:val="BodyText"/>
        <w:jc w:val="both"/>
        <w:rPr>
          <w:rFonts w:ascii="Times New Roman" w:hAnsi="Times New Roman"/>
          <w:color w:val="000000"/>
        </w:rPr>
      </w:pPr>
    </w:p>
    <w:p w:rsidR="009B196D" w:rsidRPr="007A1541" w:rsidRDefault="009B196D" w:rsidP="009B196D">
      <w:pPr>
        <w:pStyle w:val="BodyText"/>
        <w:jc w:val="both"/>
        <w:rPr>
          <w:rFonts w:ascii="Times New Roman" w:hAnsi="Times New Roman"/>
          <w:color w:val="000000"/>
          <w:szCs w:val="24"/>
        </w:rPr>
      </w:pPr>
      <w:r w:rsidRPr="007A1541">
        <w:rPr>
          <w:rFonts w:ascii="Times New Roman" w:hAnsi="Times New Roman"/>
          <w:color w:val="000000"/>
        </w:rPr>
        <w:t xml:space="preserve">XXIV – </w:t>
      </w:r>
      <w:r w:rsidRPr="007A1541">
        <w:rPr>
          <w:rFonts w:ascii="Times New Roman" w:hAnsi="Times New Roman"/>
          <w:color w:val="000000"/>
          <w:szCs w:val="24"/>
          <w:u w:val="single"/>
        </w:rPr>
        <w:t>Número de Espectadores</w:t>
      </w:r>
      <w:r w:rsidRPr="007A1541">
        <w:rPr>
          <w:rFonts w:ascii="Times New Roman" w:hAnsi="Times New Roman"/>
          <w:color w:val="000000"/>
          <w:szCs w:val="24"/>
        </w:rPr>
        <w:t xml:space="preserve">: Somatório total da quantidade de ingressos </w:t>
      </w:r>
      <w:r w:rsidR="00D73ECE" w:rsidRPr="007A1541">
        <w:rPr>
          <w:rFonts w:ascii="Times New Roman" w:hAnsi="Times New Roman"/>
          <w:color w:val="000000"/>
          <w:szCs w:val="24"/>
        </w:rPr>
        <w:t>vendidos ao público</w:t>
      </w:r>
      <w:r w:rsidRPr="007A1541">
        <w:rPr>
          <w:rFonts w:ascii="Times New Roman" w:hAnsi="Times New Roman"/>
          <w:color w:val="000000"/>
          <w:szCs w:val="24"/>
        </w:rPr>
        <w:t>, independente do valor corresponder ao preço completo da inteira, da meia entrada, dos ingressos promocionais com abatimentos fixos ou reduções percentuais e até mesmo de ingressos considerados em cortesia, desde que hajam sido lançados em borderô, sendo ou não considerados para efeito de faturamento.</w:t>
      </w:r>
    </w:p>
    <w:p w:rsidR="009B196D" w:rsidRPr="007A1541" w:rsidRDefault="009B196D" w:rsidP="009B196D">
      <w:pPr>
        <w:pStyle w:val="BodyText"/>
        <w:jc w:val="both"/>
        <w:rPr>
          <w:rFonts w:ascii="Times New Roman" w:hAnsi="Times New Roman"/>
          <w:color w:val="000000"/>
          <w:szCs w:val="24"/>
        </w:rPr>
      </w:pPr>
    </w:p>
    <w:p w:rsidR="009B196D" w:rsidRPr="007A1541" w:rsidRDefault="009B196D" w:rsidP="009B196D">
      <w:pPr>
        <w:pStyle w:val="BodyText"/>
        <w:jc w:val="both"/>
        <w:rPr>
          <w:rFonts w:ascii="Times New Roman" w:hAnsi="Times New Roman"/>
          <w:color w:val="000000"/>
          <w:szCs w:val="24"/>
        </w:rPr>
      </w:pPr>
      <w:r w:rsidRPr="007A1541">
        <w:rPr>
          <w:rFonts w:ascii="Times New Roman" w:hAnsi="Times New Roman"/>
          <w:color w:val="000000"/>
          <w:szCs w:val="24"/>
        </w:rPr>
        <w:t xml:space="preserve">XXV – </w:t>
      </w:r>
      <w:r w:rsidRPr="007A1541">
        <w:rPr>
          <w:rFonts w:ascii="Times New Roman" w:hAnsi="Times New Roman"/>
          <w:color w:val="000000"/>
          <w:szCs w:val="24"/>
          <w:u w:val="single"/>
        </w:rPr>
        <w:t>Renda Bruta</w:t>
      </w:r>
      <w:r w:rsidRPr="007A1541">
        <w:rPr>
          <w:rFonts w:ascii="Times New Roman" w:hAnsi="Times New Roman"/>
          <w:color w:val="000000"/>
          <w:szCs w:val="24"/>
        </w:rPr>
        <w:t xml:space="preserve">: Soma de valores registrados em </w:t>
      </w:r>
      <w:r w:rsidR="00E564EC" w:rsidRPr="007A1541">
        <w:rPr>
          <w:rFonts w:ascii="Times New Roman" w:hAnsi="Times New Roman"/>
          <w:color w:val="000000"/>
          <w:szCs w:val="24"/>
        </w:rPr>
        <w:t xml:space="preserve">cada </w:t>
      </w:r>
      <w:r w:rsidRPr="007A1541">
        <w:rPr>
          <w:rFonts w:ascii="Times New Roman" w:hAnsi="Times New Roman"/>
          <w:color w:val="000000"/>
          <w:szCs w:val="24"/>
        </w:rPr>
        <w:t xml:space="preserve">borderô </w:t>
      </w:r>
      <w:r w:rsidR="00E564EC" w:rsidRPr="007A1541">
        <w:rPr>
          <w:rFonts w:ascii="Times New Roman" w:hAnsi="Times New Roman"/>
          <w:color w:val="000000"/>
          <w:szCs w:val="24"/>
        </w:rPr>
        <w:t>de um P</w:t>
      </w:r>
      <w:r w:rsidRPr="007A1541">
        <w:rPr>
          <w:rFonts w:ascii="Times New Roman" w:hAnsi="Times New Roman"/>
          <w:color w:val="000000"/>
          <w:szCs w:val="24"/>
        </w:rPr>
        <w:t>rograma.</w:t>
      </w:r>
    </w:p>
    <w:p w:rsidR="009B196D" w:rsidRPr="007A1541" w:rsidRDefault="009B196D" w:rsidP="009B196D">
      <w:pPr>
        <w:pStyle w:val="BodyText"/>
        <w:jc w:val="both"/>
        <w:rPr>
          <w:rFonts w:ascii="Times New Roman" w:hAnsi="Times New Roman"/>
          <w:color w:val="000000"/>
          <w:szCs w:val="24"/>
        </w:rPr>
      </w:pPr>
    </w:p>
    <w:p w:rsidR="00A6394A" w:rsidRPr="007A1541" w:rsidRDefault="00A6394A" w:rsidP="009B196D">
      <w:pPr>
        <w:pStyle w:val="BodyText"/>
        <w:jc w:val="both"/>
        <w:rPr>
          <w:rFonts w:ascii="Times New Roman" w:hAnsi="Times New Roman"/>
          <w:color w:val="000000"/>
          <w:szCs w:val="24"/>
        </w:rPr>
      </w:pPr>
      <w:r w:rsidRPr="007A1541">
        <w:rPr>
          <w:rFonts w:ascii="Times New Roman" w:eastAsia="Arial Unicode MS" w:hAnsi="Times New Roman"/>
          <w:color w:val="000000"/>
          <w:szCs w:val="24"/>
        </w:rPr>
        <w:t xml:space="preserve">XXVI – </w:t>
      </w:r>
      <w:r w:rsidRPr="007A1541">
        <w:rPr>
          <w:rFonts w:ascii="Times New Roman" w:eastAsia="Arial Unicode MS" w:hAnsi="Times New Roman"/>
          <w:color w:val="000000"/>
          <w:szCs w:val="24"/>
          <w:u w:val="single"/>
        </w:rPr>
        <w:t>Renda Média</w:t>
      </w:r>
      <w:r w:rsidRPr="007A1541">
        <w:rPr>
          <w:rFonts w:ascii="Times New Roman" w:eastAsia="Arial Unicode MS" w:hAnsi="Times New Roman"/>
          <w:color w:val="000000"/>
          <w:szCs w:val="24"/>
        </w:rPr>
        <w:t>: A definição constante do Parágrafo Único do art. 59 da MP 2.228-1/01, válida específica e exclusivamente para as finalidades daquele dispositivo.</w:t>
      </w:r>
    </w:p>
    <w:p w:rsidR="00A6394A" w:rsidRPr="007A1541" w:rsidRDefault="00A6394A" w:rsidP="009B196D">
      <w:pPr>
        <w:pStyle w:val="BodyText"/>
        <w:jc w:val="both"/>
        <w:rPr>
          <w:rFonts w:ascii="Times New Roman" w:hAnsi="Times New Roman"/>
          <w:color w:val="000000"/>
          <w:szCs w:val="24"/>
        </w:rPr>
      </w:pPr>
    </w:p>
    <w:p w:rsidR="009B196D" w:rsidRPr="007A1541" w:rsidRDefault="0026284D" w:rsidP="009B196D">
      <w:pPr>
        <w:pStyle w:val="BodyText"/>
        <w:jc w:val="both"/>
        <w:rPr>
          <w:rFonts w:ascii="Times New Roman" w:hAnsi="Times New Roman"/>
          <w:color w:val="000000"/>
          <w:szCs w:val="24"/>
        </w:rPr>
      </w:pPr>
      <w:r w:rsidRPr="007A1541">
        <w:rPr>
          <w:rFonts w:ascii="Times New Roman" w:hAnsi="Times New Roman"/>
          <w:color w:val="000000"/>
          <w:szCs w:val="24"/>
        </w:rPr>
        <w:t xml:space="preserve">XXVII – </w:t>
      </w:r>
      <w:r w:rsidR="009B196D" w:rsidRPr="007A1541">
        <w:rPr>
          <w:rFonts w:ascii="Times New Roman" w:hAnsi="Times New Roman"/>
          <w:color w:val="000000"/>
          <w:szCs w:val="24"/>
          <w:u w:val="single"/>
        </w:rPr>
        <w:t>Renda Média Diária</w:t>
      </w:r>
      <w:r w:rsidR="009B196D" w:rsidRPr="007A1541">
        <w:rPr>
          <w:rFonts w:ascii="Times New Roman" w:hAnsi="Times New Roman"/>
          <w:color w:val="000000"/>
          <w:szCs w:val="24"/>
        </w:rPr>
        <w:t xml:space="preserve">: </w:t>
      </w:r>
      <w:r w:rsidRPr="007A1541">
        <w:rPr>
          <w:rFonts w:ascii="Times New Roman" w:hAnsi="Times New Roman"/>
          <w:color w:val="000000"/>
          <w:szCs w:val="24"/>
        </w:rPr>
        <w:t>A soma</w:t>
      </w:r>
      <w:r w:rsidR="009B196D" w:rsidRPr="007A1541">
        <w:rPr>
          <w:rFonts w:ascii="Times New Roman" w:hAnsi="Times New Roman"/>
          <w:color w:val="000000"/>
          <w:szCs w:val="24"/>
        </w:rPr>
        <w:t xml:space="preserve"> da renda bruta registrada </w:t>
      </w:r>
      <w:r w:rsidRPr="007A1541">
        <w:rPr>
          <w:rFonts w:ascii="Times New Roman" w:hAnsi="Times New Roman"/>
          <w:color w:val="000000"/>
          <w:szCs w:val="24"/>
        </w:rPr>
        <w:t xml:space="preserve">nos </w:t>
      </w:r>
      <w:r w:rsidR="009B196D" w:rsidRPr="007A1541">
        <w:rPr>
          <w:rFonts w:ascii="Times New Roman" w:hAnsi="Times New Roman"/>
          <w:color w:val="000000"/>
          <w:szCs w:val="24"/>
        </w:rPr>
        <w:t>borderô</w:t>
      </w:r>
      <w:r w:rsidRPr="007A1541">
        <w:rPr>
          <w:rFonts w:ascii="Times New Roman" w:hAnsi="Times New Roman"/>
          <w:color w:val="000000"/>
          <w:szCs w:val="24"/>
        </w:rPr>
        <w:t>s</w:t>
      </w:r>
      <w:r w:rsidR="009B196D" w:rsidRPr="007A1541">
        <w:rPr>
          <w:rFonts w:ascii="Times New Roman" w:hAnsi="Times New Roman"/>
          <w:color w:val="000000"/>
          <w:szCs w:val="24"/>
        </w:rPr>
        <w:t xml:space="preserve"> correspondentes a todos os dias de exibição d</w:t>
      </w:r>
      <w:r w:rsidRPr="007A1541">
        <w:rPr>
          <w:rFonts w:ascii="Times New Roman" w:hAnsi="Times New Roman"/>
          <w:color w:val="000000"/>
          <w:szCs w:val="24"/>
        </w:rPr>
        <w:t>o período considerado, a</w:t>
      </w:r>
      <w:r w:rsidR="007A1541">
        <w:rPr>
          <w:rFonts w:ascii="Times New Roman" w:hAnsi="Times New Roman"/>
          <w:color w:val="000000"/>
          <w:szCs w:val="24"/>
        </w:rPr>
        <w:t>í</w:t>
      </w:r>
      <w:r w:rsidRPr="007A1541">
        <w:rPr>
          <w:rFonts w:ascii="Times New Roman" w:hAnsi="Times New Roman"/>
          <w:color w:val="000000"/>
          <w:szCs w:val="24"/>
        </w:rPr>
        <w:t xml:space="preserve"> incluí</w:t>
      </w:r>
      <w:r w:rsidR="009B196D" w:rsidRPr="007A1541">
        <w:rPr>
          <w:rFonts w:ascii="Times New Roman" w:hAnsi="Times New Roman"/>
          <w:color w:val="000000"/>
          <w:szCs w:val="24"/>
        </w:rPr>
        <w:t>dos eventuais movimentos contábeis nulos, dividida p</w:t>
      </w:r>
      <w:r w:rsidRPr="007A1541">
        <w:rPr>
          <w:rFonts w:ascii="Times New Roman" w:hAnsi="Times New Roman"/>
          <w:color w:val="000000"/>
          <w:szCs w:val="24"/>
        </w:rPr>
        <w:t xml:space="preserve">elo mesmo </w:t>
      </w:r>
      <w:r w:rsidR="009B196D" w:rsidRPr="007A1541">
        <w:rPr>
          <w:rFonts w:ascii="Times New Roman" w:hAnsi="Times New Roman"/>
          <w:color w:val="000000"/>
          <w:szCs w:val="24"/>
        </w:rPr>
        <w:t>número total de dias</w:t>
      </w:r>
      <w:r w:rsidRPr="007A1541">
        <w:rPr>
          <w:rFonts w:ascii="Times New Roman" w:hAnsi="Times New Roman"/>
          <w:color w:val="000000"/>
          <w:szCs w:val="24"/>
        </w:rPr>
        <w:t xml:space="preserve"> abrangidos naquele período</w:t>
      </w:r>
      <w:r w:rsidR="009B196D" w:rsidRPr="007A1541">
        <w:rPr>
          <w:rFonts w:ascii="Times New Roman" w:hAnsi="Times New Roman"/>
          <w:color w:val="000000"/>
          <w:szCs w:val="24"/>
        </w:rPr>
        <w:t>.</w:t>
      </w:r>
    </w:p>
    <w:p w:rsidR="00A6394A" w:rsidRPr="007A1541" w:rsidRDefault="00A6394A" w:rsidP="009B196D">
      <w:pPr>
        <w:pStyle w:val="BodyText"/>
        <w:jc w:val="both"/>
        <w:rPr>
          <w:rFonts w:ascii="Times New Roman" w:hAnsi="Times New Roman"/>
          <w:color w:val="000000"/>
          <w:szCs w:val="24"/>
        </w:rPr>
      </w:pPr>
    </w:p>
    <w:p w:rsidR="009B196D" w:rsidRPr="007A1541" w:rsidRDefault="0026284D" w:rsidP="009B196D">
      <w:pPr>
        <w:pStyle w:val="BodyText"/>
        <w:jc w:val="both"/>
        <w:rPr>
          <w:rFonts w:ascii="Times New Roman" w:hAnsi="Times New Roman"/>
          <w:color w:val="000000"/>
          <w:szCs w:val="24"/>
        </w:rPr>
      </w:pPr>
      <w:r w:rsidRPr="007A1541">
        <w:rPr>
          <w:rFonts w:ascii="Times New Roman" w:hAnsi="Times New Roman"/>
          <w:color w:val="000000"/>
          <w:szCs w:val="24"/>
        </w:rPr>
        <w:t>XXVIII – Renda Líquida: A renda obtida pela dedução da renda bruta dos tributos devidos e dos descontos aceitos de comum acordo pelo distribuidor e exibidor.</w:t>
      </w:r>
    </w:p>
    <w:p w:rsidR="005C39EB" w:rsidRPr="007A1541" w:rsidRDefault="005C39EB" w:rsidP="009B196D">
      <w:pPr>
        <w:pStyle w:val="BodyText"/>
        <w:jc w:val="both"/>
        <w:rPr>
          <w:rFonts w:ascii="Times New Roman" w:hAnsi="Times New Roman"/>
          <w:color w:val="000000"/>
          <w:szCs w:val="24"/>
        </w:rPr>
      </w:pPr>
    </w:p>
    <w:p w:rsidR="009B196D" w:rsidRPr="007A1541" w:rsidRDefault="0026284D" w:rsidP="009B196D">
      <w:pPr>
        <w:pStyle w:val="BodyText"/>
        <w:jc w:val="both"/>
        <w:rPr>
          <w:rFonts w:ascii="Times New Roman" w:hAnsi="Times New Roman"/>
          <w:color w:val="000000"/>
          <w:szCs w:val="24"/>
        </w:rPr>
      </w:pPr>
      <w:r w:rsidRPr="007A1541">
        <w:rPr>
          <w:rFonts w:ascii="Times New Roman" w:eastAsia="Arial Unicode MS" w:hAnsi="Times New Roman"/>
          <w:color w:val="000000"/>
          <w:szCs w:val="24"/>
        </w:rPr>
        <w:t xml:space="preserve">XXIX – </w:t>
      </w:r>
      <w:r w:rsidR="009B196D" w:rsidRPr="007A1541">
        <w:rPr>
          <w:rFonts w:ascii="Times New Roman" w:hAnsi="Times New Roman"/>
          <w:color w:val="000000"/>
          <w:szCs w:val="24"/>
          <w:u w:val="single"/>
        </w:rPr>
        <w:t>Mercado Cinematográfico</w:t>
      </w:r>
      <w:r w:rsidR="009B196D" w:rsidRPr="007A1541">
        <w:rPr>
          <w:rFonts w:ascii="Times New Roman" w:hAnsi="Times New Roman"/>
          <w:color w:val="000000"/>
          <w:szCs w:val="24"/>
        </w:rPr>
        <w:t xml:space="preserve">: O conjunto formado pelas </w:t>
      </w:r>
      <w:r w:rsidR="00D73ECE" w:rsidRPr="007A1541">
        <w:rPr>
          <w:rFonts w:ascii="Times New Roman" w:hAnsi="Times New Roman"/>
          <w:color w:val="000000"/>
          <w:szCs w:val="24"/>
        </w:rPr>
        <w:t xml:space="preserve">sociedades empresárias ou entes públicos, </w:t>
      </w:r>
      <w:r w:rsidR="00E564EC" w:rsidRPr="007A1541">
        <w:rPr>
          <w:rFonts w:ascii="Times New Roman" w:hAnsi="Times New Roman"/>
          <w:color w:val="000000"/>
          <w:szCs w:val="24"/>
        </w:rPr>
        <w:t>d</w:t>
      </w:r>
      <w:r w:rsidR="00D73ECE" w:rsidRPr="007A1541">
        <w:rPr>
          <w:rFonts w:ascii="Times New Roman" w:hAnsi="Times New Roman"/>
          <w:color w:val="000000"/>
          <w:szCs w:val="24"/>
        </w:rPr>
        <w:t>istribuidore</w:t>
      </w:r>
      <w:r w:rsidR="009B196D" w:rsidRPr="007A1541">
        <w:rPr>
          <w:rFonts w:ascii="Times New Roman" w:hAnsi="Times New Roman"/>
          <w:color w:val="000000"/>
          <w:szCs w:val="24"/>
        </w:rPr>
        <w:t xml:space="preserve">s de obras audiovisuais destinadas à exibição comercial, de caráter público ou privado, e pelas </w:t>
      </w:r>
      <w:r w:rsidR="00CB04A8" w:rsidRPr="007A1541">
        <w:rPr>
          <w:rFonts w:ascii="Times New Roman" w:hAnsi="Times New Roman"/>
          <w:color w:val="000000"/>
          <w:szCs w:val="24"/>
        </w:rPr>
        <w:t>sociedades empresárias</w:t>
      </w:r>
      <w:r w:rsidR="009B196D" w:rsidRPr="007A1541">
        <w:rPr>
          <w:rFonts w:ascii="Times New Roman" w:hAnsi="Times New Roman"/>
          <w:color w:val="000000"/>
          <w:szCs w:val="24"/>
        </w:rPr>
        <w:t xml:space="preserve"> </w:t>
      </w:r>
      <w:r w:rsidR="00E564EC" w:rsidRPr="007A1541">
        <w:rPr>
          <w:rFonts w:ascii="Times New Roman" w:hAnsi="Times New Roman"/>
          <w:color w:val="000000"/>
          <w:szCs w:val="24"/>
        </w:rPr>
        <w:t>e</w:t>
      </w:r>
      <w:r w:rsidR="009B196D" w:rsidRPr="007A1541">
        <w:rPr>
          <w:rFonts w:ascii="Times New Roman" w:hAnsi="Times New Roman"/>
          <w:color w:val="000000"/>
          <w:szCs w:val="24"/>
        </w:rPr>
        <w:t>xibidoras resp</w:t>
      </w:r>
      <w:r w:rsidR="00CB04A8" w:rsidRPr="007A1541">
        <w:rPr>
          <w:rFonts w:ascii="Times New Roman" w:hAnsi="Times New Roman"/>
          <w:color w:val="000000"/>
          <w:szCs w:val="24"/>
        </w:rPr>
        <w:t>onsáveis pelas salas, espaços,</w:t>
      </w:r>
      <w:r w:rsidR="009B196D" w:rsidRPr="007A1541">
        <w:rPr>
          <w:rFonts w:ascii="Times New Roman" w:hAnsi="Times New Roman"/>
          <w:color w:val="000000"/>
          <w:szCs w:val="24"/>
        </w:rPr>
        <w:t xml:space="preserve"> locais</w:t>
      </w:r>
      <w:r w:rsidR="00CB04A8" w:rsidRPr="007A1541">
        <w:rPr>
          <w:rFonts w:ascii="Times New Roman" w:hAnsi="Times New Roman"/>
          <w:color w:val="000000"/>
          <w:szCs w:val="24"/>
        </w:rPr>
        <w:t xml:space="preserve"> ou complexos</w:t>
      </w:r>
      <w:r w:rsidR="009B196D" w:rsidRPr="007A1541">
        <w:rPr>
          <w:rFonts w:ascii="Times New Roman" w:hAnsi="Times New Roman"/>
          <w:color w:val="000000"/>
          <w:szCs w:val="24"/>
        </w:rPr>
        <w:t xml:space="preserve"> de exibição</w:t>
      </w:r>
      <w:r w:rsidR="00CB04A8" w:rsidRPr="007A1541">
        <w:rPr>
          <w:rFonts w:ascii="Times New Roman" w:hAnsi="Times New Roman"/>
          <w:color w:val="000000"/>
          <w:szCs w:val="24"/>
        </w:rPr>
        <w:t xml:space="preserve"> pública</w:t>
      </w:r>
      <w:r w:rsidR="009B196D" w:rsidRPr="007A1541">
        <w:rPr>
          <w:rFonts w:ascii="Times New Roman" w:hAnsi="Times New Roman"/>
          <w:color w:val="000000"/>
          <w:szCs w:val="24"/>
        </w:rPr>
        <w:t xml:space="preserve"> nas quais realizadas, abrangidas as atividades secundárias, paralelas ou complementares, inerentes às de distribuição e exibição.</w:t>
      </w:r>
    </w:p>
    <w:p w:rsidR="009B196D" w:rsidRPr="007A1541" w:rsidRDefault="009B196D" w:rsidP="009B196D">
      <w:pPr>
        <w:pStyle w:val="BodyText"/>
        <w:jc w:val="both"/>
        <w:rPr>
          <w:rFonts w:ascii="Times New Roman" w:hAnsi="Times New Roman"/>
          <w:color w:val="000000"/>
          <w:szCs w:val="24"/>
        </w:rPr>
      </w:pPr>
    </w:p>
    <w:p w:rsidR="009B196D" w:rsidRPr="007A1541" w:rsidRDefault="0026284D" w:rsidP="009B196D">
      <w:pPr>
        <w:pStyle w:val="BodyText"/>
        <w:jc w:val="both"/>
        <w:rPr>
          <w:rFonts w:ascii="Times New Roman" w:hAnsi="Times New Roman"/>
          <w:color w:val="000000"/>
        </w:rPr>
      </w:pPr>
      <w:r w:rsidRPr="007A1541">
        <w:rPr>
          <w:rFonts w:ascii="Times New Roman" w:eastAsia="Arial Unicode MS" w:hAnsi="Times New Roman"/>
          <w:color w:val="000000"/>
          <w:szCs w:val="24"/>
        </w:rPr>
        <w:t xml:space="preserve">XXX – </w:t>
      </w:r>
      <w:r w:rsidR="009B196D" w:rsidRPr="007A1541">
        <w:rPr>
          <w:rFonts w:ascii="Times New Roman" w:hAnsi="Times New Roman"/>
          <w:color w:val="000000"/>
          <w:szCs w:val="24"/>
          <w:u w:val="single"/>
        </w:rPr>
        <w:t>O</w:t>
      </w:r>
      <w:r w:rsidR="009B196D" w:rsidRPr="007A1541">
        <w:rPr>
          <w:rFonts w:ascii="Times New Roman" w:hAnsi="Times New Roman"/>
          <w:color w:val="000000"/>
          <w:u w:val="single"/>
        </w:rPr>
        <w:t>brigatoriedade</w:t>
      </w:r>
      <w:r w:rsidR="009B196D" w:rsidRPr="007A1541">
        <w:rPr>
          <w:rFonts w:ascii="Times New Roman" w:hAnsi="Times New Roman"/>
          <w:color w:val="000000"/>
        </w:rPr>
        <w:t>: O total de dias anualmente fixado para cumprimento proporcional em cada semestre e as disposições complementares quanto ao número mínimo de títulos e permanência em exibição, aí compreendidas a redução ou acréscimo de dias em função de transferências parciais.</w:t>
      </w:r>
    </w:p>
    <w:p w:rsidR="009B196D" w:rsidRPr="007A1541" w:rsidRDefault="009B196D" w:rsidP="009B196D">
      <w:pPr>
        <w:pStyle w:val="BodyText"/>
        <w:jc w:val="both"/>
        <w:rPr>
          <w:rFonts w:ascii="Times New Roman" w:hAnsi="Times New Roman"/>
          <w:color w:val="000000"/>
          <w:szCs w:val="24"/>
        </w:rPr>
      </w:pPr>
    </w:p>
    <w:p w:rsidR="00E564EC" w:rsidRPr="007A1541" w:rsidRDefault="0026284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XXXI – </w:t>
      </w:r>
      <w:r w:rsidR="009B196D" w:rsidRPr="007A1541">
        <w:rPr>
          <w:rFonts w:ascii="Times New Roman" w:eastAsia="Arial Unicode MS" w:hAnsi="Times New Roman"/>
          <w:color w:val="000000"/>
          <w:szCs w:val="24"/>
          <w:u w:val="single"/>
        </w:rPr>
        <w:t xml:space="preserve">Dia de </w:t>
      </w:r>
      <w:r w:rsidR="00E564EC" w:rsidRPr="007A1541">
        <w:rPr>
          <w:rFonts w:ascii="Times New Roman" w:eastAsia="Arial Unicode MS" w:hAnsi="Times New Roman"/>
          <w:color w:val="000000"/>
          <w:szCs w:val="24"/>
          <w:u w:val="single"/>
        </w:rPr>
        <w:t>E</w:t>
      </w:r>
      <w:r w:rsidR="009B196D" w:rsidRPr="007A1541">
        <w:rPr>
          <w:rFonts w:ascii="Times New Roman" w:eastAsia="Arial Unicode MS" w:hAnsi="Times New Roman"/>
          <w:color w:val="000000"/>
          <w:szCs w:val="24"/>
          <w:u w:val="single"/>
        </w:rPr>
        <w:t>xibição</w:t>
      </w:r>
      <w:r w:rsidR="009B196D" w:rsidRPr="007A1541">
        <w:rPr>
          <w:rFonts w:ascii="Times New Roman" w:eastAsia="Arial Unicode MS" w:hAnsi="Times New Roman"/>
          <w:color w:val="000000"/>
          <w:szCs w:val="24"/>
        </w:rPr>
        <w:t xml:space="preserve">: </w:t>
      </w:r>
      <w:r w:rsidR="00E564EC" w:rsidRPr="007A1541">
        <w:rPr>
          <w:rFonts w:ascii="Times New Roman" w:eastAsia="Arial Unicode MS" w:hAnsi="Times New Roman"/>
          <w:color w:val="000000"/>
          <w:szCs w:val="24"/>
        </w:rPr>
        <w:t>P</w:t>
      </w:r>
      <w:r w:rsidR="009B196D" w:rsidRPr="007A1541">
        <w:rPr>
          <w:rFonts w:ascii="Times New Roman" w:eastAsia="Arial Unicode MS" w:hAnsi="Times New Roman"/>
          <w:color w:val="000000"/>
          <w:szCs w:val="24"/>
        </w:rPr>
        <w:t>eríodo transcorrido entre o início da venda de ingressos para a sessão inicial e o fechamento da bilheteria, nele considerad</w:t>
      </w:r>
      <w:r w:rsidR="00532A30" w:rsidRPr="007A1541">
        <w:rPr>
          <w:rFonts w:ascii="Times New Roman" w:eastAsia="Arial Unicode MS" w:hAnsi="Times New Roman"/>
          <w:color w:val="000000"/>
          <w:szCs w:val="24"/>
        </w:rPr>
        <w:t>o</w:t>
      </w:r>
      <w:r w:rsidR="009B196D" w:rsidRPr="007A1541">
        <w:rPr>
          <w:rFonts w:ascii="Times New Roman" w:eastAsia="Arial Unicode MS" w:hAnsi="Times New Roman"/>
          <w:color w:val="000000"/>
          <w:szCs w:val="24"/>
        </w:rPr>
        <w:t xml:space="preserve">s </w:t>
      </w:r>
      <w:r w:rsidR="00E564EC" w:rsidRPr="007A1541">
        <w:rPr>
          <w:rFonts w:ascii="Times New Roman" w:eastAsia="Arial Unicode MS" w:hAnsi="Times New Roman"/>
          <w:color w:val="000000"/>
          <w:szCs w:val="24"/>
        </w:rPr>
        <w:t>tod</w:t>
      </w:r>
      <w:r w:rsidR="00532A30" w:rsidRPr="007A1541">
        <w:rPr>
          <w:rFonts w:ascii="Times New Roman" w:eastAsia="Arial Unicode MS" w:hAnsi="Times New Roman"/>
          <w:color w:val="000000"/>
          <w:szCs w:val="24"/>
        </w:rPr>
        <w:t>o</w:t>
      </w:r>
      <w:r w:rsidR="009B196D" w:rsidRPr="007A1541">
        <w:rPr>
          <w:rFonts w:ascii="Times New Roman" w:eastAsia="Arial Unicode MS" w:hAnsi="Times New Roman"/>
          <w:color w:val="000000"/>
          <w:szCs w:val="24"/>
        </w:rPr>
        <w:t xml:space="preserve">s </w:t>
      </w:r>
      <w:r w:rsidR="00E564EC" w:rsidRPr="007A1541">
        <w:rPr>
          <w:rFonts w:ascii="Times New Roman" w:eastAsia="Arial Unicode MS" w:hAnsi="Times New Roman"/>
          <w:color w:val="000000"/>
          <w:szCs w:val="24"/>
        </w:rPr>
        <w:t>os P</w:t>
      </w:r>
      <w:r w:rsidR="009B196D" w:rsidRPr="007A1541">
        <w:rPr>
          <w:rFonts w:ascii="Times New Roman" w:eastAsia="Arial Unicode MS" w:hAnsi="Times New Roman"/>
          <w:color w:val="000000"/>
          <w:szCs w:val="24"/>
        </w:rPr>
        <w:t>rogramas</w:t>
      </w:r>
      <w:r w:rsidR="00E564EC" w:rsidRPr="007A1541">
        <w:rPr>
          <w:rFonts w:ascii="Times New Roman" w:eastAsia="Arial Unicode MS" w:hAnsi="Times New Roman"/>
          <w:color w:val="000000"/>
          <w:szCs w:val="24"/>
        </w:rPr>
        <w:t>.</w:t>
      </w:r>
    </w:p>
    <w:p w:rsidR="009B196D" w:rsidRPr="007A1541" w:rsidRDefault="009B196D" w:rsidP="009B196D">
      <w:pPr>
        <w:pStyle w:val="BodyText"/>
        <w:jc w:val="both"/>
        <w:rPr>
          <w:rFonts w:ascii="Times New Roman" w:eastAsia="Arial Unicode MS" w:hAnsi="Times New Roman"/>
          <w:color w:val="000000"/>
          <w:szCs w:val="24"/>
        </w:rPr>
      </w:pPr>
    </w:p>
    <w:p w:rsidR="00532A30" w:rsidRPr="007A1541" w:rsidRDefault="0026284D"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 xml:space="preserve">XXXII - </w:t>
      </w:r>
      <w:r w:rsidR="00532A30" w:rsidRPr="007A1541">
        <w:rPr>
          <w:rFonts w:ascii="Times New Roman" w:eastAsia="Arial Unicode MS" w:hAnsi="Times New Roman"/>
          <w:color w:val="000000"/>
          <w:szCs w:val="24"/>
          <w:u w:val="single"/>
        </w:rPr>
        <w:t>Programa de Exibição</w:t>
      </w:r>
      <w:r w:rsidR="00532A30" w:rsidRPr="007A1541">
        <w:rPr>
          <w:rFonts w:ascii="Times New Roman" w:eastAsia="Arial Unicode MS" w:hAnsi="Times New Roman"/>
          <w:color w:val="000000"/>
          <w:szCs w:val="24"/>
        </w:rPr>
        <w:t>: Exibição de uma mesma programação, ao mesmo preço, em um mesmo dia e em uma mesma sala, espaço ou local de exibição.</w:t>
      </w:r>
    </w:p>
    <w:p w:rsidR="007C6E72" w:rsidRPr="007A1541" w:rsidRDefault="007C6E72" w:rsidP="009B196D">
      <w:pPr>
        <w:pStyle w:val="BodyText"/>
        <w:jc w:val="both"/>
        <w:rPr>
          <w:rFonts w:ascii="Times New Roman" w:eastAsia="Arial Unicode MS" w:hAnsi="Times New Roman"/>
          <w:color w:val="000000"/>
          <w:szCs w:val="24"/>
        </w:rPr>
      </w:pPr>
    </w:p>
    <w:p w:rsidR="007A1541" w:rsidRPr="007A1541" w:rsidRDefault="007C6E72" w:rsidP="009B196D">
      <w:pPr>
        <w:pStyle w:val="BodyText"/>
        <w:jc w:val="both"/>
        <w:rPr>
          <w:rFonts w:ascii="Times New Roman" w:eastAsia="Arial Unicode MS" w:hAnsi="Times New Roman"/>
          <w:color w:val="000000"/>
          <w:szCs w:val="24"/>
        </w:rPr>
      </w:pPr>
      <w:r w:rsidRPr="007A1541">
        <w:rPr>
          <w:rFonts w:ascii="Times New Roman" w:eastAsia="Arial Unicode MS" w:hAnsi="Times New Roman"/>
          <w:color w:val="000000"/>
          <w:szCs w:val="24"/>
        </w:rPr>
        <w:t>XXXIII</w:t>
      </w:r>
      <w:r w:rsidR="007A1541">
        <w:rPr>
          <w:rFonts w:ascii="Times New Roman" w:eastAsia="Arial Unicode MS" w:hAnsi="Times New Roman"/>
          <w:color w:val="000000"/>
          <w:szCs w:val="24"/>
        </w:rPr>
        <w:t xml:space="preserve"> </w:t>
      </w:r>
      <w:r w:rsidRPr="007A1541">
        <w:rPr>
          <w:rFonts w:ascii="Times New Roman" w:eastAsia="Arial Unicode MS" w:hAnsi="Times New Roman"/>
          <w:color w:val="000000"/>
          <w:szCs w:val="24"/>
        </w:rPr>
        <w:t xml:space="preserve">- </w:t>
      </w:r>
      <w:r w:rsidRPr="007A1541">
        <w:rPr>
          <w:rFonts w:ascii="Times New Roman" w:eastAsia="Arial Unicode MS" w:hAnsi="Times New Roman"/>
          <w:color w:val="000000"/>
          <w:szCs w:val="24"/>
          <w:u w:val="single"/>
        </w:rPr>
        <w:t>Borderô</w:t>
      </w:r>
      <w:r w:rsidRPr="007A1541">
        <w:rPr>
          <w:rFonts w:ascii="Times New Roman" w:eastAsia="Arial Unicode MS" w:hAnsi="Times New Roman"/>
          <w:color w:val="000000"/>
          <w:szCs w:val="24"/>
        </w:rPr>
        <w:t xml:space="preserve">: relatório em que são considerados os dados referentes </w:t>
      </w:r>
      <w:r w:rsidR="007A1541" w:rsidRPr="007A1541">
        <w:rPr>
          <w:rFonts w:ascii="Times New Roman" w:eastAsia="Arial Unicode MS" w:hAnsi="Times New Roman"/>
          <w:color w:val="000000"/>
          <w:szCs w:val="24"/>
        </w:rPr>
        <w:t xml:space="preserve">à freqüência de público </w:t>
      </w:r>
      <w:r w:rsidRPr="007A1541">
        <w:rPr>
          <w:rFonts w:ascii="Times New Roman" w:eastAsia="Arial Unicode MS" w:hAnsi="Times New Roman"/>
          <w:color w:val="000000"/>
          <w:szCs w:val="24"/>
        </w:rPr>
        <w:t>ao movimento financeiro diário resultante do funcionamento da sala, espaço, local</w:t>
      </w:r>
      <w:r w:rsidR="007A1541" w:rsidRPr="007A1541">
        <w:rPr>
          <w:rFonts w:ascii="Times New Roman" w:eastAsia="Arial Unicode MS" w:hAnsi="Times New Roman"/>
          <w:color w:val="000000"/>
          <w:szCs w:val="24"/>
        </w:rPr>
        <w:t xml:space="preserve"> </w:t>
      </w:r>
      <w:r w:rsidRPr="007A1541">
        <w:rPr>
          <w:rFonts w:ascii="Times New Roman" w:eastAsia="Arial Unicode MS" w:hAnsi="Times New Roman"/>
          <w:color w:val="000000"/>
          <w:szCs w:val="24"/>
        </w:rPr>
        <w:t xml:space="preserve">ou complexo de exibição, contendo informações relativas a: título(s) da(s) </w:t>
      </w:r>
      <w:r w:rsidR="0024287C">
        <w:rPr>
          <w:rFonts w:ascii="Times New Roman" w:eastAsia="Arial Unicode MS" w:hAnsi="Times New Roman"/>
          <w:color w:val="000000"/>
          <w:szCs w:val="24"/>
        </w:rPr>
        <w:t>obra</w:t>
      </w:r>
      <w:r w:rsidR="007A1541" w:rsidRPr="007A1541">
        <w:rPr>
          <w:rFonts w:ascii="Times New Roman" w:eastAsia="Arial Unicode MS" w:hAnsi="Times New Roman"/>
          <w:color w:val="000000"/>
          <w:szCs w:val="24"/>
        </w:rPr>
        <w:t xml:space="preserve">(s) </w:t>
      </w:r>
      <w:r w:rsidRPr="007A1541">
        <w:rPr>
          <w:rFonts w:ascii="Times New Roman" w:eastAsia="Arial Unicode MS" w:hAnsi="Times New Roman"/>
          <w:color w:val="000000"/>
          <w:szCs w:val="24"/>
        </w:rPr>
        <w:t>exibida(s), preço(s) de ingresso, quantidade e horário de sessões, quantidade de ingressos vendidos, quantidade de ingressos gratuitos</w:t>
      </w:r>
      <w:r w:rsidR="007A1541" w:rsidRPr="007A1541">
        <w:rPr>
          <w:rFonts w:ascii="Times New Roman" w:eastAsia="Arial Unicode MS" w:hAnsi="Times New Roman"/>
          <w:color w:val="000000"/>
          <w:szCs w:val="24"/>
        </w:rPr>
        <w:t xml:space="preserve"> e</w:t>
      </w:r>
      <w:r w:rsidRPr="007A1541">
        <w:rPr>
          <w:rFonts w:ascii="Times New Roman" w:eastAsia="Arial Unicode MS" w:hAnsi="Times New Roman"/>
          <w:color w:val="000000"/>
          <w:szCs w:val="24"/>
        </w:rPr>
        <w:t xml:space="preserve"> renda aferida</w:t>
      </w:r>
      <w:r w:rsidR="007A1541" w:rsidRPr="007A1541">
        <w:rPr>
          <w:rFonts w:ascii="Times New Roman" w:eastAsia="Arial Unicode MS" w:hAnsi="Times New Roman"/>
          <w:color w:val="000000"/>
          <w:szCs w:val="24"/>
        </w:rPr>
        <w:t>.</w:t>
      </w:r>
    </w:p>
    <w:p w:rsidR="007C6E72" w:rsidRPr="007A1541" w:rsidRDefault="007C6E72" w:rsidP="009B196D">
      <w:pPr>
        <w:pStyle w:val="BodyText"/>
        <w:jc w:val="both"/>
        <w:rPr>
          <w:rFonts w:ascii="Times New Roman" w:eastAsia="Arial Unicode MS" w:hAnsi="Times New Roman"/>
          <w:color w:val="000000"/>
          <w:szCs w:val="24"/>
        </w:rPr>
      </w:pPr>
    </w:p>
    <w:sectPr w:rsidR="007C6E72" w:rsidRPr="007A15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96D"/>
    <w:rsid w:val="00085ED4"/>
    <w:rsid w:val="000F2BA6"/>
    <w:rsid w:val="001023F9"/>
    <w:rsid w:val="00182D50"/>
    <w:rsid w:val="00210650"/>
    <w:rsid w:val="00214B77"/>
    <w:rsid w:val="002351C6"/>
    <w:rsid w:val="0024287C"/>
    <w:rsid w:val="0026284D"/>
    <w:rsid w:val="00414E94"/>
    <w:rsid w:val="00532A30"/>
    <w:rsid w:val="005C39EB"/>
    <w:rsid w:val="00764CA0"/>
    <w:rsid w:val="007A1541"/>
    <w:rsid w:val="007C6E72"/>
    <w:rsid w:val="008D586C"/>
    <w:rsid w:val="008F7E79"/>
    <w:rsid w:val="00917343"/>
    <w:rsid w:val="009B196D"/>
    <w:rsid w:val="009E294B"/>
    <w:rsid w:val="009E63A9"/>
    <w:rsid w:val="00A13AE4"/>
    <w:rsid w:val="00A21E18"/>
    <w:rsid w:val="00A274C0"/>
    <w:rsid w:val="00A34E3A"/>
    <w:rsid w:val="00A36DD3"/>
    <w:rsid w:val="00A6394A"/>
    <w:rsid w:val="00AE3B97"/>
    <w:rsid w:val="00B61F4B"/>
    <w:rsid w:val="00CA64A2"/>
    <w:rsid w:val="00CB04A8"/>
    <w:rsid w:val="00CB26D9"/>
    <w:rsid w:val="00D73ECE"/>
    <w:rsid w:val="00D8389A"/>
    <w:rsid w:val="00E564EC"/>
    <w:rsid w:val="00F5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2F8EDD09-E7B3-48E1-B747-9BDA77A6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B196D"/>
    <w:rPr>
      <w:rFonts w:ascii="Arial" w:hAnsi="Arial"/>
      <w:szCs w:val="20"/>
    </w:rPr>
  </w:style>
  <w:style w:type="paragraph" w:customStyle="1" w:styleId="Blockquote">
    <w:name w:val="Blockquote"/>
    <w:basedOn w:val="Normal"/>
    <w:rsid w:val="00A6394A"/>
    <w:pPr>
      <w:spacing w:before="100" w:after="100"/>
      <w:ind w:left="360" w:right="36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7835</Characters>
  <Application>Microsoft Office Word</Application>
  <DocSecurity>4</DocSecurity>
  <Lines>65</Lines>
  <Paragraphs>18</Paragraphs>
  <ScaleCrop>false</ScaleCrop>
  <HeadingPairs>
    <vt:vector size="2" baseType="variant">
      <vt:variant>
        <vt:lpstr>Título</vt:lpstr>
      </vt:variant>
      <vt:variant>
        <vt:i4>1</vt:i4>
      </vt:variant>
    </vt:vector>
  </HeadingPairs>
  <TitlesOfParts>
    <vt:vector size="1" baseType="lpstr">
      <vt:lpstr>I – Sala, Espaço ou Local de Exibição: Todo recinto, em ambiente aberto ou fechado, no qual se realize projeção de obra audiovisual cinematográfica ou videográfica, a partir de qualquer suporte e por meio de qualquer tecnologia, em caráter público ou pri</vt:lpstr>
    </vt:vector>
  </TitlesOfParts>
  <Company>Agência Nacional do Cinema</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Sala, Espaço ou Local de Exibição: Todo recinto, em ambiente aberto ou fechado, no qual se realize projeção de obra audiovisual cinematográfica ou videográfica, a partir de qualquer suporte e por meio de qualquer tecnologia, em caráter público ou pri</dc:title>
  <dc:subject/>
  <dc:creator>ancine</dc:creator>
  <cp:keywords/>
  <dc:description/>
  <cp:lastModifiedBy>word</cp:lastModifiedBy>
  <cp:revision>2</cp:revision>
  <dcterms:created xsi:type="dcterms:W3CDTF">2021-08-11T14:50:00Z</dcterms:created>
  <dcterms:modified xsi:type="dcterms:W3CDTF">2021-08-11T14:50:00Z</dcterms:modified>
</cp:coreProperties>
</file>