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DBCA5" w14:textId="77777777" w:rsidR="00E270F5" w:rsidRPr="00E270F5" w:rsidRDefault="00E270F5" w:rsidP="00E270F5">
      <w:pPr>
        <w:pStyle w:val="NormalWeb"/>
        <w:jc w:val="both"/>
        <w:rPr>
          <w:b/>
          <w:bCs/>
          <w:color w:val="000000"/>
          <w:sz w:val="27"/>
          <w:szCs w:val="27"/>
        </w:rPr>
      </w:pPr>
      <w:r w:rsidRPr="00E270F5">
        <w:rPr>
          <w:b/>
          <w:bCs/>
          <w:color w:val="000000"/>
          <w:sz w:val="27"/>
          <w:szCs w:val="27"/>
        </w:rPr>
        <w:t>Fernando André Coelho Mitkiewicz</w:t>
      </w:r>
    </w:p>
    <w:p w14:paraId="791D1F61" w14:textId="77777777" w:rsidR="00E270F5" w:rsidRDefault="00E270F5" w:rsidP="00E270F5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Superintendente de TI da ANAC, foi Secretário de Governo Digital e Conselheiro de </w:t>
      </w:r>
      <w:r>
        <w:rPr>
          <w:color w:val="000000"/>
          <w:sz w:val="27"/>
          <w:szCs w:val="27"/>
        </w:rPr>
        <w:t>A</w:t>
      </w:r>
      <w:r>
        <w:rPr>
          <w:color w:val="000000"/>
          <w:sz w:val="27"/>
          <w:szCs w:val="27"/>
        </w:rPr>
        <w:t xml:space="preserve">dministração de SERPRO e DATAPREV, tendo liderado a agenda de Governo Digital do Brasil considerada a 2ª mais madura do mundo em 2022. </w:t>
      </w:r>
    </w:p>
    <w:p w14:paraId="43295D51" w14:textId="77777777" w:rsidR="00E270F5" w:rsidRDefault="00E270F5" w:rsidP="00E270F5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É professor convidado de Gestão da Inovação e Transformação Digital da Faculdade Mackenzie Brasília. Foi ainda Subsecretário de Gestão Estratégica, Tecnologia e Inovação do Ministério da Infraestrutura, Conselheiro das companhias Docas do Ceará e da Bahia, Coordenador Geral de Gestão, Inovação e Indicadores do MCTIC e Coordenador de Indicadores e Informação do Ministério das Comunicações. </w:t>
      </w:r>
    </w:p>
    <w:p w14:paraId="4E918AC2" w14:textId="77777777" w:rsidR="00E270F5" w:rsidRDefault="00E270F5" w:rsidP="00E270F5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No setor privado, atuou nos setores Elétrico, Telecom e Consultoria, tendo sido Gerente de Planejamento de Marketing, Gerente Executivo de Vendas, Coordenador de Inovação de Produtos, Consultor, Líder de Projetos e PMO, entre outras funções. </w:t>
      </w:r>
    </w:p>
    <w:p w14:paraId="5A9AD9A3" w14:textId="24EDB6FB" w:rsidR="00E270F5" w:rsidRDefault="00E270F5" w:rsidP="00E270F5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Graduado em Engenharia Elétrica, com MBA em Gestão Estratégica de Marketing pela Fundação Getúlio Vargas e título de Profissional em Gestão da Inovação pela Escola de Negócios e Inovação alemã </w:t>
      </w:r>
      <w:proofErr w:type="spellStart"/>
      <w:r>
        <w:rPr>
          <w:color w:val="000000"/>
          <w:sz w:val="27"/>
          <w:szCs w:val="27"/>
        </w:rPr>
        <w:t>Steinbeis</w:t>
      </w:r>
      <w:proofErr w:type="spellEnd"/>
      <w:r>
        <w:rPr>
          <w:color w:val="000000"/>
          <w:sz w:val="27"/>
          <w:szCs w:val="27"/>
        </w:rPr>
        <w:t>, acumula experiência profissional nos setores privado e público, formando uma ampla visão de inovação, gestão estratégica, liderança e entrega de resultados.</w:t>
      </w:r>
    </w:p>
    <w:p w14:paraId="29AA2623" w14:textId="77777777" w:rsidR="0053490D" w:rsidRDefault="0053490D"/>
    <w:sectPr w:rsidR="005349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0F5"/>
    <w:rsid w:val="0053490D"/>
    <w:rsid w:val="00E2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97896"/>
  <w15:chartTrackingRefBased/>
  <w15:docId w15:val="{A201868A-EB9B-418E-A4DE-912B625E9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7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77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1</cp:revision>
  <dcterms:created xsi:type="dcterms:W3CDTF">2023-07-10T18:09:00Z</dcterms:created>
  <dcterms:modified xsi:type="dcterms:W3CDTF">2023-07-10T18:12:00Z</dcterms:modified>
</cp:coreProperties>
</file>