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8ACDE" w14:textId="37F68767" w:rsidR="00A93FD6" w:rsidRDefault="008D1E0B">
      <w:r>
        <w:rPr>
          <w:rStyle w:val="ui-provider"/>
        </w:rPr>
        <w:t>Especialista em Regulação da Aviação Civil da ANAC, atua como Gerente Técnico de Segurança Cibernética e Facilitação do Transporte Aéreo desde abril de 2023. Servidor público efetivo da ANAC desde 2015, já atuou como Coordenador de Demandas Externas (2015 a 2019); Coordenador de Processos e Sistemas (2019 a 2022); bem como Gerente Técnico de Certificação AVSEC (2022 a 2023) na Superintendência de Infraestrutura Aeroportuária. Também desempenhou a função de Gerente Substituto de Normas, Análise de Autos de Infração e Demandas Externas por diversas vezes na SIA. É graduado em Direito (UnB) e pós-graduado em Gestão de Negócios pela Fundação Dom Cabral.</w:t>
      </w:r>
    </w:p>
    <w:sectPr w:rsidR="00A93F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0B"/>
    <w:rsid w:val="005E456F"/>
    <w:rsid w:val="006F55A2"/>
    <w:rsid w:val="008D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1B7A"/>
  <w15:chartTrackingRefBased/>
  <w15:docId w15:val="{66515A44-3CC9-479F-B426-F7A55852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i-provider">
    <w:name w:val="ui-provider"/>
    <w:basedOn w:val="Fontepargpadro"/>
    <w:rsid w:val="008D1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556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Geovane Monteiro Fagundes</dc:creator>
  <cp:keywords/>
  <dc:description/>
  <cp:lastModifiedBy>Fabricio Geovane Monteiro Fagundes</cp:lastModifiedBy>
  <cp:revision>1</cp:revision>
  <dcterms:created xsi:type="dcterms:W3CDTF">2023-03-27T12:41:00Z</dcterms:created>
  <dcterms:modified xsi:type="dcterms:W3CDTF">2023-03-27T12:42:00Z</dcterms:modified>
</cp:coreProperties>
</file>