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B8D63" w14:textId="24D3596C" w:rsidR="00C457F8" w:rsidRPr="0057204F" w:rsidRDefault="00C457F8" w:rsidP="00F0426A">
      <w:pPr>
        <w:jc w:val="both"/>
        <w:rPr>
          <w:rFonts w:ascii="Times New Roman" w:hAnsi="Times New Roman" w:cs="Times New Roman"/>
          <w:b/>
          <w:sz w:val="24"/>
          <w:szCs w:val="24"/>
        </w:rPr>
      </w:pPr>
      <w:r w:rsidRPr="0057204F">
        <w:rPr>
          <w:rFonts w:ascii="Times New Roman" w:hAnsi="Times New Roman" w:cs="Times New Roman"/>
          <w:b/>
          <w:sz w:val="24"/>
          <w:szCs w:val="24"/>
        </w:rPr>
        <w:t>Tabela de diferenças entre emendas e justificativas</w:t>
      </w:r>
    </w:p>
    <w:tbl>
      <w:tblPr>
        <w:tblStyle w:val="Tabelacomgrade"/>
        <w:tblW w:w="11907" w:type="dxa"/>
        <w:tblInd w:w="-5" w:type="dxa"/>
        <w:tblLook w:val="04A0" w:firstRow="1" w:lastRow="0" w:firstColumn="1" w:lastColumn="0" w:noHBand="0" w:noVBand="1"/>
      </w:tblPr>
      <w:tblGrid>
        <w:gridCol w:w="3685"/>
        <w:gridCol w:w="3686"/>
        <w:gridCol w:w="4536"/>
      </w:tblGrid>
      <w:tr w:rsidR="00B7143A" w:rsidRPr="0057204F" w14:paraId="7BAA0C12" w14:textId="77777777" w:rsidTr="00B7143A">
        <w:tc>
          <w:tcPr>
            <w:tcW w:w="3685" w:type="dxa"/>
          </w:tcPr>
          <w:p w14:paraId="377B7527" w14:textId="77777777" w:rsidR="00B7143A" w:rsidRPr="00837ADF" w:rsidRDefault="00B7143A" w:rsidP="00DE1E7C">
            <w:pPr>
              <w:jc w:val="center"/>
              <w:rPr>
                <w:rFonts w:ascii="Times New Roman" w:hAnsi="Times New Roman" w:cs="Times New Roman"/>
                <w:b/>
                <w:bCs/>
                <w:sz w:val="24"/>
                <w:szCs w:val="24"/>
              </w:rPr>
            </w:pPr>
            <w:r w:rsidRPr="00837ADF">
              <w:rPr>
                <w:rFonts w:ascii="Times New Roman" w:hAnsi="Times New Roman" w:cs="Times New Roman"/>
                <w:b/>
                <w:bCs/>
                <w:sz w:val="24"/>
                <w:szCs w:val="24"/>
              </w:rPr>
              <w:t>29.773</w:t>
            </w:r>
          </w:p>
        </w:tc>
        <w:tc>
          <w:tcPr>
            <w:tcW w:w="3686" w:type="dxa"/>
          </w:tcPr>
          <w:p w14:paraId="164A2A05" w14:textId="77777777" w:rsidR="00B7143A" w:rsidRPr="00837ADF" w:rsidRDefault="00B7143A" w:rsidP="00DE1E7C">
            <w:pPr>
              <w:jc w:val="center"/>
              <w:rPr>
                <w:rFonts w:ascii="Times New Roman" w:hAnsi="Times New Roman" w:cs="Times New Roman"/>
                <w:b/>
                <w:bCs/>
                <w:sz w:val="24"/>
                <w:szCs w:val="24"/>
              </w:rPr>
            </w:pPr>
          </w:p>
        </w:tc>
        <w:tc>
          <w:tcPr>
            <w:tcW w:w="4536" w:type="dxa"/>
            <w:vMerge w:val="restart"/>
          </w:tcPr>
          <w:p w14:paraId="2671ED51" w14:textId="6E3717BE" w:rsidR="00B7143A" w:rsidRPr="00837ADF" w:rsidRDefault="00B7143A" w:rsidP="00580EEE">
            <w:pPr>
              <w:jc w:val="center"/>
              <w:rPr>
                <w:rFonts w:ascii="Times New Roman" w:hAnsi="Times New Roman" w:cs="Times New Roman"/>
                <w:b/>
                <w:bCs/>
                <w:sz w:val="24"/>
                <w:szCs w:val="24"/>
              </w:rPr>
            </w:pPr>
            <w:r w:rsidRPr="00837ADF">
              <w:rPr>
                <w:rFonts w:ascii="Times New Roman" w:hAnsi="Times New Roman" w:cs="Times New Roman"/>
                <w:b/>
                <w:bCs/>
                <w:sz w:val="24"/>
                <w:szCs w:val="24"/>
              </w:rPr>
              <w:t>Justificativa</w:t>
            </w:r>
          </w:p>
        </w:tc>
      </w:tr>
      <w:tr w:rsidR="00B7143A" w:rsidRPr="0057204F" w14:paraId="064536A7" w14:textId="77777777" w:rsidTr="00B7143A">
        <w:tc>
          <w:tcPr>
            <w:tcW w:w="3685" w:type="dxa"/>
          </w:tcPr>
          <w:p w14:paraId="4F9A03F4" w14:textId="5B10B7E1" w:rsidR="00B7143A" w:rsidRPr="00837ADF" w:rsidRDefault="00B7143A" w:rsidP="00C457F8">
            <w:pPr>
              <w:jc w:val="center"/>
              <w:rPr>
                <w:rFonts w:ascii="Times New Roman" w:hAnsi="Times New Roman" w:cs="Times New Roman"/>
                <w:b/>
                <w:bCs/>
                <w:sz w:val="24"/>
                <w:szCs w:val="24"/>
              </w:rPr>
            </w:pPr>
            <w:r w:rsidRPr="00837ADF">
              <w:rPr>
                <w:rFonts w:ascii="Times New Roman" w:hAnsi="Times New Roman" w:cs="Times New Roman"/>
                <w:b/>
                <w:bCs/>
                <w:sz w:val="24"/>
                <w:szCs w:val="24"/>
              </w:rPr>
              <w:t>RBAC 29 Emenda 55</w:t>
            </w:r>
          </w:p>
        </w:tc>
        <w:tc>
          <w:tcPr>
            <w:tcW w:w="3686" w:type="dxa"/>
          </w:tcPr>
          <w:p w14:paraId="6DEB0F5E" w14:textId="77777777" w:rsidR="00B7143A" w:rsidRPr="00837ADF" w:rsidRDefault="00B7143A" w:rsidP="00C457F8">
            <w:pPr>
              <w:jc w:val="center"/>
              <w:rPr>
                <w:rFonts w:ascii="Times New Roman" w:hAnsi="Times New Roman" w:cs="Times New Roman"/>
                <w:b/>
                <w:bCs/>
                <w:sz w:val="24"/>
                <w:szCs w:val="24"/>
              </w:rPr>
            </w:pPr>
            <w:r w:rsidRPr="00837ADF">
              <w:rPr>
                <w:rFonts w:ascii="Times New Roman" w:hAnsi="Times New Roman" w:cs="Times New Roman"/>
                <w:b/>
                <w:bCs/>
                <w:sz w:val="24"/>
                <w:szCs w:val="24"/>
              </w:rPr>
              <w:t>RBAC 29 Emenda 29-56</w:t>
            </w:r>
          </w:p>
        </w:tc>
        <w:tc>
          <w:tcPr>
            <w:tcW w:w="4536" w:type="dxa"/>
            <w:vMerge/>
          </w:tcPr>
          <w:p w14:paraId="032D91F6" w14:textId="77777777" w:rsidR="00B7143A" w:rsidRPr="00837ADF" w:rsidRDefault="00B7143A" w:rsidP="00C457F8">
            <w:pPr>
              <w:jc w:val="center"/>
              <w:rPr>
                <w:rFonts w:ascii="Times New Roman" w:hAnsi="Times New Roman" w:cs="Times New Roman"/>
                <w:b/>
                <w:bCs/>
                <w:sz w:val="24"/>
                <w:szCs w:val="24"/>
              </w:rPr>
            </w:pPr>
          </w:p>
        </w:tc>
      </w:tr>
      <w:tr w:rsidR="00B7143A" w:rsidRPr="0057204F" w14:paraId="2856D228" w14:textId="77777777" w:rsidTr="00B7143A">
        <w:tc>
          <w:tcPr>
            <w:tcW w:w="3685" w:type="dxa"/>
          </w:tcPr>
          <w:p w14:paraId="2688223E" w14:textId="77777777" w:rsidR="00B7143A" w:rsidRPr="00837ADF" w:rsidRDefault="00B7143A" w:rsidP="003F0F2E">
            <w:pPr>
              <w:jc w:val="both"/>
              <w:rPr>
                <w:rFonts w:ascii="Times New Roman" w:hAnsi="Times New Roman" w:cs="Times New Roman"/>
                <w:b/>
                <w:bCs/>
                <w:sz w:val="24"/>
                <w:szCs w:val="24"/>
                <w:lang w:val="en-US"/>
              </w:rPr>
            </w:pPr>
          </w:p>
        </w:tc>
        <w:tc>
          <w:tcPr>
            <w:tcW w:w="3686" w:type="dxa"/>
          </w:tcPr>
          <w:p w14:paraId="4B0E91DB" w14:textId="31F58AB0" w:rsidR="00B7143A" w:rsidRPr="00837ADF" w:rsidRDefault="00B7143A" w:rsidP="002E3BDD">
            <w:pPr>
              <w:jc w:val="center"/>
              <w:rPr>
                <w:rFonts w:ascii="Times New Roman" w:hAnsi="Times New Roman" w:cs="Times New Roman"/>
                <w:b/>
                <w:bCs/>
                <w:sz w:val="24"/>
                <w:szCs w:val="24"/>
              </w:rPr>
            </w:pPr>
            <w:r w:rsidRPr="00837ADF">
              <w:rPr>
                <w:rFonts w:ascii="Times New Roman" w:hAnsi="Times New Roman" w:cs="Times New Roman"/>
                <w:b/>
                <w:bCs/>
                <w:sz w:val="24"/>
                <w:szCs w:val="24"/>
              </w:rPr>
              <w:t>Inglês</w:t>
            </w:r>
          </w:p>
        </w:tc>
        <w:tc>
          <w:tcPr>
            <w:tcW w:w="4536" w:type="dxa"/>
          </w:tcPr>
          <w:p w14:paraId="5A5274C7" w14:textId="77777777" w:rsidR="00B7143A" w:rsidRPr="00837ADF" w:rsidRDefault="00B7143A" w:rsidP="00C457F8">
            <w:pPr>
              <w:jc w:val="both"/>
              <w:rPr>
                <w:rFonts w:ascii="Times New Roman" w:hAnsi="Times New Roman" w:cs="Times New Roman"/>
                <w:b/>
                <w:bCs/>
                <w:sz w:val="24"/>
                <w:szCs w:val="24"/>
              </w:rPr>
            </w:pPr>
          </w:p>
        </w:tc>
      </w:tr>
      <w:tr w:rsidR="00B7143A" w:rsidRPr="0057204F" w14:paraId="388BE133" w14:textId="77777777" w:rsidTr="00B7143A">
        <w:tc>
          <w:tcPr>
            <w:tcW w:w="3685" w:type="dxa"/>
          </w:tcPr>
          <w:p w14:paraId="71A43018" w14:textId="22AA3C83" w:rsidR="00B7143A" w:rsidRPr="0057204F" w:rsidRDefault="00B7143A" w:rsidP="00315927">
            <w:pPr>
              <w:rPr>
                <w:rFonts w:ascii="Times New Roman" w:hAnsi="Times New Roman" w:cs="Times New Roman"/>
                <w:sz w:val="24"/>
                <w:szCs w:val="24"/>
                <w:lang w:val="en-US"/>
              </w:rPr>
            </w:pPr>
            <w:r w:rsidRPr="0057204F">
              <w:rPr>
                <w:rFonts w:ascii="Times New Roman" w:hAnsi="Times New Roman" w:cs="Times New Roman"/>
                <w:sz w:val="24"/>
                <w:szCs w:val="24"/>
                <w:lang w:val="en-US"/>
              </w:rPr>
              <w:t>§ 29.773 Pilot compartment view.</w:t>
            </w:r>
          </w:p>
          <w:p w14:paraId="2FBF69CF" w14:textId="42DA256E" w:rsidR="00B7143A" w:rsidRDefault="004E58AE" w:rsidP="00315927">
            <w:pPr>
              <w:rPr>
                <w:rFonts w:ascii="Times New Roman" w:hAnsi="Times New Roman" w:cs="Times New Roman"/>
                <w:sz w:val="24"/>
                <w:szCs w:val="24"/>
                <w:lang w:val="en-US"/>
              </w:rPr>
            </w:pPr>
            <w:r>
              <w:rPr>
                <w:rFonts w:ascii="Times New Roman" w:hAnsi="Times New Roman" w:cs="Times New Roman"/>
                <w:sz w:val="24"/>
                <w:szCs w:val="24"/>
                <w:lang w:val="en-US"/>
              </w:rPr>
              <w:t>…</w:t>
            </w:r>
          </w:p>
          <w:p w14:paraId="45DAC0CE" w14:textId="57245801" w:rsidR="004E58AE" w:rsidRPr="0057204F" w:rsidRDefault="004E58AE" w:rsidP="00315927">
            <w:pPr>
              <w:rPr>
                <w:rFonts w:ascii="Times New Roman" w:hAnsi="Times New Roman" w:cs="Times New Roman"/>
                <w:sz w:val="24"/>
                <w:szCs w:val="24"/>
                <w:lang w:val="en-US"/>
              </w:rPr>
            </w:pPr>
            <w:r>
              <w:rPr>
                <w:rFonts w:ascii="Times New Roman" w:hAnsi="Times New Roman" w:cs="Times New Roman"/>
                <w:sz w:val="24"/>
                <w:szCs w:val="24"/>
                <w:lang w:val="en-US"/>
              </w:rPr>
              <w:t>(c) [NÃO EXISTENTE]</w:t>
            </w:r>
          </w:p>
          <w:p w14:paraId="38A9972A" w14:textId="5D4B0922" w:rsidR="00B7143A" w:rsidRPr="0057204F" w:rsidRDefault="00B7143A" w:rsidP="00315927">
            <w:pPr>
              <w:rPr>
                <w:rFonts w:ascii="Times New Roman" w:hAnsi="Times New Roman" w:cs="Times New Roman"/>
                <w:sz w:val="24"/>
                <w:szCs w:val="24"/>
                <w:lang w:val="en-US"/>
              </w:rPr>
            </w:pPr>
            <w:r w:rsidRPr="0057204F">
              <w:rPr>
                <w:rFonts w:ascii="Times New Roman" w:hAnsi="Times New Roman" w:cs="Times New Roman"/>
                <w:sz w:val="24"/>
                <w:szCs w:val="24"/>
                <w:lang w:val="en-US"/>
              </w:rPr>
              <w:t>[Doc. No. 5084, 29 FR 16150, Dec. 3, 1964, as amended by Amdt. 29–3, 33 FR 967, Jan. 26, 1968]</w:t>
            </w:r>
          </w:p>
        </w:tc>
        <w:tc>
          <w:tcPr>
            <w:tcW w:w="3686" w:type="dxa"/>
          </w:tcPr>
          <w:p w14:paraId="54E5E3C8" w14:textId="40AB83C8" w:rsidR="00B7143A" w:rsidRPr="0057204F" w:rsidRDefault="00B7143A" w:rsidP="00A16EB0">
            <w:pPr>
              <w:rPr>
                <w:rFonts w:ascii="Times New Roman" w:hAnsi="Times New Roman" w:cs="Times New Roman"/>
                <w:sz w:val="24"/>
                <w:szCs w:val="24"/>
                <w:lang w:val="en-US"/>
              </w:rPr>
            </w:pPr>
            <w:r w:rsidRPr="0057204F">
              <w:rPr>
                <w:rFonts w:ascii="Times New Roman" w:hAnsi="Times New Roman" w:cs="Times New Roman"/>
                <w:sz w:val="24"/>
                <w:szCs w:val="24"/>
                <w:lang w:val="en-US"/>
              </w:rPr>
              <w:t>29.773 Pilot compartment view.</w:t>
            </w:r>
          </w:p>
          <w:p w14:paraId="232412E0" w14:textId="7CC92692" w:rsidR="00B7143A" w:rsidRPr="0057204F" w:rsidRDefault="004E58AE" w:rsidP="00A16EB0">
            <w:pPr>
              <w:rPr>
                <w:rFonts w:ascii="Times New Roman" w:hAnsi="Times New Roman" w:cs="Times New Roman"/>
                <w:sz w:val="24"/>
                <w:szCs w:val="24"/>
                <w:lang w:val="en-US"/>
              </w:rPr>
            </w:pPr>
            <w:r>
              <w:rPr>
                <w:rFonts w:ascii="Times New Roman" w:hAnsi="Times New Roman" w:cs="Times New Roman"/>
                <w:sz w:val="24"/>
                <w:szCs w:val="24"/>
                <w:lang w:val="en-US"/>
              </w:rPr>
              <w:t>..</w:t>
            </w:r>
            <w:r w:rsidR="00B7143A" w:rsidRPr="0057204F">
              <w:rPr>
                <w:rFonts w:ascii="Times New Roman" w:hAnsi="Times New Roman" w:cs="Times New Roman"/>
                <w:sz w:val="24"/>
                <w:szCs w:val="24"/>
                <w:lang w:val="en-US"/>
              </w:rPr>
              <w:t>.</w:t>
            </w:r>
          </w:p>
          <w:p w14:paraId="04F75617" w14:textId="77777777" w:rsidR="00B7143A" w:rsidRPr="0057204F" w:rsidRDefault="00B7143A" w:rsidP="00A16EB0">
            <w:pPr>
              <w:rPr>
                <w:rFonts w:ascii="Times New Roman" w:hAnsi="Times New Roman" w:cs="Times New Roman"/>
                <w:sz w:val="24"/>
                <w:szCs w:val="24"/>
                <w:lang w:val="en-US"/>
              </w:rPr>
            </w:pPr>
            <w:r w:rsidRPr="0057204F">
              <w:rPr>
                <w:rFonts w:ascii="Times New Roman" w:hAnsi="Times New Roman" w:cs="Times New Roman"/>
                <w:sz w:val="24"/>
                <w:szCs w:val="24"/>
                <w:lang w:val="en-US"/>
              </w:rPr>
              <w:t>(c) Vision systems with transparent displays. A vision system with a transparent display surface located in the pilot's outside field of view, such as a head up-display, head mounted display, or other equivalent display, must meet the following requirements in nonprecipitation and precipitation conditions:</w:t>
            </w:r>
          </w:p>
          <w:p w14:paraId="7D58D528" w14:textId="77777777" w:rsidR="00B7143A" w:rsidRPr="0057204F" w:rsidRDefault="00B7143A" w:rsidP="00A16EB0">
            <w:pPr>
              <w:rPr>
                <w:rFonts w:ascii="Times New Roman" w:hAnsi="Times New Roman" w:cs="Times New Roman"/>
                <w:sz w:val="24"/>
                <w:szCs w:val="24"/>
                <w:lang w:val="en-US"/>
              </w:rPr>
            </w:pPr>
            <w:r w:rsidRPr="0057204F">
              <w:rPr>
                <w:rFonts w:ascii="Times New Roman" w:hAnsi="Times New Roman" w:cs="Times New Roman"/>
                <w:sz w:val="24"/>
                <w:szCs w:val="24"/>
                <w:lang w:val="en-US"/>
              </w:rPr>
              <w:t>(1) While the vision system display is in operation, it must compensate for interference with the pilot's outside field of view such that the combination of what is visible in the display and what remains visible through and around it, allows the pilot compartment to satisfy the requirements of paragraphs (a) and (b) of this section.</w:t>
            </w:r>
          </w:p>
          <w:p w14:paraId="2AD262EE" w14:textId="77777777" w:rsidR="00B7143A" w:rsidRPr="0057204F" w:rsidRDefault="00B7143A" w:rsidP="00A16EB0">
            <w:pPr>
              <w:rPr>
                <w:rFonts w:ascii="Times New Roman" w:hAnsi="Times New Roman" w:cs="Times New Roman"/>
                <w:sz w:val="24"/>
                <w:szCs w:val="24"/>
                <w:lang w:val="en-US"/>
              </w:rPr>
            </w:pPr>
            <w:r w:rsidRPr="0057204F">
              <w:rPr>
                <w:rFonts w:ascii="Times New Roman" w:hAnsi="Times New Roman" w:cs="Times New Roman"/>
                <w:sz w:val="24"/>
                <w:szCs w:val="24"/>
                <w:lang w:val="en-US"/>
              </w:rPr>
              <w:t xml:space="preserve">(2) The pilot's view of the external scene may not be distorted by the transparent display surface or by the vision system imagery. When the vision system displays imagery or any symbology that is referenced to the imagery and outside scene topography, including attitude symbology, flight path vector, and flight path angle reference cue, that imagery and symbology must be </w:t>
            </w:r>
            <w:r w:rsidRPr="0057204F">
              <w:rPr>
                <w:rFonts w:ascii="Times New Roman" w:hAnsi="Times New Roman" w:cs="Times New Roman"/>
                <w:sz w:val="24"/>
                <w:szCs w:val="24"/>
                <w:lang w:val="en-US"/>
              </w:rPr>
              <w:lastRenderedPageBreak/>
              <w:t>aligned with, and scaled to, the external scene.</w:t>
            </w:r>
          </w:p>
          <w:p w14:paraId="3AE84F0A" w14:textId="77777777" w:rsidR="00B7143A" w:rsidRPr="0057204F" w:rsidRDefault="00B7143A" w:rsidP="00A16EB0">
            <w:pPr>
              <w:rPr>
                <w:rFonts w:ascii="Times New Roman" w:hAnsi="Times New Roman" w:cs="Times New Roman"/>
                <w:sz w:val="24"/>
                <w:szCs w:val="24"/>
                <w:lang w:val="en-US"/>
              </w:rPr>
            </w:pPr>
            <w:r w:rsidRPr="0057204F">
              <w:rPr>
                <w:rFonts w:ascii="Times New Roman" w:hAnsi="Times New Roman" w:cs="Times New Roman"/>
                <w:sz w:val="24"/>
                <w:szCs w:val="24"/>
                <w:lang w:val="en-US"/>
              </w:rPr>
              <w:t>(3) The vision system must provide a means to allow the pilot using the display to immediately deactivate and reactivate the vision system imagery, on demand, without removing the pilot's hands from the primary flight and power controls, or their equivalent.</w:t>
            </w:r>
          </w:p>
          <w:p w14:paraId="428103EF" w14:textId="77777777" w:rsidR="00B7143A" w:rsidRPr="0057204F" w:rsidRDefault="00B7143A" w:rsidP="00A16EB0">
            <w:pPr>
              <w:rPr>
                <w:rFonts w:ascii="Times New Roman" w:hAnsi="Times New Roman" w:cs="Times New Roman"/>
                <w:sz w:val="24"/>
                <w:szCs w:val="24"/>
                <w:lang w:val="en-US"/>
              </w:rPr>
            </w:pPr>
            <w:r w:rsidRPr="0057204F">
              <w:rPr>
                <w:rFonts w:ascii="Times New Roman" w:hAnsi="Times New Roman" w:cs="Times New Roman"/>
                <w:sz w:val="24"/>
                <w:szCs w:val="24"/>
                <w:lang w:val="en-US"/>
              </w:rPr>
              <w:t>(4) When the vision system is not in operation it must permit the pilot compartment to satisfy the requirements of paragraphs (a) and (b) of this section.</w:t>
            </w:r>
          </w:p>
          <w:p w14:paraId="6A80BC1E" w14:textId="77777777" w:rsidR="00B7143A" w:rsidRPr="0057204F" w:rsidRDefault="00B7143A" w:rsidP="00A16EB0">
            <w:pPr>
              <w:rPr>
                <w:rFonts w:ascii="Times New Roman" w:hAnsi="Times New Roman" w:cs="Times New Roman"/>
                <w:sz w:val="24"/>
                <w:szCs w:val="24"/>
                <w:lang w:val="en-US"/>
              </w:rPr>
            </w:pPr>
          </w:p>
          <w:p w14:paraId="155F499E" w14:textId="67BDB1FF" w:rsidR="00B7143A" w:rsidRPr="0057204F" w:rsidRDefault="00B7143A" w:rsidP="00A16EB0">
            <w:pPr>
              <w:rPr>
                <w:rFonts w:ascii="Times New Roman" w:hAnsi="Times New Roman" w:cs="Times New Roman"/>
                <w:sz w:val="24"/>
                <w:szCs w:val="24"/>
                <w:lang w:val="en-US"/>
              </w:rPr>
            </w:pPr>
            <w:r w:rsidRPr="0057204F">
              <w:rPr>
                <w:rFonts w:ascii="Times New Roman" w:hAnsi="Times New Roman" w:cs="Times New Roman"/>
                <w:sz w:val="24"/>
                <w:szCs w:val="24"/>
                <w:lang w:val="en-US"/>
              </w:rPr>
              <w:t>[Doc. No. 5084, 29 FR 16150, Dec. 3, 1964, as amended by Amdt. 29-3, 33 FR 967, Jan. 26, 1968; Docket FAA-2013-0485, Amdt. 29-56, 81 FR 90170, Dec. 13, 2016]</w:t>
            </w:r>
          </w:p>
        </w:tc>
        <w:tc>
          <w:tcPr>
            <w:tcW w:w="4536" w:type="dxa"/>
          </w:tcPr>
          <w:p w14:paraId="2CFFD675" w14:textId="3384591A" w:rsidR="00B7143A" w:rsidRPr="0057204F" w:rsidRDefault="00B7143A" w:rsidP="00C457F8">
            <w:pPr>
              <w:jc w:val="both"/>
              <w:rPr>
                <w:rFonts w:ascii="Times New Roman" w:hAnsi="Times New Roman" w:cs="Times New Roman"/>
                <w:sz w:val="24"/>
                <w:szCs w:val="24"/>
              </w:rPr>
            </w:pPr>
            <w:r w:rsidRPr="0057204F">
              <w:rPr>
                <w:rFonts w:ascii="Times New Roman" w:hAnsi="Times New Roman" w:cs="Times New Roman"/>
                <w:sz w:val="24"/>
                <w:szCs w:val="24"/>
              </w:rPr>
              <w:lastRenderedPageBreak/>
              <w:t>O item c) está sendo adicionado ao requisito 29.773 para estabelecer requisitos de aeronavegabilidade para sistemas de visão com display de superfície transparente localizados no campo de visão externa do piloto, tais como head-up displays (HUD), displays montados na cabeça, ou outro display equivalente. Esta atualização visa eliminar a necessidade atual de emitir condições especiais para sistemas de visão em um head-up display, provendo à indústria requisitos conhecidos para a certificação desses sistemas e eliminando os custos resultantes do processo de emissão de condições especiais. Esta revisão também visa a harmonizar o texto do regulamento com a FAA.</w:t>
            </w:r>
          </w:p>
          <w:p w14:paraId="54AFA29E" w14:textId="77777777" w:rsidR="00B7143A" w:rsidRPr="0057204F" w:rsidRDefault="00B7143A" w:rsidP="00C457F8">
            <w:pPr>
              <w:jc w:val="both"/>
              <w:rPr>
                <w:rFonts w:ascii="Times New Roman" w:hAnsi="Times New Roman" w:cs="Times New Roman"/>
                <w:sz w:val="24"/>
                <w:szCs w:val="24"/>
              </w:rPr>
            </w:pPr>
          </w:p>
          <w:p w14:paraId="20820F26" w14:textId="08957470" w:rsidR="00B7143A" w:rsidRPr="0057204F" w:rsidRDefault="00B7143A" w:rsidP="00C457F8">
            <w:pPr>
              <w:jc w:val="both"/>
              <w:rPr>
                <w:rFonts w:ascii="Times New Roman" w:hAnsi="Times New Roman" w:cs="Times New Roman"/>
                <w:sz w:val="24"/>
                <w:szCs w:val="24"/>
              </w:rPr>
            </w:pPr>
            <w:r w:rsidRPr="0057204F">
              <w:rPr>
                <w:rFonts w:ascii="Times New Roman" w:hAnsi="Times New Roman" w:cs="Times New Roman"/>
                <w:sz w:val="24"/>
                <w:szCs w:val="24"/>
              </w:rPr>
              <w:t>Os itens a) e b) não sofreram revisão.</w:t>
            </w:r>
          </w:p>
        </w:tc>
      </w:tr>
    </w:tbl>
    <w:p w14:paraId="27BFA832" w14:textId="39837D65" w:rsidR="009B7824" w:rsidRPr="0057204F" w:rsidRDefault="009B7824" w:rsidP="00F0426A">
      <w:pPr>
        <w:jc w:val="both"/>
        <w:rPr>
          <w:rFonts w:ascii="Times New Roman" w:hAnsi="Times New Roman" w:cs="Times New Roman"/>
          <w:b/>
          <w:sz w:val="24"/>
          <w:szCs w:val="24"/>
        </w:rPr>
      </w:pPr>
    </w:p>
    <w:sectPr w:rsidR="009B7824" w:rsidRPr="0057204F" w:rsidSect="00DE1E7C">
      <w:pgSz w:w="16838" w:h="11906" w:orient="landscape"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376CE"/>
    <w:multiLevelType w:val="hybridMultilevel"/>
    <w:tmpl w:val="71008C72"/>
    <w:lvl w:ilvl="0" w:tplc="3FA60F0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3B60F8A"/>
    <w:multiLevelType w:val="hybridMultilevel"/>
    <w:tmpl w:val="71008C72"/>
    <w:lvl w:ilvl="0" w:tplc="3FA60F0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69533AA"/>
    <w:multiLevelType w:val="hybridMultilevel"/>
    <w:tmpl w:val="71008C72"/>
    <w:lvl w:ilvl="0" w:tplc="3FA60F0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4D"/>
    <w:rsid w:val="00012F84"/>
    <w:rsid w:val="00026802"/>
    <w:rsid w:val="00060E76"/>
    <w:rsid w:val="000E4BE7"/>
    <w:rsid w:val="0011165A"/>
    <w:rsid w:val="00161305"/>
    <w:rsid w:val="001F1B5F"/>
    <w:rsid w:val="001F6AB8"/>
    <w:rsid w:val="00256AC1"/>
    <w:rsid w:val="002705D1"/>
    <w:rsid w:val="002E3BDD"/>
    <w:rsid w:val="00315927"/>
    <w:rsid w:val="00330C6D"/>
    <w:rsid w:val="003471BC"/>
    <w:rsid w:val="00360844"/>
    <w:rsid w:val="00363013"/>
    <w:rsid w:val="00363A1C"/>
    <w:rsid w:val="00390337"/>
    <w:rsid w:val="003955FC"/>
    <w:rsid w:val="003A2901"/>
    <w:rsid w:val="003D608F"/>
    <w:rsid w:val="003F0F2E"/>
    <w:rsid w:val="00456414"/>
    <w:rsid w:val="004E58AE"/>
    <w:rsid w:val="005657E4"/>
    <w:rsid w:val="0057204F"/>
    <w:rsid w:val="00574319"/>
    <w:rsid w:val="00580EEE"/>
    <w:rsid w:val="006023C3"/>
    <w:rsid w:val="00641854"/>
    <w:rsid w:val="006448A4"/>
    <w:rsid w:val="0068410F"/>
    <w:rsid w:val="007159FF"/>
    <w:rsid w:val="007678FD"/>
    <w:rsid w:val="007F0AD3"/>
    <w:rsid w:val="007F7A99"/>
    <w:rsid w:val="00837ADF"/>
    <w:rsid w:val="00896C09"/>
    <w:rsid w:val="008C2C79"/>
    <w:rsid w:val="00927E0E"/>
    <w:rsid w:val="00931A32"/>
    <w:rsid w:val="00986238"/>
    <w:rsid w:val="009B3C4D"/>
    <w:rsid w:val="009B7824"/>
    <w:rsid w:val="009F11E1"/>
    <w:rsid w:val="00A036BC"/>
    <w:rsid w:val="00A16EB0"/>
    <w:rsid w:val="00A369F9"/>
    <w:rsid w:val="00A8306E"/>
    <w:rsid w:val="00B1642E"/>
    <w:rsid w:val="00B32C72"/>
    <w:rsid w:val="00B57751"/>
    <w:rsid w:val="00B60EF3"/>
    <w:rsid w:val="00B7143A"/>
    <w:rsid w:val="00BD06C0"/>
    <w:rsid w:val="00BD4CD2"/>
    <w:rsid w:val="00BE0126"/>
    <w:rsid w:val="00C15551"/>
    <w:rsid w:val="00C41B44"/>
    <w:rsid w:val="00C457F8"/>
    <w:rsid w:val="00C81403"/>
    <w:rsid w:val="00CA63EB"/>
    <w:rsid w:val="00CB5546"/>
    <w:rsid w:val="00CF6D46"/>
    <w:rsid w:val="00D22420"/>
    <w:rsid w:val="00D84470"/>
    <w:rsid w:val="00DB238B"/>
    <w:rsid w:val="00DE1E7C"/>
    <w:rsid w:val="00E10E9B"/>
    <w:rsid w:val="00E12E8F"/>
    <w:rsid w:val="00E47936"/>
    <w:rsid w:val="00E875D7"/>
    <w:rsid w:val="00EA76B3"/>
    <w:rsid w:val="00EF0504"/>
    <w:rsid w:val="00EF7299"/>
    <w:rsid w:val="00F0426A"/>
    <w:rsid w:val="00F2483D"/>
    <w:rsid w:val="00F43793"/>
    <w:rsid w:val="00F519EB"/>
    <w:rsid w:val="00FE09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FE1BC"/>
  <w15:chartTrackingRefBased/>
  <w15:docId w15:val="{EF040354-C204-4BE0-B2C0-AA16E9ACD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7751"/>
  </w:style>
  <w:style w:type="paragraph" w:styleId="Ttulo2">
    <w:name w:val="heading 2"/>
    <w:basedOn w:val="Normal"/>
    <w:link w:val="Ttulo2Char"/>
    <w:uiPriority w:val="9"/>
    <w:qFormat/>
    <w:rsid w:val="00060E76"/>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FE0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rsid w:val="00060E76"/>
    <w:rPr>
      <w:rFonts w:ascii="Times New Roman" w:eastAsia="Times New Roman" w:hAnsi="Times New Roman" w:cs="Times New Roman"/>
      <w:b/>
      <w:bCs/>
      <w:sz w:val="36"/>
      <w:szCs w:val="36"/>
      <w:lang w:eastAsia="pt-BR"/>
    </w:rPr>
  </w:style>
  <w:style w:type="paragraph" w:styleId="NormalWeb">
    <w:name w:val="Normal (Web)"/>
    <w:basedOn w:val="Normal"/>
    <w:uiPriority w:val="99"/>
    <w:semiHidden/>
    <w:unhideWhenUsed/>
    <w:rsid w:val="00060E7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p">
    <w:name w:val="fp"/>
    <w:basedOn w:val="Normal"/>
    <w:rsid w:val="00060E7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96C09"/>
    <w:pPr>
      <w:ind w:left="720"/>
      <w:contextualSpacing/>
    </w:pPr>
  </w:style>
  <w:style w:type="paragraph" w:styleId="Textodebalo">
    <w:name w:val="Balloon Text"/>
    <w:basedOn w:val="Normal"/>
    <w:link w:val="TextodebaloChar"/>
    <w:uiPriority w:val="99"/>
    <w:semiHidden/>
    <w:unhideWhenUsed/>
    <w:rsid w:val="00C457F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C457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84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415</Words>
  <Characters>2245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Soares Amorim</dc:creator>
  <cp:keywords/>
  <dc:description/>
  <cp:lastModifiedBy>Marcelo Ramsdorf</cp:lastModifiedBy>
  <cp:revision>10</cp:revision>
  <dcterms:created xsi:type="dcterms:W3CDTF">2020-06-23T17:11:00Z</dcterms:created>
  <dcterms:modified xsi:type="dcterms:W3CDTF">2021-09-09T12:05:00Z</dcterms:modified>
</cp:coreProperties>
</file>