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FF" w:rsidRDefault="00B837FF" w:rsidP="00B837FF">
      <w:pPr>
        <w:pStyle w:val="Default"/>
        <w:rPr>
          <w:sz w:val="20"/>
          <w:szCs w:val="20"/>
        </w:rPr>
      </w:pPr>
      <w:bookmarkStart w:id="0" w:name="_GoBack"/>
      <w:r>
        <w:rPr>
          <w:sz w:val="20"/>
          <w:szCs w:val="20"/>
        </w:rPr>
        <w:t xml:space="preserve">CONSELHO SUPERIOR DA ADVOCACIA-GERAL </w:t>
      </w:r>
      <w:bookmarkEnd w:id="0"/>
      <w:r>
        <w:rPr>
          <w:sz w:val="20"/>
          <w:szCs w:val="20"/>
        </w:rPr>
        <w:t xml:space="preserve">DA UNIÃO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EDITAL Nº 13, DE 11 DE ABRIL DE 2014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O PRESIDENTE DO CONSELHO SUPERIOR DA ADVOCACIA-GERAL DA UNIÃO, no uso da competência que lhe confere o art. 6º, inciso X da Resolução nº 1, de 17 de julho de 2011, considerando a competência prevista no art. 7º, inciso II, da Lei Complementar nº 73, de 10 de fevereiro de 1993, e tendo em vista o disposto na Resolução n° 11, de 30 de dezembro de 2008, do Conselho Superior da Advocacia-Geral da União, e alterações, consolidadas na Portaria nº 96/CSAGU, de 4 de abril de 2013, e Resolução nº 8, de 26 de junho de 2013, resolve: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1. Convocar os membros da carreira de Procurador da Fazenda Nacional para apresentar, no período compreendido entre as 12h de 14 de abril de 2014 até as 23h do dia 02 de maio de 2014, requerimentos e documentos destinados à pontuação de merecimento e à aferição de antiguidade, para a promoção relativa ao período de avaliação compreendido entre 1º de julho e 31 de dezembro de 2013, na forma deste Edital.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2. Serão observadas as vagas ocorridas na forma do parágrafo único do art. 24 da Lei Complementar nº 73, de 1993 e do art. 4º da Resolução nº 11/CSAGU, de 30 de dezembro de 2008, bem assim em decorrência do disposto na Portaria Interministerial nº 221, de 19 de maio de 2009, do Ministro de Estado da Fazenda e do Advogado-Geral da União, conforme apuração constante do Anexo I.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3. O sistema de promoções, acessível por meio do sítio eletrônico da Advocacia-Geral da União – AGU na internet (http://www.agu.gov.br), disponibilizará: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3.1 informações relativas à antiguidade e a relação de títulos registrados para fins de merecimento de cada candidato;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3.2 meios eletrônicos para requerimentos e interposição de recursos, na forma e prazos definidos neste Edital; e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3.3 campo destinado à declaração da preferência pelo critério de antiguidade de que trata o parágrafo único do art. 22 da Resolução nº 11/CSAGU, de 2008.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4. O Conselho Superior da Advocacia-Geral da União constituirá Comissão de Promoção, nos termos da Resolução nº 9/CSAGU, de 2 de julho de 2013, publicada no Diário Oficial da União de 3 de julho de 2013. </w:t>
      </w:r>
    </w:p>
    <w:p w:rsidR="00B837FF" w:rsidRDefault="00B837FF" w:rsidP="00B837FF">
      <w:pPr>
        <w:pStyle w:val="Default"/>
        <w:rPr>
          <w:sz w:val="20"/>
          <w:szCs w:val="20"/>
        </w:rPr>
      </w:pPr>
    </w:p>
    <w:p w:rsidR="00B837FF" w:rsidRDefault="00B837FF" w:rsidP="00B837FF">
      <w:pPr>
        <w:pStyle w:val="Default"/>
        <w:rPr>
          <w:sz w:val="20"/>
          <w:szCs w:val="20"/>
        </w:rPr>
      </w:pPr>
      <w:r>
        <w:rPr>
          <w:sz w:val="20"/>
          <w:szCs w:val="20"/>
        </w:rPr>
        <w:t xml:space="preserve">5. Os documentos referentes à comprovação dos títulos para fins de merecimento deverão ser obrigatoriamente remetidos juntamente com requerimento de remessa de documentos, escrito e assinado pelo Procurador da Fazenda Nacional, no prazo fixado no item 1. </w:t>
      </w:r>
    </w:p>
    <w:p w:rsidR="00B837FF" w:rsidRDefault="00B837FF" w:rsidP="00B837FF">
      <w:pPr>
        <w:pStyle w:val="Default"/>
        <w:rPr>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5.1 O requerimento de que trata o item 5 será gerado automaticamente pelo sistema </w:t>
      </w:r>
      <w:proofErr w:type="spellStart"/>
      <w:r>
        <w:rPr>
          <w:rFonts w:cstheme="minorBidi"/>
          <w:color w:val="auto"/>
          <w:sz w:val="20"/>
          <w:szCs w:val="20"/>
        </w:rPr>
        <w:t>AGUPromoções</w:t>
      </w:r>
      <w:proofErr w:type="spellEnd"/>
      <w:r>
        <w:rPr>
          <w:rFonts w:cstheme="minorBidi"/>
          <w:color w:val="auto"/>
          <w:sz w:val="20"/>
          <w:szCs w:val="20"/>
        </w:rPr>
        <w:t>, após o registro eletrônico dos títulos novos, devendo o candidato indicar qual (</w:t>
      </w:r>
      <w:proofErr w:type="spellStart"/>
      <w:r>
        <w:rPr>
          <w:rFonts w:cstheme="minorBidi"/>
          <w:color w:val="auto"/>
          <w:sz w:val="20"/>
          <w:szCs w:val="20"/>
        </w:rPr>
        <w:t>is</w:t>
      </w:r>
      <w:proofErr w:type="spellEnd"/>
      <w:r>
        <w:rPr>
          <w:rFonts w:cstheme="minorBidi"/>
          <w:color w:val="auto"/>
          <w:sz w:val="20"/>
          <w:szCs w:val="20"/>
        </w:rPr>
        <w:t xml:space="preserve">) título(s) novos e/ou antigos pretende utilizar para fins de promoção por merecimento.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5.2 Fica dispensado o envio apenas dos documentos comprobatórios, de que trata o item 5, cujas informações já constem do sistema de promoções, sendo de responsabilidade do candidato verificar a compatibilidade de possível reclassificação realizada automaticamente pelo sistema de promoções, para adequação às alterações realizadas na Resolução nº 11/CSAGU, de 2008.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5.3 Na hipótese de não inserção de novos títulos no sistema, é obrigatória a apresentação, no prazo fixado no item 1, de requerimento atual elaborado conforme modelo disposto no Anexo III, para que o título já registrado pelo </w:t>
      </w:r>
      <w:r>
        <w:rPr>
          <w:rFonts w:cstheme="minorBidi"/>
          <w:color w:val="auto"/>
          <w:sz w:val="20"/>
          <w:szCs w:val="20"/>
        </w:rPr>
        <w:lastRenderedPageBreak/>
        <w:t xml:space="preserve">candidato (título antigo) em processamentos anteriores seja apreciado pela Comissão de Promoção, independentemente de constarem dos assentamentos funcionais do Procurador da Fazenda Nacional ou estarem registrados no sistema de promoções.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6. Constatado equívoco ou falta de informações no sistema de promoções, o candidato deverá solicitar, no próprio sistema, a revisão ou complementação de seus dados, considerando-se, para os fins da promoção de que trata este Edital, apenas as solicitações efetuadas até o término do prazo previsto no item 1, mediante requerimento escrito e assinado. </w:t>
      </w:r>
    </w:p>
    <w:p w:rsidR="00B837FF" w:rsidRDefault="00B837FF" w:rsidP="00B837FF">
      <w:pPr>
        <w:pStyle w:val="Default"/>
        <w:rPr>
          <w:rFonts w:cstheme="minorBidi"/>
          <w:color w:val="auto"/>
          <w:sz w:val="20"/>
          <w:szCs w:val="20"/>
        </w:rPr>
      </w:pPr>
    </w:p>
    <w:p w:rsidR="00B837FF" w:rsidRDefault="00B837FF" w:rsidP="00B837FF">
      <w:pPr>
        <w:pStyle w:val="Default"/>
        <w:rPr>
          <w:color w:val="auto"/>
          <w:sz w:val="20"/>
          <w:szCs w:val="20"/>
        </w:rPr>
      </w:pPr>
      <w:r>
        <w:rPr>
          <w:rFonts w:cstheme="minorBidi"/>
          <w:color w:val="auto"/>
          <w:sz w:val="20"/>
          <w:szCs w:val="20"/>
        </w:rPr>
        <w:t xml:space="preserve">7. O requerimento e a documentação referidos no item 5, nos subitens 5.1 a 5.3, e no item 6, devem ser encaminhados mediante o sistema e-processo, em formato de dossiê para a Unidade de Destino “DF DGC DAE </w:t>
      </w:r>
      <w:r>
        <w:rPr>
          <w:rFonts w:ascii="Arial" w:hAnsi="Arial" w:cs="Arial"/>
          <w:color w:val="auto"/>
          <w:sz w:val="20"/>
          <w:szCs w:val="20"/>
        </w:rPr>
        <w:t xml:space="preserve">→ </w:t>
      </w:r>
      <w:r>
        <w:rPr>
          <w:color w:val="auto"/>
          <w:sz w:val="20"/>
          <w:szCs w:val="20"/>
        </w:rPr>
        <w:t xml:space="preserve">PROMOÇÃO DAE DGC – 2013.2 </w:t>
      </w:r>
      <w:r>
        <w:rPr>
          <w:rFonts w:ascii="Arial" w:hAnsi="Arial" w:cs="Arial"/>
          <w:color w:val="auto"/>
          <w:sz w:val="20"/>
          <w:szCs w:val="20"/>
        </w:rPr>
        <w:t xml:space="preserve">→ </w:t>
      </w:r>
      <w:r>
        <w:rPr>
          <w:color w:val="auto"/>
          <w:sz w:val="20"/>
          <w:szCs w:val="20"/>
        </w:rPr>
        <w:t xml:space="preserve">PROMOÇÃO DAE DGC </w:t>
      </w:r>
      <w:r>
        <w:rPr>
          <w:rFonts w:ascii="Arial" w:hAnsi="Arial" w:cs="Arial"/>
          <w:color w:val="auto"/>
          <w:sz w:val="20"/>
          <w:szCs w:val="20"/>
        </w:rPr>
        <w:t xml:space="preserve">→ </w:t>
      </w:r>
      <w:r>
        <w:rPr>
          <w:color w:val="auto"/>
          <w:sz w:val="20"/>
          <w:szCs w:val="20"/>
        </w:rPr>
        <w:t xml:space="preserve">Receber processo - triagem” </w:t>
      </w:r>
    </w:p>
    <w:p w:rsidR="00B837FF" w:rsidRDefault="00B837FF" w:rsidP="00B837FF">
      <w:pPr>
        <w:pStyle w:val="Default"/>
        <w:rPr>
          <w:color w:val="auto"/>
          <w:sz w:val="20"/>
          <w:szCs w:val="20"/>
        </w:rPr>
      </w:pPr>
    </w:p>
    <w:p w:rsidR="00B837FF" w:rsidRDefault="00B837FF" w:rsidP="00B837FF">
      <w:pPr>
        <w:pStyle w:val="Default"/>
        <w:rPr>
          <w:color w:val="auto"/>
          <w:sz w:val="20"/>
          <w:szCs w:val="20"/>
        </w:rPr>
      </w:pPr>
      <w:r>
        <w:rPr>
          <w:color w:val="auto"/>
          <w:sz w:val="20"/>
          <w:szCs w:val="20"/>
        </w:rPr>
        <w:t xml:space="preserve">7.1 Para a comprovação dos pontos referentes às publicações de obra individual em formato livro é imprescindível, além do envio da capa e primeira e última folhas digitalizadas mediante o sistema e-processo, a remessa de cópia da integralidade da obra em envelope devidamente lacrado com o título "Procuradores da Fazenda Nacional/Promoções", mediante recibo, diretamente no Protocolo Central da PGFN, localizado no Edifício Sede do Ministério da Fazenda, 8º andar ou via "Encomenda Expressa - SEDEX", da Empresa Brasileira de Correios e Telégrafos - ECT, em um único envelope assim endereçado: </w:t>
      </w:r>
    </w:p>
    <w:p w:rsidR="00B837FF" w:rsidRDefault="00B837FF" w:rsidP="00B837FF">
      <w:pPr>
        <w:pStyle w:val="Default"/>
        <w:rPr>
          <w:color w:val="auto"/>
          <w:sz w:val="20"/>
          <w:szCs w:val="20"/>
        </w:rPr>
      </w:pPr>
      <w:r>
        <w:rPr>
          <w:color w:val="auto"/>
          <w:sz w:val="20"/>
          <w:szCs w:val="20"/>
        </w:rPr>
        <w:t xml:space="preserve">Procuradores da Fazenda Nacional/Promoções </w:t>
      </w:r>
    </w:p>
    <w:p w:rsidR="00B837FF" w:rsidRDefault="00B837FF" w:rsidP="00B837FF">
      <w:pPr>
        <w:pStyle w:val="Default"/>
        <w:rPr>
          <w:color w:val="auto"/>
          <w:sz w:val="20"/>
          <w:szCs w:val="20"/>
        </w:rPr>
      </w:pPr>
      <w:r>
        <w:rPr>
          <w:color w:val="auto"/>
          <w:sz w:val="20"/>
          <w:szCs w:val="20"/>
        </w:rPr>
        <w:t xml:space="preserve">Comissão de Promoção da PGFN </w:t>
      </w:r>
    </w:p>
    <w:p w:rsidR="00B837FF" w:rsidRDefault="00B837FF" w:rsidP="00B837FF">
      <w:pPr>
        <w:pStyle w:val="Default"/>
        <w:rPr>
          <w:color w:val="auto"/>
          <w:sz w:val="20"/>
          <w:szCs w:val="20"/>
        </w:rPr>
      </w:pPr>
      <w:r>
        <w:rPr>
          <w:color w:val="auto"/>
          <w:sz w:val="20"/>
          <w:szCs w:val="20"/>
        </w:rPr>
        <w:t xml:space="preserve">Esplanada dos Ministérios </w:t>
      </w:r>
    </w:p>
    <w:p w:rsidR="00B837FF" w:rsidRDefault="00B837FF" w:rsidP="00B837FF">
      <w:pPr>
        <w:pStyle w:val="Default"/>
        <w:rPr>
          <w:color w:val="auto"/>
          <w:sz w:val="20"/>
          <w:szCs w:val="20"/>
        </w:rPr>
      </w:pPr>
      <w:r>
        <w:rPr>
          <w:color w:val="auto"/>
          <w:sz w:val="20"/>
          <w:szCs w:val="20"/>
        </w:rPr>
        <w:t xml:space="preserve">Edifício Sede do Ministério da Fazenda, Bloco P, 8º andar, Sala 807 </w:t>
      </w:r>
    </w:p>
    <w:p w:rsidR="00B837FF" w:rsidRDefault="00B837FF" w:rsidP="00B837FF">
      <w:pPr>
        <w:pStyle w:val="Default"/>
        <w:rPr>
          <w:color w:val="auto"/>
          <w:sz w:val="20"/>
          <w:szCs w:val="20"/>
        </w:rPr>
      </w:pPr>
      <w:r>
        <w:rPr>
          <w:color w:val="auto"/>
          <w:sz w:val="20"/>
          <w:szCs w:val="20"/>
        </w:rPr>
        <w:t xml:space="preserve">CEP 70048-900 - Brasília DF </w:t>
      </w:r>
    </w:p>
    <w:p w:rsidR="00B837FF" w:rsidRDefault="00B837FF" w:rsidP="00B837FF">
      <w:pPr>
        <w:pStyle w:val="Default"/>
        <w:rPr>
          <w:color w:val="auto"/>
          <w:sz w:val="20"/>
          <w:szCs w:val="20"/>
        </w:rPr>
      </w:pPr>
    </w:p>
    <w:p w:rsidR="00B837FF" w:rsidRDefault="00B837FF" w:rsidP="00B837FF">
      <w:pPr>
        <w:pStyle w:val="Default"/>
        <w:rPr>
          <w:rFonts w:cstheme="minorBidi"/>
          <w:color w:val="auto"/>
          <w:sz w:val="20"/>
          <w:szCs w:val="20"/>
        </w:rPr>
      </w:pPr>
      <w:r>
        <w:rPr>
          <w:color w:val="auto"/>
          <w:sz w:val="20"/>
          <w:szCs w:val="20"/>
        </w:rPr>
        <w:t xml:space="preserve">7.2 Para a comprovação dos pontos referentes à publicação de artigo em obra coletiva, deve o candidato enviar, pelo sistema e-processo, a capa, os dados bibliográficos e o sumário da publicação, juntamente com o artigo de sua autoria. </w:t>
      </w:r>
      <w:r>
        <w:rPr>
          <w:rFonts w:cstheme="minorBidi"/>
          <w:color w:val="auto"/>
          <w:sz w:val="20"/>
          <w:szCs w:val="20"/>
        </w:rPr>
        <w:t xml:space="preserve">8. Apreciados os documentos e requerimentos enviados pelos candidatos, a Comissão de Promoção determinará, no sistema de promoções, o processamento das listas de promoção, conferirá sua adequação e as remeterá à consideração do Conselho Superior, para análise e posterior publicação das listas provisórias no Boletim de Serviço.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9. As listas de promoção objeto deste Edital serão elaboradas de uma só vez, considerando-se, na apuração da antiguidade e do merecimento, a repercussão determinada pelo resultado da promoção antecedente, observando-se, ainda, o seguinte: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9.1 os cargos vagos devem ser providos um a um, atendidos, alternadamente, os critérios de antiguidade e de merecimento, em cada categoria; e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9.2 o primeiro critério a ser atendido deve ser o de antiguidade, salvo se a última promoção de membro da carreira de Procurador da Fazenda Nacional, na categoria, tenha sido realizada por esse critério, hipótese em que se iniciará pelo critério de merecimento.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10. Para fins de apuração por merecimento, o sistema de promoções considerará apenas os títulos minimamente necessários para garantir a promoção do interessado, vedado o fracionamento da pontuação de um mesmo título, atendido o § 3º do art. 12 da Resolução nº 11, de 2008.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10.1 Os títulos efetivamente utilizados pelo candidato promovido por merecimento não poderão ser reaproveitados em promoções posteriores. </w:t>
      </w:r>
    </w:p>
    <w:p w:rsidR="00B837FF" w:rsidRDefault="00B837FF" w:rsidP="00B837FF">
      <w:pPr>
        <w:pStyle w:val="Default"/>
        <w:rPr>
          <w:rFonts w:cstheme="minorBidi"/>
          <w:color w:val="auto"/>
          <w:sz w:val="20"/>
          <w:szCs w:val="20"/>
        </w:rPr>
      </w:pPr>
      <w:r>
        <w:rPr>
          <w:rFonts w:cstheme="minorBidi"/>
          <w:color w:val="auto"/>
          <w:sz w:val="20"/>
          <w:szCs w:val="20"/>
        </w:rPr>
        <w:lastRenderedPageBreak/>
        <w:t>10.2 Havendo mais de uma combinação possível de títulos a utilizar, o candidato será instado a indicar, antes da homologação do resultado final, por meio do sistema de promoções, qual(</w:t>
      </w:r>
      <w:proofErr w:type="spellStart"/>
      <w:r>
        <w:rPr>
          <w:rFonts w:cstheme="minorBidi"/>
          <w:color w:val="auto"/>
          <w:sz w:val="20"/>
          <w:szCs w:val="20"/>
        </w:rPr>
        <w:t>is</w:t>
      </w:r>
      <w:proofErr w:type="spellEnd"/>
      <w:r>
        <w:rPr>
          <w:rFonts w:cstheme="minorBidi"/>
          <w:color w:val="auto"/>
          <w:sz w:val="20"/>
          <w:szCs w:val="20"/>
        </w:rPr>
        <w:t xml:space="preserve">) do(s) seu(s) título(s) pretende ver utilizado(s), no prazo de 5 (cinco) dias úteis.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10.3 Esgotado o prazo do subitem 10.2 sem manifestação do interessado, serão utilizados os títulos mais antigos.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11. Na comprovação de fatos para fins de apuração de antiguidade e de merecimento, observar-se-á as disposições constantes no Decreto n.º 7.737, de 25 de maio de 2012.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12. Do resultado da classificação nas listas provisórias caberá recurso ao Conselho Superior, no prazo de 5 (cinco) dias úteis, excluído o da publicação, que deverá ser interposto por meio do sistema de promoções, além de apresentado, no mesmo prazo, através do e-processo, com a solicitação de juntada deste recurso ao dossiê anteriormente formado.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13. Após o julgamento dos recursos, as listas definitivas serão homologadas pelo Conselho Superior e encaminhadas ao Advogado-Geral da União e ao Ministro de Estado da Fazenda, para efetivação dos respectivos atos de promoção.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14. Compete aos candidatos manter atualizados os endereços de e-mail destinados ao recebimento de notificações automáticas do sistema de promoções.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14.1 Independente da providência de que trata o item 14, a Coordenação de Gestão de Pessoas da PGFN ou a Comissão de Promoção expedirá comunicados para divulgar a publicação das listas e demais fases do concurso de promoção.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15. As condições de elegibilidade e os critérios de antiguidade e de merecimento, para o período de avaliação referido no item, são os constantes do Anexo II deste Edital, considerada a norma vigente no respectivo período. </w:t>
      </w:r>
    </w:p>
    <w:p w:rsidR="00B837FF" w:rsidRDefault="00B837FF" w:rsidP="00B837FF">
      <w:pPr>
        <w:pStyle w:val="Default"/>
        <w:rPr>
          <w:rFonts w:cstheme="minorBidi"/>
          <w:color w:val="auto"/>
          <w:sz w:val="20"/>
          <w:szCs w:val="20"/>
        </w:rPr>
      </w:pPr>
    </w:p>
    <w:p w:rsidR="00B837FF" w:rsidRDefault="00B837FF" w:rsidP="00B837FF">
      <w:pPr>
        <w:pStyle w:val="Default"/>
        <w:rPr>
          <w:rFonts w:cstheme="minorBidi"/>
          <w:color w:val="auto"/>
          <w:sz w:val="20"/>
          <w:szCs w:val="20"/>
        </w:rPr>
      </w:pPr>
      <w:r>
        <w:rPr>
          <w:rFonts w:cstheme="minorBidi"/>
          <w:color w:val="auto"/>
          <w:sz w:val="20"/>
          <w:szCs w:val="20"/>
        </w:rPr>
        <w:t xml:space="preserve">16. Eventuais dúvidas na execução dos procedimentos determinados neste Edital serão dirimidas pelo Conselho Superior. </w:t>
      </w:r>
    </w:p>
    <w:p w:rsidR="00B837FF" w:rsidRDefault="00B837FF" w:rsidP="00B837FF">
      <w:pPr>
        <w:pStyle w:val="Default"/>
        <w:rPr>
          <w:rFonts w:cstheme="minorBidi"/>
          <w:color w:val="auto"/>
          <w:sz w:val="20"/>
          <w:szCs w:val="20"/>
        </w:rPr>
      </w:pPr>
    </w:p>
    <w:p w:rsidR="00BB0DE4" w:rsidRDefault="00B837FF" w:rsidP="00B837FF">
      <w:r>
        <w:rPr>
          <w:sz w:val="20"/>
          <w:szCs w:val="20"/>
        </w:rPr>
        <w:t>LUÍS INÁCIO LUCENA ADAMS</w:t>
      </w:r>
    </w:p>
    <w:sectPr w:rsidR="00BB0D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cofont_Spranq_eco_Sans">
    <w:altName w:val="Ecofont"/>
    <w:panose1 w:val="020B0603030804020204"/>
    <w:charset w:val="00"/>
    <w:family w:val="swiss"/>
    <w:pitch w:val="variable"/>
    <w:sig w:usb0="800000AF" w:usb1="1000204A"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FF"/>
    <w:rsid w:val="00B837FF"/>
    <w:rsid w:val="00BB0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B611C-1460-4930-B82B-83FBE477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837FF"/>
    <w:pPr>
      <w:autoSpaceDE w:val="0"/>
      <w:autoSpaceDN w:val="0"/>
      <w:adjustRightInd w:val="0"/>
      <w:spacing w:after="0" w:line="240" w:lineRule="auto"/>
    </w:pPr>
    <w:rPr>
      <w:rFonts w:ascii="Ecofont_Spranq_eco_Sans" w:hAnsi="Ecofont_Spranq_eco_Sans" w:cs="Ecofont_Spranq_eco_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1323</Words>
  <Characters>7149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 Amorim Fernandes</dc:creator>
  <cp:keywords/>
  <dc:description/>
  <cp:lastModifiedBy>Elizete Amorim Fernandes</cp:lastModifiedBy>
  <cp:revision>1</cp:revision>
  <dcterms:created xsi:type="dcterms:W3CDTF">2014-04-14T14:26:00Z</dcterms:created>
  <dcterms:modified xsi:type="dcterms:W3CDTF">2014-04-14T14:36:00Z</dcterms:modified>
</cp:coreProperties>
</file>