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544DB" w14:textId="77777777" w:rsidR="00864D51" w:rsidRPr="00562A0F" w:rsidRDefault="00864D51" w:rsidP="00297ABB">
      <w:pPr>
        <w:spacing w:after="240" w:line="240" w:lineRule="auto"/>
        <w:jc w:val="center"/>
        <w:rPr>
          <w:rFonts w:ascii="Times New Roman" w:hAnsi="Times New Roman"/>
          <w:b/>
          <w:bCs/>
          <w:u w:val="single"/>
        </w:rPr>
      </w:pPr>
      <w:r w:rsidRPr="00562A0F">
        <w:rPr>
          <w:rFonts w:ascii="Times New Roman" w:hAnsi="Times New Roman"/>
          <w:b/>
          <w:bCs/>
          <w:u w:val="single"/>
        </w:rPr>
        <w:t>TERMO DE JUSTIFICATIVAS TÉCNICAS RELEVANTES</w:t>
      </w:r>
    </w:p>
    <w:p w14:paraId="5D8F4FE3" w14:textId="77777777" w:rsidR="00864D51" w:rsidRPr="00562A0F" w:rsidRDefault="00864D51" w:rsidP="00297ABB">
      <w:pPr>
        <w:spacing w:after="240" w:line="240" w:lineRule="auto"/>
        <w:jc w:val="both"/>
        <w:rPr>
          <w:rFonts w:ascii="Times New Roman" w:hAnsi="Times New Roman"/>
        </w:rPr>
      </w:pPr>
    </w:p>
    <w:p w14:paraId="5DF8987F" w14:textId="77777777" w:rsidR="00864D51" w:rsidRPr="00562A0F" w:rsidRDefault="00864D51" w:rsidP="00297ABB">
      <w:pPr>
        <w:spacing w:after="240" w:line="240" w:lineRule="auto"/>
        <w:jc w:val="both"/>
        <w:rPr>
          <w:rFonts w:ascii="Times New Roman" w:hAnsi="Times New Roman"/>
        </w:rPr>
      </w:pPr>
      <w:r w:rsidRPr="00562A0F">
        <w:rPr>
          <w:rFonts w:ascii="Times New Roman" w:hAnsi="Times New Roman"/>
        </w:rPr>
        <w:t>NUP Nº ___________________________</w:t>
      </w:r>
    </w:p>
    <w:p w14:paraId="24FF2298" w14:textId="77777777" w:rsidR="00864D51" w:rsidRPr="00562A0F" w:rsidRDefault="00864D51" w:rsidP="00297ABB">
      <w:pPr>
        <w:spacing w:after="240" w:line="240" w:lineRule="auto"/>
        <w:jc w:val="both"/>
        <w:rPr>
          <w:rFonts w:ascii="Times New Roman" w:hAnsi="Times New Roman"/>
        </w:rPr>
      </w:pPr>
      <w:r w:rsidRPr="00562A0F">
        <w:rPr>
          <w:rFonts w:ascii="Times New Roman" w:hAnsi="Times New Roman"/>
        </w:rPr>
        <w:t xml:space="preserve">OBJETO: </w:t>
      </w:r>
    </w:p>
    <w:p w14:paraId="6ADEEE9E" w14:textId="77777777" w:rsidR="00864D51" w:rsidRPr="00562A0F" w:rsidRDefault="00864D51" w:rsidP="00297ABB">
      <w:pPr>
        <w:spacing w:after="240" w:line="240" w:lineRule="auto"/>
        <w:jc w:val="both"/>
        <w:rPr>
          <w:rFonts w:ascii="Times New Roman" w:hAnsi="Times New Roman"/>
        </w:rPr>
      </w:pPr>
      <w:r w:rsidRPr="00562A0F">
        <w:rPr>
          <w:rFonts w:ascii="Times New Roman" w:hAnsi="Times New Roman"/>
        </w:rPr>
        <w:t>-------------------------------------------------------------------------------------------------------------------------------------------------------------------------------------------------------------------------------------------------------------------------------------------------------------------------------------------------------------------------------------------------------------------------------------------------------------------------------------------------------------------------------------------------------------------------------------</w:t>
      </w:r>
      <w:r w:rsidR="008F133B" w:rsidRPr="00562A0F">
        <w:rPr>
          <w:rFonts w:ascii="Times New Roman" w:hAnsi="Times New Roman"/>
        </w:rPr>
        <w:t>----------------------------------------------------------------------</w:t>
      </w:r>
    </w:p>
    <w:p w14:paraId="05751598" w14:textId="77777777" w:rsidR="00864D51" w:rsidRPr="00562A0F" w:rsidRDefault="00864D51" w:rsidP="00297ABB">
      <w:pPr>
        <w:spacing w:after="240" w:line="240" w:lineRule="auto"/>
        <w:jc w:val="both"/>
        <w:rPr>
          <w:rFonts w:ascii="Times New Roman" w:hAnsi="Times New Roman"/>
        </w:rPr>
      </w:pPr>
    </w:p>
    <w:p w14:paraId="4962B19B" w14:textId="31D077E6" w:rsidR="00CE6DBD" w:rsidRPr="005B2CE9" w:rsidRDefault="00864D51" w:rsidP="00297ABB">
      <w:pPr>
        <w:spacing w:after="240" w:line="240" w:lineRule="auto"/>
        <w:jc w:val="both"/>
        <w:rPr>
          <w:rFonts w:ascii="Times New Roman" w:hAnsi="Times New Roman"/>
        </w:rPr>
      </w:pPr>
      <w:r w:rsidRPr="005B2CE9">
        <w:rPr>
          <w:rFonts w:ascii="Times New Roman" w:hAnsi="Times New Roman"/>
          <w:u w:val="single"/>
        </w:rPr>
        <w:t>OBSERVAÇÃO</w:t>
      </w:r>
      <w:r w:rsidRPr="005B2CE9">
        <w:rPr>
          <w:rFonts w:ascii="Times New Roman" w:hAnsi="Times New Roman"/>
        </w:rPr>
        <w:t>: O</w:t>
      </w:r>
      <w:r w:rsidR="007D6997" w:rsidRPr="005B2CE9">
        <w:rPr>
          <w:rFonts w:ascii="Times New Roman" w:hAnsi="Times New Roman"/>
        </w:rPr>
        <w:t>s tópicos 1 a 1</w:t>
      </w:r>
      <w:r w:rsidR="00B81F10" w:rsidRPr="005B2CE9">
        <w:rPr>
          <w:rFonts w:ascii="Times New Roman" w:hAnsi="Times New Roman"/>
        </w:rPr>
        <w:t>7</w:t>
      </w:r>
      <w:r w:rsidR="007D6997" w:rsidRPr="005B2CE9">
        <w:rPr>
          <w:rFonts w:ascii="Times New Roman" w:hAnsi="Times New Roman"/>
        </w:rPr>
        <w:t xml:space="preserve"> do</w:t>
      </w:r>
      <w:r w:rsidRPr="005B2CE9">
        <w:rPr>
          <w:rFonts w:ascii="Times New Roman" w:hAnsi="Times New Roman"/>
        </w:rPr>
        <w:t xml:space="preserve"> presente Termo deve</w:t>
      </w:r>
      <w:r w:rsidR="007D6997" w:rsidRPr="005B2CE9">
        <w:rPr>
          <w:rFonts w:ascii="Times New Roman" w:hAnsi="Times New Roman"/>
        </w:rPr>
        <w:t>m</w:t>
      </w:r>
      <w:r w:rsidRPr="005B2CE9">
        <w:rPr>
          <w:rFonts w:ascii="Times New Roman" w:hAnsi="Times New Roman"/>
        </w:rPr>
        <w:t xml:space="preserve"> ser analisado</w:t>
      </w:r>
      <w:r w:rsidR="007D6997" w:rsidRPr="005B2CE9">
        <w:rPr>
          <w:rFonts w:ascii="Times New Roman" w:hAnsi="Times New Roman"/>
        </w:rPr>
        <w:t>s</w:t>
      </w:r>
      <w:r w:rsidRPr="005B2CE9">
        <w:rPr>
          <w:rFonts w:ascii="Times New Roman" w:hAnsi="Times New Roman"/>
        </w:rPr>
        <w:t>, preenchido</w:t>
      </w:r>
      <w:r w:rsidR="007D6997" w:rsidRPr="005B2CE9">
        <w:rPr>
          <w:rFonts w:ascii="Times New Roman" w:hAnsi="Times New Roman"/>
        </w:rPr>
        <w:t>s</w:t>
      </w:r>
      <w:r w:rsidRPr="005B2CE9">
        <w:rPr>
          <w:rFonts w:ascii="Times New Roman" w:hAnsi="Times New Roman"/>
        </w:rPr>
        <w:t xml:space="preserve"> e assinado</w:t>
      </w:r>
      <w:r w:rsidR="007D6997" w:rsidRPr="005B2CE9">
        <w:rPr>
          <w:rFonts w:ascii="Times New Roman" w:hAnsi="Times New Roman"/>
        </w:rPr>
        <w:t>s</w:t>
      </w:r>
      <w:r w:rsidRPr="005B2CE9">
        <w:rPr>
          <w:rFonts w:ascii="Times New Roman" w:hAnsi="Times New Roman"/>
        </w:rPr>
        <w:t xml:space="preserve"> por profissional habilitado, de acordo com as competências atribuídas pela Lei nº 5.194, de 1966 e as Resoluções do Conselho Federal de Engenharia e Agricultura – CONFEA</w:t>
      </w:r>
      <w:r w:rsidR="00CE6DBD" w:rsidRPr="005B2CE9">
        <w:rPr>
          <w:rFonts w:ascii="Times New Roman" w:hAnsi="Times New Roman"/>
        </w:rPr>
        <w:t xml:space="preserve">, </w:t>
      </w:r>
      <w:r w:rsidR="00306D6B" w:rsidRPr="005B2CE9">
        <w:rPr>
          <w:rFonts w:ascii="Times New Roman" w:hAnsi="Times New Roman"/>
        </w:rPr>
        <w:t xml:space="preserve">Lei n. 12.378, de 2010 e as Resoluções do </w:t>
      </w:r>
      <w:r w:rsidR="00EF41D0" w:rsidRPr="005B2CE9">
        <w:rPr>
          <w:rFonts w:ascii="Times New Roman" w:hAnsi="Times New Roman"/>
        </w:rPr>
        <w:t xml:space="preserve">Conselho de Arquitetura e Urbanismo </w:t>
      </w:r>
      <w:r w:rsidR="00CB727C" w:rsidRPr="005B2CE9">
        <w:rPr>
          <w:rFonts w:ascii="Times New Roman" w:hAnsi="Times New Roman"/>
        </w:rPr>
        <w:t xml:space="preserve">– </w:t>
      </w:r>
      <w:r w:rsidR="00EF41D0" w:rsidRPr="005B2CE9">
        <w:rPr>
          <w:rFonts w:ascii="Times New Roman" w:hAnsi="Times New Roman"/>
        </w:rPr>
        <w:t>CAU</w:t>
      </w:r>
      <w:r w:rsidR="00CB727C" w:rsidRPr="005B2CE9">
        <w:rPr>
          <w:rFonts w:ascii="Times New Roman" w:hAnsi="Times New Roman"/>
        </w:rPr>
        <w:t>,</w:t>
      </w:r>
      <w:r w:rsidR="00EF41D0" w:rsidRPr="005B2CE9">
        <w:rPr>
          <w:rFonts w:ascii="Times New Roman" w:hAnsi="Times New Roman"/>
        </w:rPr>
        <w:t xml:space="preserve"> </w:t>
      </w:r>
      <w:r w:rsidR="00306D6B" w:rsidRPr="005B2CE9">
        <w:rPr>
          <w:rFonts w:ascii="Times New Roman" w:hAnsi="Times New Roman"/>
        </w:rPr>
        <w:t>ou</w:t>
      </w:r>
      <w:r w:rsidR="00CE6DBD" w:rsidRPr="005B2CE9">
        <w:rPr>
          <w:rFonts w:ascii="Times New Roman" w:hAnsi="Times New Roman"/>
        </w:rPr>
        <w:t xml:space="preserve"> </w:t>
      </w:r>
      <w:r w:rsidR="00B660AA" w:rsidRPr="005B2CE9">
        <w:rPr>
          <w:rFonts w:ascii="Times New Roman" w:hAnsi="Times New Roman"/>
        </w:rPr>
        <w:t xml:space="preserve">pela </w:t>
      </w:r>
      <w:r w:rsidR="00B660AA" w:rsidRPr="005B2CE9">
        <w:rPr>
          <w:rFonts w:ascii="Times New Roman" w:hAnsi="Times New Roman"/>
          <w:bCs/>
          <w:szCs w:val="20"/>
          <w:lang w:eastAsia="ar-SA"/>
        </w:rPr>
        <w:t>Lei n</w:t>
      </w:r>
      <w:r w:rsidR="00B660AA" w:rsidRPr="005B2CE9">
        <w:rPr>
          <w:rFonts w:ascii="Times New Roman" w:hAnsi="Times New Roman"/>
          <w:bCs/>
          <w:strike/>
          <w:szCs w:val="20"/>
          <w:lang w:eastAsia="ar-SA"/>
        </w:rPr>
        <w:t>°</w:t>
      </w:r>
      <w:r w:rsidR="00B660AA" w:rsidRPr="005B2CE9">
        <w:rPr>
          <w:rFonts w:ascii="Times New Roman" w:hAnsi="Times New Roman"/>
          <w:bCs/>
          <w:szCs w:val="20"/>
          <w:lang w:eastAsia="ar-SA"/>
        </w:rPr>
        <w:t xml:space="preserve"> 13.639, de 2018, e a</w:t>
      </w:r>
      <w:r w:rsidR="00880EE9" w:rsidRPr="005B2CE9">
        <w:rPr>
          <w:rFonts w:ascii="Times New Roman" w:hAnsi="Times New Roman"/>
          <w:bCs/>
          <w:szCs w:val="20"/>
          <w:lang w:eastAsia="ar-SA"/>
        </w:rPr>
        <w:t>s</w:t>
      </w:r>
      <w:r w:rsidR="00B660AA" w:rsidRPr="005B2CE9">
        <w:rPr>
          <w:rFonts w:ascii="Times New Roman" w:hAnsi="Times New Roman"/>
          <w:bCs/>
          <w:szCs w:val="20"/>
          <w:lang w:eastAsia="ar-SA"/>
        </w:rPr>
        <w:t xml:space="preserve"> Resoluç</w:t>
      </w:r>
      <w:r w:rsidR="00880EE9" w:rsidRPr="005B2CE9">
        <w:rPr>
          <w:rFonts w:ascii="Times New Roman" w:hAnsi="Times New Roman"/>
          <w:bCs/>
          <w:szCs w:val="20"/>
          <w:lang w:eastAsia="ar-SA"/>
        </w:rPr>
        <w:t>ões do Conselho Federal dos Técnicos Industriais – CFT</w:t>
      </w:r>
      <w:r w:rsidR="00F77350" w:rsidRPr="005B2CE9">
        <w:rPr>
          <w:rFonts w:ascii="Times New Roman" w:hAnsi="Times New Roman"/>
          <w:bCs/>
          <w:szCs w:val="20"/>
          <w:lang w:eastAsia="ar-SA"/>
        </w:rPr>
        <w:t>.</w:t>
      </w:r>
    </w:p>
    <w:p w14:paraId="5AEC5E55" w14:textId="77777777" w:rsidR="00CE6DBD" w:rsidRPr="00562A0F" w:rsidRDefault="00CE6DBD" w:rsidP="00297ABB">
      <w:pPr>
        <w:spacing w:after="240" w:line="240" w:lineRule="auto"/>
        <w:jc w:val="both"/>
        <w:rPr>
          <w:rFonts w:ascii="Times New Roman" w:hAnsi="Times New Roman"/>
        </w:rPr>
      </w:pPr>
    </w:p>
    <w:p w14:paraId="7409835D" w14:textId="77777777" w:rsidR="00DA1480" w:rsidRDefault="00DA1480" w:rsidP="00DA1480">
      <w:pPr>
        <w:pStyle w:val="PargrafodaLista"/>
        <w:spacing w:after="240" w:line="240" w:lineRule="auto"/>
        <w:ind w:left="360"/>
        <w:jc w:val="both"/>
        <w:rPr>
          <w:rFonts w:ascii="Times New Roman" w:hAnsi="Times New Roman"/>
          <w:b/>
          <w:bCs/>
          <w:u w:val="single"/>
        </w:rPr>
      </w:pPr>
    </w:p>
    <w:p w14:paraId="1C76A7D8" w14:textId="1B5907F9" w:rsidR="00222F8F"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ENQUADRAMENTO DO OBJETO</w:t>
      </w:r>
    </w:p>
    <w:p w14:paraId="0F11C32B" w14:textId="77777777" w:rsidR="00331A04" w:rsidRPr="00562A0F" w:rsidRDefault="00331A04" w:rsidP="00297ABB">
      <w:pPr>
        <w:pStyle w:val="PargrafodaLista"/>
        <w:spacing w:after="240" w:line="240" w:lineRule="auto"/>
        <w:ind w:left="360"/>
        <w:jc w:val="both"/>
        <w:rPr>
          <w:rFonts w:ascii="Times New Roman" w:hAnsi="Times New Roman"/>
          <w:b/>
          <w:bCs/>
          <w:u w:val="single"/>
        </w:rPr>
      </w:pPr>
    </w:p>
    <w:p w14:paraId="3778F6DA" w14:textId="77777777" w:rsidR="00297ABB" w:rsidRPr="00562A0F" w:rsidRDefault="00864D51" w:rsidP="00297ABB">
      <w:pPr>
        <w:pStyle w:val="PargrafodaLista"/>
        <w:numPr>
          <w:ilvl w:val="1"/>
          <w:numId w:val="1"/>
        </w:numPr>
        <w:spacing w:after="240" w:line="240" w:lineRule="auto"/>
        <w:jc w:val="both"/>
        <w:rPr>
          <w:rFonts w:ascii="Times New Roman" w:hAnsi="Times New Roman"/>
          <w:b/>
          <w:bCs/>
          <w:u w:val="single"/>
        </w:rPr>
      </w:pPr>
      <w:r w:rsidRPr="00562A0F">
        <w:rPr>
          <w:rFonts w:ascii="Times New Roman" w:hAnsi="Times New Roman"/>
          <w:b/>
          <w:bCs/>
          <w:u w:val="single"/>
        </w:rPr>
        <w:t>Classificação como obra ou serviço de engenharia</w:t>
      </w:r>
    </w:p>
    <w:p w14:paraId="2256FD29" w14:textId="77777777" w:rsidR="00297ABB" w:rsidRPr="00562A0F" w:rsidRDefault="007D7E25" w:rsidP="00297ABB">
      <w:pPr>
        <w:spacing w:after="240" w:line="240" w:lineRule="auto"/>
        <w:ind w:left="360"/>
        <w:jc w:val="both"/>
        <w:rPr>
          <w:rFonts w:ascii="Times New Roman" w:hAnsi="Times New Roman"/>
          <w:b/>
          <w:bCs/>
          <w:u w:val="single"/>
        </w:rPr>
      </w:pPr>
      <w:r w:rsidRPr="00562A0F">
        <w:rPr>
          <w:rFonts w:ascii="Times New Roman" w:hAnsi="Times New Roman"/>
        </w:rPr>
        <w:t>O art. 6º, incisos I e II da Lei nº 8.666, de 1993, estabelece as definições de obras e serviços e o Manual de Obras e Serviços de Engenharia - Advocacia-Geral da União, assim explicita:</w:t>
      </w:r>
    </w:p>
    <w:p w14:paraId="7E3AC1E4" w14:textId="77777777" w:rsidR="00297ABB" w:rsidRPr="00562A0F" w:rsidRDefault="007D7E25" w:rsidP="001F7233">
      <w:pPr>
        <w:spacing w:after="240" w:line="240" w:lineRule="auto"/>
        <w:ind w:left="708"/>
        <w:jc w:val="both"/>
        <w:rPr>
          <w:rFonts w:ascii="Times New Roman" w:hAnsi="Times New Roman"/>
          <w:b/>
          <w:bCs/>
          <w:u w:val="single"/>
        </w:rPr>
      </w:pPr>
      <w:r w:rsidRPr="00562A0F">
        <w:rPr>
          <w:rFonts w:ascii="Times New Roman" w:hAnsi="Times New Roman"/>
        </w:rPr>
        <w:t xml:space="preserve">“O Parecer n. 075/2010/DECOR/CGU/AGU segue o mesmo raciocínio e propõe a seguinte solução (Item 83.4): </w:t>
      </w:r>
    </w:p>
    <w:p w14:paraId="2F2D4A48" w14:textId="77777777" w:rsidR="00297ABB" w:rsidRPr="00562A0F" w:rsidRDefault="007D7E25" w:rsidP="001F7233">
      <w:pPr>
        <w:spacing w:after="240" w:line="240" w:lineRule="auto"/>
        <w:ind w:left="708"/>
        <w:jc w:val="both"/>
        <w:rPr>
          <w:rFonts w:ascii="Times New Roman" w:hAnsi="Times New Roman"/>
          <w:b/>
          <w:bCs/>
          <w:u w:val="single"/>
        </w:rPr>
      </w:pPr>
      <w:r w:rsidRPr="00562A0F">
        <w:rPr>
          <w:rFonts w:ascii="Times New Roman" w:hAnsi="Times New Roman"/>
        </w:rPr>
        <w:t>a) Em se tratando de alteração significativa, autônoma e independente, estar-se-á adiante de obra de engenharia, vedada a adoção do pregão;</w:t>
      </w:r>
    </w:p>
    <w:p w14:paraId="778768C5" w14:textId="77777777" w:rsidR="00297ABB" w:rsidRPr="00562A0F" w:rsidRDefault="007D7E25" w:rsidP="001F7233">
      <w:pPr>
        <w:spacing w:after="240" w:line="240" w:lineRule="auto"/>
        <w:ind w:left="708"/>
        <w:jc w:val="both"/>
        <w:rPr>
          <w:rFonts w:ascii="Times New Roman" w:hAnsi="Times New Roman"/>
          <w:b/>
          <w:bCs/>
          <w:u w:val="single"/>
        </w:rPr>
      </w:pPr>
      <w:r w:rsidRPr="00562A0F">
        <w:rPr>
          <w:rFonts w:ascii="Times New Roman" w:hAnsi="Times New Roman"/>
        </w:rPr>
        <w:t>b) Em se tratando de alteração não significativa, autônoma e independente, estar-se-á adiante de serviço de engenharia, cabível a adoção do pregão;</w:t>
      </w:r>
    </w:p>
    <w:p w14:paraId="20CB4BBF" w14:textId="77777777" w:rsidR="00297ABB" w:rsidRPr="00562A0F" w:rsidRDefault="007D7E25" w:rsidP="001F7233">
      <w:pPr>
        <w:spacing w:after="240" w:line="240" w:lineRule="auto"/>
        <w:ind w:left="708"/>
        <w:jc w:val="both"/>
        <w:rPr>
          <w:rFonts w:ascii="Times New Roman" w:hAnsi="Times New Roman"/>
          <w:b/>
          <w:bCs/>
          <w:u w:val="single"/>
        </w:rPr>
      </w:pPr>
      <w:r w:rsidRPr="00562A0F">
        <w:rPr>
          <w:rFonts w:ascii="Times New Roman" w:hAnsi="Times New Roman"/>
        </w:rPr>
        <w:t xml:space="preserve">Nesse ponto, há semelhança com o conceito formulado pelo Instituto Brasileiro de Auditoria de Obras Públicas – IBRAOP, para o qual reforma consiste em alterar as características de partes de uma obra ou de seu todo, desde que mantendo as características de volume ou área sem acréscimos e a função de sua utilização atual (Orientação Técnica IBR n. 02/2009). </w:t>
      </w:r>
    </w:p>
    <w:p w14:paraId="3225B3BB" w14:textId="77777777" w:rsidR="00297ABB" w:rsidRPr="00562A0F" w:rsidRDefault="007D7E25" w:rsidP="001F7233">
      <w:pPr>
        <w:spacing w:after="240" w:line="240" w:lineRule="auto"/>
        <w:ind w:left="708"/>
        <w:jc w:val="both"/>
        <w:rPr>
          <w:rFonts w:ascii="Times New Roman" w:hAnsi="Times New Roman"/>
          <w:b/>
          <w:bCs/>
          <w:u w:val="single"/>
        </w:rPr>
      </w:pPr>
      <w:r w:rsidRPr="00562A0F">
        <w:rPr>
          <w:rFonts w:ascii="Times New Roman" w:hAnsi="Times New Roman"/>
        </w:rPr>
        <w:t>Consequentemente, serviço de engenharia é a atividade destinada a garantir a fruição de utilidade já existente ou a proporcionar a utilização de funcionalidade nova em coisa/bem material já existente. Não se cria coisa nova. Pelo contrário, o serviço consiste no conserto, na conservação, operação, reparação, adaptação ou manutenção de um bem material específico já construído ou fabricado. Ou, ainda, na instalação ou montagem de objeto em algo já existente. Objetiva-se, assim, manter-se ou aumentar-se a eficiência da utilidade a que se destina ou pode se destinar um bem perfeito e acabado.</w:t>
      </w:r>
    </w:p>
    <w:p w14:paraId="6B6CE280" w14:textId="77777777" w:rsidR="00297ABB" w:rsidRPr="00562A0F" w:rsidRDefault="007D7E25" w:rsidP="001F7233">
      <w:pPr>
        <w:spacing w:after="240" w:line="240" w:lineRule="auto"/>
        <w:ind w:left="708"/>
        <w:jc w:val="both"/>
        <w:rPr>
          <w:rFonts w:ascii="Times New Roman" w:hAnsi="Times New Roman"/>
          <w:b/>
          <w:bCs/>
          <w:u w:val="single"/>
        </w:rPr>
      </w:pPr>
      <w:r w:rsidRPr="00562A0F">
        <w:rPr>
          <w:rFonts w:ascii="Times New Roman" w:hAnsi="Times New Roman"/>
        </w:rPr>
        <w:lastRenderedPageBreak/>
        <w:t xml:space="preserve">A distinção é relevante para a escolha da modalidade licitatória cabível, vez que apenas os serviços comuns de engenharia podem e devem ser obrigatoriamente licitados por meio de pregão, de modo que o órgão técnico deverá analisar cuidadosamente as características da atividade a ser contratada a fim de corretamente caracterizá-la como obra ou serviço de engenharia e fundamentar convincentemente a decisão adotada”.  </w:t>
      </w:r>
    </w:p>
    <w:p w14:paraId="4B3A32F9" w14:textId="77777777" w:rsidR="00297ABB" w:rsidRPr="00562A0F" w:rsidRDefault="007D7E25" w:rsidP="00297ABB">
      <w:pPr>
        <w:spacing w:after="240" w:line="240" w:lineRule="auto"/>
        <w:ind w:left="360"/>
        <w:jc w:val="both"/>
        <w:rPr>
          <w:rFonts w:ascii="Times New Roman" w:hAnsi="Times New Roman"/>
          <w:b/>
          <w:bCs/>
          <w:u w:val="single"/>
        </w:rPr>
      </w:pPr>
      <w:r w:rsidRPr="00562A0F">
        <w:rPr>
          <w:rFonts w:ascii="Times New Roman" w:hAnsi="Times New Roman"/>
        </w:rPr>
        <w:t>Assim, compete ao setor técnico definir a natureza do objeto, sendo certo que as modalidades licitatórias previstas na Lei nº 8.666/93 deverão ser utilizadas sempre que o mesmo for passível de enquadramento como obra ou serviço não comum de engenharia.</w:t>
      </w:r>
    </w:p>
    <w:p w14:paraId="12C258A5" w14:textId="77777777" w:rsidR="00297ABB" w:rsidRPr="00562A0F" w:rsidRDefault="00297ABB" w:rsidP="00297ABB">
      <w:pPr>
        <w:spacing w:after="240" w:line="240" w:lineRule="auto"/>
        <w:ind w:left="360"/>
        <w:jc w:val="both"/>
        <w:rPr>
          <w:rFonts w:ascii="Times New Roman" w:hAnsi="Times New Roman"/>
          <w:b/>
          <w:bCs/>
          <w:u w:val="single"/>
        </w:rPr>
      </w:pPr>
    </w:p>
    <w:p w14:paraId="44CF71C8" w14:textId="0F49D950" w:rsidR="00297ABB" w:rsidRPr="00562A0F" w:rsidRDefault="007D7E25" w:rsidP="00297ABB">
      <w:pPr>
        <w:spacing w:after="240" w:line="240" w:lineRule="auto"/>
        <w:ind w:left="360"/>
        <w:jc w:val="both"/>
        <w:rPr>
          <w:rFonts w:ascii="Times New Roman" w:hAnsi="Times New Roman"/>
          <w:b/>
          <w:bCs/>
          <w:u w:val="single"/>
        </w:rPr>
      </w:pPr>
      <w:r w:rsidRPr="00562A0F">
        <w:rPr>
          <w:rFonts w:ascii="Times New Roman" w:hAnsi="Times New Roman"/>
          <w:b/>
          <w:bCs/>
          <w:u w:val="single"/>
        </w:rPr>
        <w:t>JUSTIFICATIVA</w:t>
      </w:r>
      <w:r w:rsidRPr="00562A0F">
        <w:rPr>
          <w:rFonts w:ascii="Times New Roman" w:hAnsi="Times New Roman"/>
        </w:rPr>
        <w:t xml:space="preserve">: O objeto da presente licitação é (   ) OBRA ou (   ) SERVIÇO DE ENGENHARIA, de acordo com as diretrizes acima e as seguintes considerações: </w:t>
      </w:r>
    </w:p>
    <w:p w14:paraId="654CD634" w14:textId="77777777" w:rsidR="007D7E25" w:rsidRPr="00562A0F" w:rsidRDefault="007D7E25" w:rsidP="00297ABB">
      <w:pPr>
        <w:spacing w:after="240" w:line="240" w:lineRule="auto"/>
        <w:ind w:left="360"/>
        <w:jc w:val="both"/>
        <w:rPr>
          <w:rFonts w:ascii="Times New Roman" w:hAnsi="Times New Roman"/>
        </w:rPr>
      </w:pPr>
      <w:r w:rsidRPr="00562A0F">
        <w:rPr>
          <w:rFonts w:ascii="Times New Roman" w:hAnsi="Times New Roman"/>
        </w:rPr>
        <w:t>-------------------------------------------------------------------------------------------------------------------------------------------------------------------------------------------------------------------------------------------------------------------------------------------------------------------------------------------------------------------------------------------------------------------------------------------------------------------------------------------------------------------------------------------------------------------------------------</w:t>
      </w:r>
      <w:r w:rsidR="00297ABB" w:rsidRPr="00562A0F">
        <w:rPr>
          <w:rFonts w:ascii="Times New Roman" w:hAnsi="Times New Roman"/>
        </w:rPr>
        <w:t>---------------------------------------------</w:t>
      </w:r>
    </w:p>
    <w:p w14:paraId="4FC26CD8" w14:textId="77777777" w:rsidR="00BD440B" w:rsidRPr="00562A0F" w:rsidRDefault="007D7E25" w:rsidP="00BD440B">
      <w:pPr>
        <w:spacing w:after="240" w:line="240" w:lineRule="auto"/>
        <w:jc w:val="both"/>
        <w:rPr>
          <w:rFonts w:ascii="Times New Roman" w:hAnsi="Times New Roman"/>
        </w:rPr>
      </w:pPr>
      <w:r w:rsidRPr="00562A0F">
        <w:rPr>
          <w:rFonts w:ascii="Times New Roman" w:hAnsi="Times New Roman"/>
          <w:u w:val="single"/>
        </w:rPr>
        <w:t>OBSERVAÇÃO</w:t>
      </w:r>
      <w:r w:rsidRPr="00562A0F">
        <w:rPr>
          <w:rFonts w:ascii="Times New Roman" w:hAnsi="Times New Roman"/>
        </w:rPr>
        <w:t>: Se o objeto for classificado como OBRA, é vedado adotar a modalidade pregão (art. 4º, I, do Decreto nº 10.024, de 2019, e art. 5º do Decreto nº 3.555, de 2000).</w:t>
      </w:r>
    </w:p>
    <w:p w14:paraId="70D68025" w14:textId="77777777" w:rsidR="007D7E25" w:rsidRPr="00562A0F" w:rsidRDefault="007D7E25" w:rsidP="00BD440B">
      <w:pPr>
        <w:spacing w:after="240" w:line="240" w:lineRule="auto"/>
        <w:jc w:val="both"/>
        <w:rPr>
          <w:rFonts w:ascii="Times New Roman" w:hAnsi="Times New Roman"/>
        </w:rPr>
      </w:pPr>
      <w:r w:rsidRPr="00562A0F">
        <w:rPr>
          <w:rFonts w:ascii="Times New Roman" w:hAnsi="Times New Roman"/>
        </w:rPr>
        <w:t>A licitação para OBRA atrai uma das modalidades licitatórias da Lei nº 8.666, de 1993: convite, tomada de preços ou concorrência.</w:t>
      </w:r>
    </w:p>
    <w:p w14:paraId="6FFEF7EF" w14:textId="77777777" w:rsidR="00331A04" w:rsidRPr="00562A0F" w:rsidRDefault="00331A04" w:rsidP="00297ABB">
      <w:pPr>
        <w:pStyle w:val="PargrafodaLista"/>
        <w:spacing w:after="240" w:line="240" w:lineRule="auto"/>
        <w:ind w:left="360"/>
        <w:jc w:val="both"/>
        <w:rPr>
          <w:rFonts w:ascii="Times New Roman" w:hAnsi="Times New Roman"/>
        </w:rPr>
      </w:pPr>
    </w:p>
    <w:p w14:paraId="237A8CA1" w14:textId="77777777" w:rsidR="00BD440B" w:rsidRPr="00562A0F" w:rsidRDefault="00864D51" w:rsidP="00BD440B">
      <w:pPr>
        <w:pStyle w:val="PargrafodaLista"/>
        <w:numPr>
          <w:ilvl w:val="1"/>
          <w:numId w:val="1"/>
        </w:numPr>
        <w:spacing w:after="240" w:line="240" w:lineRule="auto"/>
        <w:jc w:val="both"/>
        <w:rPr>
          <w:rFonts w:ascii="Times New Roman" w:hAnsi="Times New Roman"/>
          <w:b/>
          <w:bCs/>
          <w:u w:val="single"/>
        </w:rPr>
      </w:pPr>
      <w:r w:rsidRPr="00562A0F">
        <w:rPr>
          <w:rFonts w:ascii="Times New Roman" w:hAnsi="Times New Roman"/>
          <w:b/>
          <w:bCs/>
          <w:u w:val="single"/>
        </w:rPr>
        <w:t>Caso seja serviço de engenharia: classificação como serviço comum ou especial</w:t>
      </w:r>
    </w:p>
    <w:p w14:paraId="38DCD85E" w14:textId="77777777" w:rsidR="00BD440B" w:rsidRPr="00562A0F" w:rsidRDefault="00297A1D" w:rsidP="00BD440B">
      <w:pPr>
        <w:spacing w:after="240" w:line="240" w:lineRule="auto"/>
        <w:ind w:left="360"/>
        <w:jc w:val="both"/>
        <w:rPr>
          <w:rFonts w:ascii="Times New Roman" w:hAnsi="Times New Roman"/>
          <w:b/>
          <w:bCs/>
          <w:u w:val="single"/>
        </w:rPr>
      </w:pPr>
      <w:r w:rsidRPr="00562A0F">
        <w:rPr>
          <w:rFonts w:ascii="Times New Roman" w:hAnsi="Times New Roman"/>
        </w:rPr>
        <w:t>Segundo Marçal Justen Filho, “bem ou serviço comum é aquele que se apresenta sob identidade e características padronizadas e que se encontra disponível, a qualquer tempo, num mercado próprio” (Pregão – Comentários à Legislação do Pregão Comum e Eletrônico. Editora Dialética, São Paulo, 2005, pág. 30).</w:t>
      </w:r>
    </w:p>
    <w:p w14:paraId="0B655B41" w14:textId="77777777" w:rsidR="00BD440B" w:rsidRPr="00562A0F" w:rsidRDefault="00297A1D" w:rsidP="00BD440B">
      <w:pPr>
        <w:spacing w:after="240" w:line="240" w:lineRule="auto"/>
        <w:ind w:left="360"/>
        <w:jc w:val="both"/>
        <w:rPr>
          <w:rFonts w:ascii="Times New Roman" w:hAnsi="Times New Roman"/>
          <w:b/>
          <w:bCs/>
          <w:u w:val="single"/>
        </w:rPr>
      </w:pPr>
      <w:r w:rsidRPr="00562A0F">
        <w:rPr>
          <w:rFonts w:ascii="Times New Roman" w:hAnsi="Times New Roman"/>
          <w:lang w:eastAsia="pt-BR"/>
        </w:rPr>
        <w:t>No entendimento do TCU, “a complexidade do objeto pretendido não é o fator decisivo para inseri-lo, ou não, no conceito de bem comum, mas, sim, o domínio do mercado sobre o objeto licitado. Assim, caso o objeto apresente características padronizadas (de desempenho e de qualidade) e o mercado domine as técnicas de sua realização, esse deverá ser classificado como bem ou serviço comum e ser utilizada de forma cogente a modalidade do pregão eletrônico” (Acórdão nº 2.806/2014 – 1ª Câmara).</w:t>
      </w:r>
    </w:p>
    <w:p w14:paraId="4A6A7C91" w14:textId="77777777" w:rsidR="00BD440B" w:rsidRPr="00562A0F" w:rsidRDefault="00297A1D" w:rsidP="00BD440B">
      <w:pPr>
        <w:spacing w:after="240" w:line="240" w:lineRule="auto"/>
        <w:ind w:left="360"/>
        <w:jc w:val="both"/>
        <w:rPr>
          <w:rFonts w:ascii="Times New Roman" w:hAnsi="Times New Roman"/>
          <w:b/>
          <w:bCs/>
          <w:u w:val="single"/>
        </w:rPr>
      </w:pPr>
      <w:r w:rsidRPr="00562A0F">
        <w:rPr>
          <w:rFonts w:ascii="Times New Roman" w:hAnsi="Times New Roman"/>
          <w:lang w:eastAsia="pt-BR"/>
        </w:rPr>
        <w:t>Portanto, o foco da definição de serviço comum são as “características padronizadas”.</w:t>
      </w:r>
    </w:p>
    <w:p w14:paraId="7239AA1A" w14:textId="77777777" w:rsidR="00BD440B" w:rsidRPr="00562A0F" w:rsidRDefault="00297A1D" w:rsidP="00BD440B">
      <w:pPr>
        <w:spacing w:after="240" w:line="240" w:lineRule="auto"/>
        <w:ind w:left="360"/>
        <w:jc w:val="both"/>
        <w:rPr>
          <w:rFonts w:ascii="Times New Roman" w:hAnsi="Times New Roman"/>
          <w:b/>
          <w:bCs/>
          <w:u w:val="single"/>
        </w:rPr>
      </w:pPr>
      <w:r w:rsidRPr="00562A0F">
        <w:rPr>
          <w:rFonts w:ascii="Times New Roman" w:hAnsi="Times New Roman"/>
          <w:lang w:eastAsia="pt-BR"/>
        </w:rPr>
        <w:t>Tanto que o Decreto nº 10.024/2019, ao definir o que seriam serviços especiais (não comuns) de engenharia, traz o conceito de “alta heterogeneidade”, aliado à alta complexidade técnica:</w:t>
      </w:r>
    </w:p>
    <w:p w14:paraId="293FA913" w14:textId="77777777" w:rsidR="00BD440B" w:rsidRPr="00562A0F" w:rsidRDefault="00297A1D" w:rsidP="006B4DBF">
      <w:pPr>
        <w:spacing w:after="240" w:line="240" w:lineRule="auto"/>
        <w:ind w:left="708"/>
        <w:jc w:val="both"/>
        <w:rPr>
          <w:rFonts w:ascii="Times New Roman" w:hAnsi="Times New Roman"/>
          <w:b/>
          <w:bCs/>
          <w:u w:val="single"/>
        </w:rPr>
      </w:pPr>
      <w:r w:rsidRPr="00562A0F">
        <w:rPr>
          <w:rFonts w:ascii="Times New Roman" w:hAnsi="Times New Roman"/>
          <w:color w:val="000000"/>
          <w:lang w:eastAsia="pt-BR"/>
        </w:rPr>
        <w:t>II - bens e serviços comuns - bens cujos padrões de desempenho e qualidade possam ser objetivamente definidos pelo edital, por meio de especificações reconhecidas e usuais do mercado;</w:t>
      </w:r>
    </w:p>
    <w:p w14:paraId="0A45FAAC" w14:textId="77777777" w:rsidR="00BD440B" w:rsidRPr="00562A0F" w:rsidRDefault="00297A1D" w:rsidP="006B4DBF">
      <w:pPr>
        <w:spacing w:after="240" w:line="240" w:lineRule="auto"/>
        <w:ind w:left="708"/>
        <w:jc w:val="both"/>
        <w:rPr>
          <w:rFonts w:ascii="Times New Roman" w:hAnsi="Times New Roman"/>
          <w:b/>
          <w:bCs/>
          <w:u w:val="single"/>
        </w:rPr>
      </w:pPr>
      <w:r w:rsidRPr="00562A0F">
        <w:rPr>
          <w:rFonts w:ascii="Times New Roman" w:hAnsi="Times New Roman"/>
          <w:color w:val="000000"/>
          <w:lang w:eastAsia="pt-BR"/>
        </w:rPr>
        <w:t>III - bens e serviços especiais - bens que, por sua alta heterogeneidade ou complexidade técnica, não podem ser considerados bens e serviços comuns, nos termos do inciso II;</w:t>
      </w:r>
    </w:p>
    <w:p w14:paraId="39AE57E0" w14:textId="77777777" w:rsidR="00BD440B" w:rsidRPr="00562A0F" w:rsidRDefault="00297A1D" w:rsidP="00BD440B">
      <w:pPr>
        <w:spacing w:after="240" w:line="240" w:lineRule="auto"/>
        <w:ind w:left="360"/>
        <w:jc w:val="both"/>
        <w:rPr>
          <w:rFonts w:ascii="Times New Roman" w:hAnsi="Times New Roman"/>
          <w:b/>
          <w:bCs/>
          <w:u w:val="single"/>
        </w:rPr>
      </w:pPr>
      <w:r w:rsidRPr="00562A0F">
        <w:rPr>
          <w:rFonts w:ascii="Times New Roman" w:hAnsi="Times New Roman"/>
          <w:lang w:eastAsia="pt-BR"/>
        </w:rPr>
        <w:lastRenderedPageBreak/>
        <w:t>No âmbito da AGU, o PARECER nº 51/2019/DECOR/CGU/AGU trouxe a seguinte orientação:</w:t>
      </w:r>
    </w:p>
    <w:p w14:paraId="706DF979" w14:textId="77777777" w:rsidR="00BD440B" w:rsidRPr="00562A0F" w:rsidRDefault="00297A1D" w:rsidP="006B4DBF">
      <w:pPr>
        <w:spacing w:after="240" w:line="240" w:lineRule="auto"/>
        <w:ind w:left="708"/>
        <w:jc w:val="both"/>
        <w:rPr>
          <w:rFonts w:ascii="Times New Roman" w:hAnsi="Times New Roman"/>
          <w:b/>
          <w:bCs/>
          <w:u w:val="single"/>
        </w:rPr>
      </w:pPr>
      <w:r w:rsidRPr="00562A0F">
        <w:rPr>
          <w:rFonts w:ascii="Times New Roman" w:hAnsi="Times New Roman"/>
          <w:lang w:eastAsia="pt-BR"/>
        </w:rPr>
        <w:t>EMENTA: DIREITO ADMINISTRATIVO. RESOLUÇÃO Nº 1.116/2019 DO CONFEA. OBRAS E SERVIÇOS NO ÂMBITO DA ENGENHARIA E DA AGRONOMIA. SERVIÇOS TÉCNICOS ESPECIALIZADOS. ANÁLISE JURÍDICA.</w:t>
      </w:r>
    </w:p>
    <w:p w14:paraId="460893A3" w14:textId="77777777" w:rsidR="00861CD4" w:rsidRPr="00562A0F" w:rsidRDefault="00297A1D" w:rsidP="006B4DBF">
      <w:pPr>
        <w:spacing w:after="240" w:line="240" w:lineRule="auto"/>
        <w:ind w:left="708"/>
        <w:jc w:val="both"/>
        <w:rPr>
          <w:rFonts w:ascii="Times New Roman" w:hAnsi="Times New Roman"/>
          <w:b/>
          <w:bCs/>
          <w:u w:val="single"/>
        </w:rPr>
      </w:pPr>
      <w:r w:rsidRPr="00562A0F">
        <w:rPr>
          <w:rFonts w:ascii="Times New Roman" w:hAnsi="Times New Roman"/>
          <w:lang w:eastAsia="pt-BR"/>
        </w:rPr>
        <w:t>I – É possível a licitação de serviços de engenharia através da modalidade pregão, quando tais serviços são caracterizáveis como serviços comuns, nos termos da Lei nº 10.520/2002.</w:t>
      </w:r>
    </w:p>
    <w:p w14:paraId="5214B7A5" w14:textId="77777777" w:rsidR="00861CD4" w:rsidRPr="00562A0F" w:rsidRDefault="00297A1D" w:rsidP="006B4DBF">
      <w:pPr>
        <w:spacing w:after="240" w:line="240" w:lineRule="auto"/>
        <w:ind w:left="708"/>
        <w:jc w:val="both"/>
        <w:rPr>
          <w:rFonts w:ascii="Times New Roman" w:hAnsi="Times New Roman"/>
          <w:b/>
          <w:bCs/>
          <w:u w:val="single"/>
        </w:rPr>
      </w:pPr>
      <w:r w:rsidRPr="00562A0F">
        <w:rPr>
          <w:rFonts w:ascii="Times New Roman" w:hAnsi="Times New Roman"/>
          <w:lang w:eastAsia="pt-BR"/>
        </w:rPr>
        <w:t>II - A Resolução nº 1.116, de 26/04/2019, do Conselho Federal de Engenharia e Agronomia – CONFEA não deve nem pode produzir efeitos restritivos em relação à compreensão do agente público competente acerca do enquadramento de um determinado serviço de engenharia como serviço comum.</w:t>
      </w:r>
    </w:p>
    <w:p w14:paraId="7FD61033" w14:textId="77777777" w:rsidR="00861CD4" w:rsidRPr="00562A0F" w:rsidRDefault="00297A1D" w:rsidP="006B4DBF">
      <w:pPr>
        <w:spacing w:after="240" w:line="240" w:lineRule="auto"/>
        <w:ind w:left="708"/>
        <w:jc w:val="both"/>
        <w:rPr>
          <w:rFonts w:ascii="Times New Roman" w:hAnsi="Times New Roman"/>
          <w:b/>
          <w:bCs/>
          <w:u w:val="single"/>
        </w:rPr>
      </w:pPr>
      <w:r w:rsidRPr="00562A0F">
        <w:rPr>
          <w:rFonts w:ascii="Times New Roman" w:hAnsi="Times New Roman"/>
          <w:lang w:eastAsia="pt-BR"/>
        </w:rPr>
        <w:t>III - Diante do dilema decisório acerca da caracterização de um determinado serviço de engenharia como comum, o agente público federal deve agir de forma técnica, lastreado nos elementos apresentados pela Lei nº 10.520/2002 e na pertinente regulamentação dos competentes órgãos do Poder Executivo Federal.</w:t>
      </w:r>
    </w:p>
    <w:p w14:paraId="52387DDF" w14:textId="77777777" w:rsidR="00861CD4" w:rsidRPr="00562A0F" w:rsidRDefault="00297A1D" w:rsidP="00861CD4">
      <w:pPr>
        <w:spacing w:after="240" w:line="240" w:lineRule="auto"/>
        <w:ind w:left="360"/>
        <w:jc w:val="both"/>
        <w:rPr>
          <w:rFonts w:ascii="Times New Roman" w:hAnsi="Times New Roman"/>
          <w:lang w:eastAsia="pt-BR"/>
        </w:rPr>
      </w:pPr>
      <w:r w:rsidRPr="00562A0F">
        <w:rPr>
          <w:rFonts w:ascii="Times New Roman" w:hAnsi="Times New Roman"/>
          <w:lang w:eastAsia="pt-BR"/>
        </w:rPr>
        <w:t>Portanto, prevalece o enquadramento técnico e individual do objeto como serviços comuns de engenharia - para os quais é acertada (e obrigatória) a adoção da modalidade licitatória pregão</w:t>
      </w:r>
      <w:r w:rsidR="00861CD4" w:rsidRPr="00562A0F">
        <w:rPr>
          <w:rFonts w:ascii="Times New Roman" w:hAnsi="Times New Roman"/>
          <w:lang w:eastAsia="pt-BR"/>
        </w:rPr>
        <w:t>.</w:t>
      </w:r>
    </w:p>
    <w:p w14:paraId="5C41ABE7" w14:textId="77777777" w:rsidR="00861CD4" w:rsidRPr="00562A0F" w:rsidRDefault="00861CD4" w:rsidP="00861CD4">
      <w:pPr>
        <w:spacing w:after="240" w:line="240" w:lineRule="auto"/>
        <w:ind w:left="360"/>
        <w:jc w:val="both"/>
        <w:rPr>
          <w:rFonts w:ascii="Times New Roman" w:hAnsi="Times New Roman"/>
          <w:lang w:eastAsia="pt-BR"/>
        </w:rPr>
      </w:pPr>
    </w:p>
    <w:p w14:paraId="5E6C993A" w14:textId="0D245162" w:rsidR="00861CD4" w:rsidRPr="00562A0F" w:rsidRDefault="00297A1D" w:rsidP="00861CD4">
      <w:pPr>
        <w:spacing w:after="240" w:line="240" w:lineRule="auto"/>
        <w:ind w:left="360"/>
        <w:jc w:val="both"/>
        <w:rPr>
          <w:rFonts w:ascii="Times New Roman" w:hAnsi="Times New Roman"/>
          <w:b/>
          <w:bCs/>
          <w:u w:val="single"/>
        </w:rPr>
      </w:pPr>
      <w:r w:rsidRPr="00562A0F">
        <w:rPr>
          <w:rFonts w:ascii="Times New Roman" w:hAnsi="Times New Roman"/>
          <w:b/>
          <w:bCs/>
          <w:u w:val="single"/>
        </w:rPr>
        <w:t>JUSTIFICATIVA</w:t>
      </w:r>
      <w:r w:rsidRPr="00562A0F">
        <w:rPr>
          <w:rFonts w:ascii="Times New Roman" w:hAnsi="Times New Roman"/>
        </w:rPr>
        <w:t xml:space="preserve">: O objeto da presente licitação é (   ) SERVIÇO COMUM DE ENGENHARIA ou (   ) SERVIÇO ESPECIAL DE ENGENHARIA, de acordo com as diretrizes acima e as seguintes considerações: </w:t>
      </w:r>
    </w:p>
    <w:p w14:paraId="073F3DE2" w14:textId="77777777" w:rsidR="00861CD4" w:rsidRPr="00562A0F" w:rsidRDefault="00861CD4" w:rsidP="00861CD4">
      <w:pPr>
        <w:spacing w:after="240" w:line="240" w:lineRule="auto"/>
        <w:ind w:left="360"/>
        <w:jc w:val="both"/>
        <w:rPr>
          <w:rFonts w:ascii="Times New Roman" w:hAnsi="Times New Roman"/>
          <w:b/>
          <w:bCs/>
          <w:u w:val="single"/>
        </w:rPr>
      </w:pPr>
      <w:r w:rsidRPr="00562A0F">
        <w:rPr>
          <w:rFonts w:ascii="Times New Roman" w:hAnsi="Times New Roman"/>
        </w:rPr>
        <w:t>----------------------------------------------------------------------------------------------------------------------------------------------------------------------------------------------------------------------------------------------------------------------------------------------------------------------------------------------------------------------------------------------------------------------------------------------------------------------------------------------------------------------------------------------------------------------------------------------------------------------------------</w:t>
      </w:r>
    </w:p>
    <w:p w14:paraId="2035CB97" w14:textId="77777777" w:rsidR="00297A1D" w:rsidRPr="00562A0F" w:rsidRDefault="00297A1D" w:rsidP="006B4DBF">
      <w:pPr>
        <w:spacing w:after="240" w:line="240" w:lineRule="auto"/>
        <w:jc w:val="both"/>
        <w:rPr>
          <w:rFonts w:ascii="Times New Roman" w:hAnsi="Times New Roman"/>
        </w:rPr>
      </w:pPr>
      <w:r w:rsidRPr="00562A0F">
        <w:rPr>
          <w:rFonts w:ascii="Times New Roman" w:hAnsi="Times New Roman"/>
          <w:u w:val="single"/>
        </w:rPr>
        <w:t>OBSERVAÇÃO</w:t>
      </w:r>
      <w:r w:rsidRPr="00562A0F">
        <w:rPr>
          <w:rFonts w:ascii="Times New Roman" w:hAnsi="Times New Roman"/>
        </w:rPr>
        <w:t>: Se o objeto for classificado como SERVIÇO COMUM DE ENGENHARIA, é obrigatório adotar a modalidade pregão eletrônico (art. 1º, § 1º, do Decreto nº 10.024, de 2019).</w:t>
      </w:r>
    </w:p>
    <w:p w14:paraId="4AD01415" w14:textId="77777777" w:rsidR="00861CD4" w:rsidRPr="00562A0F" w:rsidRDefault="00861CD4" w:rsidP="00861CD4">
      <w:pPr>
        <w:spacing w:after="240" w:line="240" w:lineRule="auto"/>
        <w:ind w:left="360"/>
        <w:jc w:val="both"/>
        <w:rPr>
          <w:rFonts w:ascii="Times New Roman" w:hAnsi="Times New Roman"/>
          <w:b/>
          <w:bCs/>
          <w:u w:val="single"/>
        </w:rPr>
      </w:pPr>
    </w:p>
    <w:p w14:paraId="2B9F3442" w14:textId="77777777" w:rsidR="00C20DFC"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ELABORAÇÃO DE PROJETO E DOCUMENTOS TÉCNICOS POR PROFISSIONAL HABILITADO DE ENGENHARIA</w:t>
      </w:r>
    </w:p>
    <w:p w14:paraId="67622649" w14:textId="77777777" w:rsidR="00861CD4" w:rsidRPr="00562A0F" w:rsidRDefault="00DD1EB9" w:rsidP="00861CD4">
      <w:pPr>
        <w:spacing w:after="240" w:line="240" w:lineRule="auto"/>
        <w:jc w:val="both"/>
        <w:rPr>
          <w:rFonts w:ascii="Times New Roman" w:hAnsi="Times New Roman"/>
        </w:rPr>
      </w:pPr>
      <w:r w:rsidRPr="00562A0F">
        <w:rPr>
          <w:rFonts w:ascii="Times New Roman" w:hAnsi="Times New Roman"/>
          <w:lang w:eastAsia="pt-BR"/>
        </w:rPr>
        <w:t>Para a licitação relacionada a obras e serviços de engenharia, e em conformidade com a determinação do art. 7°, § 2°, I, da Lei n° 8.666/93, é obrigatória a elaboração e aprovação prévia de Projeto Básico, como também deixa clara a Súmula TCU n° 261/2010:</w:t>
      </w:r>
    </w:p>
    <w:p w14:paraId="3B63B3C8" w14:textId="77777777" w:rsidR="00861CD4" w:rsidRPr="00562A0F" w:rsidRDefault="00DD1EB9" w:rsidP="006B4DBF">
      <w:pPr>
        <w:spacing w:after="240" w:line="240" w:lineRule="auto"/>
        <w:ind w:left="708"/>
        <w:jc w:val="both"/>
        <w:rPr>
          <w:rFonts w:ascii="Times New Roman" w:hAnsi="Times New Roman"/>
        </w:rPr>
      </w:pPr>
      <w:r w:rsidRPr="00562A0F">
        <w:rPr>
          <w:rFonts w:ascii="Times New Roman" w:hAnsi="Times New Roman"/>
          <w:lang w:eastAsia="pt-BR"/>
        </w:rPr>
        <w:t xml:space="preserve">“Em licitações de obras e serviços de engenharia, é necessária a elaboração de projeto básico adequado e atualizado, assim considerado aquele aprovado com todos os elementos descritos no art. 6º, inciso IX, da Lei n.º 8.666, de 21 de junho de 1993, constituindo prática ilegal a revisão de projeto básico ou a elaboração de projeto executivo </w:t>
      </w:r>
      <w:r w:rsidRPr="00562A0F">
        <w:rPr>
          <w:rFonts w:ascii="Times New Roman" w:hAnsi="Times New Roman"/>
          <w:lang w:eastAsia="pt-BR"/>
        </w:rPr>
        <w:lastRenderedPageBreak/>
        <w:t>que transfigure o objeto originalmente contratado em outro de natureza e propósito diversos.”</w:t>
      </w:r>
    </w:p>
    <w:p w14:paraId="7AF4E3C2" w14:textId="5F7A3716" w:rsidR="00861CD4" w:rsidRPr="00562A0F" w:rsidRDefault="00DD1EB9" w:rsidP="00861CD4">
      <w:pPr>
        <w:spacing w:after="240" w:line="240" w:lineRule="auto"/>
        <w:jc w:val="both"/>
        <w:rPr>
          <w:rFonts w:ascii="Times New Roman" w:hAnsi="Times New Roman"/>
        </w:rPr>
      </w:pPr>
      <w:r w:rsidRPr="00562A0F">
        <w:rPr>
          <w:rFonts w:ascii="Times New Roman" w:hAnsi="Times New Roman"/>
          <w:lang w:eastAsia="pt-BR"/>
        </w:rPr>
        <w:t xml:space="preserve">O projeto e demais documentos técnicos (tais como plantas, caderno de especificações, memoriais descritivos etc.) devem ser elaborados por profissional competente de engenharia, conforme as modalidades pertinentes ao objeto (civil, mecânico, agrônomo, naval, minas, químico, eletricista, eletrônico ou de comunicação, florestal, geólogo etc.), </w:t>
      </w:r>
      <w:r w:rsidR="00C820F2">
        <w:rPr>
          <w:rFonts w:ascii="Times New Roman" w:hAnsi="Times New Roman"/>
          <w:lang w:eastAsia="pt-BR"/>
        </w:rPr>
        <w:t>de arq</w:t>
      </w:r>
      <w:r w:rsidR="00A13074">
        <w:rPr>
          <w:rFonts w:ascii="Times New Roman" w:hAnsi="Times New Roman"/>
          <w:lang w:eastAsia="pt-BR"/>
        </w:rPr>
        <w:t xml:space="preserve">uitetura ou de técnico industrial, </w:t>
      </w:r>
      <w:r w:rsidRPr="00562A0F">
        <w:rPr>
          <w:rFonts w:ascii="Times New Roman" w:hAnsi="Times New Roman"/>
          <w:lang w:eastAsia="pt-BR"/>
        </w:rPr>
        <w:t>com a correspondente Anotação</w:t>
      </w:r>
      <w:r w:rsidR="00A13074">
        <w:rPr>
          <w:rFonts w:ascii="Times New Roman" w:hAnsi="Times New Roman"/>
          <w:lang w:eastAsia="pt-BR"/>
        </w:rPr>
        <w:t xml:space="preserve">, Registro ou Termo </w:t>
      </w:r>
      <w:r w:rsidRPr="00562A0F">
        <w:rPr>
          <w:rFonts w:ascii="Times New Roman" w:hAnsi="Times New Roman"/>
          <w:lang w:eastAsia="pt-BR"/>
        </w:rPr>
        <w:t>de Responsabilidade Técnica – ART</w:t>
      </w:r>
      <w:r w:rsidR="00CB6889">
        <w:rPr>
          <w:rFonts w:ascii="Times New Roman" w:hAnsi="Times New Roman"/>
          <w:lang w:eastAsia="pt-BR"/>
        </w:rPr>
        <w:t>/RRT/TRT</w:t>
      </w:r>
      <w:r w:rsidRPr="00562A0F">
        <w:rPr>
          <w:rFonts w:ascii="Times New Roman" w:hAnsi="Times New Roman"/>
          <w:lang w:eastAsia="pt-BR"/>
        </w:rPr>
        <w:t>, como deixa claro a Súmula TCU n° 260/2010.</w:t>
      </w:r>
    </w:p>
    <w:p w14:paraId="1FD27D18" w14:textId="77777777" w:rsidR="00861CD4" w:rsidRPr="00562A0F" w:rsidRDefault="00DD1EB9" w:rsidP="00861CD4">
      <w:pPr>
        <w:spacing w:after="240" w:line="240" w:lineRule="auto"/>
        <w:jc w:val="both"/>
        <w:rPr>
          <w:rFonts w:ascii="Times New Roman" w:hAnsi="Times New Roman"/>
        </w:rPr>
      </w:pPr>
      <w:r w:rsidRPr="00562A0F">
        <w:rPr>
          <w:rFonts w:ascii="Times New Roman" w:hAnsi="Times New Roman"/>
        </w:rPr>
        <w:t xml:space="preserve">A elaboração do Projeto Básico caberá: </w:t>
      </w:r>
    </w:p>
    <w:p w14:paraId="6915BFAF" w14:textId="4C6A3F8F" w:rsidR="00861CD4" w:rsidRPr="00562A0F" w:rsidRDefault="00DD1EB9" w:rsidP="006B4DBF">
      <w:pPr>
        <w:spacing w:after="240" w:line="240" w:lineRule="auto"/>
        <w:ind w:left="708"/>
        <w:jc w:val="both"/>
        <w:rPr>
          <w:rFonts w:ascii="Times New Roman" w:hAnsi="Times New Roman"/>
        </w:rPr>
      </w:pPr>
      <w:r w:rsidRPr="00562A0F">
        <w:rPr>
          <w:rFonts w:ascii="Times New Roman" w:hAnsi="Times New Roman"/>
        </w:rPr>
        <w:t>(a) à própria Administração, por meio de responsável técnico pertencente a seus quadros, inscrito no órgão de fiscalização da atividade (CREA/CAU-BR</w:t>
      </w:r>
      <w:r w:rsidR="00CB6889">
        <w:rPr>
          <w:rFonts w:ascii="Times New Roman" w:hAnsi="Times New Roman"/>
        </w:rPr>
        <w:t>/CFT</w:t>
      </w:r>
      <w:r w:rsidRPr="00562A0F">
        <w:rPr>
          <w:rFonts w:ascii="Times New Roman" w:hAnsi="Times New Roman"/>
        </w:rPr>
        <w:t>)</w:t>
      </w:r>
      <w:r w:rsidR="008778EE">
        <w:rPr>
          <w:rFonts w:ascii="Times New Roman" w:hAnsi="Times New Roman"/>
        </w:rPr>
        <w:t xml:space="preserve">, que </w:t>
      </w:r>
      <w:r w:rsidRPr="00562A0F">
        <w:rPr>
          <w:rFonts w:ascii="Times New Roman" w:hAnsi="Times New Roman"/>
        </w:rPr>
        <w:t>deverão providenciar a Anotação</w:t>
      </w:r>
      <w:r w:rsidR="00E86C45">
        <w:rPr>
          <w:rFonts w:ascii="Times New Roman" w:hAnsi="Times New Roman"/>
        </w:rPr>
        <w:t>,</w:t>
      </w:r>
      <w:r w:rsidR="00E86C45" w:rsidRPr="00E86C45">
        <w:rPr>
          <w:rFonts w:ascii="Times New Roman" w:hAnsi="Times New Roman"/>
          <w:lang w:eastAsia="pt-BR"/>
        </w:rPr>
        <w:t xml:space="preserve"> </w:t>
      </w:r>
      <w:r w:rsidR="00E86C45">
        <w:rPr>
          <w:rFonts w:ascii="Times New Roman" w:hAnsi="Times New Roman"/>
          <w:lang w:eastAsia="pt-BR"/>
        </w:rPr>
        <w:t xml:space="preserve">Registro ou Termo </w:t>
      </w:r>
      <w:r w:rsidR="00E86C45" w:rsidRPr="00562A0F">
        <w:rPr>
          <w:rFonts w:ascii="Times New Roman" w:hAnsi="Times New Roman"/>
          <w:lang w:eastAsia="pt-BR"/>
        </w:rPr>
        <w:t>de Responsabilidade Técnica – ART</w:t>
      </w:r>
      <w:r w:rsidR="00E86C45">
        <w:rPr>
          <w:rFonts w:ascii="Times New Roman" w:hAnsi="Times New Roman"/>
          <w:lang w:eastAsia="pt-BR"/>
        </w:rPr>
        <w:t>/RRT/TRT</w:t>
      </w:r>
      <w:r w:rsidRPr="00562A0F">
        <w:rPr>
          <w:rFonts w:ascii="Times New Roman" w:hAnsi="Times New Roman"/>
        </w:rPr>
        <w:t xml:space="preserve"> referente aos projetos; </w:t>
      </w:r>
    </w:p>
    <w:p w14:paraId="02677EBC" w14:textId="476B20D9" w:rsidR="00861CD4" w:rsidRPr="00562A0F" w:rsidRDefault="00DD1EB9" w:rsidP="006B4DBF">
      <w:pPr>
        <w:spacing w:after="240" w:line="240" w:lineRule="auto"/>
        <w:ind w:left="708"/>
        <w:jc w:val="both"/>
        <w:rPr>
          <w:rFonts w:ascii="Times New Roman" w:hAnsi="Times New Roman"/>
          <w:bCs/>
        </w:rPr>
      </w:pPr>
      <w:r w:rsidRPr="00562A0F">
        <w:rPr>
          <w:rFonts w:ascii="Times New Roman" w:hAnsi="Times New Roman"/>
        </w:rPr>
        <w:t>(b) a profissional (pessoa física ou jurídica) especializado, habilitado pelo CREA/CAU-BR</w:t>
      </w:r>
      <w:r w:rsidR="00E86C45">
        <w:rPr>
          <w:rFonts w:ascii="Times New Roman" w:hAnsi="Times New Roman"/>
        </w:rPr>
        <w:t>/CFT</w:t>
      </w:r>
      <w:r w:rsidRPr="00562A0F">
        <w:rPr>
          <w:rFonts w:ascii="Times New Roman" w:hAnsi="Times New Roman"/>
        </w:rPr>
        <w:t>, contratado pela Administração mediante licitação ou diretamente, cujos trabalhos serão baseados em anteprojeto desenvolvido pela Administração.</w:t>
      </w:r>
      <w:r w:rsidRPr="00562A0F">
        <w:rPr>
          <w:rFonts w:ascii="Times New Roman" w:hAnsi="Times New Roman"/>
          <w:bCs/>
        </w:rPr>
        <w:t xml:space="preserve"> </w:t>
      </w:r>
    </w:p>
    <w:p w14:paraId="5775A3D3" w14:textId="114CA435" w:rsidR="00DD1EB9" w:rsidRPr="00562A0F" w:rsidRDefault="00DD1EB9" w:rsidP="00861CD4">
      <w:pPr>
        <w:spacing w:after="240" w:line="240" w:lineRule="auto"/>
        <w:jc w:val="both"/>
        <w:rPr>
          <w:rFonts w:ascii="Times New Roman" w:hAnsi="Times New Roman"/>
        </w:rPr>
      </w:pPr>
      <w:r w:rsidRPr="00562A0F">
        <w:rPr>
          <w:rFonts w:ascii="Times New Roman" w:hAnsi="Times New Roman"/>
        </w:rPr>
        <w:t>Na licitação na modalidade pregão, é o Termo de Referência que faz as vezes do Projeto Básico. Porém, independentemente da nomenclatura adotada, o conteúdo deve ser equivalente, justamente para permitir o adequado nível de detalhamento e caracterização do objeto licitado</w:t>
      </w:r>
      <w:r w:rsidR="00622FF2">
        <w:rPr>
          <w:rFonts w:ascii="Times New Roman" w:hAnsi="Times New Roman"/>
        </w:rPr>
        <w:t>, sem prejuízo de ser elaborado outro ou outros documentos técnicos</w:t>
      </w:r>
      <w:r w:rsidRPr="00562A0F">
        <w:rPr>
          <w:rFonts w:ascii="Times New Roman" w:hAnsi="Times New Roman"/>
        </w:rPr>
        <w:t>.</w:t>
      </w:r>
    </w:p>
    <w:p w14:paraId="571AB1F7" w14:textId="77777777" w:rsidR="00DD1EB9" w:rsidRPr="00562A0F" w:rsidRDefault="00DD1EB9" w:rsidP="00861CD4">
      <w:pPr>
        <w:pStyle w:val="numerado"/>
        <w:spacing w:before="0" w:beforeAutospacing="0" w:after="240" w:afterAutospacing="0"/>
        <w:ind w:left="360"/>
        <w:jc w:val="both"/>
        <w:rPr>
          <w:sz w:val="22"/>
          <w:szCs w:val="22"/>
        </w:rPr>
      </w:pPr>
    </w:p>
    <w:p w14:paraId="362A392E" w14:textId="45EA2A01" w:rsidR="00DD1EB9" w:rsidRPr="00562A0F" w:rsidRDefault="00DD1EB9" w:rsidP="00861CD4">
      <w:pPr>
        <w:spacing w:after="240" w:line="240" w:lineRule="auto"/>
        <w:jc w:val="both"/>
        <w:rPr>
          <w:rFonts w:ascii="Times New Roman" w:hAnsi="Times New Roman"/>
          <w:lang w:eastAsia="pt-BR"/>
        </w:rPr>
      </w:pPr>
      <w:r w:rsidRPr="00562A0F">
        <w:rPr>
          <w:rFonts w:ascii="Times New Roman" w:hAnsi="Times New Roman"/>
          <w:b/>
          <w:bCs/>
          <w:u w:val="single"/>
          <w:lang w:eastAsia="pt-BR"/>
        </w:rPr>
        <w:t>JUSTIFICATIVA</w:t>
      </w:r>
      <w:r w:rsidRPr="00562A0F">
        <w:rPr>
          <w:rFonts w:ascii="Times New Roman" w:hAnsi="Times New Roman"/>
          <w:lang w:eastAsia="pt-BR"/>
        </w:rPr>
        <w:t xml:space="preserve">: No presente feito, o Projeto Básico ou Termo de Referência (   ) FOI elaborado por profissional habilitado de </w:t>
      </w:r>
      <w:r w:rsidRPr="008E2EA2">
        <w:rPr>
          <w:rFonts w:ascii="Times New Roman" w:hAnsi="Times New Roman"/>
          <w:i/>
          <w:iCs/>
          <w:color w:val="FF0000"/>
          <w:lang w:eastAsia="pt-BR"/>
        </w:rPr>
        <w:t>engenharia</w:t>
      </w:r>
      <w:r w:rsidR="008E2EA2" w:rsidRPr="008E2EA2">
        <w:rPr>
          <w:rFonts w:ascii="Times New Roman" w:hAnsi="Times New Roman"/>
          <w:i/>
          <w:iCs/>
          <w:color w:val="FF0000"/>
          <w:lang w:eastAsia="pt-BR"/>
        </w:rPr>
        <w:t>, arquitetura ou técnico industrial</w:t>
      </w:r>
      <w:r w:rsidRPr="00562A0F">
        <w:rPr>
          <w:rFonts w:ascii="Times New Roman" w:hAnsi="Times New Roman"/>
          <w:lang w:eastAsia="pt-BR"/>
        </w:rPr>
        <w:t xml:space="preserve">, com a emissão da </w:t>
      </w:r>
      <w:r w:rsidRPr="008E2EA2">
        <w:rPr>
          <w:rFonts w:ascii="Times New Roman" w:hAnsi="Times New Roman"/>
          <w:i/>
          <w:iCs/>
          <w:color w:val="FF0000"/>
          <w:lang w:eastAsia="pt-BR"/>
        </w:rPr>
        <w:t>ART</w:t>
      </w:r>
      <w:r w:rsidR="008E2EA2" w:rsidRPr="008E2EA2">
        <w:rPr>
          <w:rFonts w:ascii="Times New Roman" w:hAnsi="Times New Roman"/>
          <w:i/>
          <w:iCs/>
          <w:color w:val="FF0000"/>
          <w:lang w:eastAsia="pt-BR"/>
        </w:rPr>
        <w:t>/RRT ou TRT</w:t>
      </w:r>
      <w:r w:rsidRPr="00562A0F">
        <w:rPr>
          <w:rFonts w:ascii="Times New Roman" w:hAnsi="Times New Roman"/>
          <w:lang w:eastAsia="pt-BR"/>
        </w:rPr>
        <w:t xml:space="preserve"> juntada no documento nº (   ).</w:t>
      </w:r>
    </w:p>
    <w:p w14:paraId="0CE07B7F" w14:textId="77777777" w:rsidR="00861CD4" w:rsidRPr="00562A0F" w:rsidRDefault="00861CD4" w:rsidP="00861CD4">
      <w:pPr>
        <w:spacing w:after="240" w:line="240" w:lineRule="auto"/>
        <w:jc w:val="both"/>
        <w:rPr>
          <w:rFonts w:ascii="Times New Roman" w:hAnsi="Times New Roman"/>
          <w:lang w:eastAsia="pt-BR"/>
        </w:rPr>
      </w:pPr>
    </w:p>
    <w:p w14:paraId="1AEE6C30" w14:textId="77777777" w:rsidR="0090645F" w:rsidRPr="00562A0F" w:rsidRDefault="0090645F"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REGIME DE EXECUÇÃO DA OBRA OU SERVIÇO</w:t>
      </w:r>
    </w:p>
    <w:p w14:paraId="6EC4B902" w14:textId="77777777" w:rsidR="006B4DBF" w:rsidRPr="00562A0F" w:rsidRDefault="00297A1D" w:rsidP="006B4DBF">
      <w:pPr>
        <w:spacing w:after="240" w:line="240" w:lineRule="auto"/>
        <w:jc w:val="both"/>
        <w:rPr>
          <w:rFonts w:ascii="Times New Roman" w:hAnsi="Times New Roman"/>
          <w:color w:val="000000" w:themeColor="text1"/>
        </w:rPr>
      </w:pPr>
      <w:r w:rsidRPr="00562A0F">
        <w:rPr>
          <w:rFonts w:ascii="Times New Roman" w:hAnsi="Times New Roman"/>
          <w:color w:val="000000" w:themeColor="text1"/>
        </w:rPr>
        <w:t>Os regimes de execução são elencados no art. 6º, inciso VIII, da Lei nº 8.666, de 1993:</w:t>
      </w:r>
    </w:p>
    <w:p w14:paraId="0BFA80BC" w14:textId="77777777" w:rsidR="006B4DBF" w:rsidRPr="00562A0F" w:rsidRDefault="00297A1D" w:rsidP="00B063F1">
      <w:pPr>
        <w:spacing w:after="240" w:line="240" w:lineRule="auto"/>
        <w:ind w:left="708"/>
        <w:jc w:val="both"/>
        <w:rPr>
          <w:rFonts w:ascii="Times New Roman" w:hAnsi="Times New Roman"/>
          <w:color w:val="000000" w:themeColor="text1"/>
        </w:rPr>
      </w:pPr>
      <w:r w:rsidRPr="00562A0F">
        <w:rPr>
          <w:rFonts w:ascii="Times New Roman" w:hAnsi="Times New Roman"/>
          <w:color w:val="000000" w:themeColor="text1"/>
        </w:rPr>
        <w:t>a) empreitada por preço global - quando se contrata a execução da obra ou do serviço por preço certo e total;</w:t>
      </w:r>
    </w:p>
    <w:p w14:paraId="24295B47" w14:textId="77777777" w:rsidR="006B4DBF" w:rsidRPr="00562A0F" w:rsidRDefault="00297A1D" w:rsidP="00B063F1">
      <w:pPr>
        <w:spacing w:after="240" w:line="240" w:lineRule="auto"/>
        <w:ind w:left="708"/>
        <w:jc w:val="both"/>
        <w:rPr>
          <w:rFonts w:ascii="Times New Roman" w:hAnsi="Times New Roman"/>
          <w:color w:val="000000" w:themeColor="text1"/>
        </w:rPr>
      </w:pPr>
      <w:r w:rsidRPr="00562A0F">
        <w:rPr>
          <w:rFonts w:ascii="Times New Roman" w:hAnsi="Times New Roman"/>
          <w:color w:val="000000" w:themeColor="text1"/>
        </w:rPr>
        <w:t>b) empreitada por preço unitário - quando se contrata a execução da obra ou do serviço por preço certo de unidades determinadas;</w:t>
      </w:r>
    </w:p>
    <w:p w14:paraId="619F885C" w14:textId="77777777" w:rsidR="006B4DBF" w:rsidRPr="00562A0F" w:rsidRDefault="00297A1D" w:rsidP="00B063F1">
      <w:pPr>
        <w:spacing w:after="240" w:line="240" w:lineRule="auto"/>
        <w:ind w:left="708"/>
        <w:jc w:val="both"/>
        <w:rPr>
          <w:rFonts w:ascii="Times New Roman" w:hAnsi="Times New Roman"/>
          <w:color w:val="000000" w:themeColor="text1"/>
        </w:rPr>
      </w:pPr>
      <w:r w:rsidRPr="00562A0F">
        <w:rPr>
          <w:rFonts w:ascii="Times New Roman" w:hAnsi="Times New Roman"/>
          <w:color w:val="000000" w:themeColor="text1"/>
        </w:rPr>
        <w:t>d) tarefa - quando se ajusta mão-de-obra para pequenos trabalhos por preço certo, com ou sem fornecimento de materiais;</w:t>
      </w:r>
    </w:p>
    <w:p w14:paraId="403F1BE5" w14:textId="77777777" w:rsidR="006B4DBF" w:rsidRPr="00562A0F" w:rsidRDefault="00297A1D" w:rsidP="00B063F1">
      <w:pPr>
        <w:spacing w:after="240" w:line="240" w:lineRule="auto"/>
        <w:ind w:left="708"/>
        <w:jc w:val="both"/>
        <w:rPr>
          <w:rFonts w:ascii="Times New Roman" w:hAnsi="Times New Roman"/>
          <w:color w:val="000000" w:themeColor="text1"/>
        </w:rPr>
      </w:pPr>
      <w:r w:rsidRPr="00562A0F">
        <w:rPr>
          <w:rFonts w:ascii="Times New Roman" w:hAnsi="Times New Roman"/>
          <w:color w:val="000000" w:themeColor="text1"/>
        </w:rPr>
        <w:t>e) empreitada integral - quando se contrata um empreendimento em sua integralidade, compreendendo todas as etapas das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que foi contratada;</w:t>
      </w:r>
    </w:p>
    <w:p w14:paraId="501DFE4D" w14:textId="77777777" w:rsidR="006B4DBF" w:rsidRPr="00562A0F" w:rsidRDefault="00297A1D" w:rsidP="006B4DBF">
      <w:pPr>
        <w:spacing w:after="240" w:line="240" w:lineRule="auto"/>
        <w:jc w:val="both"/>
        <w:rPr>
          <w:rFonts w:ascii="Times New Roman" w:hAnsi="Times New Roman"/>
          <w:color w:val="000000" w:themeColor="text1"/>
        </w:rPr>
      </w:pPr>
      <w:r w:rsidRPr="00562A0F">
        <w:rPr>
          <w:rFonts w:ascii="Times New Roman" w:hAnsi="Times New Roman"/>
          <w:color w:val="000000" w:themeColor="text1"/>
        </w:rPr>
        <w:lastRenderedPageBreak/>
        <w:t>Nas obras e serviços de engenharia, os regimes mais utilizados são as empreitadas por preço global ou por preço unitário.</w:t>
      </w:r>
    </w:p>
    <w:p w14:paraId="29B1AF35" w14:textId="004D8A43" w:rsidR="006B4DBF" w:rsidRPr="00562A0F" w:rsidRDefault="00297A1D" w:rsidP="006B4DBF">
      <w:pPr>
        <w:spacing w:after="240" w:line="240" w:lineRule="auto"/>
        <w:jc w:val="both"/>
        <w:rPr>
          <w:rFonts w:ascii="Times New Roman" w:hAnsi="Times New Roman"/>
          <w:color w:val="000000" w:themeColor="text1"/>
        </w:rPr>
      </w:pPr>
      <w:r w:rsidRPr="00562A0F">
        <w:rPr>
          <w:rFonts w:ascii="Times New Roman" w:hAnsi="Times New Roman"/>
          <w:color w:val="000000" w:themeColor="text1"/>
          <w:lang w:eastAsia="pt-BR"/>
        </w:rPr>
        <w:t>A empreitada por preço global é aquela em que se contrata a execução da obra ou serviço por preço certo e total. Em tese, cada parte assume o risco de eventuais distorções nos quantitativos a serem executados, que podem ser superiores ou inferiores àqueles originalmente previstos na planilha orçamentária da contratação. Se, ao final da obra, a contratada tiver fornecido ou executado quantitativos superiores aos estimados, arcará com o prejuízo financeiro (não poderá cobrar a Administração pelos custos adicionais</w:t>
      </w:r>
      <w:r w:rsidR="00D52878" w:rsidRPr="00562A0F">
        <w:rPr>
          <w:rFonts w:ascii="Times New Roman" w:hAnsi="Times New Roman"/>
          <w:color w:val="000000" w:themeColor="text1"/>
          <w:lang w:eastAsia="pt-BR"/>
        </w:rPr>
        <w:t>, até certo limite</w:t>
      </w:r>
      <w:r w:rsidRPr="00562A0F">
        <w:rPr>
          <w:rFonts w:ascii="Times New Roman" w:hAnsi="Times New Roman"/>
          <w:color w:val="000000" w:themeColor="text1"/>
          <w:lang w:eastAsia="pt-BR"/>
        </w:rPr>
        <w:t>). Na situação oposta, a lógica é a mesma: a Administração não poderá realizar descontos proporcionais aos quantitativos não fornecidos ou executados, se ao final forem inferiores aos estimados</w:t>
      </w:r>
      <w:r w:rsidR="00D52878" w:rsidRPr="00562A0F">
        <w:rPr>
          <w:rFonts w:ascii="Times New Roman" w:hAnsi="Times New Roman"/>
          <w:color w:val="000000" w:themeColor="text1"/>
          <w:lang w:eastAsia="pt-BR"/>
        </w:rPr>
        <w:t xml:space="preserve"> (até certo limite)</w:t>
      </w:r>
      <w:r w:rsidRPr="00562A0F">
        <w:rPr>
          <w:rFonts w:ascii="Times New Roman" w:hAnsi="Times New Roman"/>
          <w:color w:val="000000" w:themeColor="text1"/>
          <w:lang w:eastAsia="pt-BR"/>
        </w:rPr>
        <w:t>.</w:t>
      </w:r>
    </w:p>
    <w:p w14:paraId="209B58ED" w14:textId="77777777" w:rsidR="006B4DBF" w:rsidRPr="00562A0F" w:rsidRDefault="00297A1D" w:rsidP="006B4DBF">
      <w:pPr>
        <w:spacing w:after="240" w:line="240" w:lineRule="auto"/>
        <w:jc w:val="both"/>
        <w:rPr>
          <w:rFonts w:ascii="Times New Roman" w:hAnsi="Times New Roman"/>
          <w:color w:val="000000" w:themeColor="text1"/>
        </w:rPr>
      </w:pPr>
      <w:r w:rsidRPr="00562A0F">
        <w:rPr>
          <w:rFonts w:ascii="Times New Roman" w:hAnsi="Times New Roman"/>
          <w:color w:val="000000" w:themeColor="text1"/>
          <w:lang w:eastAsia="pt-BR"/>
        </w:rPr>
        <w:t>É por isso que a adoção de tal regime pressupõe um projeto básico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 8.666/93), justamente para evitar distorções relevantes no decorrer da execução contratual, em prejuízo seja da Administração, seja da contratada.</w:t>
      </w:r>
    </w:p>
    <w:p w14:paraId="02AF3951" w14:textId="77777777" w:rsidR="006B4DBF" w:rsidRPr="00562A0F" w:rsidRDefault="00297A1D" w:rsidP="006B4DBF">
      <w:pPr>
        <w:spacing w:after="240" w:line="240" w:lineRule="auto"/>
        <w:jc w:val="both"/>
        <w:rPr>
          <w:rFonts w:ascii="Times New Roman" w:hAnsi="Times New Roman"/>
          <w:color w:val="000000" w:themeColor="text1"/>
        </w:rPr>
      </w:pPr>
      <w:r w:rsidRPr="00562A0F">
        <w:rPr>
          <w:rFonts w:ascii="Times New Roman" w:hAnsi="Times New Roman"/>
          <w:color w:val="000000" w:themeColor="text1"/>
          <w:lang w:eastAsia="pt-BR"/>
        </w:rPr>
        <w:t>Já a empreitada por preço unitário é aquela em que o preço é fixado por unidade determinada. Os pagamentos correspondem à medição dos serviços efetivamente executados, de modo que os contratantes não assumem riscos em relação às diferenças de estimativas de quantitativos. Tal regime é mais apropriado para os casos em que não se conhecem de antemão, com adequado nível de precisão, os quantitativos totais da obra: a execução das “unidades” se dará de acordo com a necessidade observada, com a realização de medições periódicas a fim de quantificar os serviços efetivamente executados e a correspondente remuneração devida.</w:t>
      </w:r>
    </w:p>
    <w:p w14:paraId="17369B44" w14:textId="2B89844F" w:rsidR="006B4DBF" w:rsidRPr="00562A0F" w:rsidRDefault="00297A1D" w:rsidP="006B4DBF">
      <w:pPr>
        <w:spacing w:after="240" w:line="240" w:lineRule="auto"/>
        <w:jc w:val="both"/>
        <w:rPr>
          <w:rFonts w:ascii="Times New Roman" w:hAnsi="Times New Roman"/>
          <w:color w:val="000000" w:themeColor="text1"/>
        </w:rPr>
      </w:pPr>
      <w:r w:rsidRPr="00562A0F">
        <w:rPr>
          <w:rFonts w:ascii="Times New Roman" w:hAnsi="Times New Roman"/>
          <w:color w:val="000000" w:themeColor="text1"/>
          <w:lang w:eastAsia="pt-BR"/>
        </w:rPr>
        <w:t>Não se exige o mesmo nível de precisão da empreitada por preço global, em razão da imprecisão inerente à própria natureza do objeto contratado que está sujeito a variações, especialmente nos quantitativos, por fatores supervenientes ou que não são totalmente conhecidos na fase de planejamento.</w:t>
      </w:r>
      <w:r w:rsidR="006964EF" w:rsidRPr="00562A0F">
        <w:rPr>
          <w:rFonts w:ascii="Times New Roman" w:hAnsi="Times New Roman"/>
          <w:color w:val="000000" w:themeColor="text1"/>
        </w:rPr>
        <w:t xml:space="preserve"> 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w:t>
      </w:r>
      <w:r w:rsidRPr="00562A0F">
        <w:rPr>
          <w:rFonts w:ascii="Times New Roman" w:hAnsi="Times New Roman"/>
          <w:color w:val="000000" w:themeColor="text1"/>
          <w:lang w:eastAsia="pt-BR"/>
        </w:rPr>
        <w:t xml:space="preserve"> Assim, pode-se afirmar que a conveniência de se adotar o regime de empreitada por preço global diminui à medida que se eleva o nível de incerteza sobre o objeto a ser contratado (TCU, Acórdão nº 1.977/2013 - Plenário).</w:t>
      </w:r>
    </w:p>
    <w:p w14:paraId="24EF3415" w14:textId="77777777" w:rsidR="006B4DBF" w:rsidRPr="00562A0F" w:rsidRDefault="00297A1D" w:rsidP="006B4DBF">
      <w:pPr>
        <w:spacing w:after="240" w:line="240" w:lineRule="auto"/>
        <w:jc w:val="both"/>
        <w:rPr>
          <w:rFonts w:ascii="Times New Roman" w:hAnsi="Times New Roman"/>
          <w:color w:val="000000" w:themeColor="text1"/>
        </w:rPr>
      </w:pPr>
      <w:r w:rsidRPr="00562A0F">
        <w:rPr>
          <w:rFonts w:ascii="Times New Roman" w:hAnsi="Times New Roman"/>
          <w:color w:val="000000" w:themeColor="text1"/>
          <w:lang w:eastAsia="pt-BR"/>
        </w:rPr>
        <w:t>Considerando que a escolha entre os regimes de empreitada terá impacto significativo no curso do contrato, no que diz respeito aos critérios de aceitabilidade dos preços unitário e global, às medições e ao regime de pagamento, às modificações contratuais qualitativas/quantitativas, incluindo a margem de tolerância para as alegadas falhas estruturais e de dimensionamento do projeto básico, dentre outros aspectos, é dever do gestor escolher o regime que melhor atende ao interesse público diante das possíveis eventualidades que venham a incidir no contrato, de modo que se pode afirmar que a discricionariedade na adoção de um ou outro regime é consideravelmente mitigada, porquanto a autoridade estará vinculada às opções decorrentes dos estudos e levantamentos preliminares que definirão os modos possíveis de contratação do empreendimento, tendo em vista, principalmente, os parâmetros da eficiência e economicidade.</w:t>
      </w:r>
    </w:p>
    <w:p w14:paraId="07ADD2D6" w14:textId="77777777" w:rsidR="006B4DBF" w:rsidRPr="00562A0F" w:rsidRDefault="00297A1D" w:rsidP="006B4DBF">
      <w:pPr>
        <w:spacing w:after="240" w:line="240" w:lineRule="auto"/>
        <w:jc w:val="both"/>
        <w:rPr>
          <w:rFonts w:ascii="Times New Roman" w:hAnsi="Times New Roman"/>
          <w:color w:val="000000" w:themeColor="text1"/>
        </w:rPr>
      </w:pPr>
      <w:r w:rsidRPr="00562A0F">
        <w:rPr>
          <w:rFonts w:ascii="Times New Roman" w:hAnsi="Times New Roman"/>
          <w:color w:val="000000" w:themeColor="text1"/>
        </w:rPr>
        <w:t>Prossegue o TCU no mesmo Acórdão</w:t>
      </w:r>
      <w:r w:rsidRPr="00562A0F">
        <w:rPr>
          <w:rFonts w:ascii="Times New Roman" w:hAnsi="Times New Roman"/>
          <w:color w:val="000000" w:themeColor="text1"/>
          <w:lang w:eastAsia="pt-BR"/>
        </w:rPr>
        <w:t xml:space="preserve"> nº 1.977/2013 - Plenário</w:t>
      </w:r>
      <w:r w:rsidRPr="00562A0F">
        <w:rPr>
          <w:rFonts w:ascii="Times New Roman" w:hAnsi="Times New Roman"/>
          <w:color w:val="000000" w:themeColor="text1"/>
        </w:rPr>
        <w:t>:</w:t>
      </w:r>
    </w:p>
    <w:p w14:paraId="327E20FA" w14:textId="77777777" w:rsidR="006B4DBF" w:rsidRPr="00562A0F" w:rsidRDefault="00297A1D" w:rsidP="00E7629B">
      <w:pPr>
        <w:pStyle w:val="citaoLU"/>
        <w:rPr>
          <w:sz w:val="22"/>
          <w:szCs w:val="22"/>
        </w:rPr>
      </w:pPr>
      <w:r w:rsidRPr="00562A0F">
        <w:rPr>
          <w:sz w:val="22"/>
          <w:szCs w:val="22"/>
        </w:rPr>
        <w:t xml:space="preserve">a) a escolha do regime de execução contratual pelo gestor deve estar fundamentada nos autos do processo licitatório, em prestígio ao definido no art. 50 da Lei nº 9.784/1999; </w:t>
      </w:r>
    </w:p>
    <w:p w14:paraId="2BC3EA5E" w14:textId="77777777" w:rsidR="006B4DBF" w:rsidRPr="00562A0F" w:rsidRDefault="00297A1D" w:rsidP="00E7629B">
      <w:pPr>
        <w:pStyle w:val="citaoLU"/>
        <w:rPr>
          <w:sz w:val="22"/>
          <w:szCs w:val="22"/>
        </w:rPr>
      </w:pPr>
      <w:r w:rsidRPr="00562A0F">
        <w:rPr>
          <w:sz w:val="22"/>
          <w:szCs w:val="22"/>
        </w:rPr>
        <w:lastRenderedPageBreak/>
        <w:t xml:space="preserve">b) a empreitada por preço global, em regra, em razão de a liquidação de despesas não envolver, necessariamente, a medição unitária dos quantitativos de cada serviço na planilha orçamentária, nos termos do art. 6º, inciso VIII, alínea “a”, da Lei nº 8.666/1993,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como são os casos de reformas de edificação, obras com grandes movimentações de terra e interferências, obras de manutenção rodoviária, dentre outras; </w:t>
      </w:r>
    </w:p>
    <w:p w14:paraId="1602DFEF" w14:textId="77777777" w:rsidR="006B4DBF" w:rsidRPr="00562A0F" w:rsidRDefault="00297A1D" w:rsidP="00E7629B">
      <w:pPr>
        <w:pStyle w:val="citaoLU"/>
        <w:rPr>
          <w:sz w:val="22"/>
          <w:szCs w:val="22"/>
        </w:rPr>
      </w:pPr>
      <w:r w:rsidRPr="00562A0F">
        <w:rPr>
          <w:sz w:val="22"/>
          <w:szCs w:val="22"/>
        </w:rPr>
        <w:t xml:space="preserve">c) nas situações em que, mesmo diante de objeto com imprecisão intrínseca de quantitativos, tal qual asseverado na letra “b” supra, se preferir a utilização da empreitada por preço global, deve ser justificada, no bojo do processo licitatório, a vantagem dessa transferência maior de riscos para o particular - e, consequentemente, maiores preços ofertados - em termos técnicos, econômicos ou outro objetivamente motivado, bem assim como os impactos decorrentes desses riscos na composição do orçamento da obra, em especial a taxa de BDI (Bonificação e Despesas Indiretas); (Acórdão nº 1977/2013 – Plenário). </w:t>
      </w:r>
    </w:p>
    <w:p w14:paraId="075587C1" w14:textId="77777777" w:rsidR="006B4DBF" w:rsidRPr="00562A0F" w:rsidRDefault="006B4DBF" w:rsidP="006B4DBF">
      <w:pPr>
        <w:spacing w:after="240" w:line="240" w:lineRule="auto"/>
        <w:jc w:val="both"/>
        <w:rPr>
          <w:rFonts w:ascii="Times New Roman" w:hAnsi="Times New Roman"/>
        </w:rPr>
      </w:pPr>
    </w:p>
    <w:p w14:paraId="7745A5DE" w14:textId="7B9F806A" w:rsidR="006B4DBF" w:rsidRPr="00562A0F" w:rsidRDefault="00297A1D" w:rsidP="006B4DBF">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xml:space="preserve">: O regime de execução para a presente contratação é a (   ) EMPREITADA POR PREÇO GLOBAL ou (   ) EMPREITADA POR PREÇO UNITÁRIO ou (   ) TAREFA ou (   ) EMPREITADA INTEGRAL, de acordo com as diretrizes acima e as seguintes considerações: </w:t>
      </w:r>
    </w:p>
    <w:p w14:paraId="45F91CAD" w14:textId="77777777" w:rsidR="00B063F1" w:rsidRPr="00562A0F" w:rsidRDefault="00B063F1" w:rsidP="00B063F1">
      <w:pPr>
        <w:spacing w:after="240" w:line="240" w:lineRule="auto"/>
        <w:jc w:val="both"/>
        <w:rPr>
          <w:rFonts w:ascii="Times New Roman" w:hAnsi="Times New Roman"/>
        </w:rPr>
      </w:pPr>
      <w:r w:rsidRPr="00562A0F">
        <w:rPr>
          <w:rFonts w:ascii="Times New Roman" w:hAnsi="Times New Roman"/>
        </w:rPr>
        <w:t>-----------------------------------------------------------------------------------------------------------------------------------------------------------------------------------------------------------------------------------------------------------------------------------------------------------------------------------------------------------------------------------------------------------------------------------------------------------------------------------------------------------------------------------------------------------------------------------------------------------------------------------------------------------</w:t>
      </w:r>
    </w:p>
    <w:p w14:paraId="00CDE966" w14:textId="77777777" w:rsidR="00B063F1" w:rsidRPr="00562A0F" w:rsidRDefault="00B063F1" w:rsidP="00B063F1">
      <w:pPr>
        <w:spacing w:after="240" w:line="240" w:lineRule="auto"/>
        <w:jc w:val="both"/>
        <w:rPr>
          <w:rFonts w:ascii="Times New Roman" w:hAnsi="Times New Roman"/>
        </w:rPr>
      </w:pPr>
    </w:p>
    <w:p w14:paraId="767FABA5" w14:textId="77777777" w:rsidR="0090645F" w:rsidRPr="00562A0F" w:rsidRDefault="0090645F" w:rsidP="00297ABB">
      <w:pPr>
        <w:pStyle w:val="PargrafodaLista"/>
        <w:numPr>
          <w:ilvl w:val="1"/>
          <w:numId w:val="1"/>
        </w:numPr>
        <w:spacing w:after="240" w:line="240" w:lineRule="auto"/>
        <w:jc w:val="both"/>
        <w:rPr>
          <w:rFonts w:ascii="Times New Roman" w:hAnsi="Times New Roman"/>
          <w:b/>
          <w:bCs/>
          <w:u w:val="single"/>
        </w:rPr>
      </w:pPr>
      <w:r w:rsidRPr="00562A0F">
        <w:rPr>
          <w:rFonts w:ascii="Times New Roman" w:hAnsi="Times New Roman"/>
          <w:b/>
          <w:bCs/>
          <w:u w:val="single"/>
        </w:rPr>
        <w:t>Caso adotado o regime de empreitada por preço global ou integral: definição das “subestimativas” e “superestimativas” relevantes</w:t>
      </w:r>
    </w:p>
    <w:p w14:paraId="30B15058" w14:textId="77777777" w:rsidR="00B063F1" w:rsidRPr="005631DD" w:rsidRDefault="00297A1D" w:rsidP="00B063F1">
      <w:pPr>
        <w:spacing w:after="240" w:line="240" w:lineRule="auto"/>
        <w:jc w:val="both"/>
        <w:rPr>
          <w:rFonts w:ascii="Times New Roman" w:hAnsi="Times New Roman"/>
          <w:color w:val="000000" w:themeColor="text1"/>
        </w:rPr>
      </w:pPr>
      <w:r w:rsidRPr="005631DD">
        <w:rPr>
          <w:rFonts w:ascii="Times New Roman" w:hAnsi="Times New Roman"/>
          <w:color w:val="000000" w:themeColor="text1"/>
        </w:rPr>
        <w:t>A definição das chamadas "subestimativas e superestimativas relevantes" decorre de orientação do TCU para os contratos por empreitada por preço global ou integral (Acórdão nº 1.977/2013 - Plenário), a fim de garantir segurança jurídica em caso de eventual necessidade de aditivos para correção de projeto.</w:t>
      </w:r>
    </w:p>
    <w:p w14:paraId="1D64013C" w14:textId="77777777" w:rsidR="00B063F1" w:rsidRPr="005631DD" w:rsidRDefault="00297A1D" w:rsidP="00B063F1">
      <w:pPr>
        <w:spacing w:after="240" w:line="240" w:lineRule="auto"/>
        <w:jc w:val="both"/>
        <w:rPr>
          <w:rFonts w:ascii="Times New Roman" w:hAnsi="Times New Roman"/>
          <w:color w:val="000000" w:themeColor="text1"/>
        </w:rPr>
      </w:pPr>
      <w:r w:rsidRPr="005631DD">
        <w:rPr>
          <w:rFonts w:ascii="Times New Roman" w:hAnsi="Times New Roman"/>
          <w:color w:val="000000" w:themeColor="text1"/>
        </w:rPr>
        <w:t> Segundo avalia o TCU, ambas as partes - Administração e contratada - são obrigadas a arcar com as imprecisões do projeto na empreitada por preço global - porém, apenas até o limite do enriquecimento sem causa de uma parte em detrimento da outra.</w:t>
      </w:r>
    </w:p>
    <w:p w14:paraId="2090164B" w14:textId="77777777" w:rsidR="00B063F1" w:rsidRPr="005631DD" w:rsidRDefault="00297A1D" w:rsidP="00B063F1">
      <w:pPr>
        <w:spacing w:after="240" w:line="240" w:lineRule="auto"/>
        <w:jc w:val="both"/>
        <w:rPr>
          <w:rFonts w:ascii="Times New Roman" w:hAnsi="Times New Roman"/>
          <w:color w:val="000000" w:themeColor="text1"/>
        </w:rPr>
      </w:pPr>
      <w:r w:rsidRPr="005631DD">
        <w:rPr>
          <w:rFonts w:ascii="Times New Roman" w:hAnsi="Times New Roman"/>
          <w:color w:val="000000" w:themeColor="text1"/>
        </w:rPr>
        <w:t>Assim, "pequenos erros quantitativos" devem ser tolerados e não devem acarretar a celebração de termos aditivos em empreitadas globais, "por se tratarem de erros acidentais, incapazes de interferir na formação de vontades e, principalmente, na formação de proposta a ser ofertada, a ser tida como a mais vantajosa."</w:t>
      </w:r>
    </w:p>
    <w:p w14:paraId="52B3F743" w14:textId="77777777" w:rsidR="00B063F1" w:rsidRPr="005631DD" w:rsidRDefault="00297A1D" w:rsidP="00B063F1">
      <w:pPr>
        <w:spacing w:after="240" w:line="240" w:lineRule="auto"/>
        <w:jc w:val="both"/>
        <w:rPr>
          <w:rFonts w:ascii="Times New Roman" w:hAnsi="Times New Roman"/>
          <w:color w:val="000000" w:themeColor="text1"/>
        </w:rPr>
      </w:pPr>
      <w:r w:rsidRPr="005631DD">
        <w:rPr>
          <w:rFonts w:ascii="Times New Roman" w:hAnsi="Times New Roman"/>
          <w:color w:val="000000" w:themeColor="text1"/>
        </w:rPr>
        <w:t xml:space="preserve">Porém, o cenário se altera caso ocorram "erros substanciais" - daí a necessidade de estabelecer um critério objetivo para diferenciá-los. </w:t>
      </w:r>
    </w:p>
    <w:p w14:paraId="5D21B222" w14:textId="77777777" w:rsidR="00B063F1" w:rsidRPr="005631DD" w:rsidRDefault="00297A1D" w:rsidP="00B063F1">
      <w:pPr>
        <w:spacing w:after="240" w:line="240" w:lineRule="auto"/>
        <w:jc w:val="both"/>
        <w:rPr>
          <w:rFonts w:ascii="Times New Roman" w:hAnsi="Times New Roman"/>
          <w:color w:val="000000" w:themeColor="text1"/>
        </w:rPr>
      </w:pPr>
      <w:r w:rsidRPr="005631DD">
        <w:rPr>
          <w:rFonts w:ascii="Times New Roman" w:hAnsi="Times New Roman"/>
          <w:color w:val="000000" w:themeColor="text1"/>
        </w:rPr>
        <w:lastRenderedPageBreak/>
        <w:t>O setor técnico deve elaborar uma matriz de riscos para analisar os riscos do projeto e definir a margem de tolerância de erro quantitativo a ser acatada pelas partes, tanto a menor ("subestimativas" em desfavor da contratada) quanto a maior ("superestimativas" em desfavor da Administração).</w:t>
      </w:r>
    </w:p>
    <w:p w14:paraId="70BBB8A9" w14:textId="07B27068" w:rsidR="00B063F1" w:rsidRPr="005631DD" w:rsidRDefault="00297A1D" w:rsidP="00B063F1">
      <w:pPr>
        <w:spacing w:after="240" w:line="240" w:lineRule="auto"/>
        <w:jc w:val="both"/>
        <w:rPr>
          <w:rFonts w:ascii="Times New Roman" w:hAnsi="Times New Roman"/>
          <w:color w:val="000000" w:themeColor="text1"/>
        </w:rPr>
      </w:pPr>
      <w:r w:rsidRPr="005631DD">
        <w:rPr>
          <w:rFonts w:ascii="Times New Roman" w:hAnsi="Times New Roman"/>
          <w:color w:val="000000" w:themeColor="text1"/>
        </w:rPr>
        <w:t>Tal margem de tolerância será fixada sob a forma de um percentual incidente sobre as quantidades do serviço.</w:t>
      </w:r>
    </w:p>
    <w:p w14:paraId="6EC734C0" w14:textId="765154FB" w:rsidR="005C5B4A" w:rsidRPr="005C5B4A" w:rsidRDefault="005C5B4A" w:rsidP="005C5B4A">
      <w:pPr>
        <w:spacing w:after="48" w:line="288" w:lineRule="atLeast"/>
        <w:jc w:val="both"/>
        <w:rPr>
          <w:rFonts w:ascii="Times New Roman" w:eastAsia="Times New Roman" w:hAnsi="Times New Roman"/>
          <w:color w:val="000000"/>
          <w:lang w:eastAsia="pt-BR"/>
        </w:rPr>
      </w:pPr>
      <w:r w:rsidRPr="005C5B4A">
        <w:rPr>
          <w:rFonts w:ascii="Times New Roman" w:eastAsia="Times New Roman" w:hAnsi="Times New Roman"/>
          <w:color w:val="000000"/>
          <w:lang w:eastAsia="pt-BR"/>
        </w:rPr>
        <w:t>Nesse ponto convém notar que a inclusão dos riscos do empreendimento é parte obrigatória da remuneração da empresa contratada, nos termo</w:t>
      </w:r>
      <w:r w:rsidRPr="00562A0F">
        <w:rPr>
          <w:rFonts w:ascii="Times New Roman" w:eastAsia="Times New Roman" w:hAnsi="Times New Roman"/>
          <w:color w:val="000000"/>
          <w:lang w:eastAsia="pt-BR"/>
        </w:rPr>
        <w:t>s</w:t>
      </w:r>
      <w:r w:rsidRPr="005C5B4A">
        <w:rPr>
          <w:rFonts w:ascii="Times New Roman" w:eastAsia="Times New Roman" w:hAnsi="Times New Roman"/>
          <w:color w:val="000000"/>
          <w:lang w:eastAsia="pt-BR"/>
        </w:rPr>
        <w:t xml:space="preserve"> do art. 9º do Decreto n. 7.983, de 2013, que traz a composição do BDI:</w:t>
      </w:r>
    </w:p>
    <w:p w14:paraId="6B3F99EA" w14:textId="77777777" w:rsidR="005C5B4A" w:rsidRPr="00562A0F" w:rsidRDefault="005C5B4A" w:rsidP="005C5B4A">
      <w:pPr>
        <w:pStyle w:val="citaoLU"/>
        <w:rPr>
          <w:sz w:val="22"/>
          <w:szCs w:val="22"/>
          <w:lang w:eastAsia="pt-BR"/>
        </w:rPr>
      </w:pPr>
      <w:r w:rsidRPr="00562A0F">
        <w:rPr>
          <w:sz w:val="22"/>
          <w:szCs w:val="22"/>
          <w:lang w:eastAsia="pt-BR"/>
        </w:rPr>
        <w:t>Art. 9º O preço global de referência será o resultante do custo global de referência acrescido do valor correspondente ao BDI, que deverá evidenciar em sua composição, no mínimo:</w:t>
      </w:r>
    </w:p>
    <w:p w14:paraId="0200A311" w14:textId="77777777" w:rsidR="005C5B4A" w:rsidRPr="00562A0F" w:rsidRDefault="005C5B4A" w:rsidP="005C5B4A">
      <w:pPr>
        <w:pStyle w:val="citaoLU"/>
        <w:rPr>
          <w:sz w:val="22"/>
          <w:szCs w:val="22"/>
          <w:lang w:eastAsia="pt-BR"/>
        </w:rPr>
      </w:pPr>
      <w:r w:rsidRPr="00562A0F">
        <w:rPr>
          <w:sz w:val="22"/>
          <w:szCs w:val="22"/>
          <w:lang w:eastAsia="pt-BR"/>
        </w:rPr>
        <w:t>I - taxa de rateio da administração central;</w:t>
      </w:r>
    </w:p>
    <w:p w14:paraId="6D7C7CCB" w14:textId="77777777" w:rsidR="005C5B4A" w:rsidRPr="00562A0F" w:rsidRDefault="005C5B4A" w:rsidP="005C5B4A">
      <w:pPr>
        <w:pStyle w:val="citaoLU"/>
        <w:rPr>
          <w:sz w:val="22"/>
          <w:szCs w:val="22"/>
          <w:lang w:eastAsia="pt-BR"/>
        </w:rPr>
      </w:pPr>
      <w:r w:rsidRPr="00562A0F">
        <w:rPr>
          <w:sz w:val="22"/>
          <w:szCs w:val="22"/>
          <w:lang w:eastAsia="pt-BR"/>
        </w:rPr>
        <w:t>II - percentuais de tributos incidentes sobre o preço do serviço, excluídos aqueles de natureza direta e personalística que oneram o contratado;</w:t>
      </w:r>
    </w:p>
    <w:p w14:paraId="5BCC6BBC" w14:textId="77777777" w:rsidR="005C5B4A" w:rsidRPr="00562A0F" w:rsidRDefault="005C5B4A" w:rsidP="005C5B4A">
      <w:pPr>
        <w:pStyle w:val="citaoLU"/>
        <w:rPr>
          <w:sz w:val="22"/>
          <w:szCs w:val="22"/>
          <w:lang w:eastAsia="pt-BR"/>
        </w:rPr>
      </w:pPr>
      <w:r w:rsidRPr="00562A0F">
        <w:rPr>
          <w:sz w:val="22"/>
          <w:szCs w:val="22"/>
          <w:lang w:eastAsia="pt-BR"/>
        </w:rPr>
        <w:t>III - taxa de risco, seguro e garantia do empreendimento; e</w:t>
      </w:r>
    </w:p>
    <w:p w14:paraId="4C4E031B" w14:textId="77777777" w:rsidR="005C5B4A" w:rsidRPr="00562A0F" w:rsidRDefault="005C5B4A" w:rsidP="005C5B4A">
      <w:pPr>
        <w:pStyle w:val="citaoLU"/>
        <w:rPr>
          <w:sz w:val="22"/>
          <w:szCs w:val="22"/>
          <w:lang w:eastAsia="pt-BR"/>
        </w:rPr>
      </w:pPr>
      <w:r w:rsidRPr="00562A0F">
        <w:rPr>
          <w:sz w:val="22"/>
          <w:szCs w:val="22"/>
          <w:lang w:eastAsia="pt-BR"/>
        </w:rPr>
        <w:t>IV - taxa de lucro.</w:t>
      </w:r>
    </w:p>
    <w:p w14:paraId="67DA0DA7" w14:textId="1BB25671" w:rsidR="005C5B4A" w:rsidRPr="005C5B4A" w:rsidRDefault="005C5B4A" w:rsidP="005631DD">
      <w:pPr>
        <w:spacing w:after="240" w:line="288" w:lineRule="atLeast"/>
        <w:jc w:val="both"/>
        <w:rPr>
          <w:rFonts w:ascii="Times New Roman" w:eastAsia="Times New Roman" w:hAnsi="Times New Roman"/>
          <w:color w:val="000000"/>
          <w:lang w:eastAsia="pt-BR"/>
        </w:rPr>
      </w:pPr>
      <w:r w:rsidRPr="005C5B4A">
        <w:rPr>
          <w:rFonts w:ascii="Times New Roman" w:eastAsia="Times New Roman" w:hAnsi="Times New Roman"/>
          <w:color w:val="000000"/>
          <w:lang w:eastAsia="pt-BR"/>
        </w:rPr>
        <w:t>Ora, a Taxa de Risco compreende os “riscos de construção”, os “riscos normais de projetos de engenharia”, bem como os “riscos de erros de projetos e engenharia”, conforme se extrai do Acórdão TCU n. 2622/2013-Plenário. Portanto, não é compreensível que a Administração venha a remunerar esses riscos e ao mesmo tempo assum</w:t>
      </w:r>
      <w:r w:rsidRPr="00562A0F">
        <w:rPr>
          <w:rFonts w:ascii="Times New Roman" w:eastAsia="Times New Roman" w:hAnsi="Times New Roman"/>
          <w:color w:val="000000"/>
          <w:lang w:eastAsia="pt-BR"/>
        </w:rPr>
        <w:t>a</w:t>
      </w:r>
      <w:r w:rsidRPr="005C5B4A">
        <w:rPr>
          <w:rFonts w:ascii="Times New Roman" w:eastAsia="Times New Roman" w:hAnsi="Times New Roman"/>
          <w:color w:val="000000"/>
          <w:lang w:eastAsia="pt-BR"/>
        </w:rPr>
        <w:t xml:space="preserve"> o ônus de </w:t>
      </w:r>
      <w:r w:rsidRPr="005C5B4A">
        <w:rPr>
          <w:rFonts w:ascii="Times New Roman" w:eastAsia="Times New Roman" w:hAnsi="Times New Roman"/>
          <w:b/>
          <w:bCs/>
          <w:color w:val="000000"/>
          <w:lang w:eastAsia="pt-BR"/>
        </w:rPr>
        <w:t>quaisquer</w:t>
      </w:r>
      <w:r w:rsidRPr="005C5B4A">
        <w:rPr>
          <w:rFonts w:ascii="Times New Roman" w:eastAsia="Times New Roman" w:hAnsi="Times New Roman"/>
          <w:color w:val="000000"/>
          <w:lang w:eastAsia="pt-BR"/>
        </w:rPr>
        <w:t> quantitativos subestimados por meio da celebração de aditivos, tal como seria no regime de empreitada por preço unitário. Daí a taxa de risco fixada pela Administração por ocasião da elaboração do BDI é um importante fator a ser levado em consideração no cálculo das superestimavas e subestimavas relevantes.</w:t>
      </w:r>
    </w:p>
    <w:p w14:paraId="6D99B5FF" w14:textId="1AB6AFF0" w:rsidR="0095003C" w:rsidRPr="00562A0F" w:rsidRDefault="005C5B4A" w:rsidP="005631DD">
      <w:pPr>
        <w:spacing w:after="240" w:line="288" w:lineRule="atLeast"/>
        <w:jc w:val="both"/>
        <w:rPr>
          <w:rFonts w:ascii="Times New Roman" w:hAnsi="Times New Roman"/>
        </w:rPr>
      </w:pPr>
      <w:r w:rsidRPr="005C5B4A">
        <w:rPr>
          <w:rFonts w:ascii="Times New Roman" w:eastAsia="Times New Roman" w:hAnsi="Times New Roman"/>
          <w:color w:val="000000"/>
          <w:lang w:eastAsia="pt-BR"/>
        </w:rPr>
        <w:t>Além disso, A Orientação Técnica n. 04/2011 do Instituto Brasileiro de Engenharia de Custos, seguindo padrões internacionais (ICEC - International Cost Engineering Council), indica uma margem de erro de um orçamento de referência de aproximadamente 5% (cinco por cento) para um Projeto Básico quando caracterizada uma situação de utilização de empreitada por preço global, ou seja: quando todas as informações necessárias para a confecção de uma planilha orçamentária detalhada estão disponíveis. Assim, esse parâmetro pode ser utilizado pela Administração como critério médio que pode variar conforme o risco de cada etapa do projeto. Em todo caso, porém, compete exclusivamente à área técnica a definição dos respectivos percentuais de subestimavas e superestimavas relevantes.</w:t>
      </w:r>
    </w:p>
    <w:p w14:paraId="6CA82454" w14:textId="01D3ABBA" w:rsidR="00B063F1" w:rsidRPr="00562A0F" w:rsidRDefault="0095003C" w:rsidP="00B063F1">
      <w:pPr>
        <w:spacing w:after="240" w:line="240" w:lineRule="auto"/>
        <w:jc w:val="both"/>
        <w:rPr>
          <w:rFonts w:ascii="Times New Roman" w:hAnsi="Times New Roman"/>
          <w:color w:val="000000" w:themeColor="text1"/>
        </w:rPr>
      </w:pPr>
      <w:r w:rsidRPr="00562A0F">
        <w:rPr>
          <w:rFonts w:ascii="Times New Roman" w:hAnsi="Times New Roman"/>
          <w:color w:val="000000" w:themeColor="text1"/>
        </w:rPr>
        <w:t>Uma vez fixados os percentuais, d</w:t>
      </w:r>
      <w:r w:rsidR="00297A1D" w:rsidRPr="00562A0F">
        <w:rPr>
          <w:rFonts w:ascii="Times New Roman" w:hAnsi="Times New Roman"/>
          <w:color w:val="000000" w:themeColor="text1"/>
        </w:rPr>
        <w:t xml:space="preserve">urante a execução contratual, se for constatado um erro de quantitativo ("subestimativa" ou "superestimativa") em determinado serviço, o setor técnico comparará com o percentual fixado na matriz de riscos. </w:t>
      </w:r>
    </w:p>
    <w:p w14:paraId="09868AF4" w14:textId="3AD02B26" w:rsidR="00B063F1" w:rsidRPr="00562A0F" w:rsidRDefault="00297A1D" w:rsidP="00B063F1">
      <w:pPr>
        <w:spacing w:after="240" w:line="240" w:lineRule="auto"/>
        <w:jc w:val="both"/>
        <w:rPr>
          <w:rFonts w:ascii="Times New Roman" w:hAnsi="Times New Roman"/>
          <w:color w:val="000000" w:themeColor="text1"/>
        </w:rPr>
      </w:pPr>
      <w:r w:rsidRPr="00562A0F">
        <w:rPr>
          <w:rFonts w:ascii="Times New Roman" w:hAnsi="Times New Roman"/>
          <w:color w:val="000000" w:themeColor="text1"/>
        </w:rPr>
        <w:t>Se o percentual do erro ficar abaixo do percentual limite, significa que o erro não é relevante: trata-se de risco ordinário do empreendimento, já remunerado pela taxa de “risco” que consta do BDI da obra ou serviço, e não deve fundamentar a prolação de termo aditivo.</w:t>
      </w:r>
    </w:p>
    <w:p w14:paraId="098D5D6E" w14:textId="77777777" w:rsidR="00B063F1" w:rsidRPr="00562A0F" w:rsidRDefault="00297A1D" w:rsidP="00B063F1">
      <w:pPr>
        <w:spacing w:after="240" w:line="240" w:lineRule="auto"/>
        <w:jc w:val="both"/>
        <w:rPr>
          <w:rFonts w:ascii="Times New Roman" w:hAnsi="Times New Roman"/>
          <w:color w:val="000000" w:themeColor="text1"/>
        </w:rPr>
      </w:pPr>
      <w:r w:rsidRPr="00562A0F">
        <w:rPr>
          <w:rFonts w:ascii="Times New Roman" w:hAnsi="Times New Roman"/>
          <w:color w:val="000000" w:themeColor="text1"/>
        </w:rPr>
        <w:lastRenderedPageBreak/>
        <w:t>Porém, se o percentual do erro ficar acima do percentual limite, será considerado relevante e permitirá a prolação do termo aditivo – sem prejuízo da análise técnica acerca dos demais requisitos necessários para as modificações contratuais, nos termos do art. 65, I e II, da Lei nº 8.666/93.</w:t>
      </w:r>
    </w:p>
    <w:p w14:paraId="0F45ED93" w14:textId="77777777" w:rsidR="00B063F1" w:rsidRPr="00562A0F" w:rsidRDefault="00297A1D" w:rsidP="00B063F1">
      <w:pPr>
        <w:spacing w:after="240" w:line="240" w:lineRule="auto"/>
        <w:jc w:val="both"/>
        <w:rPr>
          <w:rFonts w:ascii="Times New Roman" w:hAnsi="Times New Roman"/>
          <w:color w:val="000000" w:themeColor="text1"/>
        </w:rPr>
      </w:pPr>
      <w:r w:rsidRPr="00562A0F">
        <w:rPr>
          <w:rFonts w:ascii="Times New Roman" w:hAnsi="Times New Roman"/>
          <w:color w:val="000000" w:themeColor="text1"/>
        </w:rPr>
        <w:t xml:space="preserve">Segue o exemplo do TCU: “os contratos podem, com simplicidade, objetivar que erros unitários de quantidade de até 10% não sejam objeto de qualquer revisão. Menos que isso, esses erros acidentais serão álea ordinária da contratada. Para que não haja incontáveis pedidos de reequilíbrio decorrentes de serviços de pequena monta, pode-se, ainda, definir que somente serviços de materialidade relevante na curva ABC do empreendimento incorrerão como tarja de “erro relevante”. Mantém, assim, a lógica da medição por preço global, ao mesmo tempo em que se veda o enriquecimento sem causa de qualquer das partes, sem ferir o princípio fundamental da obtenção da melhor proposta”. </w:t>
      </w:r>
    </w:p>
    <w:p w14:paraId="08B7E51E" w14:textId="70169841" w:rsidR="00B063F1" w:rsidRPr="00562A0F" w:rsidRDefault="00297A1D" w:rsidP="00B063F1">
      <w:pPr>
        <w:spacing w:after="240" w:line="240" w:lineRule="auto"/>
        <w:jc w:val="both"/>
        <w:rPr>
          <w:rFonts w:ascii="Times New Roman" w:hAnsi="Times New Roman"/>
          <w:color w:val="000000" w:themeColor="text1"/>
        </w:rPr>
      </w:pPr>
      <w:r w:rsidRPr="00562A0F">
        <w:rPr>
          <w:rFonts w:ascii="Times New Roman" w:hAnsi="Times New Roman"/>
          <w:color w:val="000000" w:themeColor="text1"/>
        </w:rPr>
        <w:t xml:space="preserve">Assim, a definição do percentual de tolerância pode abranger cada item de serviço, grupos de serviços ou apenas os serviços de maior relevância da contratação (avaliados de acordo com a metodologia ABC) – nesse último caso, o erro de quantitativo só ensejará a prolação do termo aditivo se atingir justamente um dos serviços agrupados na curva “A” da contratação, ou nas curvas “A” e “B” (podendo prever um percentual limite maior para os serviços da curva “B” em relação à curva “A”, por exemplo). </w:t>
      </w:r>
    </w:p>
    <w:p w14:paraId="11DD52AB" w14:textId="77777777" w:rsidR="00B063F1" w:rsidRPr="00562A0F" w:rsidRDefault="00297A1D" w:rsidP="00B063F1">
      <w:pPr>
        <w:spacing w:after="240" w:line="240" w:lineRule="auto"/>
        <w:jc w:val="both"/>
        <w:rPr>
          <w:rFonts w:ascii="Times New Roman" w:hAnsi="Times New Roman"/>
          <w:color w:val="000000" w:themeColor="text1"/>
        </w:rPr>
      </w:pPr>
      <w:r w:rsidRPr="00562A0F">
        <w:rPr>
          <w:rFonts w:ascii="Times New Roman" w:hAnsi="Times New Roman"/>
          <w:color w:val="000000" w:themeColor="text1"/>
        </w:rPr>
        <w:t>Trata-se de questão técnica, a ser avaliada pelo setor em cada licitação, de acordo com as peculiaridades do objeto.</w:t>
      </w:r>
    </w:p>
    <w:p w14:paraId="72B92862" w14:textId="77777777" w:rsidR="00297A1D" w:rsidRPr="00562A0F" w:rsidRDefault="00297A1D" w:rsidP="00B063F1">
      <w:pPr>
        <w:spacing w:after="240" w:line="240" w:lineRule="auto"/>
        <w:jc w:val="both"/>
        <w:rPr>
          <w:rFonts w:ascii="Times New Roman" w:hAnsi="Times New Roman"/>
          <w:color w:val="FF0000"/>
        </w:rPr>
      </w:pPr>
      <w:r w:rsidRPr="00562A0F">
        <w:rPr>
          <w:rFonts w:ascii="Times New Roman" w:hAnsi="Times New Roman"/>
          <w:color w:val="000000" w:themeColor="text1"/>
        </w:rPr>
        <w:t>Por fim, nos termos do art. 13, inciso II, do Decreto nº 7.983, de 2013, as alterações contratuais sob alegação de falhas ou omissões não poderão ultrapassar, no seu conjunto, 10% (dez por cento) do valor total do contrato, computando-se esse percentual para verificação do limite previsto no § 1º do art. 65 da Lei nº 8.666, de 1993</w:t>
      </w:r>
      <w:r w:rsidRPr="00562A0F">
        <w:rPr>
          <w:rFonts w:ascii="Times New Roman" w:hAnsi="Times New Roman"/>
          <w:color w:val="FF0000"/>
        </w:rPr>
        <w:t xml:space="preserve">. </w:t>
      </w:r>
    </w:p>
    <w:p w14:paraId="444F35A2" w14:textId="77777777" w:rsidR="00B063F1" w:rsidRPr="00562A0F" w:rsidRDefault="00B063F1" w:rsidP="00B063F1">
      <w:pPr>
        <w:spacing w:after="240" w:line="240" w:lineRule="auto"/>
        <w:jc w:val="both"/>
        <w:rPr>
          <w:rFonts w:ascii="Times New Roman" w:hAnsi="Times New Roman"/>
          <w:color w:val="FF0000"/>
        </w:rPr>
      </w:pPr>
    </w:p>
    <w:p w14:paraId="2DC94F69" w14:textId="42A4078E" w:rsidR="00297A1D" w:rsidRPr="00562A0F" w:rsidRDefault="00297A1D" w:rsidP="00B063F1">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xml:space="preserve">: O Projeto Básico </w:t>
      </w:r>
      <w:r w:rsidR="00084DBE" w:rsidRPr="00562A0F">
        <w:rPr>
          <w:rFonts w:ascii="Times New Roman" w:hAnsi="Times New Roman"/>
        </w:rPr>
        <w:t xml:space="preserve">da obra ou serviço, cujo regime de execução é o de empreitada por preço global ou empreitada integral, </w:t>
      </w:r>
      <w:r w:rsidRPr="00562A0F">
        <w:rPr>
          <w:rFonts w:ascii="Times New Roman" w:hAnsi="Times New Roman"/>
        </w:rPr>
        <w:t xml:space="preserve">DEFINIU as subestimativas e superestimativas relevantes dos serviços relativos à presente contratação, segundo as diretrizes do Acórdão nº 1.977/2013 – Plenário TCU, adotando os seguintes parâmetros: </w:t>
      </w:r>
    </w:p>
    <w:p w14:paraId="1EF83488" w14:textId="77777777" w:rsidR="00297A1D" w:rsidRPr="00562A0F" w:rsidRDefault="00297A1D" w:rsidP="00B063F1">
      <w:pPr>
        <w:spacing w:after="240" w:line="240" w:lineRule="auto"/>
        <w:jc w:val="both"/>
        <w:rPr>
          <w:rFonts w:ascii="Times New Roman" w:hAnsi="Times New Roman"/>
        </w:rPr>
      </w:pPr>
      <w:r w:rsidRPr="00562A0F">
        <w:rPr>
          <w:rFonts w:ascii="Times New Roman" w:hAnsi="Times New Roman"/>
        </w:rPr>
        <w:t>-------------------------------------------------------------------------------------------------------------------------------------------------------------------------------------------------------------------------------------------------------------------------------------------------------------------------------------------------------------------------------------------------------------------------------------------------------------------------------------------------------------------------------------------------------------------------------------</w:t>
      </w:r>
      <w:r w:rsidR="00B063F1" w:rsidRPr="00562A0F">
        <w:rPr>
          <w:rFonts w:ascii="Times New Roman" w:hAnsi="Times New Roman"/>
        </w:rPr>
        <w:t>----------------------------------------------------------------------</w:t>
      </w:r>
    </w:p>
    <w:p w14:paraId="33040087" w14:textId="77777777" w:rsidR="00B063F1" w:rsidRPr="00562A0F" w:rsidRDefault="00B063F1" w:rsidP="00B063F1">
      <w:pPr>
        <w:spacing w:after="240" w:line="240" w:lineRule="auto"/>
        <w:jc w:val="both"/>
        <w:rPr>
          <w:rFonts w:ascii="Times New Roman" w:hAnsi="Times New Roman"/>
        </w:rPr>
      </w:pPr>
    </w:p>
    <w:p w14:paraId="3B94FA95" w14:textId="77777777" w:rsidR="0090645F"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ORÇAMENTO DETALHADO EM PLANILHAS DE CUSTOS UNITÁRIOS</w:t>
      </w:r>
    </w:p>
    <w:p w14:paraId="7A5F9CB1" w14:textId="77777777" w:rsidR="00B063F1" w:rsidRPr="00562A0F" w:rsidRDefault="00DD1EB9" w:rsidP="00B063F1">
      <w:pPr>
        <w:spacing w:after="240" w:line="240" w:lineRule="auto"/>
        <w:jc w:val="both"/>
        <w:rPr>
          <w:rFonts w:ascii="Times New Roman" w:hAnsi="Times New Roman"/>
        </w:rPr>
      </w:pPr>
      <w:r w:rsidRPr="00562A0F">
        <w:rPr>
          <w:rFonts w:ascii="Times New Roman" w:hAnsi="Times New Roman"/>
          <w:color w:val="000000"/>
          <w:lang w:eastAsia="pt-BR"/>
        </w:rPr>
        <w:t>O orçamento de referência da obra ou serviço de engenharia deve trazer o detalhamento do preço global de referência que expressa a descrição, quantidades e custos unitários de todos os serviços, incluídas as respectivas composições de custos unitários, necessários à execução da obra e compatíveis com o projeto que integra o edital de licitação (art. 2º, VIII, do Decreto nº 7.983, de 2013).</w:t>
      </w:r>
    </w:p>
    <w:p w14:paraId="410B3CD8" w14:textId="77777777" w:rsidR="00B063F1" w:rsidRPr="00562A0F" w:rsidRDefault="00DD1EB9" w:rsidP="00B063F1">
      <w:pPr>
        <w:spacing w:after="240" w:line="240" w:lineRule="auto"/>
        <w:jc w:val="both"/>
        <w:rPr>
          <w:rFonts w:ascii="Times New Roman" w:hAnsi="Times New Roman"/>
        </w:rPr>
      </w:pPr>
      <w:r w:rsidRPr="00562A0F">
        <w:rPr>
          <w:rFonts w:ascii="Times New Roman" w:hAnsi="Times New Roman"/>
          <w:color w:val="000000"/>
          <w:lang w:eastAsia="pt-BR"/>
        </w:rPr>
        <w:t>Normalmente, tal orçamento é composto por duas planilhas: sintética e analítica.</w:t>
      </w:r>
    </w:p>
    <w:p w14:paraId="6729FEC3" w14:textId="77777777" w:rsidR="00B063F1" w:rsidRPr="00562A0F" w:rsidRDefault="00DD1EB9" w:rsidP="00B063F1">
      <w:pPr>
        <w:spacing w:after="240" w:line="240" w:lineRule="auto"/>
        <w:jc w:val="both"/>
        <w:rPr>
          <w:rFonts w:ascii="Times New Roman" w:hAnsi="Times New Roman"/>
        </w:rPr>
      </w:pPr>
      <w:r w:rsidRPr="00562A0F">
        <w:rPr>
          <w:rFonts w:ascii="Times New Roman" w:hAnsi="Times New Roman"/>
          <w:color w:val="000000"/>
          <w:lang w:eastAsia="pt-BR"/>
        </w:rPr>
        <w:lastRenderedPageBreak/>
        <w:t xml:space="preserve">A planilha sintética traz os custos unitários de referência e os quantitativos de cada serviço necessário à plena execução da obra – chegando ao custo </w:t>
      </w:r>
      <w:bookmarkStart w:id="0" w:name="art2ii"/>
      <w:bookmarkStart w:id="1" w:name="art2iii"/>
      <w:bookmarkEnd w:id="0"/>
      <w:bookmarkEnd w:id="1"/>
      <w:r w:rsidRPr="00562A0F">
        <w:rPr>
          <w:rFonts w:ascii="Times New Roman" w:hAnsi="Times New Roman"/>
          <w:color w:val="000000"/>
          <w:lang w:eastAsia="pt-BR"/>
        </w:rPr>
        <w:t>total de referência do serviço.</w:t>
      </w:r>
      <w:bookmarkStart w:id="2" w:name="art2iv"/>
      <w:bookmarkEnd w:id="2"/>
    </w:p>
    <w:p w14:paraId="511F65F1" w14:textId="77777777" w:rsidR="00B063F1" w:rsidRPr="00562A0F" w:rsidRDefault="00DD1EB9" w:rsidP="00B063F1">
      <w:pPr>
        <w:spacing w:after="240" w:line="240" w:lineRule="auto"/>
        <w:jc w:val="both"/>
        <w:rPr>
          <w:rFonts w:ascii="Times New Roman" w:hAnsi="Times New Roman"/>
        </w:rPr>
      </w:pPr>
      <w:r w:rsidRPr="00562A0F">
        <w:rPr>
          <w:rFonts w:ascii="Times New Roman" w:hAnsi="Times New Roman"/>
          <w:color w:val="000000"/>
          <w:lang w:eastAsia="pt-BR"/>
        </w:rPr>
        <w:t>Os custos totais de referência de todos os serviços são então somados, chegando ao custo global de referência da obra – sobre o qual incide o valor percentual do BDI (</w:t>
      </w:r>
      <w:bookmarkStart w:id="3" w:name="art2v"/>
      <w:bookmarkEnd w:id="3"/>
      <w:r w:rsidRPr="00562A0F">
        <w:rPr>
          <w:rFonts w:ascii="Times New Roman" w:hAnsi="Times New Roman"/>
          <w:color w:val="000000"/>
          <w:lang w:eastAsia="pt-BR"/>
        </w:rPr>
        <w:t>Benefícios e Despesas Indiretas), a fim de obter o preço global de referência da obra, que guiará a aceitação das propostas dos licitantes.</w:t>
      </w:r>
    </w:p>
    <w:p w14:paraId="3C96A5FE" w14:textId="53EAA0EB" w:rsidR="00B063F1" w:rsidRPr="00562A0F" w:rsidRDefault="00DD1EB9" w:rsidP="00B063F1">
      <w:pPr>
        <w:spacing w:after="240" w:line="240" w:lineRule="auto"/>
        <w:jc w:val="both"/>
        <w:rPr>
          <w:rFonts w:ascii="Times New Roman" w:hAnsi="Times New Roman"/>
          <w:color w:val="000000"/>
          <w:lang w:eastAsia="pt-BR"/>
        </w:rPr>
      </w:pPr>
      <w:r w:rsidRPr="00562A0F">
        <w:rPr>
          <w:rFonts w:ascii="Times New Roman" w:hAnsi="Times New Roman"/>
          <w:color w:val="000000"/>
          <w:lang w:eastAsia="pt-BR"/>
        </w:rPr>
        <w:t>Já a planilha analítica traz as composições de custo unitário de cada serviço inserido na planilha sintética – registrando a descrição, quantidades, produtividades e custos unitários dos materiais, mão de obra e equipamentos necessários à execução de uma unidade de medida do referido serviço.</w:t>
      </w:r>
    </w:p>
    <w:p w14:paraId="53BBE497" w14:textId="1520220A" w:rsidR="00F81FE5" w:rsidRPr="00F81FE5" w:rsidRDefault="002D0E20" w:rsidP="00F81FE5">
      <w:pPr>
        <w:spacing w:after="240" w:line="240" w:lineRule="auto"/>
        <w:jc w:val="both"/>
        <w:rPr>
          <w:rFonts w:ascii="Times New Roman" w:hAnsi="Times New Roman"/>
          <w:color w:val="000000"/>
          <w:lang w:eastAsia="pt-BR"/>
        </w:rPr>
      </w:pPr>
      <w:r w:rsidRPr="00562A0F">
        <w:rPr>
          <w:rFonts w:ascii="Times New Roman" w:hAnsi="Times New Roman"/>
          <w:color w:val="000000"/>
          <w:lang w:eastAsia="pt-BR"/>
        </w:rPr>
        <w:t xml:space="preserve">Esse </w:t>
      </w:r>
      <w:r w:rsidR="00F81FE5" w:rsidRPr="00F81FE5">
        <w:rPr>
          <w:rFonts w:ascii="Times New Roman" w:hAnsi="Times New Roman"/>
          <w:color w:val="000000"/>
          <w:lang w:eastAsia="pt-BR"/>
        </w:rPr>
        <w:t>detalhamento</w:t>
      </w:r>
      <w:r w:rsidRPr="00562A0F">
        <w:rPr>
          <w:rFonts w:ascii="Times New Roman" w:hAnsi="Times New Roman"/>
          <w:color w:val="000000"/>
          <w:lang w:eastAsia="pt-BR"/>
        </w:rPr>
        <w:t xml:space="preserve"> é </w:t>
      </w:r>
      <w:r w:rsidR="00F81FE5" w:rsidRPr="00F81FE5">
        <w:rPr>
          <w:rFonts w:ascii="Times New Roman" w:hAnsi="Times New Roman"/>
          <w:color w:val="000000"/>
          <w:lang w:eastAsia="pt-BR"/>
        </w:rPr>
        <w:t xml:space="preserve">preexistente no Sistema SINAPI, </w:t>
      </w:r>
      <w:r w:rsidRPr="00562A0F">
        <w:rPr>
          <w:rFonts w:ascii="Times New Roman" w:hAnsi="Times New Roman"/>
          <w:color w:val="000000"/>
          <w:lang w:eastAsia="pt-BR"/>
        </w:rPr>
        <w:t xml:space="preserve">o que </w:t>
      </w:r>
      <w:r w:rsidR="00F81FE5" w:rsidRPr="00F81FE5">
        <w:rPr>
          <w:rFonts w:ascii="Times New Roman" w:hAnsi="Times New Roman"/>
          <w:color w:val="000000"/>
          <w:lang w:eastAsia="pt-BR"/>
        </w:rPr>
        <w:t xml:space="preserve">torna desnecessária a juntada de cada uma das planilhas analíticas, </w:t>
      </w:r>
      <w:r w:rsidR="008D472A" w:rsidRPr="00562A0F">
        <w:rPr>
          <w:rFonts w:ascii="Times New Roman" w:hAnsi="Times New Roman"/>
          <w:color w:val="000000"/>
          <w:lang w:eastAsia="pt-BR"/>
        </w:rPr>
        <w:t>como será tratado mais à frente</w:t>
      </w:r>
      <w:r w:rsidR="005574FB" w:rsidRPr="00562A0F">
        <w:rPr>
          <w:rFonts w:ascii="Times New Roman" w:hAnsi="Times New Roman"/>
          <w:color w:val="000000"/>
          <w:lang w:eastAsia="pt-BR"/>
        </w:rPr>
        <w:t>.</w:t>
      </w:r>
    </w:p>
    <w:p w14:paraId="6A3D6339" w14:textId="77777777" w:rsidR="00F81FE5" w:rsidRPr="00F81FE5" w:rsidRDefault="00F81FE5" w:rsidP="00F81FE5">
      <w:pPr>
        <w:spacing w:after="240" w:line="240" w:lineRule="auto"/>
        <w:jc w:val="both"/>
        <w:rPr>
          <w:rFonts w:ascii="Times New Roman" w:hAnsi="Times New Roman"/>
          <w:color w:val="000000"/>
          <w:lang w:eastAsia="pt-BR"/>
        </w:rPr>
      </w:pPr>
      <w:r w:rsidRPr="00F81FE5">
        <w:rPr>
          <w:rFonts w:ascii="Times New Roman" w:hAnsi="Times New Roman"/>
          <w:color w:val="000000"/>
          <w:lang w:eastAsia="pt-BR"/>
        </w:rPr>
        <w:t>Por outro lado, a presença das planilhas analíticas para composição dos custos unitários é indispensável quando o empreendimento envolver serviços e/ou insumos não previstos no Sistema SINAPI/SICRO ou quando os preços componentes forem decorrentes de pesquisas de preços ou de publicações especializadas, como afirma a Súmula TCU:</w:t>
      </w:r>
    </w:p>
    <w:p w14:paraId="501470E6" w14:textId="77777777" w:rsidR="00F81FE5" w:rsidRPr="00F81FE5" w:rsidRDefault="00F81FE5" w:rsidP="00F81FE5">
      <w:pPr>
        <w:spacing w:after="240" w:line="240" w:lineRule="auto"/>
        <w:jc w:val="both"/>
        <w:rPr>
          <w:rFonts w:ascii="Times New Roman" w:hAnsi="Times New Roman"/>
          <w:color w:val="000000"/>
          <w:lang w:eastAsia="pt-BR"/>
        </w:rPr>
      </w:pPr>
      <w:r w:rsidRPr="00F81FE5">
        <w:rPr>
          <w:rFonts w:ascii="Times New Roman" w:hAnsi="Times New Roman"/>
          <w:color w:val="000000"/>
          <w:lang w:eastAsia="pt-BR"/>
        </w:rPr>
        <w:t>Súmula TCU n. 258/2010</w:t>
      </w:r>
    </w:p>
    <w:p w14:paraId="6B2C424B" w14:textId="162AD3F2" w:rsidR="00F81FE5" w:rsidRPr="00562A0F" w:rsidRDefault="00F81FE5" w:rsidP="006656A3">
      <w:pPr>
        <w:pStyle w:val="citaoLU"/>
        <w:rPr>
          <w:color w:val="000000"/>
          <w:sz w:val="22"/>
          <w:szCs w:val="22"/>
          <w:lang w:eastAsia="pt-BR"/>
        </w:rPr>
      </w:pPr>
      <w:r w:rsidRPr="00562A0F">
        <w:rPr>
          <w:sz w:val="22"/>
          <w:szCs w:val="22"/>
          <w:lang w:eastAsia="pt-BR"/>
        </w:rPr>
        <w:t>As composições de custos unitários e o detalhamento de encargos sociais e do BDI integram o orçamento que compõe o projeto básico da obra ou serviço de engenharia, devem constar dos anexos do edital de licitação e das propostas das licitantes e não podem ser indicados mediante uso da expressão "verba" ou de unidades genéricas.</w:t>
      </w:r>
    </w:p>
    <w:p w14:paraId="7A6ADA23" w14:textId="77777777" w:rsidR="00DD1EB9" w:rsidRPr="00562A0F" w:rsidRDefault="00DD1EB9" w:rsidP="00B063F1">
      <w:pPr>
        <w:spacing w:after="240" w:line="240" w:lineRule="auto"/>
        <w:jc w:val="both"/>
        <w:rPr>
          <w:rFonts w:ascii="Times New Roman" w:hAnsi="Times New Roman"/>
        </w:rPr>
      </w:pPr>
      <w:r w:rsidRPr="00562A0F">
        <w:rPr>
          <w:rFonts w:ascii="Times New Roman" w:hAnsi="Times New Roman"/>
        </w:rPr>
        <w:t>Por fim, nos termos do art. 10 do Decreto n° 7.983/2013, a anotação de responsabilidade técnica pelas planilhas orçamentárias deverá constar do projeto que integrar o edital de licitação, inclusive de suas eventuais alterações. </w:t>
      </w:r>
    </w:p>
    <w:p w14:paraId="703F5AE3" w14:textId="77777777" w:rsidR="00DD1EB9" w:rsidRPr="00562A0F" w:rsidRDefault="00DD1EB9" w:rsidP="00B063F1">
      <w:pPr>
        <w:pStyle w:val="PargrafodaLista"/>
        <w:spacing w:after="240" w:line="240" w:lineRule="auto"/>
        <w:ind w:left="360"/>
        <w:jc w:val="both"/>
        <w:rPr>
          <w:rFonts w:ascii="Times New Roman" w:hAnsi="Times New Roman"/>
          <w:b/>
          <w:bCs/>
          <w:u w:val="single"/>
        </w:rPr>
      </w:pPr>
    </w:p>
    <w:p w14:paraId="498E9F24" w14:textId="77777777" w:rsidR="00DD1EB9" w:rsidRPr="00562A0F" w:rsidRDefault="00DD1EB9" w:rsidP="00B063F1">
      <w:pPr>
        <w:spacing w:after="240" w:line="240" w:lineRule="auto"/>
        <w:jc w:val="both"/>
        <w:rPr>
          <w:rFonts w:ascii="Times New Roman" w:hAnsi="Times New Roman"/>
          <w:lang w:eastAsia="pt-BR"/>
        </w:rPr>
      </w:pPr>
      <w:r w:rsidRPr="00562A0F">
        <w:rPr>
          <w:rFonts w:ascii="Times New Roman" w:hAnsi="Times New Roman"/>
          <w:b/>
          <w:bCs/>
          <w:u w:val="single"/>
          <w:lang w:eastAsia="pt-BR"/>
        </w:rPr>
        <w:t>JUSTIFICATIVA</w:t>
      </w:r>
      <w:r w:rsidRPr="00562A0F">
        <w:rPr>
          <w:rFonts w:ascii="Times New Roman" w:hAnsi="Times New Roman"/>
          <w:lang w:eastAsia="pt-BR"/>
        </w:rPr>
        <w:t>: Na presente licitação, foram juntadas as planilhas sintéticas no documento nº (   ) e as planilhas analíticas no documento nº (   ). A ART relativa às planilhas orçamentárias consta do documento nº (   ).</w:t>
      </w:r>
    </w:p>
    <w:p w14:paraId="7F7BF879" w14:textId="77777777" w:rsidR="00C31E99" w:rsidRPr="00562A0F" w:rsidRDefault="00C31E99" w:rsidP="00B063F1">
      <w:pPr>
        <w:spacing w:after="240" w:line="240" w:lineRule="auto"/>
        <w:jc w:val="both"/>
        <w:rPr>
          <w:rFonts w:ascii="Times New Roman" w:hAnsi="Times New Roman"/>
          <w:lang w:eastAsia="pt-BR"/>
        </w:rPr>
      </w:pPr>
    </w:p>
    <w:p w14:paraId="51F83656" w14:textId="77777777" w:rsidR="0090645F"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ADOÇÃO DOS CUSTOS UNITÁRIOS DE REFERÊNCIA DO SINAPI</w:t>
      </w:r>
    </w:p>
    <w:p w14:paraId="2E3A63A5" w14:textId="77777777" w:rsidR="00C31E99" w:rsidRPr="00562A0F" w:rsidRDefault="00DD1EB9" w:rsidP="00C31E99">
      <w:pPr>
        <w:spacing w:after="240" w:line="240" w:lineRule="auto"/>
        <w:jc w:val="both"/>
        <w:rPr>
          <w:rFonts w:ascii="Times New Roman" w:hAnsi="Times New Roman"/>
          <w:color w:val="000000"/>
          <w:lang w:eastAsia="pt-BR"/>
        </w:rPr>
      </w:pPr>
      <w:r w:rsidRPr="00562A0F">
        <w:rPr>
          <w:rFonts w:ascii="Times New Roman" w:hAnsi="Times New Roman"/>
          <w:color w:val="000000"/>
          <w:lang w:eastAsia="pt-BR"/>
        </w:rPr>
        <w:t xml:space="preserve">O orçamento da obra ou serviço de engenharia deve adotar custos unitários menores ou iguais aos custos unitários de referência do SINAPI, para todos os itens </w:t>
      </w:r>
      <w:r w:rsidRPr="00562A0F">
        <w:rPr>
          <w:rFonts w:ascii="Times New Roman" w:hAnsi="Times New Roman"/>
        </w:rPr>
        <w:t>relacionados à construção civil (art. 3º do Decreto nº 7.983, de 2013).</w:t>
      </w:r>
      <w:bookmarkStart w:id="4" w:name="art4"/>
      <w:bookmarkStart w:id="5" w:name="art5"/>
      <w:bookmarkStart w:id="6" w:name="art6"/>
      <w:bookmarkEnd w:id="4"/>
      <w:bookmarkEnd w:id="5"/>
      <w:bookmarkEnd w:id="6"/>
    </w:p>
    <w:p w14:paraId="110D6C10" w14:textId="77777777" w:rsidR="00C31E99" w:rsidRPr="00562A0F" w:rsidRDefault="00DD1EB9" w:rsidP="00C31E99">
      <w:pPr>
        <w:spacing w:after="240" w:line="240" w:lineRule="auto"/>
        <w:jc w:val="both"/>
        <w:rPr>
          <w:rFonts w:ascii="Times New Roman" w:hAnsi="Times New Roman"/>
          <w:color w:val="000000"/>
          <w:lang w:eastAsia="pt-BR"/>
        </w:rPr>
      </w:pPr>
      <w:r w:rsidRPr="00562A0F">
        <w:rPr>
          <w:rFonts w:ascii="Times New Roman" w:hAnsi="Times New Roman"/>
          <w:color w:val="000000"/>
          <w:lang w:eastAsia="pt-BR"/>
        </w:rPr>
        <w:t>Somente em condições especiais justificadas em relatório técnico elaborado por profissional habilitado e aprovado pelo órgão gestor dos recursos, os custos unitários de referência da administração poderão exceder os seus correspondentes do SINAPI, sem prejuízo da avaliação dos órgãos de controle, dispensada a compensação em qualquer outro serviço do orçamento de referência (art. 8º, parágrafo único).</w:t>
      </w:r>
    </w:p>
    <w:p w14:paraId="4AF7615A" w14:textId="77777777" w:rsidR="00C31E99" w:rsidRPr="00562A0F" w:rsidRDefault="00DD1EB9" w:rsidP="00C31E99">
      <w:pPr>
        <w:spacing w:after="240" w:line="240" w:lineRule="auto"/>
        <w:jc w:val="both"/>
        <w:rPr>
          <w:rFonts w:ascii="Times New Roman" w:hAnsi="Times New Roman"/>
          <w:color w:val="000000"/>
          <w:lang w:eastAsia="pt-BR"/>
        </w:rPr>
      </w:pPr>
      <w:r w:rsidRPr="00562A0F">
        <w:rPr>
          <w:rFonts w:ascii="Times New Roman" w:hAnsi="Times New Roman"/>
          <w:color w:val="000000"/>
          <w:lang w:eastAsia="pt-BR"/>
        </w:rPr>
        <w:t xml:space="preserve">Caso o item não esteja contemplado no SINAPI, o orçamento da obra ou serviço poderá adotar custos obtidos em tabela de referência formalmente aprovada por órgãos ou entidades da </w:t>
      </w:r>
      <w:r w:rsidRPr="00562A0F">
        <w:rPr>
          <w:rFonts w:ascii="Times New Roman" w:hAnsi="Times New Roman"/>
          <w:color w:val="000000"/>
          <w:lang w:eastAsia="pt-BR"/>
        </w:rPr>
        <w:lastRenderedPageBreak/>
        <w:t xml:space="preserve">administração pública federal, em publicações técnicas especializadas, em sistema específico instituído para o setor ou em pesquisa de mercado </w:t>
      </w:r>
      <w:r w:rsidRPr="00562A0F">
        <w:rPr>
          <w:rFonts w:ascii="Times New Roman" w:hAnsi="Times New Roman"/>
        </w:rPr>
        <w:t>(art. 6º do Decreto nº 7.983, de 2013).</w:t>
      </w:r>
    </w:p>
    <w:p w14:paraId="0F5E94BD" w14:textId="0F0713F5" w:rsidR="00DD1EB9" w:rsidRPr="00562A0F" w:rsidRDefault="00DD1EB9" w:rsidP="00C31E99">
      <w:pPr>
        <w:spacing w:after="240" w:line="240" w:lineRule="auto"/>
        <w:jc w:val="both"/>
        <w:rPr>
          <w:rStyle w:val="Forte"/>
          <w:rFonts w:ascii="Times New Roman" w:hAnsi="Times New Roman"/>
          <w:b w:val="0"/>
          <w:bCs w:val="0"/>
        </w:rPr>
      </w:pPr>
      <w:r w:rsidRPr="00562A0F">
        <w:rPr>
          <w:rStyle w:val="Forte"/>
          <w:rFonts w:ascii="Times New Roman" w:hAnsi="Times New Roman"/>
          <w:b w:val="0"/>
          <w:bCs w:val="0"/>
        </w:rPr>
        <w:t xml:space="preserve">Ao adotar quaisquer referenciais de custos externos ao SINAPI, cabe ao setor técnico optar por aqueles que melhor se adequem ao projeto da obra ou serviço, levando em consideração especialmente a adequação dos quantitativos, dos coeficientes de produtividade e a compatibilidade dos valores dos insumos e da mão de obra com a realidade do local da execução do contrato. </w:t>
      </w:r>
      <w:r w:rsidR="004F2719" w:rsidRPr="00562A0F">
        <w:rPr>
          <w:rStyle w:val="Forte"/>
          <w:rFonts w:ascii="Times New Roman" w:hAnsi="Times New Roman"/>
          <w:b w:val="0"/>
          <w:bCs w:val="0"/>
        </w:rPr>
        <w:t xml:space="preserve">Inclusive a </w:t>
      </w:r>
      <w:r w:rsidR="004F2719" w:rsidRPr="00562A0F">
        <w:rPr>
          <w:rFonts w:ascii="Times New Roman" w:hAnsi="Times New Roman"/>
        </w:rPr>
        <w:t>adaptação de composições já existentes no Sistema SINAPI/SICRO deve, preferencialmente, utilizar insumos ou composições também extraídas desses sistemas.</w:t>
      </w:r>
    </w:p>
    <w:p w14:paraId="0FA44431" w14:textId="77777777" w:rsidR="00D12174" w:rsidRPr="00562A0F" w:rsidRDefault="00D12174" w:rsidP="00C31E99">
      <w:pPr>
        <w:spacing w:after="240" w:line="240" w:lineRule="auto"/>
        <w:jc w:val="both"/>
        <w:rPr>
          <w:rStyle w:val="Forte"/>
          <w:rFonts w:ascii="Times New Roman" w:hAnsi="Times New Roman"/>
          <w:b w:val="0"/>
          <w:bCs w:val="0"/>
          <w:color w:val="000000"/>
          <w:lang w:eastAsia="pt-BR"/>
        </w:rPr>
      </w:pPr>
    </w:p>
    <w:p w14:paraId="3A7CBE5F" w14:textId="77777777" w:rsidR="00DD1EB9" w:rsidRPr="00562A0F" w:rsidRDefault="00DD1EB9" w:rsidP="00C31E99">
      <w:pPr>
        <w:pStyle w:val="PargrafodaLista"/>
        <w:spacing w:after="240" w:line="240" w:lineRule="auto"/>
        <w:ind w:left="360"/>
        <w:jc w:val="both"/>
        <w:rPr>
          <w:rFonts w:ascii="Times New Roman" w:hAnsi="Times New Roman"/>
          <w:b/>
          <w:bCs/>
          <w:u w:val="single"/>
        </w:rPr>
      </w:pPr>
    </w:p>
    <w:p w14:paraId="5EA026B0" w14:textId="77777777" w:rsidR="00DD1EB9" w:rsidRPr="00562A0F" w:rsidRDefault="00DD1EB9" w:rsidP="00C31E99">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No orçamento da presente obra ou serviço, (   ) FORAM adotados custos unitários menores ou iguais aos custos unitários de referência do SINAPI,</w:t>
      </w:r>
      <w:r w:rsidRPr="00562A0F">
        <w:rPr>
          <w:rFonts w:ascii="Times New Roman" w:hAnsi="Times New Roman"/>
          <w:color w:val="000000"/>
          <w:lang w:eastAsia="pt-BR"/>
        </w:rPr>
        <w:t xml:space="preserve"> para todos os itens </w:t>
      </w:r>
      <w:r w:rsidRPr="00562A0F">
        <w:rPr>
          <w:rFonts w:ascii="Times New Roman" w:hAnsi="Times New Roman"/>
        </w:rPr>
        <w:t>relacionados à construção civil;</w:t>
      </w:r>
    </w:p>
    <w:p w14:paraId="40F92885" w14:textId="77777777" w:rsidR="00DD1EB9" w:rsidRPr="00562A0F" w:rsidRDefault="00DD1EB9" w:rsidP="00C31E99">
      <w:pPr>
        <w:pStyle w:val="PargrafodaLista"/>
        <w:spacing w:after="240" w:line="240" w:lineRule="auto"/>
        <w:ind w:left="360"/>
        <w:jc w:val="both"/>
        <w:rPr>
          <w:rFonts w:ascii="Times New Roman" w:hAnsi="Times New Roman"/>
        </w:rPr>
      </w:pPr>
    </w:p>
    <w:p w14:paraId="31945673" w14:textId="77777777" w:rsidR="00DD1EB9" w:rsidRPr="00562A0F" w:rsidRDefault="00DD1EB9" w:rsidP="00C31E99">
      <w:pPr>
        <w:spacing w:after="240" w:line="240" w:lineRule="auto"/>
        <w:jc w:val="both"/>
        <w:rPr>
          <w:rFonts w:ascii="Times New Roman" w:hAnsi="Times New Roman"/>
          <w:color w:val="000000"/>
          <w:lang w:eastAsia="pt-BR"/>
        </w:rPr>
      </w:pPr>
      <w:r w:rsidRPr="00562A0F">
        <w:rPr>
          <w:rFonts w:ascii="Times New Roman" w:hAnsi="Times New Roman"/>
          <w:b/>
          <w:bCs/>
          <w:u w:val="single"/>
        </w:rPr>
        <w:t>JUSTIFICATIVA</w:t>
      </w:r>
      <w:r w:rsidRPr="00562A0F">
        <w:rPr>
          <w:rFonts w:ascii="Times New Roman" w:hAnsi="Times New Roman"/>
        </w:rPr>
        <w:t>: No orçamento da presente obra ou serviço, (   ) FORAM adotados custos unitários superiores aos custos unitários de referência do SINAPI para determinados itens do orçamento, conforme justificativa do r</w:t>
      </w:r>
      <w:r w:rsidRPr="00562A0F">
        <w:rPr>
          <w:rFonts w:ascii="Times New Roman" w:hAnsi="Times New Roman"/>
          <w:color w:val="000000"/>
          <w:lang w:eastAsia="pt-BR"/>
        </w:rPr>
        <w:t>elatório técnico elaborado por profissional habilitado e aprovado pelo órgão gestor dos recursos;</w:t>
      </w:r>
    </w:p>
    <w:p w14:paraId="22C55558" w14:textId="77777777" w:rsidR="00DD1EB9" w:rsidRPr="00562A0F" w:rsidRDefault="00DD1EB9" w:rsidP="00C31E99">
      <w:pPr>
        <w:pStyle w:val="PargrafodaLista"/>
        <w:spacing w:after="240" w:line="240" w:lineRule="auto"/>
        <w:ind w:left="360"/>
        <w:jc w:val="both"/>
        <w:rPr>
          <w:rFonts w:ascii="Times New Roman" w:hAnsi="Times New Roman"/>
          <w:lang w:eastAsia="pt-BR"/>
        </w:rPr>
      </w:pPr>
    </w:p>
    <w:p w14:paraId="0767C319" w14:textId="77777777" w:rsidR="00C31E99" w:rsidRPr="00562A0F" w:rsidRDefault="00DD1EB9" w:rsidP="00C31E99">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No orçamento da presente obra ou serviço, p</w:t>
      </w:r>
      <w:r w:rsidRPr="00562A0F">
        <w:rPr>
          <w:rFonts w:ascii="Times New Roman" w:hAnsi="Times New Roman"/>
          <w:color w:val="000000"/>
          <w:lang w:eastAsia="pt-BR"/>
        </w:rPr>
        <w:t xml:space="preserve">ara os itens não contemplados no SINAPI, (   ) FORAM adotados custos obtidos das seguintes fontes admitidas no art. 6º </w:t>
      </w:r>
      <w:r w:rsidRPr="00562A0F">
        <w:rPr>
          <w:rFonts w:ascii="Times New Roman" w:hAnsi="Times New Roman"/>
        </w:rPr>
        <w:t>do Decreto nº 7.983, de 2013:</w:t>
      </w:r>
    </w:p>
    <w:p w14:paraId="32B45D6A" w14:textId="77777777" w:rsidR="00DD1EB9" w:rsidRPr="00562A0F" w:rsidRDefault="00DD1EB9" w:rsidP="00C31E99">
      <w:pPr>
        <w:spacing w:after="240" w:line="240" w:lineRule="auto"/>
        <w:jc w:val="both"/>
        <w:rPr>
          <w:rFonts w:ascii="Times New Roman" w:hAnsi="Times New Roman"/>
        </w:rPr>
      </w:pPr>
      <w:r w:rsidRPr="00562A0F">
        <w:rPr>
          <w:rFonts w:ascii="Times New Roman" w:hAnsi="Times New Roman"/>
        </w:rPr>
        <w:t xml:space="preserve">(   ) </w:t>
      </w:r>
      <w:r w:rsidRPr="00562A0F">
        <w:rPr>
          <w:rFonts w:ascii="Times New Roman" w:hAnsi="Times New Roman"/>
          <w:color w:val="000000"/>
          <w:lang w:eastAsia="pt-BR"/>
        </w:rPr>
        <w:t xml:space="preserve">tabela de referência formalmente aprovada por órgãos ou entidades da administração pública federal: (citar as fontes) </w:t>
      </w:r>
    </w:p>
    <w:p w14:paraId="4C708259" w14:textId="77777777" w:rsidR="00DD1EB9" w:rsidRPr="00562A0F" w:rsidRDefault="00DD1EB9" w:rsidP="00C31E99">
      <w:pPr>
        <w:spacing w:after="240" w:line="240" w:lineRule="auto"/>
        <w:jc w:val="both"/>
        <w:rPr>
          <w:rFonts w:ascii="Times New Roman" w:hAnsi="Times New Roman"/>
        </w:rPr>
      </w:pPr>
      <w:r w:rsidRPr="00562A0F">
        <w:rPr>
          <w:rFonts w:ascii="Times New Roman" w:hAnsi="Times New Roman"/>
        </w:rPr>
        <w:t>-------------------------------------------------------------------------------------------------------------------------------------------------------------------------------------------------------------------------------------------------------------------------------------------------------------------------------------------------------------------------------------------------------------------------------------------------------------------------------------------------------------------------------------------------------------------------------------</w:t>
      </w:r>
      <w:r w:rsidR="00C31E99" w:rsidRPr="00562A0F">
        <w:rPr>
          <w:rFonts w:ascii="Times New Roman" w:hAnsi="Times New Roman"/>
        </w:rPr>
        <w:t>----------------------------------------------------------------------</w:t>
      </w:r>
    </w:p>
    <w:p w14:paraId="13457E2E" w14:textId="77777777" w:rsidR="00DD1EB9" w:rsidRPr="00562A0F" w:rsidRDefault="00DD1EB9" w:rsidP="00C31E99">
      <w:pPr>
        <w:spacing w:after="240" w:line="240" w:lineRule="auto"/>
        <w:jc w:val="both"/>
        <w:rPr>
          <w:rFonts w:ascii="Times New Roman" w:hAnsi="Times New Roman"/>
          <w:color w:val="000000"/>
          <w:lang w:eastAsia="pt-BR"/>
        </w:rPr>
      </w:pPr>
      <w:r w:rsidRPr="00562A0F">
        <w:rPr>
          <w:rFonts w:ascii="Times New Roman" w:hAnsi="Times New Roman"/>
          <w:color w:val="000000"/>
          <w:lang w:eastAsia="pt-BR"/>
        </w:rPr>
        <w:t xml:space="preserve">(   ) publicações técnicas especializadas: (citar as fontes) </w:t>
      </w:r>
    </w:p>
    <w:p w14:paraId="6C066920" w14:textId="77777777" w:rsidR="00C31E99" w:rsidRPr="00562A0F" w:rsidRDefault="00C31E99" w:rsidP="00C31E99">
      <w:pPr>
        <w:spacing w:after="240" w:line="240" w:lineRule="auto"/>
        <w:jc w:val="both"/>
        <w:rPr>
          <w:rFonts w:ascii="Times New Roman" w:hAnsi="Times New Roman"/>
        </w:rPr>
      </w:pPr>
      <w:r w:rsidRPr="00562A0F">
        <w:rPr>
          <w:rFonts w:ascii="Times New Roman" w:hAnsi="Times New Roman"/>
        </w:rPr>
        <w:t>-----------------------------------------------------------------------------------------------------------------------------------------------------------------------------------------------------------------------------------------------------------------------------------------------------------------------------------------------------------------------------------------------------------------------------------------------------------------------------------------------------------------------------------------------------------------------------------------------------------------------------------------------------------</w:t>
      </w:r>
    </w:p>
    <w:p w14:paraId="4CFBD63A" w14:textId="77777777" w:rsidR="00DD1EB9" w:rsidRPr="00562A0F" w:rsidRDefault="00DD1EB9" w:rsidP="00C31E99">
      <w:pPr>
        <w:spacing w:after="240" w:line="240" w:lineRule="auto"/>
        <w:jc w:val="both"/>
        <w:rPr>
          <w:rFonts w:ascii="Times New Roman" w:hAnsi="Times New Roman"/>
          <w:color w:val="000000"/>
          <w:lang w:eastAsia="pt-BR"/>
        </w:rPr>
      </w:pPr>
      <w:r w:rsidRPr="00562A0F">
        <w:rPr>
          <w:rFonts w:ascii="Times New Roman" w:hAnsi="Times New Roman"/>
          <w:color w:val="000000"/>
          <w:lang w:eastAsia="pt-BR"/>
        </w:rPr>
        <w:t xml:space="preserve">(   ) sistema específico instituído para o setor: (citar as fontes) </w:t>
      </w:r>
    </w:p>
    <w:p w14:paraId="74565498" w14:textId="77777777" w:rsidR="00C31E99" w:rsidRPr="00562A0F" w:rsidRDefault="00C31E99" w:rsidP="00C31E99">
      <w:pPr>
        <w:spacing w:after="240" w:line="240" w:lineRule="auto"/>
        <w:jc w:val="both"/>
        <w:rPr>
          <w:rFonts w:ascii="Times New Roman" w:hAnsi="Times New Roman"/>
        </w:rPr>
      </w:pPr>
      <w:r w:rsidRPr="00562A0F">
        <w:rPr>
          <w:rFonts w:ascii="Times New Roman" w:hAnsi="Times New Roman"/>
        </w:rPr>
        <w:t>------------------------------------------------------------------------------------------------------------------------------------------------------------------------------------------------------------------------------------------------------------------------------------------------------------------------------------------------------------</w:t>
      </w:r>
      <w:r w:rsidRPr="00562A0F">
        <w:rPr>
          <w:rFonts w:ascii="Times New Roman" w:hAnsi="Times New Roman"/>
        </w:rPr>
        <w:lastRenderedPageBreak/>
        <w:t>-----------------------------------------------------------------------------------------------------------------------------------------------------------------------------------------------------------------------------------------------------------------------------------------------</w:t>
      </w:r>
    </w:p>
    <w:p w14:paraId="2EF85025" w14:textId="7044747B" w:rsidR="00DD1EB9" w:rsidRPr="00562A0F" w:rsidRDefault="00DD1EB9" w:rsidP="00C31E99">
      <w:pPr>
        <w:spacing w:after="240" w:line="240" w:lineRule="auto"/>
        <w:jc w:val="both"/>
        <w:rPr>
          <w:rFonts w:ascii="Times New Roman" w:hAnsi="Times New Roman"/>
          <w:color w:val="000000"/>
          <w:lang w:eastAsia="pt-BR"/>
        </w:rPr>
      </w:pPr>
      <w:r w:rsidRPr="00562A0F">
        <w:rPr>
          <w:rFonts w:ascii="Times New Roman" w:hAnsi="Times New Roman"/>
          <w:color w:val="000000"/>
          <w:lang w:eastAsia="pt-BR"/>
        </w:rPr>
        <w:t>(   ) pesquisa de mercado</w:t>
      </w:r>
      <w:r w:rsidR="00C33F6C" w:rsidRPr="00562A0F">
        <w:rPr>
          <w:rFonts w:ascii="Times New Roman" w:hAnsi="Times New Roman"/>
          <w:color w:val="000000"/>
          <w:lang w:eastAsia="pt-BR"/>
        </w:rPr>
        <w:t xml:space="preserve"> (detalhada n</w:t>
      </w:r>
      <w:r w:rsidR="00B77B67" w:rsidRPr="00562A0F">
        <w:rPr>
          <w:rFonts w:ascii="Times New Roman" w:hAnsi="Times New Roman"/>
          <w:color w:val="000000"/>
          <w:lang w:eastAsia="pt-BR"/>
        </w:rPr>
        <w:t xml:space="preserve">o </w:t>
      </w:r>
      <w:r w:rsidR="00C33F6C" w:rsidRPr="00562A0F">
        <w:rPr>
          <w:rFonts w:ascii="Times New Roman" w:hAnsi="Times New Roman"/>
          <w:color w:val="000000"/>
          <w:lang w:eastAsia="pt-BR"/>
        </w:rPr>
        <w:t>tópico seguinte)</w:t>
      </w:r>
      <w:r w:rsidRPr="00562A0F">
        <w:rPr>
          <w:rFonts w:ascii="Times New Roman" w:hAnsi="Times New Roman"/>
          <w:color w:val="000000"/>
          <w:lang w:eastAsia="pt-BR"/>
        </w:rPr>
        <w:t>.</w:t>
      </w:r>
    </w:p>
    <w:p w14:paraId="072757EA" w14:textId="77777777" w:rsidR="00DD1EB9" w:rsidRPr="00562A0F" w:rsidRDefault="00DD1EB9" w:rsidP="00C31E99">
      <w:pPr>
        <w:pStyle w:val="PargrafodaLista"/>
        <w:spacing w:after="240" w:line="240" w:lineRule="auto"/>
        <w:ind w:left="360"/>
        <w:jc w:val="both"/>
        <w:rPr>
          <w:rFonts w:ascii="Times New Roman" w:hAnsi="Times New Roman"/>
          <w:color w:val="000000"/>
          <w:lang w:eastAsia="pt-BR"/>
        </w:rPr>
      </w:pPr>
    </w:p>
    <w:p w14:paraId="0B644F87" w14:textId="77777777" w:rsidR="00DD1EB9" w:rsidRPr="00562A0F" w:rsidRDefault="00DD1EB9" w:rsidP="00C31E99">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Tais referenciais de custos foram adotados pelos motivos abaixo elencados:</w:t>
      </w:r>
    </w:p>
    <w:p w14:paraId="224BA544" w14:textId="77777777" w:rsidR="00C31E99" w:rsidRPr="00562A0F" w:rsidRDefault="00C31E99" w:rsidP="00C31E99">
      <w:pPr>
        <w:spacing w:after="240" w:line="240" w:lineRule="auto"/>
        <w:jc w:val="both"/>
        <w:rPr>
          <w:rFonts w:ascii="Times New Roman" w:hAnsi="Times New Roman"/>
        </w:rPr>
      </w:pPr>
      <w:r w:rsidRPr="00562A0F">
        <w:rPr>
          <w:rFonts w:ascii="Times New Roman" w:hAnsi="Times New Roman"/>
        </w:rPr>
        <w:t>-----------------------------------------------------------------------------------------------------------------------------------------------------------------------------------------------------------------------------------------------------------------------------------------------------------------------------------------------------------------------------------------------------------------------------------------------------------------------------------------------------------------------------------------------------------------------------------------------------------------------------------------------------------</w:t>
      </w:r>
    </w:p>
    <w:p w14:paraId="4B0FF686" w14:textId="77777777" w:rsidR="00DD1EB9" w:rsidRPr="00562A0F" w:rsidRDefault="00DD1EB9" w:rsidP="00C31E99">
      <w:pPr>
        <w:spacing w:after="240" w:line="240" w:lineRule="auto"/>
        <w:jc w:val="both"/>
        <w:rPr>
          <w:rFonts w:ascii="Times New Roman" w:hAnsi="Times New Roman"/>
        </w:rPr>
      </w:pPr>
    </w:p>
    <w:p w14:paraId="3E713DD5" w14:textId="77777777" w:rsidR="0090645F"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REALIZAÇÃO DE PESQUISA DE MERCADO</w:t>
      </w:r>
    </w:p>
    <w:p w14:paraId="4499BFBB" w14:textId="77777777" w:rsidR="00DD1EB9" w:rsidRPr="00562A0F" w:rsidRDefault="00DD1EB9" w:rsidP="00C31E99">
      <w:pPr>
        <w:spacing w:after="240" w:line="240" w:lineRule="auto"/>
        <w:jc w:val="both"/>
        <w:rPr>
          <w:rFonts w:ascii="Times New Roman" w:hAnsi="Times New Roman"/>
          <w:lang w:eastAsia="pt-BR"/>
        </w:rPr>
      </w:pPr>
      <w:r w:rsidRPr="00562A0F">
        <w:rPr>
          <w:rFonts w:ascii="Times New Roman" w:hAnsi="Times New Roman"/>
          <w:color w:val="000000"/>
          <w:lang w:eastAsia="pt-BR"/>
        </w:rPr>
        <w:t xml:space="preserve">Caso o item do orçamento não esteja contemplado no SINAPI e o órgão recorra à realização da pesquisa de mercado </w:t>
      </w:r>
      <w:r w:rsidRPr="00562A0F">
        <w:rPr>
          <w:rFonts w:ascii="Times New Roman" w:hAnsi="Times New Roman"/>
        </w:rPr>
        <w:t xml:space="preserve">(art. 6º do Decreto nº 7.983, de 2013), </w:t>
      </w:r>
      <w:r w:rsidRPr="00562A0F">
        <w:rPr>
          <w:rFonts w:ascii="Times New Roman" w:hAnsi="Times New Roman"/>
          <w:lang w:eastAsia="pt-BR"/>
        </w:rPr>
        <w:t>o orçamentista deve seguir as diretrizes aplicáveis da Instrução Normativa SEGES/ME nº 73, de 05/08/2020, que dispõe sobre o procedimento administrativo para a realização de pesquisa de preços para aquisição de bens e contratação de serviços em geral, no âmbito da administração pública federal.</w:t>
      </w:r>
    </w:p>
    <w:p w14:paraId="595D3A74" w14:textId="77777777" w:rsidR="00DD1EB9" w:rsidRPr="00562A0F" w:rsidRDefault="00DD1EB9" w:rsidP="00C31E99">
      <w:pPr>
        <w:spacing w:after="240" w:line="240" w:lineRule="auto"/>
        <w:jc w:val="both"/>
        <w:rPr>
          <w:rFonts w:ascii="Times New Roman" w:hAnsi="Times New Roman"/>
          <w:lang w:eastAsia="pt-BR"/>
        </w:rPr>
      </w:pPr>
      <w:r w:rsidRPr="00562A0F">
        <w:rPr>
          <w:rFonts w:ascii="Times New Roman" w:hAnsi="Times New Roman"/>
          <w:lang w:eastAsia="pt-BR"/>
        </w:rPr>
        <w:t>É óbvio que tal diploma não se aplica à orçamentação das obras e serviços de engenharia, como bem alerta seu art. 1º, § 1º. Porém, uma das metodologias subsidiárias do Decreto nº 7.983/2013 é justamente a realização de pesquisa de mercado para determinados custos de insumos ou serviços que não estejam contemplados no SINAPI ou, eventualmente, nos demais parâmetros do art. 6º do Decreto - e, a partir do momento em que o orçamentista opta pela realização de pesquisa de mercado para obter cotações para tais insumos ou serviços, aí sim passam a incidir as diretrizes da IN nº 73/2020.</w:t>
      </w:r>
    </w:p>
    <w:p w14:paraId="689865F4" w14:textId="77777777" w:rsidR="00DD1EB9" w:rsidRPr="00562A0F" w:rsidRDefault="00DD1EB9" w:rsidP="00C31E99">
      <w:pPr>
        <w:spacing w:after="240" w:line="240" w:lineRule="auto"/>
        <w:jc w:val="both"/>
        <w:rPr>
          <w:rFonts w:ascii="Times New Roman" w:hAnsi="Times New Roman"/>
          <w:lang w:eastAsia="pt-BR"/>
        </w:rPr>
      </w:pPr>
      <w:r w:rsidRPr="00562A0F">
        <w:rPr>
          <w:rFonts w:ascii="Times New Roman" w:hAnsi="Times New Roman"/>
          <w:lang w:eastAsia="pt-BR"/>
        </w:rPr>
        <w:t>Atente-se que o art. 3º da IN nº 73/2020 preza justamente pela necessidade de formalização dos procedimentos da pesquisa de preços:</w:t>
      </w:r>
    </w:p>
    <w:p w14:paraId="398C3E79"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Art. 3º A pesquisa de preços será materializada em documento que conterá, no mínimo:</w:t>
      </w:r>
    </w:p>
    <w:p w14:paraId="544572F6"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I - identificação do agente responsável pela cotação;</w:t>
      </w:r>
    </w:p>
    <w:p w14:paraId="07581A64"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II - caracterização das fontes consultadas;</w:t>
      </w:r>
    </w:p>
    <w:p w14:paraId="59F92BB1"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III - série de preços coletados;</w:t>
      </w:r>
    </w:p>
    <w:p w14:paraId="470E1C70"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IV - método matemático aplicado para a definição do valor estimado; e</w:t>
      </w:r>
    </w:p>
    <w:p w14:paraId="0365C730"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V - justificativas para a metodologia utilizada, em especial para a desconsideração de valores inexequíveis, inconsistentes e excessivamente elevados, se aplicável.</w:t>
      </w:r>
    </w:p>
    <w:p w14:paraId="72972F63" w14:textId="77777777" w:rsidR="00DD1EB9" w:rsidRPr="00562A0F" w:rsidRDefault="00DD1EB9" w:rsidP="00C31E99">
      <w:pPr>
        <w:spacing w:after="240" w:line="240" w:lineRule="auto"/>
        <w:jc w:val="both"/>
        <w:rPr>
          <w:rFonts w:ascii="Times New Roman" w:hAnsi="Times New Roman"/>
          <w:lang w:eastAsia="pt-BR"/>
        </w:rPr>
      </w:pPr>
      <w:r w:rsidRPr="00562A0F">
        <w:rPr>
          <w:rFonts w:ascii="Times New Roman" w:hAnsi="Times New Roman"/>
          <w:lang w:eastAsia="pt-BR"/>
        </w:rPr>
        <w:t>Portanto, mesmo nas licitações para obras e serviços de engenharia, sempre que realizada pesquisa de preços para obtenção de alguma cotação de custos complementar, devem ser juntados aos autos os documentos correspondentes, para fins de adequada instrução processual.</w:t>
      </w:r>
    </w:p>
    <w:p w14:paraId="2D01D696" w14:textId="77777777" w:rsidR="00DD1EB9" w:rsidRPr="00562A0F" w:rsidRDefault="00DD1EB9" w:rsidP="00C31E99">
      <w:pPr>
        <w:spacing w:after="240" w:line="240" w:lineRule="auto"/>
        <w:jc w:val="both"/>
        <w:rPr>
          <w:rFonts w:ascii="Times New Roman" w:hAnsi="Times New Roman"/>
          <w:lang w:eastAsia="pt-BR"/>
        </w:rPr>
      </w:pPr>
      <w:r w:rsidRPr="00562A0F">
        <w:rPr>
          <w:rFonts w:ascii="Times New Roman" w:hAnsi="Times New Roman"/>
          <w:lang w:eastAsia="pt-BR"/>
        </w:rPr>
        <w:t>No mais, seguem as principais diretrizes da IN nº 73/2020 para a realização da referida pesquisa:</w:t>
      </w:r>
    </w:p>
    <w:p w14:paraId="3A920871"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b/>
          <w:bCs/>
          <w:lang w:eastAsia="pt-BR"/>
        </w:rPr>
        <w:lastRenderedPageBreak/>
        <w:t>Critérios</w:t>
      </w:r>
    </w:p>
    <w:p w14:paraId="0F5AA9A0"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Art. 4º Na pesquisa de preços, sempre que possível, deverão ser observadas as condições comerciais praticadas, incluindo prazos e locais de entrega, instalação e montagem do bem ou execução do serviço, formas de pagamento, fretes, garantias exigidas e marcas e modelos, quando for o caso.</w:t>
      </w:r>
    </w:p>
    <w:p w14:paraId="242A190C"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 </w:t>
      </w:r>
      <w:r w:rsidRPr="00562A0F">
        <w:rPr>
          <w:rFonts w:ascii="Times New Roman" w:hAnsi="Times New Roman"/>
          <w:b/>
          <w:bCs/>
          <w:lang w:eastAsia="pt-BR"/>
        </w:rPr>
        <w:t>Parâmetros</w:t>
      </w:r>
    </w:p>
    <w:p w14:paraId="7E0FA47E"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Art. 5º A pesquisa de preços para fins de determinação do preço estimado em processo licitatório para a aquisição e contratação de serviços em geral será realizada mediante a utilização dos seguintes parâmetros, empregados de forma combinada ou não:</w:t>
      </w:r>
    </w:p>
    <w:p w14:paraId="39266C63"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I - Painel de Preços, disponível no endereço eletrônico gov.br/paineldeprecos, desde que as cotações refiram-se a aquisições ou contratações firmadas no período de até 1 (um) ano anterior à data de divulgação do instrumento convocatório;</w:t>
      </w:r>
    </w:p>
    <w:p w14:paraId="1218DA20"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II - aquisições e contratações similares de outros entes públicos, firmadas no período de até 1 (um) ano anterior à data de divulgação do instrumento convocatório;</w:t>
      </w:r>
    </w:p>
    <w:p w14:paraId="5E74AE07"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III - dados de pesquisa publicada em mídia especializada, de sítios eletrônicos especializados ou de domínio amplo, desde que atualizados no momento da pesquisa e compreendidos no intervalo de até 6 (seis) meses de antecedência da data de divulgação do instrumento convocatório, contendo a data e hora de acesso; ou</w:t>
      </w:r>
    </w:p>
    <w:p w14:paraId="3D45296C"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IV - pesquisa direta com fornecedores, mediante solicitação formal de cotação, desde que os orçamentos considerados estejam compreendidos no intervalo de até 6 (seis) meses de antecedência da data de divulgação do instrumento convocatório.</w:t>
      </w:r>
    </w:p>
    <w:p w14:paraId="2152D6C6"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§1º Deverão ser priorizados os parâmetros estabelecidos nos incisos I e II.</w:t>
      </w:r>
    </w:p>
    <w:p w14:paraId="020628CC"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 2º Quando a pesquisa de preços for realizada com os fornecedores, nos termos do inciso IV, deverá ser observado:</w:t>
      </w:r>
    </w:p>
    <w:p w14:paraId="4157DCCC"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I - prazo de resposta conferido ao fornecedor compatível com a complexidade do objeto a ser licitado;</w:t>
      </w:r>
    </w:p>
    <w:p w14:paraId="62BE4AE9"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II - obtenção de propostas formais, contendo, no mínimo:</w:t>
      </w:r>
    </w:p>
    <w:p w14:paraId="394CC475"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a) descrição do objeto, valor unitário e total;</w:t>
      </w:r>
    </w:p>
    <w:p w14:paraId="511980FD"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b) número do Cadastro de Pessoa Física - CPF ou do Cadastro Nacional de Pessoa Jurídica - CNPJ do proponente;</w:t>
      </w:r>
    </w:p>
    <w:p w14:paraId="5A76447F"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c) endereço e telefone de contato; e</w:t>
      </w:r>
    </w:p>
    <w:p w14:paraId="062EAD22"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d) data de emissão.</w:t>
      </w:r>
    </w:p>
    <w:p w14:paraId="47B4A188"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III - registro, nos autos da contratação correspondente, da relação de fornecedores que foram consultados e não enviaram propostas como resposta à solicitação de que trata o inciso IV do caput.</w:t>
      </w:r>
    </w:p>
    <w:p w14:paraId="77A5B060"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b/>
          <w:bCs/>
          <w:lang w:eastAsia="pt-BR"/>
        </w:rPr>
        <w:t>Metodologia</w:t>
      </w:r>
    </w:p>
    <w:p w14:paraId="2A6C4824"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 xml:space="preserve">Art. 6º Serão utilizados, como métodos para obtenção do preço estimado, a média, a mediana ou o menor dos valores obtidos na pesquisa de preços, desde que o cálculo incida </w:t>
      </w:r>
      <w:r w:rsidRPr="00562A0F">
        <w:rPr>
          <w:rFonts w:ascii="Times New Roman" w:hAnsi="Times New Roman"/>
          <w:lang w:eastAsia="pt-BR"/>
        </w:rPr>
        <w:lastRenderedPageBreak/>
        <w:t>sobre um conjunto de três ou mais preços, oriundos de um ou mais dos parâmetros de que trata o art. 5º, desconsiderados os valores inexequíveis, inconsistentes e os excessivamente elevados.</w:t>
      </w:r>
    </w:p>
    <w:p w14:paraId="17184AE6"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 1º Poderão ser utilizados outros critérios ou métodos, desde que devidamente justificados nos autos pelo gestor responsável e aprovados pela autoridade competente.</w:t>
      </w:r>
    </w:p>
    <w:p w14:paraId="19FE076A"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 2º Para desconsideração dos valores inexequíveis, inconsistentes e os excessivamente elevados, deverão ser adotados critérios fundamentados e descritos no processo administrativo.</w:t>
      </w:r>
    </w:p>
    <w:p w14:paraId="416F2747"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 3º Os preços coletados devem ser analisados de forma crítica, em especial, quando houver grande variação entre os valores apresentados.</w:t>
      </w:r>
    </w:p>
    <w:p w14:paraId="6042AA5B" w14:textId="77777777" w:rsidR="00DD1EB9" w:rsidRPr="00562A0F" w:rsidRDefault="00DD1EB9" w:rsidP="00C31E99">
      <w:pPr>
        <w:spacing w:after="240" w:line="240" w:lineRule="auto"/>
        <w:ind w:left="708"/>
        <w:jc w:val="both"/>
        <w:rPr>
          <w:rFonts w:ascii="Times New Roman" w:hAnsi="Times New Roman"/>
          <w:lang w:eastAsia="pt-BR"/>
        </w:rPr>
      </w:pPr>
      <w:r w:rsidRPr="00562A0F">
        <w:rPr>
          <w:rFonts w:ascii="Times New Roman" w:hAnsi="Times New Roman"/>
          <w:lang w:eastAsia="pt-BR"/>
        </w:rPr>
        <w:t>§ 4º Excepcionalmente, será admitida a determinação de preço estimado com base em menos de três preços, desde que devidamente justificada nos autos pelo gestor responsável e aprovado pela autoridade competente.</w:t>
      </w:r>
    </w:p>
    <w:p w14:paraId="788E3D8C" w14:textId="4A0C37A9" w:rsidR="00DD1EB9" w:rsidRPr="00562A0F" w:rsidRDefault="00DD1EB9" w:rsidP="00C31E99">
      <w:pPr>
        <w:spacing w:after="240" w:line="240" w:lineRule="auto"/>
        <w:jc w:val="both"/>
        <w:rPr>
          <w:rFonts w:ascii="Times New Roman" w:hAnsi="Times New Roman"/>
          <w:lang w:eastAsia="pt-BR"/>
        </w:rPr>
      </w:pPr>
      <w:r w:rsidRPr="00562A0F">
        <w:rPr>
          <w:rFonts w:ascii="Times New Roman" w:hAnsi="Times New Roman"/>
          <w:lang w:eastAsia="pt-BR"/>
        </w:rPr>
        <w:t>Assim, cabe seguir tais disposições da IN 73/2020 quando adotado o procedimento de pesquisa de preços na composição de algum dos custos unitários das obras ou serviços de engenharia. Não basta simplesmente anexar propostas de preço ao processo - é necessário um ritual mais amplo de formalização, análise e conferência dos valores coletados</w:t>
      </w:r>
      <w:r w:rsidR="00B269C8" w:rsidRPr="00562A0F">
        <w:rPr>
          <w:rFonts w:ascii="Times New Roman" w:hAnsi="Times New Roman"/>
          <w:lang w:eastAsia="pt-BR"/>
        </w:rPr>
        <w:t>, tudo isso devidamente documentado no processo.</w:t>
      </w:r>
    </w:p>
    <w:p w14:paraId="03DC118F" w14:textId="77777777" w:rsidR="00DD1EB9" w:rsidRPr="00562A0F" w:rsidRDefault="00DD1EB9" w:rsidP="00C31E99">
      <w:pPr>
        <w:spacing w:after="240" w:line="240" w:lineRule="auto"/>
        <w:jc w:val="both"/>
        <w:rPr>
          <w:rFonts w:ascii="Times New Roman" w:hAnsi="Times New Roman"/>
        </w:rPr>
      </w:pPr>
      <w:r w:rsidRPr="00562A0F">
        <w:rPr>
          <w:rFonts w:ascii="Times New Roman" w:hAnsi="Times New Roman"/>
        </w:rPr>
        <w:t>Por óbvio, o orçamentista também deverá declarar expressamente quais custos do orçamento de referência foram extraídos da pesquisa de preços.</w:t>
      </w:r>
    </w:p>
    <w:p w14:paraId="2C9A4B6E" w14:textId="77777777" w:rsidR="00DD1EB9" w:rsidRPr="00562A0F" w:rsidRDefault="00DD1EB9" w:rsidP="00C31E99">
      <w:pPr>
        <w:pStyle w:val="PargrafodaLista"/>
        <w:spacing w:after="240" w:line="240" w:lineRule="auto"/>
        <w:ind w:left="360"/>
        <w:jc w:val="both"/>
        <w:rPr>
          <w:rFonts w:ascii="Times New Roman" w:hAnsi="Times New Roman"/>
        </w:rPr>
      </w:pPr>
    </w:p>
    <w:p w14:paraId="364C8272" w14:textId="34D7100C" w:rsidR="00DD1EB9" w:rsidRPr="00562A0F" w:rsidRDefault="00DD1EB9" w:rsidP="00C31E99">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xml:space="preserve">: No orçamento da presente licitação, (   ) FOI realizada pesquisa de mercado para itens </w:t>
      </w:r>
      <w:r w:rsidRPr="00562A0F">
        <w:rPr>
          <w:rFonts w:ascii="Times New Roman" w:hAnsi="Times New Roman"/>
          <w:color w:val="000000"/>
          <w:lang w:eastAsia="pt-BR"/>
        </w:rPr>
        <w:t>do orçamento não contemplados no SINAPI</w:t>
      </w:r>
      <w:r w:rsidRPr="00562A0F">
        <w:rPr>
          <w:rFonts w:ascii="Times New Roman" w:hAnsi="Times New Roman"/>
        </w:rPr>
        <w:t>, adotando-se as diretrizes da IN SEGES/ME nº 73, de 2020, conforme documentos juntados aos autos em (   ).</w:t>
      </w:r>
    </w:p>
    <w:p w14:paraId="7B0F21BC" w14:textId="2AC0C44B" w:rsidR="00B77B67" w:rsidRPr="00562A0F" w:rsidRDefault="003E10D9" w:rsidP="00C31E99">
      <w:pPr>
        <w:spacing w:after="240" w:line="240" w:lineRule="auto"/>
        <w:jc w:val="both"/>
        <w:rPr>
          <w:rFonts w:ascii="Times New Roman" w:hAnsi="Times New Roman"/>
        </w:rPr>
      </w:pPr>
      <w:r w:rsidRPr="00562A0F">
        <w:rPr>
          <w:rFonts w:ascii="Times New Roman" w:hAnsi="Times New Roman"/>
        </w:rPr>
        <w:t>Foram observados os seguintes aspectos para a elaboração do Mapa de Preços</w:t>
      </w:r>
      <w:r w:rsidR="00B77B67" w:rsidRPr="00562A0F">
        <w:rPr>
          <w:rFonts w:ascii="Times New Roman" w:hAnsi="Times New Roman"/>
        </w:rPr>
        <w:t>:</w:t>
      </w:r>
    </w:p>
    <w:p w14:paraId="32731CB8" w14:textId="77777777" w:rsidR="00B77B67" w:rsidRPr="00562A0F" w:rsidRDefault="00B77B67" w:rsidP="00B77B67">
      <w:pPr>
        <w:spacing w:after="240" w:line="240" w:lineRule="auto"/>
        <w:jc w:val="both"/>
        <w:rPr>
          <w:rFonts w:ascii="Times New Roman" w:hAnsi="Times New Roman"/>
        </w:rPr>
      </w:pPr>
      <w:r w:rsidRPr="00562A0F">
        <w:rPr>
          <w:rFonts w:ascii="Times New Roman" w:hAnsi="Times New Roman"/>
        </w:rPr>
        <w:t>-----------------------------------------------------------------------------------------------------------------------------------------------------------------------------------------------------------------------------------------------------------------------------------------------------------------------------------------------------------------------------------------------------------------------------------------------------------------------------------------------------------------------------------------------------------------------------------------------------------------------------------------------------------</w:t>
      </w:r>
    </w:p>
    <w:p w14:paraId="30350DD5" w14:textId="77777777" w:rsidR="00C31E99" w:rsidRPr="00562A0F" w:rsidRDefault="00C31E99" w:rsidP="00C31E99">
      <w:pPr>
        <w:spacing w:after="240" w:line="240" w:lineRule="auto"/>
        <w:jc w:val="both"/>
        <w:rPr>
          <w:rFonts w:ascii="Times New Roman" w:hAnsi="Times New Roman"/>
        </w:rPr>
      </w:pPr>
    </w:p>
    <w:p w14:paraId="7E60639D" w14:textId="77777777" w:rsidR="00864D51"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lang w:eastAsia="pt-BR"/>
        </w:rPr>
        <w:t>ELABORAÇÃO DAS COMPOSIÇÕES DE CUSTOS UNITÁRIOS</w:t>
      </w:r>
    </w:p>
    <w:p w14:paraId="24EA27BC"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t>A chamada planilha analítica contém o detalhamento de todos os insumos necessários à composição do custo unitário de cada um dos itens que compõem a obra, incluindo não apenas os materiais, como também a mão de obra e os equipamentos, com os respectivos quantitativos e índices de produtividade.</w:t>
      </w:r>
    </w:p>
    <w:p w14:paraId="46031A95"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t>Segundo a Súmula TCU nº 258/2010, "as composições de custos unitários e o detalhamento de encargos sociais e do BDI integram o orçamento que compõe o projeto básico da obra ou serviço de engenharia, devem constar dos anexos do edital de licitação e das propostas das licitantes e não podem ser indicados mediante uso da expressão "verba" ou de unidades genéricas".</w:t>
      </w:r>
    </w:p>
    <w:p w14:paraId="001FA451"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lastRenderedPageBreak/>
        <w:t>Desde logo, para os custos de referência extraídos do SINAPI, parece desnecessária a juntada das composições que lhes dão suporte - pois trata-se de sistema oficial de livre acesso, bastando ao interessado consultar o respectivo código junto à tabela analítica do SINAPI para saber exatamente como foram calculados e quais custos estão ali embutidos.</w:t>
      </w:r>
    </w:p>
    <w:p w14:paraId="58EF7743"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t>Porém, o art. 8º do Decreto nº 7.983, de 2013, autoriza a adoção de especificidades locais ou de projeto na elaboração das respectivas composições de custo unitário, desde que demonstrada a pertinência dos ajustes para a obra ou serviço de engenharia a ser orçado em relatório técnico elaborado por profissional habilitado.</w:t>
      </w:r>
    </w:p>
    <w:p w14:paraId="75BF3C40"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color w:val="000000"/>
          <w:lang w:eastAsia="pt-BR"/>
        </w:rPr>
        <w:t>Nessa hipótese, as referidas composições “adaptadas” do SINAPI deverão ser obrigatoriamente juntadas aos autos, para o devido conhecimento dos licitantes.</w:t>
      </w:r>
    </w:p>
    <w:p w14:paraId="44775597"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t xml:space="preserve">Já para os demais custos de referência extraídos de fontes extra-SINAPI – dentre aquelas autorizadas no art. 6º do Decreto nº 7.983, de 2013 – também é necessário que as respectivas composições de custos unitários sejam devidamente detalhadas e juntadas aos autos – são as chamadas composições “próprias”. </w:t>
      </w:r>
    </w:p>
    <w:p w14:paraId="311B62E4" w14:textId="77777777" w:rsidR="00DD1EB9" w:rsidRPr="00562A0F" w:rsidRDefault="00DD1EB9" w:rsidP="00807E90">
      <w:pPr>
        <w:pStyle w:val="PargrafodaLista"/>
        <w:spacing w:after="240" w:line="240" w:lineRule="auto"/>
        <w:ind w:left="360"/>
        <w:jc w:val="both"/>
        <w:rPr>
          <w:rFonts w:ascii="Times New Roman" w:hAnsi="Times New Roman"/>
          <w:lang w:eastAsia="pt-BR"/>
        </w:rPr>
      </w:pPr>
    </w:p>
    <w:p w14:paraId="02AD80ED"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b/>
          <w:bCs/>
          <w:u w:val="single"/>
          <w:lang w:eastAsia="pt-BR"/>
        </w:rPr>
        <w:t>JUSTIFICATIVA</w:t>
      </w:r>
      <w:r w:rsidRPr="00562A0F">
        <w:rPr>
          <w:rFonts w:ascii="Times New Roman" w:hAnsi="Times New Roman"/>
          <w:lang w:eastAsia="pt-BR"/>
        </w:rPr>
        <w:t>: No orçamento de referência da presente licitação:</w:t>
      </w:r>
    </w:p>
    <w:p w14:paraId="5537AB22"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t>(   ) foram adotadas apenas composições de custos unitários oriundas do SINAPI, sem adaptações;</w:t>
      </w:r>
    </w:p>
    <w:p w14:paraId="53AD298B"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t>(   ) foram adotadas composições “adaptadas” do SINAPI, nos termos do art. 8º do Decreto nº 7.983, de 2013, as quais foram devidamente juntadas aos autos</w:t>
      </w:r>
      <w:r w:rsidRPr="00562A0F">
        <w:rPr>
          <w:rFonts w:ascii="Times New Roman" w:hAnsi="Times New Roman"/>
          <w:color w:val="000000"/>
          <w:lang w:eastAsia="pt-BR"/>
        </w:rPr>
        <w:t xml:space="preserve"> para o conhecimento dos licitantes</w:t>
      </w:r>
      <w:r w:rsidRPr="00562A0F">
        <w:rPr>
          <w:rFonts w:ascii="Times New Roman" w:hAnsi="Times New Roman"/>
          <w:lang w:eastAsia="pt-BR"/>
        </w:rPr>
        <w:t>;</w:t>
      </w:r>
    </w:p>
    <w:p w14:paraId="351FA372"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t>(   ) foram adotadas composições “próprias”, extraídas de fontes extra-SINAPI, nos termos do art. 6º do Decreto nº 7.983, de 2013, as quais foram devidamente juntadas aos autos</w:t>
      </w:r>
      <w:r w:rsidRPr="00562A0F">
        <w:rPr>
          <w:rFonts w:ascii="Times New Roman" w:hAnsi="Times New Roman"/>
          <w:color w:val="000000"/>
          <w:lang w:eastAsia="pt-BR"/>
        </w:rPr>
        <w:t xml:space="preserve"> para o conhecimento dos licitantes</w:t>
      </w:r>
      <w:r w:rsidRPr="00562A0F">
        <w:rPr>
          <w:rFonts w:ascii="Times New Roman" w:hAnsi="Times New Roman"/>
          <w:lang w:eastAsia="pt-BR"/>
        </w:rPr>
        <w:t>;</w:t>
      </w:r>
    </w:p>
    <w:p w14:paraId="19CE201D" w14:textId="77777777" w:rsidR="00807E90" w:rsidRPr="00562A0F" w:rsidRDefault="00807E90" w:rsidP="00807E90">
      <w:pPr>
        <w:spacing w:after="240" w:line="240" w:lineRule="auto"/>
        <w:jc w:val="both"/>
        <w:rPr>
          <w:rFonts w:ascii="Times New Roman" w:hAnsi="Times New Roman"/>
          <w:lang w:eastAsia="pt-BR"/>
        </w:rPr>
      </w:pPr>
    </w:p>
    <w:p w14:paraId="13B2A7E5" w14:textId="77777777" w:rsidR="0090645F" w:rsidRPr="00562A0F" w:rsidRDefault="0090645F"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ELABORAÇÃO DAS CURVAS ABC DOS SERVIÇOS E INSUMOS</w:t>
      </w:r>
    </w:p>
    <w:p w14:paraId="6A38123E"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t>A partir das planilhas orçamentárias, cabe também elaborar a Curva ABC, assim definida no manual de Orientações para Elaboração de Planilhas Orçamentárias de Obras Públicas do TCU:</w:t>
      </w:r>
    </w:p>
    <w:p w14:paraId="0420B483" w14:textId="77777777" w:rsidR="00DD1EB9" w:rsidRPr="00562A0F" w:rsidRDefault="00DD1EB9" w:rsidP="00807E90">
      <w:pPr>
        <w:spacing w:after="240" w:line="240" w:lineRule="auto"/>
        <w:ind w:left="708"/>
        <w:jc w:val="both"/>
        <w:rPr>
          <w:rFonts w:ascii="Times New Roman" w:hAnsi="Times New Roman"/>
          <w:lang w:eastAsia="pt-BR"/>
        </w:rPr>
      </w:pPr>
      <w:r w:rsidRPr="00562A0F">
        <w:rPr>
          <w:rFonts w:ascii="Times New Roman" w:hAnsi="Times New Roman"/>
          <w:lang w:eastAsia="pt-BR"/>
        </w:rPr>
        <w:t>2.19 Curva ou Classificação ABC de Serviços: tabela obtida a partir da planilha orçamentária da obra, na qual os itens do orçamento são agrupados e, posteriormente, ordenados por sua importância relativa de preço total, em ordem decrescente, determinando-se o peso percentual do valor de cada um em relação ao valor total do orçamento, calculando-se em seguida os valores percentuais acumulados desses pesos. (...)</w:t>
      </w:r>
    </w:p>
    <w:p w14:paraId="75B9ACD9" w14:textId="77777777" w:rsidR="00DD1EB9" w:rsidRPr="00562A0F" w:rsidRDefault="00DD1EB9" w:rsidP="00807E90">
      <w:pPr>
        <w:spacing w:after="240" w:line="240" w:lineRule="auto"/>
        <w:ind w:left="708"/>
        <w:jc w:val="both"/>
        <w:rPr>
          <w:rFonts w:ascii="Times New Roman" w:hAnsi="Times New Roman"/>
          <w:lang w:eastAsia="pt-BR"/>
        </w:rPr>
      </w:pPr>
      <w:r w:rsidRPr="00562A0F">
        <w:rPr>
          <w:rFonts w:ascii="Times New Roman" w:hAnsi="Times New Roman"/>
          <w:lang w:eastAsia="pt-BR"/>
        </w:rPr>
        <w:t>A importância da curva ABC reside na análise das planilhas orçamentárias. É relativamente frequente a existência de orçamentos com grande quantidade de itens de serviço distintos. Em tais circunstâncias, a curva ABC de serviços permite a avaliação global do orçamento com o exame de apenas uma parte dos serviços. (...)</w:t>
      </w:r>
    </w:p>
    <w:p w14:paraId="6F2907ED" w14:textId="77777777" w:rsidR="00DD1EB9" w:rsidRPr="00562A0F" w:rsidRDefault="00DD1EB9" w:rsidP="00807E90">
      <w:pPr>
        <w:spacing w:after="240" w:line="240" w:lineRule="auto"/>
        <w:ind w:left="708"/>
        <w:jc w:val="both"/>
        <w:rPr>
          <w:rFonts w:ascii="Times New Roman" w:hAnsi="Times New Roman"/>
          <w:lang w:eastAsia="pt-BR"/>
        </w:rPr>
      </w:pPr>
      <w:r w:rsidRPr="00562A0F">
        <w:rPr>
          <w:rFonts w:ascii="Times New Roman" w:hAnsi="Times New Roman"/>
          <w:lang w:eastAsia="pt-BR"/>
        </w:rPr>
        <w:t>2.20 Curva ABC de insumos: apresenta todos os insumos da obra (material, mão de obra e equipamentos) classificados em ordem decrescente de relevância. Para sua confecção, necessita-se da composição de custos unitários de todos os serviços da obra para o agrupamento dos insumos similares de cada serviço.</w:t>
      </w:r>
    </w:p>
    <w:p w14:paraId="1421FC1F"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lastRenderedPageBreak/>
        <w:t>A curva ABC de insumos é uma ferramenta que cria várias facilidades para a orçamentação de uma obra, proporcionando que o orçamentista refine o orçamento mediante pesquisa de mercado dos insumos mais significativos. Também auxilia no planejamento e programação de obras, pois fornece o efetivo de mão de obra e a quantidade dos diversos tipos de equipamentos necessários para a execução da obra.</w:t>
      </w:r>
    </w:p>
    <w:p w14:paraId="76D1EFD3" w14:textId="4473A0F9"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t>No caso, uma das funções principais da Curva ABC é definir as parcelas mais relevantes da contratação sob o prisma econômico, a fim de permitir a indicação dos serviços cuja execução prévia deverá ser comprovada nos atestados de capacidade técnica apresentados pelo licitante (requisito de qualificação técnica).</w:t>
      </w:r>
      <w:r w:rsidR="00A61059" w:rsidRPr="00562A0F">
        <w:rPr>
          <w:rFonts w:ascii="Times New Roman" w:hAnsi="Times New Roman"/>
          <w:lang w:eastAsia="pt-BR"/>
        </w:rPr>
        <w:t xml:space="preserve"> Além disso, permite apontar os insumos que podem ser objeto da incidência de BDI Diferenciado</w:t>
      </w:r>
      <w:r w:rsidR="00A33DE9" w:rsidRPr="00562A0F">
        <w:rPr>
          <w:rFonts w:ascii="Times New Roman" w:hAnsi="Times New Roman"/>
          <w:lang w:eastAsia="pt-BR"/>
        </w:rPr>
        <w:t>.</w:t>
      </w:r>
    </w:p>
    <w:p w14:paraId="6EEA6530"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t>Ademais, a Curva ABC também é importante instrumento para a análise de riscos da contratação e a previsão de mecanismos de gestão e fiscalização contratual, além de guiar a análise crítica dos pleitos de modificação das planilhas orçamentárias por meio de aditivos, para verificar o ponto de equilíbrio econômico-financeiro do contrato e a potencial ocorrência de “jogo de planilha” ou sobrepreços relevantes.</w:t>
      </w:r>
    </w:p>
    <w:p w14:paraId="3138E63D"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t>Por fim, o próprio TCU costuma utilizar a Curva ABC em suas auditorias para averiguar tais irregularidades nos processos de tomada de contas de obras e serviços de engenharia – cabendo ao órgão diligente se antecipar e preparar sua própria versão do documento, a fim de antever eventuais fragilidades em suas planilhas orçamentárias.</w:t>
      </w:r>
    </w:p>
    <w:p w14:paraId="6EE5791D"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t>Do ponto de vista prático, a relevância desse documento pode ser assim resumida: Indicar os itens em relação aos quais se deve exigir atestados; indicar o percentual que será solicitado nos atestados (até 50% - TCU); e, indicar a importância de BDI diferenciado para equipamentos.</w:t>
      </w:r>
    </w:p>
    <w:p w14:paraId="74644E42" w14:textId="77777777" w:rsidR="00DD1EB9" w:rsidRPr="00562A0F" w:rsidRDefault="00DD1EB9" w:rsidP="00807E90">
      <w:pPr>
        <w:pStyle w:val="PargrafodaLista"/>
        <w:spacing w:after="240" w:line="240" w:lineRule="auto"/>
        <w:ind w:left="360"/>
        <w:jc w:val="both"/>
        <w:rPr>
          <w:rFonts w:ascii="Times New Roman" w:hAnsi="Times New Roman"/>
          <w:lang w:eastAsia="pt-BR"/>
        </w:rPr>
      </w:pPr>
    </w:p>
    <w:p w14:paraId="471B3C94"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b/>
          <w:bCs/>
          <w:u w:val="single"/>
          <w:lang w:eastAsia="pt-BR"/>
        </w:rPr>
        <w:t>JUSTIFICATIVA</w:t>
      </w:r>
      <w:r w:rsidRPr="00562A0F">
        <w:rPr>
          <w:rFonts w:ascii="Times New Roman" w:hAnsi="Times New Roman"/>
          <w:lang w:eastAsia="pt-BR"/>
        </w:rPr>
        <w:t>: Na presente licitação, foram juntadas as Curvas ABC relativas aos insumos no documento nº (   ) e aos serviços no documento nº (   ).</w:t>
      </w:r>
    </w:p>
    <w:p w14:paraId="7AEFC451" w14:textId="77777777" w:rsidR="00807E90" w:rsidRPr="00562A0F" w:rsidRDefault="00807E90" w:rsidP="00807E90">
      <w:pPr>
        <w:spacing w:after="240" w:line="240" w:lineRule="auto"/>
        <w:jc w:val="both"/>
        <w:rPr>
          <w:rFonts w:ascii="Times New Roman" w:hAnsi="Times New Roman"/>
          <w:lang w:eastAsia="pt-BR"/>
        </w:rPr>
      </w:pPr>
    </w:p>
    <w:p w14:paraId="5B4B4D5D" w14:textId="77777777" w:rsidR="00001F07"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ADOÇÃO DO REGIME DE DESONERAÇÃO TRIBUTÁRIA</w:t>
      </w:r>
    </w:p>
    <w:p w14:paraId="26244C02" w14:textId="77777777" w:rsidR="00DD1EB9" w:rsidRPr="00562A0F" w:rsidRDefault="00DD1EB9" w:rsidP="00807E90">
      <w:pPr>
        <w:spacing w:after="240" w:line="240" w:lineRule="auto"/>
        <w:jc w:val="both"/>
        <w:rPr>
          <w:rFonts w:ascii="Times New Roman" w:hAnsi="Times New Roman"/>
        </w:rPr>
      </w:pPr>
      <w:r w:rsidRPr="00562A0F">
        <w:rPr>
          <w:rFonts w:ascii="Times New Roman" w:hAnsi="Times New Roman"/>
        </w:rPr>
        <w:t xml:space="preserve">Segundo o art. 7º da Lei nº 12.546/2011, até 31 de dezembro de 2021, </w:t>
      </w:r>
      <w:r w:rsidRPr="00562A0F">
        <w:rPr>
          <w:rFonts w:ascii="Times New Roman" w:hAnsi="Times New Roman"/>
          <w:color w:val="000000"/>
        </w:rPr>
        <w:t>as empresas do setor de construção civil</w:t>
      </w:r>
      <w:r w:rsidRPr="00562A0F">
        <w:rPr>
          <w:rFonts w:ascii="Times New Roman" w:hAnsi="Times New Roman"/>
        </w:rPr>
        <w:t xml:space="preserve"> poderão optar por recolher a chamada Contribuição Previdenciária sobre a Renda Bruta (</w:t>
      </w:r>
      <w:r w:rsidRPr="00562A0F">
        <w:rPr>
          <w:rStyle w:val="scayt-misspell-word"/>
          <w:rFonts w:ascii="Times New Roman" w:hAnsi="Times New Roman"/>
        </w:rPr>
        <w:t>CPRB</w:t>
      </w:r>
      <w:r w:rsidRPr="00562A0F">
        <w:rPr>
          <w:rFonts w:ascii="Times New Roman" w:hAnsi="Times New Roman"/>
        </w:rPr>
        <w:t xml:space="preserve">), à alíquota de 4,5% (quatro e meio por cento), ao invés das contribuições destinadas à Seguridade Social incidentes sobre as remunerações pagas a seus empregados - é a chamada "desoneração da folha de pagamento". </w:t>
      </w:r>
    </w:p>
    <w:p w14:paraId="5984A1E5" w14:textId="77777777" w:rsidR="00DD1EB9" w:rsidRPr="00562A0F" w:rsidRDefault="00DD1EB9" w:rsidP="00807E90">
      <w:pPr>
        <w:spacing w:after="240" w:line="240" w:lineRule="auto"/>
        <w:jc w:val="both"/>
        <w:rPr>
          <w:rFonts w:ascii="Times New Roman" w:hAnsi="Times New Roman"/>
        </w:rPr>
      </w:pPr>
      <w:r w:rsidRPr="00562A0F">
        <w:rPr>
          <w:rFonts w:ascii="Times New Roman" w:hAnsi="Times New Roman"/>
        </w:rPr>
        <w:t xml:space="preserve">Atualmente, tal regime de desoneração tributária é facultativo para as empresas de construção civil – e é por isso que o </w:t>
      </w:r>
      <w:r w:rsidRPr="00562A0F">
        <w:rPr>
          <w:rStyle w:val="scayt-misspell-word"/>
          <w:rFonts w:ascii="Times New Roman" w:hAnsi="Times New Roman"/>
        </w:rPr>
        <w:t>SINAPI</w:t>
      </w:r>
      <w:r w:rsidRPr="00562A0F">
        <w:rPr>
          <w:rFonts w:ascii="Times New Roman" w:hAnsi="Times New Roman"/>
        </w:rPr>
        <w:t xml:space="preserve"> e demais tabelas de referência de preços divulgam duas versões concomitantes: encargos sociais "desonerados" e "não desonerados".</w:t>
      </w:r>
    </w:p>
    <w:p w14:paraId="5043BEBC" w14:textId="77777777" w:rsidR="00DD1EB9" w:rsidRPr="00562A0F" w:rsidRDefault="00DD1EB9" w:rsidP="00807E90">
      <w:pPr>
        <w:spacing w:after="240" w:line="240" w:lineRule="auto"/>
        <w:jc w:val="both"/>
        <w:rPr>
          <w:rFonts w:ascii="Times New Roman" w:hAnsi="Times New Roman"/>
        </w:rPr>
      </w:pPr>
      <w:r w:rsidRPr="00562A0F">
        <w:rPr>
          <w:rFonts w:ascii="Times New Roman" w:hAnsi="Times New Roman"/>
        </w:rPr>
        <w:t>Porém, conforme divulgado no Informativo de Licitações e Contratos nº 257 do TCU, a Corte entendeu que o tratamento tributário diferenciado previsto na Lei nº 12.546/2011 não ampara a adoção de dois orçamentos estimativos como critério de aceitabilidade de preços máximos na licitação, a depender de a licitante recolher a contribuição previdenciária sobre o valor da receita bruta ou sobre o valor da folha de pagamento (Acórdão nº 6.013/2015 - 2ª Câmara).</w:t>
      </w:r>
    </w:p>
    <w:p w14:paraId="51F90564" w14:textId="77777777" w:rsidR="00DD1EB9" w:rsidRPr="00562A0F" w:rsidRDefault="00DD1EB9" w:rsidP="00807E90">
      <w:pPr>
        <w:spacing w:after="240" w:line="240" w:lineRule="auto"/>
        <w:jc w:val="both"/>
        <w:rPr>
          <w:rFonts w:ascii="Times New Roman" w:hAnsi="Times New Roman"/>
        </w:rPr>
      </w:pPr>
      <w:r w:rsidRPr="00562A0F">
        <w:rPr>
          <w:rFonts w:ascii="Times New Roman" w:hAnsi="Times New Roman"/>
        </w:rPr>
        <w:t xml:space="preserve">A impropriedade detectada foi no seguinte sentido: “ausência de amparo legal para a adoção de dois orçamentos diferentes, a serem utilizados como critério de aceitabilidade de preços máximos, a depender de a licitante recolher a contribuição previdenciária incidente sobre o valor da receita </w:t>
      </w:r>
      <w:r w:rsidRPr="00562A0F">
        <w:rPr>
          <w:rFonts w:ascii="Times New Roman" w:hAnsi="Times New Roman"/>
        </w:rPr>
        <w:lastRenderedPageBreak/>
        <w:t>bruta ou recolher as contribuições previdenciárias incidentes sobre a folha de pagamento, considerando-se, ainda, que o ordenamento legal pátrio prevê o tratamento diferenciado, sem que haja afronta à isonomia, nos termos da Lei 12.546/2011”.</w:t>
      </w:r>
    </w:p>
    <w:p w14:paraId="5950B806" w14:textId="77777777" w:rsidR="00DD1EB9" w:rsidRPr="00562A0F" w:rsidRDefault="00DD1EB9" w:rsidP="00807E90">
      <w:pPr>
        <w:spacing w:after="240" w:line="240" w:lineRule="auto"/>
        <w:jc w:val="both"/>
        <w:rPr>
          <w:rFonts w:ascii="Times New Roman" w:hAnsi="Times New Roman"/>
        </w:rPr>
      </w:pPr>
      <w:r w:rsidRPr="00562A0F">
        <w:rPr>
          <w:rFonts w:ascii="Times New Roman" w:hAnsi="Times New Roman"/>
        </w:rPr>
        <w:t xml:space="preserve">Portanto, ao elaborar o orçamento de referência de cada licitação, cabe ao setor técnico justificar a opção por uma ou outra tabela do </w:t>
      </w:r>
      <w:r w:rsidRPr="00562A0F">
        <w:rPr>
          <w:rStyle w:val="scayt-misspell-word"/>
          <w:rFonts w:ascii="Times New Roman" w:hAnsi="Times New Roman"/>
        </w:rPr>
        <w:t>SINAPI</w:t>
      </w:r>
      <w:r w:rsidRPr="00562A0F">
        <w:rPr>
          <w:rFonts w:ascii="Times New Roman" w:hAnsi="Times New Roman"/>
        </w:rPr>
        <w:t>, conforme o cenário que se revelar mais vantajoso para a Administração - segundo as premissas do PARECER nº 44/2019/</w:t>
      </w:r>
      <w:r w:rsidRPr="00562A0F">
        <w:rPr>
          <w:rStyle w:val="scayt-misspell-word"/>
          <w:rFonts w:ascii="Times New Roman" w:hAnsi="Times New Roman"/>
        </w:rPr>
        <w:t>DECOR</w:t>
      </w:r>
      <w:r w:rsidRPr="00562A0F">
        <w:rPr>
          <w:rFonts w:ascii="Times New Roman" w:hAnsi="Times New Roman"/>
        </w:rPr>
        <w:t>/CGU/AGU:</w:t>
      </w:r>
    </w:p>
    <w:p w14:paraId="08B0B133" w14:textId="77777777" w:rsidR="00DD1EB9" w:rsidRPr="00562A0F" w:rsidRDefault="00DD1EB9" w:rsidP="00164E60">
      <w:pPr>
        <w:spacing w:after="240" w:line="240" w:lineRule="auto"/>
        <w:ind w:left="708"/>
        <w:jc w:val="both"/>
        <w:rPr>
          <w:rFonts w:ascii="Times New Roman" w:hAnsi="Times New Roman"/>
        </w:rPr>
      </w:pPr>
      <w:r w:rsidRPr="00562A0F">
        <w:rPr>
          <w:rFonts w:ascii="Times New Roman" w:hAnsi="Times New Roman"/>
        </w:rPr>
        <w:t>b) Na fase preparatória da licitação, ao fazer uma estimativa do valor do futuro contrato, a Administração deverá confeccionar um único orçamento de referência, no qual considerará o regime tributário que lhe for mais vantajoso, embora os licitantes possam elaborar suas planilhas de custos e formação de preços com observância do regime tributário a que se sujeitam.</w:t>
      </w:r>
    </w:p>
    <w:p w14:paraId="7D8A9E08" w14:textId="77777777" w:rsidR="00DD1EB9" w:rsidRPr="00562A0F" w:rsidRDefault="00DD1EB9" w:rsidP="00164E60">
      <w:pPr>
        <w:spacing w:after="240" w:line="240" w:lineRule="auto"/>
        <w:ind w:left="708"/>
        <w:jc w:val="both"/>
        <w:rPr>
          <w:rFonts w:ascii="Times New Roman" w:hAnsi="Times New Roman"/>
        </w:rPr>
      </w:pPr>
      <w:r w:rsidRPr="00562A0F">
        <w:rPr>
          <w:rFonts w:ascii="Times New Roman" w:hAnsi="Times New Roman"/>
        </w:rPr>
        <w:t>c) Caso o licitante adote em sua proposta os critérios constantes do orçamento de referência (se estes não lhe foram aplicáveis), não pode, em hipótese de adjudicação e ulterior contratação, pleitear reequilíbrio econômico do contrato com base nesta discrepância.</w:t>
      </w:r>
    </w:p>
    <w:p w14:paraId="49DD9510" w14:textId="77777777" w:rsidR="00DD1EB9" w:rsidRPr="00562A0F" w:rsidRDefault="00DD1EB9" w:rsidP="00164E60">
      <w:pPr>
        <w:spacing w:after="240" w:line="240" w:lineRule="auto"/>
        <w:ind w:left="708"/>
        <w:jc w:val="both"/>
        <w:rPr>
          <w:rFonts w:ascii="Times New Roman" w:hAnsi="Times New Roman"/>
        </w:rPr>
      </w:pPr>
      <w:r w:rsidRPr="00562A0F">
        <w:rPr>
          <w:rFonts w:ascii="Times New Roman" w:hAnsi="Times New Roman"/>
        </w:rPr>
        <w:t>d) Durante a análise das propostas, a comissão de licitação ou o pregoeiro deverão analisar a adequação do planilhamento feito pelo licitante com eventual opção ou não pela desoneração previdenciária, tendo em vista que tal diligência é essencial para a verificação da exequibilidade da planilha de formação de preços, bem como para afastar eventuais riscos de inexecução contratual.</w:t>
      </w:r>
    </w:p>
    <w:p w14:paraId="54AC5FE7" w14:textId="77777777" w:rsidR="00DD1EB9" w:rsidRPr="00562A0F" w:rsidRDefault="00DD1EB9" w:rsidP="00807E90">
      <w:pPr>
        <w:spacing w:after="240" w:line="240" w:lineRule="auto"/>
        <w:jc w:val="both"/>
        <w:rPr>
          <w:rFonts w:ascii="Times New Roman" w:hAnsi="Times New Roman"/>
          <w:lang w:eastAsia="pt-BR"/>
        </w:rPr>
      </w:pPr>
      <w:r w:rsidRPr="00562A0F">
        <w:rPr>
          <w:rFonts w:ascii="Times New Roman" w:hAnsi="Times New Roman"/>
          <w:lang w:eastAsia="pt-BR"/>
        </w:rPr>
        <w:t xml:space="preserve">Cabe ao setor técnico simular os preços globais da obra ou serviço com base nos dois cenários – custos “desonerados” (acrescido o percentual da CPRB no BDI) </w:t>
      </w:r>
      <w:r w:rsidRPr="00562A0F">
        <w:rPr>
          <w:rFonts w:ascii="Times New Roman" w:hAnsi="Times New Roman"/>
          <w:i/>
          <w:iCs/>
          <w:lang w:eastAsia="pt-BR"/>
        </w:rPr>
        <w:t>versus</w:t>
      </w:r>
      <w:r w:rsidRPr="00562A0F">
        <w:rPr>
          <w:rFonts w:ascii="Times New Roman" w:hAnsi="Times New Roman"/>
          <w:lang w:eastAsia="pt-BR"/>
        </w:rPr>
        <w:t xml:space="preserve"> custos “não desonerados” (excluído o percentual da CPRB no BDI) – para definir qual a opção mais vantajosa para a Administração, a qual será adotada como orçamento de referência da licitação.</w:t>
      </w:r>
    </w:p>
    <w:p w14:paraId="73E7F9A1" w14:textId="77777777" w:rsidR="00DD1EB9" w:rsidRPr="00562A0F" w:rsidRDefault="00DD1EB9" w:rsidP="00807E90">
      <w:pPr>
        <w:pStyle w:val="PargrafodaLista"/>
        <w:spacing w:after="240" w:line="240" w:lineRule="auto"/>
        <w:ind w:left="360"/>
        <w:jc w:val="both"/>
        <w:rPr>
          <w:rFonts w:ascii="Times New Roman" w:hAnsi="Times New Roman"/>
          <w:lang w:eastAsia="pt-BR"/>
        </w:rPr>
      </w:pPr>
    </w:p>
    <w:p w14:paraId="25609817" w14:textId="77777777" w:rsidR="00DD1EB9" w:rsidRPr="00562A0F" w:rsidRDefault="00DD1EB9" w:rsidP="00807E90">
      <w:pPr>
        <w:spacing w:after="240" w:line="240" w:lineRule="auto"/>
        <w:jc w:val="both"/>
        <w:rPr>
          <w:rFonts w:ascii="Times New Roman" w:hAnsi="Times New Roman"/>
        </w:rPr>
      </w:pPr>
      <w:r w:rsidRPr="00562A0F">
        <w:rPr>
          <w:rFonts w:ascii="Times New Roman" w:hAnsi="Times New Roman"/>
          <w:b/>
          <w:bCs/>
          <w:u w:val="single"/>
          <w:lang w:eastAsia="pt-BR"/>
        </w:rPr>
        <w:t>JUSTIFICATIVA</w:t>
      </w:r>
      <w:r w:rsidRPr="00562A0F">
        <w:rPr>
          <w:rFonts w:ascii="Times New Roman" w:hAnsi="Times New Roman"/>
          <w:lang w:eastAsia="pt-BR"/>
        </w:rPr>
        <w:t xml:space="preserve">: Na presente licitação, serão adotados os custos de referência (   ) DESONERADOS ou (   ) NÃO DESONERADOS, por se tratar da opção mais vantajosa para a Administração, conforme simulação juntada aos autos </w:t>
      </w:r>
      <w:r w:rsidRPr="00562A0F">
        <w:rPr>
          <w:rFonts w:ascii="Times New Roman" w:hAnsi="Times New Roman"/>
        </w:rPr>
        <w:t>e as seguintes considerações (preencher se necessário):</w:t>
      </w:r>
    </w:p>
    <w:p w14:paraId="05B774EA" w14:textId="77777777" w:rsidR="00807E90" w:rsidRPr="00562A0F" w:rsidRDefault="00807E90" w:rsidP="00807E90">
      <w:pPr>
        <w:spacing w:after="240" w:line="240" w:lineRule="auto"/>
        <w:jc w:val="both"/>
        <w:rPr>
          <w:rFonts w:ascii="Times New Roman" w:hAnsi="Times New Roman"/>
        </w:rPr>
      </w:pPr>
      <w:r w:rsidRPr="00562A0F">
        <w:rPr>
          <w:rFonts w:ascii="Times New Roman" w:hAnsi="Times New Roman"/>
        </w:rPr>
        <w:t>-----------------------------------------------------------------------------------------------------------------------------------------------------------------------------------------------------------------------------------------------------------------------------------------------------------------------------------------------------------------------------------------------------------------------------------------------------------------------------------------------------------------------------------------------------------------------------------------------------------------------------------------------------------</w:t>
      </w:r>
    </w:p>
    <w:p w14:paraId="6A0CDE37" w14:textId="77777777" w:rsidR="00DD1EB9" w:rsidRPr="00562A0F" w:rsidRDefault="00DD1EB9" w:rsidP="00807E90">
      <w:pPr>
        <w:spacing w:after="240" w:line="240" w:lineRule="auto"/>
        <w:jc w:val="both"/>
        <w:rPr>
          <w:rFonts w:ascii="Times New Roman" w:hAnsi="Times New Roman"/>
        </w:rPr>
      </w:pPr>
      <w:r w:rsidRPr="00562A0F">
        <w:rPr>
          <w:rFonts w:ascii="Times New Roman" w:hAnsi="Times New Roman"/>
          <w:u w:val="single"/>
        </w:rPr>
        <w:t>OBSERVAÇÃO</w:t>
      </w:r>
      <w:r w:rsidRPr="00562A0F">
        <w:rPr>
          <w:rFonts w:ascii="Times New Roman" w:hAnsi="Times New Roman"/>
        </w:rPr>
        <w:t>: Caso sejam adotados os custos de referência DESONERADOS, o percentual de 4,5% (quatro e meio por cento) da CPRB deve ser acrescido ao BDI da obra ou serviço.</w:t>
      </w:r>
    </w:p>
    <w:p w14:paraId="0AB5E071"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rPr>
        <w:t>Caso sejam adotados os custos de referência NÃO DESONERADOS, não deve constar o percentual da CPRB no BDI da obra ou serviço.</w:t>
      </w:r>
    </w:p>
    <w:p w14:paraId="7E6FF735" w14:textId="77777777" w:rsidR="00164E60" w:rsidRPr="00562A0F" w:rsidRDefault="00164E60" w:rsidP="00164E60">
      <w:pPr>
        <w:spacing w:after="240" w:line="240" w:lineRule="auto"/>
        <w:jc w:val="both"/>
        <w:rPr>
          <w:rFonts w:ascii="Times New Roman" w:hAnsi="Times New Roman"/>
        </w:rPr>
      </w:pPr>
    </w:p>
    <w:p w14:paraId="286BBA3F" w14:textId="77777777" w:rsidR="00001F07"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DETALHAMENTO DA COMPOSIÇÃO DO PERCENTUAL DE BDI</w:t>
      </w:r>
    </w:p>
    <w:p w14:paraId="479B517D"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rPr>
        <w:lastRenderedPageBreak/>
        <w:t>De forma pragmática o Decreto nº 7.983/2013 discrimina os itens mínimos componentes do BDI, como segue:</w:t>
      </w:r>
    </w:p>
    <w:p w14:paraId="2C921116" w14:textId="77777777" w:rsidR="00DD1EB9" w:rsidRPr="00562A0F" w:rsidRDefault="00DD1EB9" w:rsidP="00164E60">
      <w:pPr>
        <w:spacing w:after="240" w:line="240" w:lineRule="auto"/>
        <w:ind w:left="708"/>
        <w:jc w:val="both"/>
        <w:rPr>
          <w:rFonts w:ascii="Times New Roman" w:hAnsi="Times New Roman"/>
        </w:rPr>
      </w:pPr>
      <w:r w:rsidRPr="00562A0F">
        <w:rPr>
          <w:rFonts w:ascii="Times New Roman" w:hAnsi="Times New Roman"/>
        </w:rPr>
        <w:t>Art. 9º O preço global de referência será o resultante do custo global de referência acrescido do valor correspondente ao BDI, que deverá evidenciar em sua composição, no mínimo:</w:t>
      </w:r>
    </w:p>
    <w:p w14:paraId="7AA64950" w14:textId="77777777" w:rsidR="00DD1EB9" w:rsidRPr="00562A0F" w:rsidRDefault="00DD1EB9" w:rsidP="00164E60">
      <w:pPr>
        <w:spacing w:after="240" w:line="240" w:lineRule="auto"/>
        <w:ind w:left="708"/>
        <w:jc w:val="both"/>
        <w:rPr>
          <w:rFonts w:ascii="Times New Roman" w:hAnsi="Times New Roman"/>
        </w:rPr>
      </w:pPr>
      <w:r w:rsidRPr="00562A0F">
        <w:rPr>
          <w:rFonts w:ascii="Times New Roman" w:hAnsi="Times New Roman"/>
        </w:rPr>
        <w:t>I - taxa de rateio da administração central;</w:t>
      </w:r>
    </w:p>
    <w:p w14:paraId="58577779" w14:textId="77777777" w:rsidR="00DD1EB9" w:rsidRPr="00562A0F" w:rsidRDefault="00DD1EB9" w:rsidP="00164E60">
      <w:pPr>
        <w:spacing w:after="240" w:line="240" w:lineRule="auto"/>
        <w:ind w:left="708"/>
        <w:jc w:val="both"/>
        <w:rPr>
          <w:rFonts w:ascii="Times New Roman" w:hAnsi="Times New Roman"/>
        </w:rPr>
      </w:pPr>
      <w:r w:rsidRPr="00562A0F">
        <w:rPr>
          <w:rFonts w:ascii="Times New Roman" w:hAnsi="Times New Roman"/>
        </w:rPr>
        <w:t>II - percentuais de tributos incidentes sobre o preço do serviço, excluídos aqueles de natureza direta e personalística que oneram o contratado;</w:t>
      </w:r>
    </w:p>
    <w:p w14:paraId="2E8F4F13" w14:textId="77777777" w:rsidR="00DD1EB9" w:rsidRPr="00562A0F" w:rsidRDefault="00DD1EB9" w:rsidP="00164E60">
      <w:pPr>
        <w:spacing w:after="240" w:line="240" w:lineRule="auto"/>
        <w:ind w:left="708"/>
        <w:jc w:val="both"/>
        <w:rPr>
          <w:rFonts w:ascii="Times New Roman" w:hAnsi="Times New Roman"/>
        </w:rPr>
      </w:pPr>
      <w:r w:rsidRPr="00562A0F">
        <w:rPr>
          <w:rFonts w:ascii="Times New Roman" w:hAnsi="Times New Roman"/>
        </w:rPr>
        <w:t>III - taxa de risco, seguro e garantia do empreendimento; e</w:t>
      </w:r>
    </w:p>
    <w:p w14:paraId="4AD957E1" w14:textId="77777777" w:rsidR="00DD1EB9" w:rsidRPr="00562A0F" w:rsidRDefault="00DD1EB9" w:rsidP="00164E60">
      <w:pPr>
        <w:spacing w:after="240" w:line="240" w:lineRule="auto"/>
        <w:ind w:left="708"/>
        <w:jc w:val="both"/>
        <w:rPr>
          <w:rFonts w:ascii="Times New Roman" w:hAnsi="Times New Roman"/>
        </w:rPr>
      </w:pPr>
      <w:r w:rsidRPr="00562A0F">
        <w:rPr>
          <w:rFonts w:ascii="Times New Roman" w:hAnsi="Times New Roman"/>
        </w:rPr>
        <w:t>IV - taxa de lucro.</w:t>
      </w:r>
    </w:p>
    <w:p w14:paraId="0F0D33A0"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rPr>
        <w:t>A mesma relação é extraída do Acórdão TCU n. 2.622/2013, onde as parcelas componentes do BDI são as seguintes: taxa de rateio da administração central, riscos, seguros, garantias, despesas financeiras, remuneração da empresa contratada e tributos incidentes sobre o faturamento.</w:t>
      </w:r>
    </w:p>
    <w:p w14:paraId="08822F49"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rPr>
        <w:t xml:space="preserve">Conforme se depreende do referido acórdão, não poderão integrar o cálculo do BDI os tributos que não incidam diretamente sobre a prestação em si, como o IRPJ, CSLL e ICMS, independente do critério da fixação da base de cálculo, como ocorre com as empresas que calculam o imposto de renda com base no lucro presumido. De outro lado, PIS, COFINS e ISSQN – na medida em que incidem sobre o faturamento – são passíveis de serem incluídas no cálculo do BDI, nos termos da Súmula TCU n. 254/2010. </w:t>
      </w:r>
    </w:p>
    <w:p w14:paraId="055CB2CE"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rPr>
        <w:t>Atente-se, ainda, que a taxa de rateio da administração central não poderá ser fixada por meio de remuneração mensal fixa, mas através de pagamentos proporcionais à execução financeira da obra de modo que a entrega do objeto coincida com 100% (cem por cento) do seu valor previsto (TCU, Ac 2622/2013-Plenário, Item 122 do voto e Item 9.3.2.2 do acórdão - No mesmo sentido: TCU, Ac 3013/2010-Plenário, voto do relator).</w:t>
      </w:r>
    </w:p>
    <w:p w14:paraId="50442D8D"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rPr>
        <w:t>“O IRPJ - Imposto de Renda Pessoa Jurídica - e a CSLL - Contribuição Social sobre o Lucro Líquido - não se consubstanciam em despesa indireta passível de inclusão na taxa de Bonificações e Despesas Indiretas - BDI do orçamento-base da licitação, haja vista a natureza direta e personalística desses tributos, que oneram pessoalmente o contratado” - Súmula/TCU nº 254/2010.</w:t>
      </w:r>
    </w:p>
    <w:p w14:paraId="62945436"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rPr>
        <w:t>O Tribunal de Contas da União, a partir do Acórdão n. 2.622/2013, passou a adotar novos referenciais de percentual de BDI, em substituição aos índices mencionados no Acórdão n. 2.369/2011. Passou-se, também, a utilizar a terminologia “quartil”, ao invés de padrões mínimos e máximos, como constava nas tabelas substituídas do acórdão anterior. Tal mudança confirma o entendimento de que os percentuais indicados não constituem limites intransponíveis, mas referenciais de controle. Consequentemente, quanto maior a distância do percentual de BDI utilizado no Projeto Básico em relação à média indicada no acórdão, mais robusta deverá ser a justificativa para a adoção do índice escolhido. Do referido aresto, colhe-se o seguinte excerto:</w:t>
      </w:r>
    </w:p>
    <w:p w14:paraId="6F6F7B39" w14:textId="77777777" w:rsidR="00DD1EB9" w:rsidRPr="00562A0F" w:rsidRDefault="00DD1EB9" w:rsidP="00164E60">
      <w:pPr>
        <w:spacing w:after="240" w:line="240" w:lineRule="auto"/>
        <w:ind w:left="708"/>
        <w:jc w:val="both"/>
        <w:rPr>
          <w:rFonts w:ascii="Times New Roman" w:hAnsi="Times New Roman"/>
        </w:rPr>
      </w:pPr>
      <w:r w:rsidRPr="00562A0F">
        <w:rPr>
          <w:rFonts w:ascii="Times New Roman" w:hAnsi="Times New Roman"/>
        </w:rPr>
        <w:t>“143. Importante destacar, contudo, que não cumpre ao TCU estipular percentuais fixos para cada item que compõe a taxa de BDI, ignorando as peculiaridades da estrutura gerencial de cada empresa que contrata com a Administração Pública. O papel da Corte de Contas é impedir que sejam pagos valores abusivos ou injustificadamente elevados e por isso é importante obter valores de referência, mas pela própria logística das empresas é natural que ocorram certas flutuações de valores nas previsões das despesas indiretas e da margem de lucro a ser obtida.”</w:t>
      </w:r>
    </w:p>
    <w:p w14:paraId="22D73138"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lang w:eastAsia="pt-BR"/>
        </w:rPr>
        <w:lastRenderedPageBreak/>
        <w:t xml:space="preserve">Por fim, cabe lembrar que os parâmetros de percentuais de BDI do </w:t>
      </w:r>
      <w:r w:rsidRPr="00562A0F">
        <w:rPr>
          <w:rFonts w:ascii="Times New Roman" w:hAnsi="Times New Roman"/>
        </w:rPr>
        <w:t>Acórdão n. 2.622/2013 não contemplam a incidência da Contribuição Previdenciária sobre a Renda Bruta (</w:t>
      </w:r>
      <w:r w:rsidRPr="00562A0F">
        <w:rPr>
          <w:rStyle w:val="scayt-misspell-word"/>
          <w:rFonts w:ascii="Times New Roman" w:hAnsi="Times New Roman"/>
        </w:rPr>
        <w:t>CPRB</w:t>
      </w:r>
      <w:r w:rsidRPr="00562A0F">
        <w:rPr>
          <w:rFonts w:ascii="Times New Roman" w:hAnsi="Times New Roman"/>
        </w:rPr>
        <w:t xml:space="preserve">) instituída pela Lei nº 12.546/2011. </w:t>
      </w:r>
    </w:p>
    <w:p w14:paraId="34880065"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rPr>
        <w:t>Portanto, caso o orçamentista opte por adotar os custos de referência DESONERADOS, deverá acrescer o percentual de 4,5% (quatro e meio por cento) da CPRB ao BDI da obra ou serviço – ainda que extrapole os parâmetros do Acórdão n. 2.622/2013.</w:t>
      </w:r>
    </w:p>
    <w:p w14:paraId="6083EE5E"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rPr>
        <w:t>Porém, caso sejam adotados os custos de referência NÃO DESONERADOS, não deve constar o percentual da CPRB no BDI da obra ou serviço.</w:t>
      </w:r>
    </w:p>
    <w:p w14:paraId="405C7785" w14:textId="77777777" w:rsidR="00DD1EB9" w:rsidRPr="00562A0F" w:rsidRDefault="00DD1EB9" w:rsidP="00164E60">
      <w:pPr>
        <w:pStyle w:val="PargrafodaLista"/>
        <w:spacing w:after="240" w:line="240" w:lineRule="auto"/>
        <w:ind w:left="360"/>
        <w:jc w:val="both"/>
        <w:rPr>
          <w:rFonts w:ascii="Times New Roman" w:hAnsi="Times New Roman"/>
        </w:rPr>
      </w:pPr>
    </w:p>
    <w:p w14:paraId="36620E52"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Na presente licitação, o detalhamento do BDI:</w:t>
      </w:r>
    </w:p>
    <w:p w14:paraId="6ACC33EE"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rPr>
        <w:t>(   ) observa as diretrizes do art. 9º do Decreto nº 7.983, de 2013;</w:t>
      </w:r>
    </w:p>
    <w:p w14:paraId="36F130FD"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rPr>
        <w:t>(   ) observa os parâmetros do Acórdão nº 2.622/2013 - Plenário do TCU;</w:t>
      </w:r>
    </w:p>
    <w:p w14:paraId="5DF139BE" w14:textId="77777777" w:rsidR="00DD1EB9" w:rsidRPr="00562A0F" w:rsidRDefault="00DD1EB9" w:rsidP="00164E60">
      <w:pPr>
        <w:pStyle w:val="PargrafodaLista"/>
        <w:spacing w:after="240" w:line="240" w:lineRule="auto"/>
        <w:ind w:left="360"/>
        <w:jc w:val="both"/>
        <w:rPr>
          <w:rFonts w:ascii="Times New Roman" w:hAnsi="Times New Roman"/>
          <w:b/>
          <w:bCs/>
          <w:u w:val="single"/>
        </w:rPr>
      </w:pPr>
    </w:p>
    <w:p w14:paraId="0A411414"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Foram adotados os seguintes parâmetros de percentuais para cada item do BDI contemplado no Acórdão nº 2.622/2013 - Plenário do TCU, de acordo com as justificativas técnicas abaixo apresentadas:</w:t>
      </w:r>
    </w:p>
    <w:p w14:paraId="7DAC05E0" w14:textId="77777777" w:rsidR="00DD1EB9" w:rsidRPr="00562A0F" w:rsidRDefault="00DD1EB9" w:rsidP="00164E60">
      <w:pPr>
        <w:spacing w:after="240" w:line="240" w:lineRule="auto"/>
        <w:jc w:val="both"/>
        <w:rPr>
          <w:rFonts w:ascii="Times New Roman" w:hAnsi="Times New Roman"/>
        </w:rPr>
      </w:pPr>
      <w:r w:rsidRPr="00562A0F">
        <w:rPr>
          <w:rFonts w:ascii="Times New Roman" w:hAnsi="Times New Roman"/>
        </w:rPr>
        <w:t>Administração central: (   ) 1º quartil ou (   ) médio ou (   ) 3º quartil:</w:t>
      </w:r>
    </w:p>
    <w:p w14:paraId="4B6A4E92" w14:textId="77777777" w:rsidR="00E95612" w:rsidRPr="00562A0F" w:rsidRDefault="00E95612" w:rsidP="00E95612">
      <w:pPr>
        <w:spacing w:after="240" w:line="240" w:lineRule="auto"/>
        <w:jc w:val="both"/>
        <w:rPr>
          <w:rFonts w:ascii="Times New Roman" w:hAnsi="Times New Roman"/>
        </w:rPr>
      </w:pPr>
      <w:r w:rsidRPr="00562A0F">
        <w:rPr>
          <w:rFonts w:ascii="Times New Roman" w:hAnsi="Times New Roman"/>
        </w:rPr>
        <w:t>-----------------------------------------------------------------------------------------------------------------------------------------------------------------------------------------------------------------------------------------------------------------------------------------------------------------------------------------------------------------------------------------------------------------------------------------------------------------------------------------------------------------------------------------------------------------------------------------------------------------------------------------------------------</w:t>
      </w:r>
    </w:p>
    <w:p w14:paraId="48551BF8" w14:textId="77777777" w:rsidR="00DD1EB9" w:rsidRPr="00562A0F" w:rsidRDefault="00DD1EB9" w:rsidP="00E95612">
      <w:pPr>
        <w:tabs>
          <w:tab w:val="left" w:pos="3461"/>
          <w:tab w:val="left" w:pos="6084"/>
        </w:tabs>
        <w:spacing w:after="240" w:line="240" w:lineRule="auto"/>
        <w:jc w:val="both"/>
        <w:rPr>
          <w:rFonts w:ascii="Times New Roman" w:hAnsi="Times New Roman"/>
          <w:lang w:eastAsia="pt-BR"/>
        </w:rPr>
      </w:pPr>
      <w:r w:rsidRPr="00562A0F">
        <w:rPr>
          <w:rFonts w:ascii="Times New Roman" w:hAnsi="Times New Roman"/>
          <w:lang w:eastAsia="pt-BR"/>
        </w:rPr>
        <w:t>Seguro e garantia:</w:t>
      </w:r>
      <w:r w:rsidRPr="00562A0F">
        <w:rPr>
          <w:rFonts w:ascii="Times New Roman" w:hAnsi="Times New Roman"/>
        </w:rPr>
        <w:t xml:space="preserve"> (   ) 1º quartil ou (   ) médio ou (   ) 3º quartil:</w:t>
      </w:r>
    </w:p>
    <w:p w14:paraId="041EC646" w14:textId="77777777" w:rsidR="00E95612" w:rsidRPr="00562A0F" w:rsidRDefault="00E95612" w:rsidP="00E95612">
      <w:pPr>
        <w:spacing w:after="240" w:line="240" w:lineRule="auto"/>
        <w:jc w:val="both"/>
        <w:rPr>
          <w:rFonts w:ascii="Times New Roman" w:hAnsi="Times New Roman"/>
        </w:rPr>
      </w:pPr>
      <w:r w:rsidRPr="00562A0F">
        <w:rPr>
          <w:rFonts w:ascii="Times New Roman" w:hAnsi="Times New Roman"/>
        </w:rPr>
        <w:t>-----------------------------------------------------------------------------------------------------------------------------------------------------------------------------------------------------------------------------------------------------------------------------------------------------------------------------------------------------------------------------------------------------------------------------------------------------------------------------------------------------------------------------------------------------------------------------------------------------------------------------------------------------------</w:t>
      </w:r>
    </w:p>
    <w:p w14:paraId="2BA9225B" w14:textId="77777777" w:rsidR="00DD1EB9" w:rsidRPr="00562A0F" w:rsidRDefault="00DD1EB9" w:rsidP="00E95612">
      <w:pPr>
        <w:tabs>
          <w:tab w:val="left" w:pos="3461"/>
          <w:tab w:val="left" w:pos="6084"/>
        </w:tabs>
        <w:spacing w:after="240" w:line="240" w:lineRule="auto"/>
        <w:jc w:val="both"/>
        <w:rPr>
          <w:rFonts w:ascii="Times New Roman" w:hAnsi="Times New Roman"/>
          <w:lang w:eastAsia="pt-BR"/>
        </w:rPr>
      </w:pPr>
      <w:r w:rsidRPr="00562A0F">
        <w:rPr>
          <w:rFonts w:ascii="Times New Roman" w:hAnsi="Times New Roman"/>
          <w:lang w:eastAsia="pt-BR"/>
        </w:rPr>
        <w:t>Risco:</w:t>
      </w:r>
      <w:r w:rsidRPr="00562A0F">
        <w:rPr>
          <w:rFonts w:ascii="Times New Roman" w:hAnsi="Times New Roman"/>
        </w:rPr>
        <w:t xml:space="preserve"> (   ) 1º quartil ou (   ) médio ou (   ) 3º quartil:</w:t>
      </w:r>
    </w:p>
    <w:p w14:paraId="1297B602" w14:textId="77777777" w:rsidR="00E95612" w:rsidRPr="00562A0F" w:rsidRDefault="00E95612" w:rsidP="00E95612">
      <w:pPr>
        <w:spacing w:after="240" w:line="240" w:lineRule="auto"/>
        <w:jc w:val="both"/>
        <w:rPr>
          <w:rFonts w:ascii="Times New Roman" w:hAnsi="Times New Roman"/>
        </w:rPr>
      </w:pPr>
      <w:r w:rsidRPr="00562A0F">
        <w:rPr>
          <w:rFonts w:ascii="Times New Roman" w:hAnsi="Times New Roman"/>
        </w:rPr>
        <w:t>-----------------------------------------------------------------------------------------------------------------------------------------------------------------------------------------------------------------------------------------------------------------------------------------------------------------------------------------------------------------------------------------------------------------------------------------------------------------------------------------------------------------------------------------------------------------------------------------------------------------------------------------------------------</w:t>
      </w:r>
    </w:p>
    <w:p w14:paraId="612E2000" w14:textId="77777777" w:rsidR="00DD1EB9" w:rsidRPr="00562A0F" w:rsidRDefault="00DD1EB9" w:rsidP="00E95612">
      <w:pPr>
        <w:tabs>
          <w:tab w:val="left" w:pos="3461"/>
          <w:tab w:val="left" w:pos="6084"/>
        </w:tabs>
        <w:spacing w:after="240" w:line="240" w:lineRule="auto"/>
        <w:jc w:val="both"/>
        <w:rPr>
          <w:rFonts w:ascii="Times New Roman" w:hAnsi="Times New Roman"/>
          <w:lang w:eastAsia="pt-BR"/>
        </w:rPr>
      </w:pPr>
      <w:r w:rsidRPr="00562A0F">
        <w:rPr>
          <w:rFonts w:ascii="Times New Roman" w:hAnsi="Times New Roman"/>
          <w:lang w:eastAsia="pt-BR"/>
        </w:rPr>
        <w:t>Despesa financeira:</w:t>
      </w:r>
      <w:r w:rsidRPr="00562A0F">
        <w:rPr>
          <w:rFonts w:ascii="Times New Roman" w:hAnsi="Times New Roman"/>
        </w:rPr>
        <w:t xml:space="preserve"> (   ) 1º quartil ou (   ) médio ou (   ) 3º quartil:</w:t>
      </w:r>
    </w:p>
    <w:p w14:paraId="418E7F75" w14:textId="77777777" w:rsidR="00E95612" w:rsidRPr="00562A0F" w:rsidRDefault="00E95612" w:rsidP="00E95612">
      <w:pPr>
        <w:spacing w:after="240" w:line="240" w:lineRule="auto"/>
        <w:jc w:val="both"/>
        <w:rPr>
          <w:rFonts w:ascii="Times New Roman" w:hAnsi="Times New Roman"/>
        </w:rPr>
      </w:pPr>
      <w:r w:rsidRPr="00562A0F">
        <w:rPr>
          <w:rFonts w:ascii="Times New Roman" w:hAnsi="Times New Roman"/>
        </w:rPr>
        <w:t>----------------------------------------------------------------------------------------------------------------------------------------------------------------------------------------------------------------------------------------</w:t>
      </w:r>
      <w:r w:rsidRPr="00562A0F">
        <w:rPr>
          <w:rFonts w:ascii="Times New Roman" w:hAnsi="Times New Roman"/>
        </w:rPr>
        <w:lastRenderedPageBreak/>
        <w:t>-------------------------------------------------------------------------------------------------------------------------------------------------------------------------------------------------------------------------------------------------------------------------------------------------------------------------------------------------------------------------------------------------------------------</w:t>
      </w:r>
    </w:p>
    <w:p w14:paraId="12BC9515" w14:textId="77777777" w:rsidR="00DD1EB9" w:rsidRPr="00562A0F" w:rsidRDefault="00DD1EB9" w:rsidP="00E95612">
      <w:pPr>
        <w:tabs>
          <w:tab w:val="left" w:pos="3461"/>
          <w:tab w:val="left" w:pos="6084"/>
        </w:tabs>
        <w:spacing w:after="240" w:line="240" w:lineRule="auto"/>
        <w:jc w:val="both"/>
        <w:rPr>
          <w:rFonts w:ascii="Times New Roman" w:hAnsi="Times New Roman"/>
          <w:lang w:eastAsia="pt-BR"/>
        </w:rPr>
      </w:pPr>
      <w:r w:rsidRPr="00562A0F">
        <w:rPr>
          <w:rFonts w:ascii="Times New Roman" w:hAnsi="Times New Roman"/>
          <w:lang w:eastAsia="pt-BR"/>
        </w:rPr>
        <w:t>Lucro:</w:t>
      </w:r>
      <w:r w:rsidRPr="00562A0F">
        <w:rPr>
          <w:rFonts w:ascii="Times New Roman" w:hAnsi="Times New Roman"/>
        </w:rPr>
        <w:t xml:space="preserve"> (   ) 1º quartil ou (   ) médio ou (   ) 3º quartil:</w:t>
      </w:r>
    </w:p>
    <w:p w14:paraId="67AFF77B" w14:textId="77777777" w:rsidR="00E95612" w:rsidRPr="00562A0F" w:rsidRDefault="00E95612" w:rsidP="00E95612">
      <w:pPr>
        <w:spacing w:after="240" w:line="240" w:lineRule="auto"/>
        <w:jc w:val="both"/>
        <w:rPr>
          <w:rFonts w:ascii="Times New Roman" w:hAnsi="Times New Roman"/>
        </w:rPr>
      </w:pPr>
      <w:r w:rsidRPr="00562A0F">
        <w:rPr>
          <w:rFonts w:ascii="Times New Roman" w:hAnsi="Times New Roman"/>
        </w:rPr>
        <w:t>-----------------------------------------------------------------------------------------------------------------------------------------------------------------------------------------------------------------------------------------------------------------------------------------------------------------------------------------------------------------------------------------------------------------------------------------------------------------------------------------------------------------------------------------------------------------------------------------------------------------------------------------------------------</w:t>
      </w:r>
    </w:p>
    <w:p w14:paraId="64B61401" w14:textId="77777777" w:rsidR="00DD1EB9" w:rsidRPr="00562A0F" w:rsidRDefault="00DD1EB9" w:rsidP="00E95612">
      <w:pPr>
        <w:spacing w:after="240" w:line="240" w:lineRule="auto"/>
        <w:jc w:val="both"/>
        <w:rPr>
          <w:rFonts w:ascii="Times New Roman" w:hAnsi="Times New Roman"/>
          <w:b/>
          <w:bCs/>
          <w:u w:val="single"/>
        </w:rPr>
      </w:pPr>
    </w:p>
    <w:p w14:paraId="382A60E7" w14:textId="04FF288B" w:rsidR="00DD1EB9" w:rsidRPr="00562A0F" w:rsidRDefault="00DD1EB9" w:rsidP="00E95612">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Para determinado(s) item(ns) do BDI, em razão das peculiaridades do objeto licitado, foram adotados percentuais superiores ao 3º quartil, de acordo com as justificativas técnicas abaixo apresentadas:</w:t>
      </w:r>
      <w:r w:rsidRPr="00562A0F">
        <w:rPr>
          <w:rFonts w:ascii="Times New Roman" w:hAnsi="Times New Roman"/>
          <w:highlight w:val="cyan"/>
        </w:rPr>
        <w:t xml:space="preserve"> </w:t>
      </w:r>
    </w:p>
    <w:p w14:paraId="4CD43F08" w14:textId="77777777" w:rsidR="00BF56AC" w:rsidRPr="00562A0F" w:rsidRDefault="00BF56AC" w:rsidP="00BF56AC">
      <w:pPr>
        <w:spacing w:after="240" w:line="240" w:lineRule="auto"/>
        <w:jc w:val="both"/>
        <w:rPr>
          <w:rFonts w:ascii="Times New Roman" w:hAnsi="Times New Roman"/>
        </w:rPr>
      </w:pPr>
      <w:r w:rsidRPr="00562A0F">
        <w:rPr>
          <w:rFonts w:ascii="Times New Roman" w:hAnsi="Times New Roman"/>
        </w:rPr>
        <w:t>-----------------------------------------------------------------------------------------------------------------------------------------------------------------------------------------------------------------------------------------------------------------------------------------------------------------------------------------------------------------------------------------------------------------------------------------------------------------------------------------------------------------------------------------------------------------------------------------------------------------------------------------------------------</w:t>
      </w:r>
    </w:p>
    <w:p w14:paraId="0582E9D4" w14:textId="77777777" w:rsidR="00BF56AC" w:rsidRPr="00562A0F" w:rsidRDefault="00BF56AC" w:rsidP="00BF56AC">
      <w:pPr>
        <w:spacing w:after="240" w:line="240" w:lineRule="auto"/>
        <w:jc w:val="both"/>
        <w:rPr>
          <w:rFonts w:ascii="Times New Roman" w:hAnsi="Times New Roman"/>
        </w:rPr>
      </w:pPr>
    </w:p>
    <w:p w14:paraId="0A512E47" w14:textId="77777777" w:rsidR="00001F07"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BDI REDUZIDO SOBRE OS CUSTOS DOS MATERIAIS E EQUIPAMENTOS</w:t>
      </w:r>
    </w:p>
    <w:p w14:paraId="46E96250"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Quando o fornecimento de materiais e equipamentos para a obra ou serviço de engenharia representar parcela significativa do empreendimento e puder ser realizado separadamente do contrato principal sem comprometimento da eficiência do contrato ou da realização do seu objeto, a Administração deverá realizar licitações diferentes para a empreitada e para o fornecimento.</w:t>
      </w:r>
    </w:p>
    <w:p w14:paraId="026D6C7C" w14:textId="77777777" w:rsidR="00DD1EB9" w:rsidRPr="00562A0F" w:rsidRDefault="00DD1EB9" w:rsidP="00BF56AC">
      <w:pPr>
        <w:spacing w:after="240" w:line="240" w:lineRule="auto"/>
        <w:jc w:val="both"/>
        <w:rPr>
          <w:rFonts w:ascii="Times New Roman" w:hAnsi="Times New Roman"/>
          <w:lang w:eastAsia="pt-BR"/>
        </w:rPr>
      </w:pPr>
      <w:r w:rsidRPr="00562A0F">
        <w:rPr>
          <w:rFonts w:ascii="Times New Roman" w:hAnsi="Times New Roman"/>
        </w:rPr>
        <w:t>Caso, porém, seja comprovada a inviabilidade técnico-econômica de parcelamento do objeto da licitação, os itens de fornecimento de materiais e equipamentos de natureza específica que possam ser fornecidos por empresas com especialidades próprias e diversas e que representem percentual significativo do preço global da obra devem apresentar incidência de taxa de BDI reduzida em relação à taxa aplicável aos demais itens (art. 9°, § 1°, do Decreto n° 7.983/2013).</w:t>
      </w:r>
    </w:p>
    <w:p w14:paraId="3AE78738"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A mera aquisição de tais bens por parte da empresa (para empregá-los na obra ou serviço) decerto não envolve os mesmos custos que a execução do objeto de engenharia em si. Nesse caso, a utilização de um único percentual de BDI, embora facilite o julgamento, representaria uma quebra ao princípio de que a proposta deve refletir de forma fidedigna os custos efetivamente suportados pelo licitante, além de trazer evidente desvantagem para a Administração.</w:t>
      </w:r>
    </w:p>
    <w:p w14:paraId="5F3B55B2" w14:textId="77777777" w:rsidR="00DD1EB9" w:rsidRPr="00562A0F" w:rsidRDefault="00DD1EB9" w:rsidP="00BF56AC">
      <w:pPr>
        <w:spacing w:after="240" w:line="240" w:lineRule="auto"/>
        <w:jc w:val="both"/>
        <w:rPr>
          <w:rFonts w:ascii="Times New Roman" w:hAnsi="Times New Roman"/>
          <w:lang w:eastAsia="pt-BR"/>
        </w:rPr>
      </w:pPr>
      <w:r w:rsidRPr="00562A0F">
        <w:rPr>
          <w:rFonts w:ascii="Times New Roman" w:hAnsi="Times New Roman"/>
        </w:rPr>
        <w:t>Novamente, a elaboração de Curva ABC poderá revelar o impacto dos preços dos materiais e equipamentos no orçamento final da obra – e embasar a decisão pela incidência do BDI reduzido.</w:t>
      </w:r>
    </w:p>
    <w:p w14:paraId="02538328" w14:textId="77777777" w:rsidR="00DD1EB9" w:rsidRPr="00562A0F" w:rsidRDefault="00DD1EB9" w:rsidP="00BF56AC">
      <w:pPr>
        <w:spacing w:after="240" w:line="240" w:lineRule="auto"/>
        <w:jc w:val="both"/>
        <w:rPr>
          <w:rFonts w:ascii="Times New Roman" w:hAnsi="Times New Roman"/>
          <w:lang w:eastAsia="pt-BR"/>
        </w:rPr>
      </w:pPr>
      <w:r w:rsidRPr="00562A0F">
        <w:rPr>
          <w:rFonts w:ascii="Times New Roman" w:hAnsi="Times New Roman"/>
        </w:rPr>
        <w:t>Quando verificar tal situação, o órgão deve adaptar o modelo de composição de BDI, de forma a prever duas composições distintas: uma incidente sobre as parcelas relativas a materiais e equipamentos, outra incidente sobre as demais parcelas do serviço.</w:t>
      </w:r>
    </w:p>
    <w:p w14:paraId="58DB41D0" w14:textId="77777777" w:rsidR="00DD1EB9" w:rsidRPr="00562A0F" w:rsidRDefault="00DD1EB9" w:rsidP="00BF56AC">
      <w:pPr>
        <w:pStyle w:val="numerado"/>
        <w:spacing w:before="0" w:beforeAutospacing="0" w:after="240" w:afterAutospacing="0"/>
        <w:jc w:val="both"/>
        <w:rPr>
          <w:sz w:val="22"/>
          <w:szCs w:val="22"/>
        </w:rPr>
      </w:pPr>
      <w:r w:rsidRPr="00562A0F">
        <w:rPr>
          <w:sz w:val="22"/>
          <w:szCs w:val="22"/>
        </w:rPr>
        <w:lastRenderedPageBreak/>
        <w:t>Segundo o estudo do Acórdão nº 2.622/2013 - Plenário do TCU, o BDI para itens de mero fornecimento de materiais e equipamentos deve corresponder aos percentuais de 11,10% (1º quartil) – 14,02% (médio) – 16,80% (3º quartil).</w:t>
      </w:r>
    </w:p>
    <w:p w14:paraId="6E78AFD0" w14:textId="77777777" w:rsidR="00DD1EB9" w:rsidRPr="00562A0F" w:rsidRDefault="00DD1EB9" w:rsidP="00BF56AC">
      <w:pPr>
        <w:pStyle w:val="numerado"/>
        <w:spacing w:before="0" w:beforeAutospacing="0" w:after="240" w:afterAutospacing="0"/>
        <w:jc w:val="both"/>
        <w:rPr>
          <w:sz w:val="22"/>
          <w:szCs w:val="22"/>
        </w:rPr>
      </w:pPr>
      <w:r w:rsidRPr="00562A0F">
        <w:rPr>
          <w:sz w:val="22"/>
          <w:szCs w:val="22"/>
        </w:rPr>
        <w:t>De todo modo, conforme art. 9°, § 2°, do Decreto n° 7.983/2013, no caso do fornecimento de equipamentos, sistemas e materiais em que o contratado não atue como intermediário entre o fabricante e a administração pública ou que tenham projetos, fabricações e logísticas não padronizados e não enquadrados como itens de fabricação regular e contínua, nos mercados nacional ou internacional, o BDI poderá ser calculado e justificado com base na complexidade da aquisição, excetuando-se a regra anteriormente prevista.</w:t>
      </w:r>
    </w:p>
    <w:p w14:paraId="26FDBAF2" w14:textId="77777777" w:rsidR="00DD1EB9" w:rsidRPr="00562A0F" w:rsidRDefault="00DD1EB9" w:rsidP="00BF56AC">
      <w:pPr>
        <w:pStyle w:val="numerado"/>
        <w:spacing w:before="0" w:beforeAutospacing="0" w:after="240" w:afterAutospacing="0"/>
        <w:jc w:val="both"/>
        <w:rPr>
          <w:sz w:val="22"/>
          <w:szCs w:val="22"/>
        </w:rPr>
      </w:pPr>
    </w:p>
    <w:p w14:paraId="6EF99D78" w14:textId="77777777" w:rsidR="00DD1EB9" w:rsidRPr="00562A0F" w:rsidRDefault="00DD1EB9" w:rsidP="00BF56AC">
      <w:pPr>
        <w:pStyle w:val="numerado"/>
        <w:spacing w:before="0" w:beforeAutospacing="0" w:after="240" w:afterAutospacing="0"/>
        <w:jc w:val="both"/>
        <w:rPr>
          <w:sz w:val="22"/>
          <w:szCs w:val="22"/>
        </w:rPr>
      </w:pPr>
      <w:r w:rsidRPr="00562A0F">
        <w:rPr>
          <w:b/>
          <w:bCs/>
          <w:sz w:val="22"/>
          <w:szCs w:val="22"/>
          <w:u w:val="single"/>
        </w:rPr>
        <w:t>JUSTIFICATIVA</w:t>
      </w:r>
      <w:r w:rsidRPr="00562A0F">
        <w:rPr>
          <w:sz w:val="22"/>
          <w:szCs w:val="22"/>
        </w:rPr>
        <w:t>: Na presente licitação, (   ) SERÁ ou (   ) NÃO SERÁ adotado o BDI reduzido sobre os custos dos materiais e equipamentos, de acordo com a seguinte justificativa:</w:t>
      </w:r>
    </w:p>
    <w:p w14:paraId="791AF056" w14:textId="77777777" w:rsidR="00BF56AC" w:rsidRPr="00562A0F" w:rsidRDefault="00BF56AC" w:rsidP="00BF56AC">
      <w:pPr>
        <w:spacing w:after="240" w:line="240" w:lineRule="auto"/>
        <w:jc w:val="both"/>
        <w:rPr>
          <w:rFonts w:ascii="Times New Roman" w:hAnsi="Times New Roman"/>
        </w:rPr>
      </w:pPr>
      <w:r w:rsidRPr="00562A0F">
        <w:rPr>
          <w:rFonts w:ascii="Times New Roman" w:hAnsi="Times New Roman"/>
        </w:rPr>
        <w:t>-----------------------------------------------------------------------------------------------------------------------------------------------------------------------------------------------------------------------------------------------------------------------------------------------------------------------------------------------------------------------------------------------------------------------------------------------------------------------------------------------------------------------------------------------------------------------------------------------------------------------------------------------------------</w:t>
      </w:r>
    </w:p>
    <w:p w14:paraId="19831B3D" w14:textId="77777777" w:rsidR="00DD1EB9" w:rsidRPr="00562A0F" w:rsidRDefault="00DD1EB9" w:rsidP="00BF56AC">
      <w:pPr>
        <w:spacing w:after="240" w:line="240" w:lineRule="auto"/>
        <w:jc w:val="both"/>
        <w:rPr>
          <w:rFonts w:ascii="Times New Roman" w:hAnsi="Times New Roman"/>
          <w:b/>
          <w:bCs/>
          <w:u w:val="single"/>
          <w:lang w:eastAsia="pt-BR"/>
        </w:rPr>
      </w:pPr>
    </w:p>
    <w:p w14:paraId="55B8C0B6"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b/>
          <w:bCs/>
          <w:u w:val="single"/>
          <w:lang w:eastAsia="pt-BR"/>
        </w:rPr>
        <w:t>JUSTIFICATIVA</w:t>
      </w:r>
      <w:r w:rsidRPr="00562A0F">
        <w:rPr>
          <w:rFonts w:ascii="Times New Roman" w:hAnsi="Times New Roman"/>
          <w:lang w:eastAsia="pt-BR"/>
        </w:rPr>
        <w:t>: Caso adotado o BDI reduzido</w:t>
      </w:r>
      <w:r w:rsidRPr="00562A0F">
        <w:rPr>
          <w:rFonts w:ascii="Times New Roman" w:hAnsi="Times New Roman"/>
        </w:rPr>
        <w:t xml:space="preserve"> sobre os custos dos materiais e equipamentos</w:t>
      </w:r>
      <w:r w:rsidRPr="00562A0F">
        <w:rPr>
          <w:rFonts w:ascii="Times New Roman" w:hAnsi="Times New Roman"/>
          <w:lang w:eastAsia="pt-BR"/>
        </w:rPr>
        <w:t>:</w:t>
      </w:r>
    </w:p>
    <w:p w14:paraId="2BC5DFE2"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   ) foram observados os parâmetros do Acórdão nº 2.622/2013 - Plenário do TCU;</w:t>
      </w:r>
    </w:p>
    <w:p w14:paraId="612AABCE"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   ) foi adotado o parâmetro do (   ) 1º quartil ou (   ) médio ou (   ) 3º quartil, de acordo com as justificativas técnicas abaixo apresentadas:</w:t>
      </w:r>
    </w:p>
    <w:p w14:paraId="3D0DDB59" w14:textId="77777777" w:rsidR="00BF56AC" w:rsidRPr="00562A0F" w:rsidRDefault="00BF56AC" w:rsidP="00BF56AC">
      <w:pPr>
        <w:spacing w:after="240" w:line="240" w:lineRule="auto"/>
        <w:jc w:val="both"/>
        <w:rPr>
          <w:rFonts w:ascii="Times New Roman" w:hAnsi="Times New Roman"/>
        </w:rPr>
      </w:pPr>
      <w:r w:rsidRPr="00562A0F">
        <w:rPr>
          <w:rFonts w:ascii="Times New Roman" w:hAnsi="Times New Roman"/>
        </w:rPr>
        <w:t>-----------------------------------------------------------------------------------------------------------------------------------------------------------------------------------------------------------------------------------------------------------------------------------------------------------------------------------------------------------------------------------------------------------------------------------------------------------------------------------------------------------------------------------------------------------------------------------------------------------------------------------------------------------</w:t>
      </w:r>
    </w:p>
    <w:p w14:paraId="57A4B32E" w14:textId="30346510"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   ) foi adotado percentual superior ao 3º quartil, em razão das peculiaridades do objeto licitado, de acordo com as justificativas técnicas abaixo apresentadas</w:t>
      </w:r>
      <w:r w:rsidR="00E819C0" w:rsidRPr="00562A0F">
        <w:rPr>
          <w:rFonts w:ascii="Times New Roman" w:hAnsi="Times New Roman"/>
        </w:rPr>
        <w:t>:</w:t>
      </w:r>
    </w:p>
    <w:p w14:paraId="647AE159" w14:textId="77777777" w:rsidR="00BF56AC" w:rsidRPr="00562A0F" w:rsidRDefault="00BF56AC" w:rsidP="00BF56AC">
      <w:pPr>
        <w:spacing w:after="240" w:line="240" w:lineRule="auto"/>
        <w:jc w:val="both"/>
        <w:rPr>
          <w:rFonts w:ascii="Times New Roman" w:hAnsi="Times New Roman"/>
        </w:rPr>
      </w:pPr>
      <w:r w:rsidRPr="00562A0F">
        <w:rPr>
          <w:rFonts w:ascii="Times New Roman" w:hAnsi="Times New Roman"/>
        </w:rPr>
        <w:t>-----------------------------------------------------------------------------------------------------------------------------------------------------------------------------------------------------------------------------------------------------------------------------------------------------------------------------------------------------------------------------------------------------------------------------------------------------------------------------------------------------------------------------------------------------------------------------------------------------------------------------------------------------------</w:t>
      </w:r>
    </w:p>
    <w:p w14:paraId="5923F3EA" w14:textId="77777777" w:rsidR="00BF56AC" w:rsidRPr="00562A0F" w:rsidRDefault="00BF56AC" w:rsidP="00BF56AC">
      <w:pPr>
        <w:spacing w:after="240" w:line="240" w:lineRule="auto"/>
        <w:jc w:val="both"/>
        <w:rPr>
          <w:rFonts w:ascii="Times New Roman" w:hAnsi="Times New Roman"/>
        </w:rPr>
      </w:pPr>
    </w:p>
    <w:p w14:paraId="53513704" w14:textId="77777777" w:rsidR="00001F07"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COMPOSIÇÃO DO CUSTO DIRETO DE ADMINISTRAÇÃO LOCAL</w:t>
      </w:r>
    </w:p>
    <w:p w14:paraId="59436FB5" w14:textId="77777777" w:rsidR="00DD1EB9" w:rsidRPr="00562A0F" w:rsidRDefault="00DD1EB9" w:rsidP="00BF56AC">
      <w:pPr>
        <w:spacing w:after="240" w:line="240" w:lineRule="auto"/>
        <w:jc w:val="both"/>
        <w:rPr>
          <w:rFonts w:ascii="Times New Roman" w:hAnsi="Times New Roman"/>
          <w:lang w:eastAsia="pt-BR"/>
        </w:rPr>
      </w:pPr>
      <w:r w:rsidRPr="00562A0F">
        <w:rPr>
          <w:rFonts w:ascii="Times New Roman" w:hAnsi="Times New Roman"/>
          <w:lang w:eastAsia="pt-BR"/>
        </w:rPr>
        <w:lastRenderedPageBreak/>
        <w:t>Ainda no mesmo Acórdão n° 2.622/2013 – Plenário, o TCU também tratou especificamente do custo de administração local - embora não deva constar do BDI, e sim da planilha de custos diretos.</w:t>
      </w:r>
    </w:p>
    <w:p w14:paraId="0B215AFC" w14:textId="77777777" w:rsidR="00DD1EB9" w:rsidRPr="00562A0F" w:rsidRDefault="00DD1EB9" w:rsidP="00BF56AC">
      <w:pPr>
        <w:spacing w:after="240" w:line="240" w:lineRule="auto"/>
        <w:jc w:val="both"/>
        <w:rPr>
          <w:rFonts w:ascii="Times New Roman" w:hAnsi="Times New Roman"/>
          <w:lang w:eastAsia="pt-BR"/>
        </w:rPr>
      </w:pPr>
      <w:r w:rsidRPr="00562A0F">
        <w:rPr>
          <w:rFonts w:ascii="Times New Roman" w:hAnsi="Times New Roman"/>
          <w:lang w:eastAsia="pt-BR"/>
        </w:rPr>
        <w:t>Após cuidadoso estudo, foram adotados os seguintes padrões para o percentual de administração local a ser inserido no custo direto da obra de construção de edifícios: 3,49% (1º quartil) - 6,23% (médio) - 8,87% (3º quartil).</w:t>
      </w:r>
    </w:p>
    <w:p w14:paraId="19AC1C10" w14:textId="77777777" w:rsidR="00DD1EB9" w:rsidRPr="00562A0F" w:rsidRDefault="00DD1EB9" w:rsidP="00BF56AC">
      <w:pPr>
        <w:spacing w:after="240" w:line="240" w:lineRule="auto"/>
        <w:jc w:val="both"/>
        <w:rPr>
          <w:rFonts w:ascii="Times New Roman" w:hAnsi="Times New Roman"/>
          <w:lang w:eastAsia="pt-BR"/>
        </w:rPr>
      </w:pPr>
      <w:r w:rsidRPr="00562A0F">
        <w:rPr>
          <w:rFonts w:ascii="Times New Roman" w:hAnsi="Times New Roman"/>
          <w:lang w:eastAsia="pt-BR"/>
        </w:rPr>
        <w:t>No mais, somente devem ser inseridas em tal rubrica as despesas efetivamente incorridas pela empresa ao executar a obra, devidamente detalhadas, conforme a orientação do TCU - "Orientações para elaboração de planilhas orçamentárias de obras públicas":</w:t>
      </w:r>
    </w:p>
    <w:p w14:paraId="7ABD5339" w14:textId="77777777" w:rsidR="00DD1EB9" w:rsidRPr="00562A0F" w:rsidRDefault="00DD1EB9" w:rsidP="00BF56AC">
      <w:pPr>
        <w:spacing w:after="240" w:line="240" w:lineRule="auto"/>
        <w:jc w:val="both"/>
        <w:rPr>
          <w:rFonts w:ascii="Times New Roman" w:hAnsi="Times New Roman"/>
          <w:lang w:eastAsia="pt-BR"/>
        </w:rPr>
      </w:pPr>
      <w:r w:rsidRPr="00562A0F">
        <w:rPr>
          <w:rFonts w:ascii="Times New Roman" w:hAnsi="Times New Roman"/>
          <w:lang w:eastAsia="pt-BR"/>
        </w:rPr>
        <w:t>É importante também observar que a administração local depende da estrutura organizacional que o construtor vier a montar para a condução de cada obra e de sua respectiva lotação de pessoal. Não existe modelo rígido para esta estrutura, mas deve-se observar a legislação profissional do Sistema Confea e as normas relativas à higiene e segurança do trabalho. As peculiaridades inerentes a cada obra determinarão a estrutura organizacional necessária para bem administrá-la. A concepção dessa organização, bem como da lotação em termos de recursos humanos requeridos, é tarefa de planejamento, específica do executor da obra.</w:t>
      </w:r>
    </w:p>
    <w:p w14:paraId="4C2EA180" w14:textId="77777777" w:rsidR="00DD1EB9" w:rsidRPr="00562A0F" w:rsidRDefault="00DD1EB9" w:rsidP="00BF56AC">
      <w:pPr>
        <w:spacing w:after="240" w:line="240" w:lineRule="auto"/>
        <w:jc w:val="both"/>
        <w:rPr>
          <w:rFonts w:ascii="Times New Roman" w:hAnsi="Times New Roman"/>
          <w:lang w:eastAsia="pt-BR"/>
        </w:rPr>
      </w:pPr>
      <w:r w:rsidRPr="00562A0F">
        <w:rPr>
          <w:rFonts w:ascii="Times New Roman" w:hAnsi="Times New Roman"/>
          <w:lang w:eastAsia="pt-BR"/>
        </w:rPr>
        <w:t>Caberá ao orçamentista realizar um ensaio sobre a questão, com vistas a estabelecer bases para estimar os custos envolvidos na administração local. Devem ser consideradas as características da obra, a estratégia adotada para sua execução, o cronograma, bem como a dispersão geográfica das frentes de trabalho.</w:t>
      </w:r>
    </w:p>
    <w:p w14:paraId="33F685A4" w14:textId="77777777" w:rsidR="00DD1EB9" w:rsidRPr="00562A0F" w:rsidRDefault="00DD1EB9" w:rsidP="00BF56AC">
      <w:pPr>
        <w:spacing w:after="240" w:line="240" w:lineRule="auto"/>
        <w:jc w:val="both"/>
        <w:rPr>
          <w:rFonts w:ascii="Times New Roman" w:hAnsi="Times New Roman"/>
          <w:lang w:eastAsia="pt-BR"/>
        </w:rPr>
      </w:pPr>
      <w:r w:rsidRPr="00562A0F">
        <w:rPr>
          <w:rFonts w:ascii="Times New Roman" w:hAnsi="Times New Roman"/>
          <w:lang w:eastAsia="pt-BR"/>
        </w:rPr>
        <w:t>No mais, a</w:t>
      </w:r>
      <w:r w:rsidRPr="00562A0F">
        <w:rPr>
          <w:rFonts w:ascii="Times New Roman" w:hAnsi="Times New Roman"/>
          <w:color w:val="000000"/>
          <w:lang w:eastAsia="pt-BR"/>
        </w:rPr>
        <w:t xml:space="preserve"> Administração deverá atentar para a necessidade de definir critério objetivo para a medição e o pagamento do item “administração local”, estipulando pagamentos proporcionais à execução financeira do contrato, abstendo-se de utilizar critério de pagamento para esse item como um valor mensal fixo, evitando-se, assim, desembolsos indevidos de administração local em virtude de atrasos ou de prorrogações injustificadas do prazo de execução contratual em cumprimento ao subitem 9.3.2.2. do AC n. 2.622/2013, do TCU.</w:t>
      </w:r>
    </w:p>
    <w:p w14:paraId="1371ABC3" w14:textId="77777777" w:rsidR="00DD1EB9" w:rsidRPr="00562A0F" w:rsidRDefault="00DD1EB9" w:rsidP="00BF56AC">
      <w:pPr>
        <w:spacing w:after="240" w:line="240" w:lineRule="auto"/>
        <w:jc w:val="both"/>
        <w:rPr>
          <w:rFonts w:ascii="Times New Roman" w:hAnsi="Times New Roman"/>
          <w:lang w:eastAsia="pt-BR"/>
        </w:rPr>
      </w:pPr>
    </w:p>
    <w:p w14:paraId="0AD720C0"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b/>
          <w:bCs/>
          <w:u w:val="single"/>
          <w:lang w:eastAsia="pt-BR"/>
        </w:rPr>
        <w:t>JUSTIFICATIVA</w:t>
      </w:r>
      <w:r w:rsidRPr="00562A0F">
        <w:rPr>
          <w:rFonts w:ascii="Times New Roman" w:hAnsi="Times New Roman"/>
          <w:lang w:eastAsia="pt-BR"/>
        </w:rPr>
        <w:t>: Na presente licitação, o custo direto de administração local</w:t>
      </w:r>
      <w:r w:rsidRPr="00562A0F">
        <w:rPr>
          <w:rFonts w:ascii="Times New Roman" w:hAnsi="Times New Roman"/>
        </w:rPr>
        <w:t>:</w:t>
      </w:r>
    </w:p>
    <w:p w14:paraId="7A100F1B"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   ) observa os parâmetros do Acórdão nº 2.622/2013 - Plenário do TCU;</w:t>
      </w:r>
    </w:p>
    <w:p w14:paraId="55208933"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   ) adota o parâmetro do (   ) 1º quartil ou (   ) médio ou (   ) 3º quartil, de acordo com as justificativas técnicas abaixo apresentadas:</w:t>
      </w:r>
    </w:p>
    <w:p w14:paraId="5C3C563F" w14:textId="77777777" w:rsidR="00BF56AC" w:rsidRPr="00562A0F" w:rsidRDefault="00BF56AC" w:rsidP="00BF56AC">
      <w:pPr>
        <w:spacing w:after="240" w:line="240" w:lineRule="auto"/>
        <w:jc w:val="both"/>
        <w:rPr>
          <w:rFonts w:ascii="Times New Roman" w:hAnsi="Times New Roman"/>
        </w:rPr>
      </w:pPr>
      <w:r w:rsidRPr="00562A0F">
        <w:rPr>
          <w:rFonts w:ascii="Times New Roman" w:hAnsi="Times New Roman"/>
        </w:rPr>
        <w:t>-----------------------------------------------------------------------------------------------------------------------------------------------------------------------------------------------------------------------------------------------------------------------------------------------------------------------------------------------------------------------------------------------------------------------------------------------------------------------------------------------------------------------------------------------------------------------------------------------------------------------------------------------------------</w:t>
      </w:r>
    </w:p>
    <w:p w14:paraId="11C59E3C" w14:textId="6B80D065"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   ) adota percentual superior ao 3º quartil, em razão das peculiaridades do objeto licitado, de acordo com as justificativas técnicas abaixo apresentadas</w:t>
      </w:r>
      <w:r w:rsidR="001C433E" w:rsidRPr="00562A0F">
        <w:rPr>
          <w:rFonts w:ascii="Times New Roman" w:hAnsi="Times New Roman"/>
        </w:rPr>
        <w:t>:</w:t>
      </w:r>
    </w:p>
    <w:p w14:paraId="65541420" w14:textId="77777777" w:rsidR="00BF56AC" w:rsidRPr="00562A0F" w:rsidRDefault="00BF56AC" w:rsidP="00BF56AC">
      <w:pPr>
        <w:spacing w:after="240" w:line="240" w:lineRule="auto"/>
        <w:jc w:val="both"/>
        <w:rPr>
          <w:rFonts w:ascii="Times New Roman" w:hAnsi="Times New Roman"/>
        </w:rPr>
      </w:pPr>
      <w:r w:rsidRPr="00562A0F">
        <w:rPr>
          <w:rFonts w:ascii="Times New Roman" w:hAnsi="Times New Roman"/>
        </w:rPr>
        <w:t>--------------------------------------------------------------------------------------------------------------------------------------------------------------------------------------------------------------------------------------------------------------------------------------------------------------------------------------------------------------------------------------------------------------------------------------------------------------------------------</w:t>
      </w:r>
      <w:r w:rsidRPr="00562A0F">
        <w:rPr>
          <w:rFonts w:ascii="Times New Roman" w:hAnsi="Times New Roman"/>
        </w:rPr>
        <w:lastRenderedPageBreak/>
        <w:t>---------------------------------------------------------------------------------------------------------------------------------------------------------------------------</w:t>
      </w:r>
    </w:p>
    <w:p w14:paraId="6594EF88" w14:textId="77777777" w:rsidR="00DD1EB9" w:rsidRPr="00562A0F" w:rsidRDefault="00DD1EB9" w:rsidP="00BF56AC">
      <w:pPr>
        <w:spacing w:after="240" w:line="240" w:lineRule="auto"/>
        <w:jc w:val="both"/>
        <w:rPr>
          <w:rFonts w:ascii="Times New Roman" w:hAnsi="Times New Roman"/>
        </w:rPr>
      </w:pPr>
    </w:p>
    <w:p w14:paraId="1DB6216E" w14:textId="77777777" w:rsidR="00DD1EB9" w:rsidRPr="00562A0F" w:rsidRDefault="00DD1EB9" w:rsidP="00BF56AC">
      <w:pPr>
        <w:spacing w:after="240" w:line="240" w:lineRule="auto"/>
        <w:jc w:val="both"/>
        <w:rPr>
          <w:rFonts w:ascii="Times New Roman" w:hAnsi="Times New Roman"/>
          <w:lang w:eastAsia="pt-BR"/>
        </w:rPr>
      </w:pPr>
      <w:r w:rsidRPr="00562A0F">
        <w:rPr>
          <w:rFonts w:ascii="Times New Roman" w:hAnsi="Times New Roman"/>
          <w:b/>
          <w:bCs/>
          <w:u w:val="single"/>
        </w:rPr>
        <w:t>JUSTIFICATIVA</w:t>
      </w:r>
      <w:r w:rsidRPr="00562A0F">
        <w:rPr>
          <w:rFonts w:ascii="Times New Roman" w:hAnsi="Times New Roman"/>
        </w:rPr>
        <w:t xml:space="preserve">: O </w:t>
      </w:r>
      <w:r w:rsidRPr="00562A0F">
        <w:rPr>
          <w:rFonts w:ascii="Times New Roman" w:hAnsi="Times New Roman"/>
          <w:lang w:eastAsia="pt-BR"/>
        </w:rPr>
        <w:t>cronograma físico-financeiro (   ) PREVÊ pagamentos proporcionais para o custo de administração local para cada período de execução contratual, refletindo adequadamente a evolução da execução da obra, ao invés de reproduzir percentuais fixos.</w:t>
      </w:r>
    </w:p>
    <w:p w14:paraId="6F2D3773" w14:textId="77777777" w:rsidR="00BF56AC" w:rsidRPr="00562A0F" w:rsidRDefault="00BF56AC" w:rsidP="00BF56AC">
      <w:pPr>
        <w:spacing w:after="240" w:line="240" w:lineRule="auto"/>
        <w:jc w:val="both"/>
        <w:rPr>
          <w:rFonts w:ascii="Times New Roman" w:hAnsi="Times New Roman"/>
          <w:lang w:eastAsia="pt-BR"/>
        </w:rPr>
      </w:pPr>
    </w:p>
    <w:p w14:paraId="34B52359" w14:textId="77777777" w:rsidR="00001F07"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ANOTAÇÃO DE RESPONSABILIDADE TÉCNICA</w:t>
      </w:r>
    </w:p>
    <w:p w14:paraId="11EB8778" w14:textId="77777777" w:rsidR="00DD1EB9" w:rsidRPr="00562A0F" w:rsidRDefault="00DD1EB9" w:rsidP="00BF56AC">
      <w:pPr>
        <w:pStyle w:val="numerado"/>
        <w:spacing w:before="0" w:beforeAutospacing="0" w:after="240" w:afterAutospacing="0"/>
        <w:jc w:val="both"/>
        <w:rPr>
          <w:sz w:val="22"/>
          <w:szCs w:val="22"/>
        </w:rPr>
      </w:pPr>
      <w:r w:rsidRPr="00562A0F">
        <w:rPr>
          <w:sz w:val="22"/>
          <w:szCs w:val="22"/>
        </w:rPr>
        <w:t>De acordo com a Súmula TCU n° 260/2010, “é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p>
    <w:p w14:paraId="13B8BB45" w14:textId="77777777" w:rsidR="00DD1EB9" w:rsidRPr="00562A0F" w:rsidRDefault="00DD1EB9" w:rsidP="00BF56AC">
      <w:pPr>
        <w:pStyle w:val="numerado"/>
        <w:spacing w:before="0" w:beforeAutospacing="0" w:after="240" w:afterAutospacing="0"/>
        <w:jc w:val="both"/>
        <w:rPr>
          <w:bCs/>
          <w:sz w:val="22"/>
          <w:szCs w:val="22"/>
        </w:rPr>
      </w:pPr>
      <w:r w:rsidRPr="00562A0F">
        <w:rPr>
          <w:bCs/>
          <w:sz w:val="22"/>
          <w:szCs w:val="22"/>
        </w:rPr>
        <w:t>De acordo com o art. 10 do Decreto nº 7.983, de 2013, a anotação de responsabilidade técnica pelas planilhas orçamentárias deverá constar do projeto que integrar o edital de licitação, inclusive de suas eventuais alterações.</w:t>
      </w:r>
    </w:p>
    <w:p w14:paraId="30F51425" w14:textId="77777777" w:rsidR="00DD1EB9" w:rsidRPr="00562A0F" w:rsidRDefault="00DD1EB9" w:rsidP="00BF56AC">
      <w:pPr>
        <w:pStyle w:val="numerado"/>
        <w:spacing w:before="0" w:beforeAutospacing="0" w:after="240" w:afterAutospacing="0"/>
        <w:jc w:val="both"/>
        <w:rPr>
          <w:sz w:val="22"/>
          <w:szCs w:val="22"/>
        </w:rPr>
      </w:pPr>
      <w:r w:rsidRPr="00562A0F">
        <w:rPr>
          <w:sz w:val="22"/>
          <w:szCs w:val="22"/>
        </w:rPr>
        <w:t xml:space="preserve">Segundo a Resolução/CONFEA nº 1.025 de 30 de outubro de 2009: </w:t>
      </w:r>
    </w:p>
    <w:p w14:paraId="45128D42" w14:textId="77777777" w:rsidR="00DD1EB9" w:rsidRPr="00562A0F" w:rsidRDefault="00DD1EB9" w:rsidP="00BF56AC">
      <w:pPr>
        <w:pStyle w:val="numerado"/>
        <w:spacing w:before="0" w:beforeAutospacing="0" w:after="240" w:afterAutospacing="0"/>
        <w:ind w:left="708"/>
        <w:jc w:val="both"/>
        <w:rPr>
          <w:rFonts w:eastAsia="Ecofont_Spranq_eco_Sans"/>
          <w:sz w:val="22"/>
          <w:szCs w:val="22"/>
        </w:rPr>
      </w:pPr>
      <w:r w:rsidRPr="00562A0F">
        <w:rPr>
          <w:rFonts w:eastAsia="Ecofont_Spranq_eco_Sans"/>
          <w:sz w:val="22"/>
          <w:szCs w:val="22"/>
        </w:rPr>
        <w:t>Art. 2º A ART é o instrumento que define, para os efeitos legais, os responsáveis técnicos pela execução de obras ou prestação de serviços relativos às profissões abrangidas pelo Sistema Confea/Crea.</w:t>
      </w:r>
    </w:p>
    <w:p w14:paraId="73C1F131" w14:textId="77777777" w:rsidR="00DD1EB9" w:rsidRPr="00562A0F" w:rsidRDefault="00DD1EB9" w:rsidP="00BF56AC">
      <w:pPr>
        <w:pStyle w:val="numerado"/>
        <w:spacing w:before="0" w:beforeAutospacing="0" w:after="240" w:afterAutospacing="0"/>
        <w:ind w:left="708"/>
        <w:jc w:val="both"/>
        <w:rPr>
          <w:rFonts w:eastAsia="Ecofont_Spranq_eco_Sans"/>
          <w:sz w:val="22"/>
          <w:szCs w:val="22"/>
        </w:rPr>
      </w:pPr>
      <w:r w:rsidRPr="00562A0F">
        <w:rPr>
          <w:rFonts w:eastAsia="Ecofont_Spranq_eco_Sans"/>
          <w:sz w:val="22"/>
          <w:szCs w:val="22"/>
        </w:rPr>
        <w:t>Art. 3º Todo contrato escrito ou verbal para execução de obras ou prestação de serviços relativos às profissões abrangidas pelo Sistema Confea/Crea fica sujeito ao registro da ART no Crea em cuja circunscrição for exercida a respectiva atividade.</w:t>
      </w:r>
    </w:p>
    <w:p w14:paraId="724EEB4B" w14:textId="77777777" w:rsidR="00DD1EB9" w:rsidRPr="00562A0F" w:rsidRDefault="00DD1EB9" w:rsidP="00BF56AC">
      <w:pPr>
        <w:pStyle w:val="numerado"/>
        <w:spacing w:before="0" w:beforeAutospacing="0" w:after="240" w:afterAutospacing="0"/>
        <w:ind w:left="708"/>
        <w:jc w:val="both"/>
        <w:rPr>
          <w:sz w:val="22"/>
          <w:szCs w:val="22"/>
        </w:rPr>
      </w:pPr>
      <w:r w:rsidRPr="00562A0F">
        <w:rPr>
          <w:rFonts w:eastAsia="Ecofont_Spranq_eco_Sans"/>
          <w:sz w:val="22"/>
          <w:szCs w:val="22"/>
        </w:rPr>
        <w:t>Parágrafo único. O disposto no caput deste artigo também se aplica ao vínculo de profissional, tanto a pessoa jurídica de direito público quanto de direito privado, para o desempenho de cargo ou função técnica que envolva atividades para as quais sejam necessários habilitação legal e conhecimentos técnicos nas profissões abrangidas pelo Sistema Confea/Crea.</w:t>
      </w:r>
    </w:p>
    <w:p w14:paraId="58A59E3F" w14:textId="77777777" w:rsidR="00DD1EB9" w:rsidRPr="00562A0F" w:rsidRDefault="00DD1EB9" w:rsidP="00BF56AC">
      <w:pPr>
        <w:pStyle w:val="NormalWeb"/>
        <w:spacing w:before="0" w:after="240"/>
        <w:jc w:val="both"/>
        <w:rPr>
          <w:sz w:val="22"/>
          <w:szCs w:val="22"/>
        </w:rPr>
      </w:pPr>
    </w:p>
    <w:p w14:paraId="64B4B66B" w14:textId="77777777" w:rsidR="00DD1EB9" w:rsidRPr="00562A0F" w:rsidRDefault="00DD1EB9" w:rsidP="00BF56AC">
      <w:pPr>
        <w:pStyle w:val="NormalWeb"/>
        <w:spacing w:before="0" w:after="240"/>
        <w:jc w:val="both"/>
        <w:rPr>
          <w:sz w:val="22"/>
          <w:szCs w:val="22"/>
          <w:lang w:eastAsia="pt-BR"/>
        </w:rPr>
      </w:pPr>
      <w:r w:rsidRPr="00562A0F">
        <w:rPr>
          <w:b/>
          <w:bCs/>
          <w:sz w:val="22"/>
          <w:szCs w:val="22"/>
          <w:u w:val="single"/>
        </w:rPr>
        <w:t>JUSTIFICATIVA</w:t>
      </w:r>
      <w:r w:rsidRPr="00562A0F">
        <w:rPr>
          <w:sz w:val="22"/>
          <w:szCs w:val="22"/>
        </w:rPr>
        <w:t xml:space="preserve">: No presente feito, as ARTs relativas aos documentos técnicos da licitação foram juntadas nos </w:t>
      </w:r>
      <w:r w:rsidRPr="00562A0F">
        <w:rPr>
          <w:sz w:val="22"/>
          <w:szCs w:val="22"/>
          <w:lang w:eastAsia="pt-BR"/>
        </w:rPr>
        <w:t>documentos nº (   ).</w:t>
      </w:r>
    </w:p>
    <w:p w14:paraId="03C7176B" w14:textId="77777777" w:rsidR="00BF56AC" w:rsidRPr="00562A0F" w:rsidRDefault="00BF56AC" w:rsidP="00BF56AC">
      <w:pPr>
        <w:pStyle w:val="NormalWeb"/>
        <w:spacing w:before="0" w:after="240"/>
        <w:jc w:val="both"/>
        <w:rPr>
          <w:sz w:val="22"/>
          <w:szCs w:val="22"/>
        </w:rPr>
      </w:pPr>
    </w:p>
    <w:p w14:paraId="07DA109B" w14:textId="77777777" w:rsidR="00001F07"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ELABORAÇÃO DE CRONOGRAMA FÍSICO-FINANCEIRO</w:t>
      </w:r>
    </w:p>
    <w:p w14:paraId="66F35C97" w14:textId="77777777" w:rsidR="00DD1EB9" w:rsidRPr="00562A0F" w:rsidRDefault="00DD1EB9" w:rsidP="00BF56AC">
      <w:pPr>
        <w:spacing w:after="240" w:line="240" w:lineRule="auto"/>
        <w:jc w:val="both"/>
        <w:rPr>
          <w:rFonts w:ascii="Times New Roman" w:hAnsi="Times New Roman"/>
          <w:b/>
          <w:bCs/>
          <w:u w:val="single"/>
          <w:lang w:eastAsia="pt-BR"/>
        </w:rPr>
      </w:pPr>
      <w:r w:rsidRPr="00562A0F">
        <w:rPr>
          <w:rFonts w:ascii="Times New Roman" w:hAnsi="Times New Roman"/>
        </w:rPr>
        <w:t>Nos termos do art. 12 do Decreto n° 7.983, de 2013, a minuta de contrato deverá conter cronograma físico-financeiro com a especificação física completa das etapas necessárias à medição, ao monitoramento e ao controle das obras.</w:t>
      </w:r>
    </w:p>
    <w:p w14:paraId="21340617" w14:textId="77777777" w:rsidR="00DD1EB9" w:rsidRPr="00562A0F" w:rsidRDefault="00DD1EB9" w:rsidP="00BF56AC">
      <w:pPr>
        <w:spacing w:after="240" w:line="240" w:lineRule="auto"/>
        <w:jc w:val="both"/>
        <w:rPr>
          <w:rFonts w:ascii="Times New Roman" w:hAnsi="Times New Roman"/>
          <w:lang w:eastAsia="en-GB"/>
        </w:rPr>
      </w:pPr>
      <w:r w:rsidRPr="00562A0F">
        <w:rPr>
          <w:rFonts w:ascii="Times New Roman" w:hAnsi="Times New Roman"/>
          <w:lang w:eastAsia="en-GB"/>
        </w:rPr>
        <w:t xml:space="preserve">Conforme explica o Manual de Obras e Serviços de Engenharia da AGU, o cronograma físico-financeiro consiste na divisão da obra ou serviço de engenharia em fases que deverão ser executadas sequencialmente, onde cada uma delas prevê as atividades que serão realizadas e os respectivos prazos de execução, ao final das quais a Administração deverá verificar o devido </w:t>
      </w:r>
      <w:r w:rsidRPr="00562A0F">
        <w:rPr>
          <w:rFonts w:ascii="Times New Roman" w:hAnsi="Times New Roman"/>
          <w:lang w:eastAsia="en-GB"/>
        </w:rPr>
        <w:lastRenderedPageBreak/>
        <w:t>cumprimento em comparação com as especificações dos projetos básico/executivo e atestar as condições daquilo que foi entregue pela contratada a fim de determinar as correções devidas pelo executor da obra ou comunicar ao setor financeiro competente a possibilidade de deflagração dos procedimentos pertinentes ao pagamento da etapa cumprida.</w:t>
      </w:r>
    </w:p>
    <w:p w14:paraId="63DA7626" w14:textId="77777777" w:rsidR="00DD1EB9" w:rsidRPr="00562A0F" w:rsidRDefault="00DD1EB9" w:rsidP="00BF56AC">
      <w:pPr>
        <w:spacing w:after="240" w:line="240" w:lineRule="auto"/>
        <w:jc w:val="both"/>
        <w:rPr>
          <w:rFonts w:ascii="Times New Roman" w:hAnsi="Times New Roman"/>
          <w:b/>
          <w:bCs/>
          <w:u w:val="single"/>
          <w:lang w:eastAsia="pt-BR"/>
        </w:rPr>
      </w:pPr>
      <w:r w:rsidRPr="00562A0F">
        <w:rPr>
          <w:rFonts w:ascii="Times New Roman" w:hAnsi="Times New Roman"/>
        </w:rPr>
        <w:t>Na empreitada por preço global, o cronograma adquire importância ímpar, pois o critério de aceitabilidade da proposta vencedora não incidirá sobre seus preços unitários, e sim sobre o preço de cada uma das etapas previstas no referido documento, que deverá ficar igual ou abaixo dos preços de referência correspondentes da administração pública (art. 13, inciso I e parágrafo único do Decreto n° 7.983, de 2013.</w:t>
      </w:r>
    </w:p>
    <w:p w14:paraId="4EF368D2" w14:textId="77777777" w:rsidR="00DD1EB9" w:rsidRPr="00562A0F" w:rsidRDefault="00DD1EB9" w:rsidP="00BF56AC">
      <w:pPr>
        <w:spacing w:after="240" w:line="240" w:lineRule="auto"/>
        <w:jc w:val="both"/>
        <w:rPr>
          <w:rFonts w:ascii="Times New Roman" w:hAnsi="Times New Roman"/>
          <w:b/>
          <w:bCs/>
          <w:u w:val="single"/>
          <w:lang w:eastAsia="pt-BR"/>
        </w:rPr>
      </w:pPr>
      <w:r w:rsidRPr="00562A0F">
        <w:rPr>
          <w:rFonts w:ascii="Times New Roman" w:hAnsi="Times New Roman"/>
          <w:color w:val="000000"/>
          <w:lang w:eastAsia="en-GB"/>
        </w:rPr>
        <w:t>Da mesma forma, durante a execução contratual, a remuneração devida à contratada também seguirá o valor de cada etapa do cronograma – sendo altamente recomendável que a previsão de pagamento coincida com 100% (cem por cento) da conclusão da respectiva etapa, a fim de se evitar a necessidade de medição (atividade própria da empreitada por preço unitário).</w:t>
      </w:r>
    </w:p>
    <w:p w14:paraId="6B091209" w14:textId="77777777" w:rsidR="00DD1EB9" w:rsidRPr="00562A0F" w:rsidRDefault="00DD1EB9" w:rsidP="00BF56AC">
      <w:pPr>
        <w:spacing w:after="240" w:line="240" w:lineRule="auto"/>
        <w:jc w:val="both"/>
        <w:rPr>
          <w:rFonts w:ascii="Times New Roman" w:hAnsi="Times New Roman"/>
          <w:b/>
          <w:bCs/>
          <w:u w:val="single"/>
          <w:lang w:eastAsia="pt-BR"/>
        </w:rPr>
      </w:pPr>
      <w:r w:rsidRPr="00562A0F">
        <w:rPr>
          <w:rFonts w:ascii="Times New Roman" w:hAnsi="Times New Roman"/>
          <w:color w:val="000000"/>
        </w:rPr>
        <w:t xml:space="preserve">Já na </w:t>
      </w:r>
      <w:r w:rsidRPr="00562A0F">
        <w:rPr>
          <w:rFonts w:ascii="Times New Roman" w:hAnsi="Times New Roman"/>
          <w:lang w:eastAsia="pt-BR"/>
        </w:rPr>
        <w:t>empreitada por preço unitário, os pagamentos são atrelados aos quantitativos efetivamente executados pela contratada, com base nos preços unitários registrados em sua planilha. Ainda assim, o cronograma é importante instrumento para acompanhar as etapas de execução contratual, além de também basear a medição dos serviços prestados.</w:t>
      </w:r>
    </w:p>
    <w:p w14:paraId="5605C3A0" w14:textId="77777777" w:rsidR="00DD1EB9" w:rsidRPr="00562A0F" w:rsidRDefault="00DD1EB9" w:rsidP="00BF56AC">
      <w:pPr>
        <w:pStyle w:val="numerado"/>
        <w:spacing w:before="0" w:beforeAutospacing="0" w:after="240" w:afterAutospacing="0"/>
        <w:jc w:val="both"/>
        <w:rPr>
          <w:sz w:val="22"/>
          <w:szCs w:val="22"/>
          <w:u w:val="single"/>
        </w:rPr>
      </w:pPr>
    </w:p>
    <w:p w14:paraId="362EC1BE" w14:textId="77777777" w:rsidR="00DD1EB9" w:rsidRPr="00562A0F" w:rsidRDefault="00DD1EB9" w:rsidP="00BF56AC">
      <w:pPr>
        <w:pStyle w:val="numerado"/>
        <w:spacing w:before="0" w:beforeAutospacing="0" w:after="240" w:afterAutospacing="0"/>
        <w:jc w:val="both"/>
        <w:rPr>
          <w:sz w:val="22"/>
          <w:szCs w:val="22"/>
        </w:rPr>
      </w:pPr>
      <w:r w:rsidRPr="00562A0F">
        <w:rPr>
          <w:b/>
          <w:bCs/>
          <w:sz w:val="22"/>
          <w:szCs w:val="22"/>
          <w:u w:val="single"/>
        </w:rPr>
        <w:t>JUSTIFICATIVA</w:t>
      </w:r>
      <w:r w:rsidRPr="00562A0F">
        <w:rPr>
          <w:sz w:val="22"/>
          <w:szCs w:val="22"/>
        </w:rPr>
        <w:t>: No presente feito, o cronograma físico-financeiro consta do documento nº (   ).</w:t>
      </w:r>
    </w:p>
    <w:p w14:paraId="3ACB7016" w14:textId="77777777" w:rsidR="00DD1EB9" w:rsidRPr="00562A0F" w:rsidRDefault="00DD1EB9" w:rsidP="00BF56AC">
      <w:pPr>
        <w:pStyle w:val="numerado"/>
        <w:spacing w:before="0" w:beforeAutospacing="0" w:after="240" w:afterAutospacing="0"/>
        <w:jc w:val="both"/>
        <w:rPr>
          <w:sz w:val="22"/>
          <w:szCs w:val="22"/>
        </w:rPr>
      </w:pPr>
      <w:r w:rsidRPr="00562A0F">
        <w:rPr>
          <w:sz w:val="22"/>
          <w:szCs w:val="22"/>
        </w:rPr>
        <w:t>Caso tenha sido adotado o regime de empreitada por preço global: o cronograma físico-financeiro (   ) DEFINE com clareza as etapas de serviços que guiarão a aceitabilidade dos preços propostos pelos licitantes.</w:t>
      </w:r>
    </w:p>
    <w:p w14:paraId="2997E292" w14:textId="77777777" w:rsidR="00BF56AC" w:rsidRPr="00562A0F" w:rsidRDefault="00BF56AC" w:rsidP="00BF56AC">
      <w:pPr>
        <w:pStyle w:val="numerado"/>
        <w:spacing w:before="0" w:beforeAutospacing="0" w:after="240" w:afterAutospacing="0"/>
        <w:jc w:val="both"/>
        <w:rPr>
          <w:sz w:val="22"/>
          <w:szCs w:val="22"/>
        </w:rPr>
      </w:pPr>
    </w:p>
    <w:p w14:paraId="42DBC811" w14:textId="77777777" w:rsidR="001B2956"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ELABORAÇÃO DE PROJETO EXECUTIVO</w:t>
      </w:r>
    </w:p>
    <w:p w14:paraId="306F133B"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O projeto executivo é requisito obrigatório da licitação para obras e serviços, devendo ser elaborado em sequência à conclusão e aprovação do Projeto Básico (art. 7º, II, da Lei nº 8.666/93).</w:t>
      </w:r>
    </w:p>
    <w:p w14:paraId="30419953"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Segundo a definição legal, é o conjunto dos elementos necessários e suficientes à execução completa da obra, de acordo com as normas pertinentes da Associação Brasileira de Normas Técnicas - ABNT (art. 6º, X, da Lei nº 8.666/93).</w:t>
      </w:r>
    </w:p>
    <w:p w14:paraId="5FA3C54A"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Porém, a Administração poderá autorizar que o projeto executivo seja elaborado pelo próprio contratado, concomitantemente com a execução da obra ou serviço (arts. 7º, § 1º, e 9º, § 2º, da Lei n° 8.666/93).</w:t>
      </w:r>
    </w:p>
    <w:p w14:paraId="28D4944E"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Em tal situação, para que a tarefa de elaboração do projeto executivo possa ser repassada à contratada, é necessário que os documentos técnicos prévios da licitação sejam suficientemente detalhados com a descrição completa das características e especificações relevantes do objeto licitado, nos termos dos arts. 6°, IX, e 12 da Lei n°8.666/93 – como bem ressalta o TCU no Acórdão nº 2.245/2012 – Plenário:</w:t>
      </w:r>
    </w:p>
    <w:p w14:paraId="7E4A47CD" w14:textId="77777777" w:rsidR="00DD1EB9" w:rsidRPr="00562A0F" w:rsidRDefault="00DD1EB9" w:rsidP="00BF56AC">
      <w:pPr>
        <w:spacing w:after="240" w:line="240" w:lineRule="auto"/>
        <w:ind w:left="708"/>
        <w:jc w:val="both"/>
        <w:rPr>
          <w:rFonts w:ascii="Times New Roman" w:hAnsi="Times New Roman"/>
          <w:b/>
          <w:bCs/>
          <w:u w:val="single"/>
          <w:lang w:eastAsia="pt-BR"/>
        </w:rPr>
      </w:pPr>
      <w:r w:rsidRPr="00562A0F">
        <w:rPr>
          <w:rFonts w:ascii="Times New Roman" w:hAnsi="Times New Roman"/>
        </w:rPr>
        <w:t>12. Primeiramente, quanto à alegação da contratada de que o projeto executivo poderia promover a correção das inúmeras falhas no projeto básico, registro que tal medida, além de não possuir amparo legal e ir de encontro à jurisprudência desta Corte, não torna regular o processo licitatório realizado.</w:t>
      </w:r>
    </w:p>
    <w:p w14:paraId="02B19104" w14:textId="77777777" w:rsidR="00DD1EB9" w:rsidRPr="00562A0F" w:rsidRDefault="00DD1EB9" w:rsidP="00BF56AC">
      <w:pPr>
        <w:spacing w:after="240" w:line="240" w:lineRule="auto"/>
        <w:ind w:left="708"/>
        <w:jc w:val="both"/>
        <w:rPr>
          <w:rFonts w:ascii="Times New Roman" w:hAnsi="Times New Roman"/>
          <w:b/>
          <w:bCs/>
          <w:u w:val="single"/>
          <w:lang w:eastAsia="pt-BR"/>
        </w:rPr>
      </w:pPr>
      <w:r w:rsidRPr="00562A0F">
        <w:rPr>
          <w:rFonts w:ascii="Times New Roman" w:hAnsi="Times New Roman"/>
        </w:rPr>
        <w:lastRenderedPageBreak/>
        <w:t>13. Nunca é demais enfatizar que o projeto básico deve possuir nível de precisão e detalhamento que permita caracterizar adequadamente o empreendimento, inferir seus custos reais e definir metodologia e prazo de execução.</w:t>
      </w:r>
    </w:p>
    <w:p w14:paraId="7114FE92" w14:textId="77777777" w:rsidR="00DD1EB9" w:rsidRPr="00562A0F" w:rsidRDefault="00DD1EB9" w:rsidP="00BF56AC">
      <w:pPr>
        <w:spacing w:after="240" w:line="240" w:lineRule="auto"/>
        <w:ind w:left="708"/>
        <w:jc w:val="both"/>
        <w:rPr>
          <w:rFonts w:ascii="Times New Roman" w:hAnsi="Times New Roman"/>
          <w:b/>
          <w:bCs/>
          <w:u w:val="single"/>
          <w:lang w:eastAsia="pt-BR"/>
        </w:rPr>
      </w:pPr>
      <w:r w:rsidRPr="00562A0F">
        <w:rPr>
          <w:rFonts w:ascii="Times New Roman" w:hAnsi="Times New Roman"/>
        </w:rPr>
        <w:t>14. Em face da completude esperada de um projeto básico, nos termos da Lei 8.666/1993, os projetos executivos devem, em regra, tão somente detalhar métodos construtivos e intervenções pontuais. Alterações significativas de quantitativos e de metodologias técnicas apenas podem ser admitidas em casos excepcionais e desde que não desnaturem o processo licitatório.</w:t>
      </w:r>
    </w:p>
    <w:p w14:paraId="4D77291E" w14:textId="77777777" w:rsidR="00DD1EB9" w:rsidRPr="00562A0F" w:rsidRDefault="00DD1EB9" w:rsidP="00BF56AC">
      <w:pPr>
        <w:spacing w:after="240" w:line="240" w:lineRule="auto"/>
        <w:ind w:left="708"/>
        <w:jc w:val="both"/>
        <w:rPr>
          <w:rFonts w:ascii="Times New Roman" w:hAnsi="Times New Roman"/>
          <w:b/>
          <w:bCs/>
          <w:u w:val="single"/>
          <w:lang w:eastAsia="pt-BR"/>
        </w:rPr>
      </w:pPr>
      <w:r w:rsidRPr="00562A0F">
        <w:rPr>
          <w:rFonts w:ascii="Times New Roman" w:hAnsi="Times New Roman"/>
        </w:rPr>
        <w:t>15. Não pode ser tido como regular, portanto, a realização de licitação com base em projeto básico deficiente, carente dos detalhamentos exigidos por lei, para que, em momento seguinte à contratação, sejam procedidas expressivas alterações no projeto.</w:t>
      </w:r>
    </w:p>
    <w:p w14:paraId="6F713B0A"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No mesmo sentido, tem-se a orientação do Manual de Obras e Serviços de Engenharia da AGU:</w:t>
      </w:r>
    </w:p>
    <w:p w14:paraId="65F2D1FC" w14:textId="77777777" w:rsidR="00DD1EB9" w:rsidRPr="00562A0F" w:rsidRDefault="00DD1EB9" w:rsidP="00BF56AC">
      <w:pPr>
        <w:spacing w:after="240" w:line="240" w:lineRule="auto"/>
        <w:ind w:left="708"/>
        <w:jc w:val="both"/>
        <w:rPr>
          <w:rFonts w:ascii="Times New Roman" w:hAnsi="Times New Roman"/>
          <w:b/>
          <w:bCs/>
          <w:u w:val="single"/>
          <w:lang w:eastAsia="pt-BR"/>
        </w:rPr>
      </w:pPr>
      <w:r w:rsidRPr="00562A0F">
        <w:rPr>
          <w:rFonts w:ascii="Times New Roman" w:hAnsi="Times New Roman"/>
        </w:rPr>
        <w:t>O que a lei não diz explicitamente é que essa faculdade somente pode ser exercida se o nível de detalhamento do projeto básico for suficientemente alto para extirpar subjetivismos por parte das licitantes. Ou seja, a definição dos métodos, quantitativos, prazos e valores deverá ser tão precisa que a elaboração do projeto executivo se torne algo que pode ser realizado por qualquer uma das licitantes sem grandes variações, tal como se fosse um “serviço de prateleira”, isto é, semelhante a um serviço comum de engenharia.</w:t>
      </w:r>
    </w:p>
    <w:p w14:paraId="2F6EAB5B" w14:textId="0AB57EA8" w:rsidR="00DD1EB9" w:rsidRPr="00562A0F" w:rsidRDefault="00DD1EB9" w:rsidP="00BF56AC">
      <w:pPr>
        <w:spacing w:after="240" w:line="240" w:lineRule="auto"/>
        <w:ind w:left="708"/>
        <w:jc w:val="both"/>
        <w:rPr>
          <w:rFonts w:ascii="Times New Roman" w:hAnsi="Times New Roman"/>
        </w:rPr>
      </w:pPr>
      <w:r w:rsidRPr="00562A0F">
        <w:rPr>
          <w:rFonts w:ascii="Times New Roman" w:hAnsi="Times New Roman"/>
        </w:rPr>
        <w:t>Para tanto, é necessário que os estudos preliminares, o programa de necessidades, o projeto básico e o caderno de especificações, dentre outros, sejam suficientemente claros e de grande precisão. Além disso, é necessário que constem as plantas conceituais do objeto. Não se permitem especificações genéricas ou amplas que deixem a cargo da licitante a opção por um modo de execução que influencie diretamente no preço ou no bem que interessa à Administração.</w:t>
      </w:r>
    </w:p>
    <w:p w14:paraId="6FC8A54E" w14:textId="0DF477E5" w:rsidR="007803B9" w:rsidRPr="00562A0F" w:rsidRDefault="00817FBF" w:rsidP="00817FBF">
      <w:pPr>
        <w:spacing w:after="240" w:line="240" w:lineRule="auto"/>
        <w:jc w:val="both"/>
        <w:rPr>
          <w:rFonts w:ascii="Times New Roman" w:hAnsi="Times New Roman"/>
        </w:rPr>
      </w:pPr>
      <w:r w:rsidRPr="00562A0F">
        <w:rPr>
          <w:rFonts w:ascii="Times New Roman" w:hAnsi="Times New Roman"/>
        </w:rPr>
        <w:t xml:space="preserve">Por fim, </w:t>
      </w:r>
      <w:r w:rsidRPr="00562A0F">
        <w:rPr>
          <w:rStyle w:val="Forte"/>
          <w:rFonts w:ascii="Times New Roman" w:hAnsi="Times New Roman"/>
          <w:color w:val="000000"/>
          <w:u w:val="single"/>
        </w:rPr>
        <w:t xml:space="preserve">é importante mencionar que </w:t>
      </w:r>
      <w:r w:rsidR="0046140E" w:rsidRPr="00562A0F">
        <w:rPr>
          <w:rStyle w:val="Forte"/>
          <w:rFonts w:ascii="Times New Roman" w:hAnsi="Times New Roman"/>
          <w:color w:val="000000"/>
          <w:u w:val="single"/>
        </w:rPr>
        <w:t xml:space="preserve">caso a responsabilidade pela elaboração dos projetos executivos seja transferida à contratada, isso deve constar como obrigação específica no Termo de Referência ou Projeto Básico e </w:t>
      </w:r>
      <w:r w:rsidRPr="00562A0F">
        <w:rPr>
          <w:rStyle w:val="Forte"/>
          <w:rFonts w:ascii="Times New Roman" w:hAnsi="Times New Roman"/>
          <w:color w:val="000000"/>
          <w:u w:val="single"/>
        </w:rPr>
        <w:t xml:space="preserve">os custos </w:t>
      </w:r>
      <w:r w:rsidR="0046140E" w:rsidRPr="00562A0F">
        <w:rPr>
          <w:rStyle w:val="Forte"/>
          <w:rFonts w:ascii="Times New Roman" w:hAnsi="Times New Roman"/>
          <w:color w:val="000000"/>
          <w:u w:val="single"/>
        </w:rPr>
        <w:t xml:space="preserve">a isso inerentes devem </w:t>
      </w:r>
      <w:r w:rsidR="001C0A81" w:rsidRPr="00562A0F">
        <w:rPr>
          <w:rStyle w:val="Forte"/>
          <w:rFonts w:ascii="Times New Roman" w:hAnsi="Times New Roman"/>
          <w:color w:val="000000"/>
          <w:u w:val="single"/>
        </w:rPr>
        <w:t xml:space="preserve">estar contemplados </w:t>
      </w:r>
      <w:r w:rsidRPr="00562A0F">
        <w:rPr>
          <w:rStyle w:val="Forte"/>
          <w:rFonts w:ascii="Times New Roman" w:hAnsi="Times New Roman"/>
          <w:color w:val="000000"/>
          <w:u w:val="single"/>
        </w:rPr>
        <w:t>na planilha orçamentária elaborada</w:t>
      </w:r>
    </w:p>
    <w:p w14:paraId="43B090BC" w14:textId="77777777" w:rsidR="00DD1EB9" w:rsidRPr="00562A0F" w:rsidRDefault="00DD1EB9" w:rsidP="00BF56AC">
      <w:pPr>
        <w:spacing w:after="240" w:line="240" w:lineRule="auto"/>
        <w:jc w:val="both"/>
        <w:rPr>
          <w:rFonts w:ascii="Times New Roman" w:hAnsi="Times New Roman"/>
        </w:rPr>
      </w:pPr>
    </w:p>
    <w:p w14:paraId="67AD4B7E"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Na presente licitação:</w:t>
      </w:r>
    </w:p>
    <w:p w14:paraId="7E3620BF"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   ) FORAM elaborados os projetos executivos relativos ao objeto, juntados aos autos e divulgados com o edital da licitação;</w:t>
      </w:r>
    </w:p>
    <w:p w14:paraId="7D9348E0" w14:textId="29F3B114"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 xml:space="preserve">(   ) NÃO FORAM elaborados os projetos executivos, sendo tal atribuição </w:t>
      </w:r>
      <w:r w:rsidR="00EE637A" w:rsidRPr="00562A0F">
        <w:rPr>
          <w:rFonts w:ascii="Times New Roman" w:hAnsi="Times New Roman"/>
        </w:rPr>
        <w:t xml:space="preserve">expressamente </w:t>
      </w:r>
      <w:r w:rsidRPr="00562A0F">
        <w:rPr>
          <w:rFonts w:ascii="Times New Roman" w:hAnsi="Times New Roman"/>
          <w:lang w:eastAsia="pt-BR"/>
        </w:rPr>
        <w:t xml:space="preserve">repassada à contratada, </w:t>
      </w:r>
      <w:r w:rsidR="00EE637A" w:rsidRPr="00562A0F">
        <w:rPr>
          <w:rFonts w:ascii="Times New Roman" w:hAnsi="Times New Roman"/>
          <w:lang w:eastAsia="pt-BR"/>
        </w:rPr>
        <w:t>com os custos contemplados na planilha orçamentária elaborada</w:t>
      </w:r>
      <w:r w:rsidRPr="00562A0F">
        <w:rPr>
          <w:rFonts w:ascii="Times New Roman" w:hAnsi="Times New Roman"/>
        </w:rPr>
        <w:t xml:space="preserve">. </w:t>
      </w:r>
    </w:p>
    <w:p w14:paraId="165FC592" w14:textId="77777777" w:rsidR="00DD1EB9" w:rsidRPr="00562A0F" w:rsidRDefault="00DD1EB9" w:rsidP="00BF56AC">
      <w:pPr>
        <w:spacing w:after="240" w:line="240" w:lineRule="auto"/>
        <w:jc w:val="both"/>
        <w:rPr>
          <w:rFonts w:ascii="Times New Roman" w:hAnsi="Times New Roman"/>
        </w:rPr>
      </w:pPr>
      <w:r w:rsidRPr="00562A0F">
        <w:rPr>
          <w:rFonts w:ascii="Times New Roman" w:hAnsi="Times New Roman"/>
        </w:rPr>
        <w:t>Nessa hipótese, (   ) ATESTO que o projeto básico e os demais documentos técnicos da licitação possuem nível de detalhamento adequado e suficiente para permitir a elaboração dos projetos executivo pela contratada.</w:t>
      </w:r>
    </w:p>
    <w:p w14:paraId="732B1FD1" w14:textId="77777777" w:rsidR="00BF56AC" w:rsidRPr="00562A0F" w:rsidRDefault="00BF56AC" w:rsidP="00BF56AC">
      <w:pPr>
        <w:spacing w:after="240" w:line="240" w:lineRule="auto"/>
        <w:jc w:val="both"/>
        <w:rPr>
          <w:rFonts w:ascii="Times New Roman" w:hAnsi="Times New Roman"/>
        </w:rPr>
      </w:pPr>
    </w:p>
    <w:p w14:paraId="58709474" w14:textId="77777777" w:rsidR="001B2956"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EXIGÊNCIAS DE QUALIFICAÇÃO TÉCNICA</w:t>
      </w:r>
    </w:p>
    <w:p w14:paraId="71FC05F9" w14:textId="77777777" w:rsidR="00BF56AC" w:rsidRPr="00562A0F" w:rsidRDefault="00BF56AC" w:rsidP="00BF56AC">
      <w:pPr>
        <w:pStyle w:val="PargrafodaLista"/>
        <w:spacing w:after="240" w:line="240" w:lineRule="auto"/>
        <w:ind w:left="360"/>
        <w:jc w:val="both"/>
        <w:rPr>
          <w:rFonts w:ascii="Times New Roman" w:hAnsi="Times New Roman"/>
          <w:b/>
          <w:bCs/>
          <w:u w:val="single"/>
        </w:rPr>
      </w:pPr>
    </w:p>
    <w:p w14:paraId="6C7E0782" w14:textId="77777777" w:rsidR="001B2956" w:rsidRPr="00562A0F" w:rsidRDefault="00864D51" w:rsidP="00297ABB">
      <w:pPr>
        <w:pStyle w:val="PargrafodaLista"/>
        <w:numPr>
          <w:ilvl w:val="1"/>
          <w:numId w:val="1"/>
        </w:numPr>
        <w:spacing w:after="240" w:line="240" w:lineRule="auto"/>
        <w:jc w:val="both"/>
        <w:rPr>
          <w:rFonts w:ascii="Times New Roman" w:hAnsi="Times New Roman"/>
          <w:b/>
          <w:bCs/>
          <w:u w:val="single"/>
        </w:rPr>
      </w:pPr>
      <w:r w:rsidRPr="00562A0F">
        <w:rPr>
          <w:rFonts w:ascii="Times New Roman" w:hAnsi="Times New Roman"/>
          <w:b/>
          <w:bCs/>
          <w:u w:val="single"/>
        </w:rPr>
        <w:t>REGISTRO DA EMPRESA NO CONSELHO PROFISSIONAL</w:t>
      </w:r>
    </w:p>
    <w:p w14:paraId="37D5238A" w14:textId="77777777" w:rsidR="00DD1EB9" w:rsidRPr="00562A0F" w:rsidRDefault="00DD1EB9" w:rsidP="00BF56AC">
      <w:pPr>
        <w:spacing w:after="240" w:line="240" w:lineRule="auto"/>
        <w:jc w:val="both"/>
        <w:rPr>
          <w:rFonts w:ascii="Times New Roman" w:hAnsi="Times New Roman"/>
          <w:lang w:eastAsia="pt-BR"/>
        </w:rPr>
      </w:pPr>
      <w:r w:rsidRPr="00562A0F">
        <w:rPr>
          <w:rFonts w:ascii="Times New Roman" w:hAnsi="Times New Roman"/>
          <w:lang w:eastAsia="pt-BR"/>
        </w:rPr>
        <w:lastRenderedPageBreak/>
        <w:t>A exigência de registro da empresa na entidade profissional competente (art. 30, I, da Lei n° 8.666/93) refere-se à atividade básica do objeto da contratação - conforme entende o TCU:</w:t>
      </w:r>
    </w:p>
    <w:p w14:paraId="06C148CB" w14:textId="77777777" w:rsidR="00DD1EB9" w:rsidRPr="00562A0F" w:rsidRDefault="00DD1EB9" w:rsidP="002858D5">
      <w:pPr>
        <w:spacing w:after="240" w:line="240" w:lineRule="auto"/>
        <w:ind w:left="708"/>
        <w:jc w:val="both"/>
        <w:rPr>
          <w:rFonts w:ascii="Times New Roman" w:hAnsi="Times New Roman"/>
          <w:lang w:eastAsia="pt-BR"/>
        </w:rPr>
      </w:pPr>
      <w:r w:rsidRPr="00562A0F">
        <w:rPr>
          <w:rFonts w:ascii="Times New Roman" w:hAnsi="Times New Roman"/>
          <w:color w:val="000000"/>
          <w:lang w:eastAsia="pt-BR"/>
        </w:rPr>
        <w:t>"9.3.1. faça constar dos editais, de forma clara e detalhada, a fundamentação legal para a exigência de registro ou inscrição das licitantes em entidades fiscalizadoras do exercício de profissões, abstendo-se de exigir o registro ou inscrição das empresas licitantes quando não figurar no âmbito de competência destas entidades a fiscalização da atividade básica do objeto do certame;" (</w:t>
      </w:r>
      <w:r w:rsidRPr="00562A0F">
        <w:rPr>
          <w:rFonts w:ascii="Times New Roman" w:hAnsi="Times New Roman"/>
          <w:lang w:eastAsia="pt-BR"/>
        </w:rPr>
        <w:t>Acórdão nº 1.034/2012 – Plenário)</w:t>
      </w:r>
    </w:p>
    <w:p w14:paraId="40123730" w14:textId="77777777" w:rsidR="00DD1EB9" w:rsidRPr="00562A0F" w:rsidRDefault="00DD1EB9" w:rsidP="002858D5">
      <w:pPr>
        <w:spacing w:after="240" w:line="240" w:lineRule="auto"/>
        <w:ind w:left="708"/>
        <w:jc w:val="both"/>
        <w:rPr>
          <w:rFonts w:ascii="Times New Roman" w:hAnsi="Times New Roman"/>
          <w:lang w:eastAsia="pt-BR"/>
        </w:rPr>
      </w:pPr>
      <w:r w:rsidRPr="00562A0F">
        <w:rPr>
          <w:rFonts w:ascii="Times New Roman" w:hAnsi="Times New Roman"/>
          <w:lang w:eastAsia="pt-BR"/>
        </w:rPr>
        <w:t>"1. O registro ou inscrição na entidade profissional competente, previsto no art. 30, inciso I, da Lei 8.666/1993, deve se limitar ao conselho que fiscalize a atividade básica ou o serviço preponderante da licitação." (Acórdão nº 2.769/2014 – Plenário)</w:t>
      </w:r>
    </w:p>
    <w:p w14:paraId="15DC030F" w14:textId="77777777" w:rsidR="00DD1EB9" w:rsidRPr="00562A0F" w:rsidRDefault="00DD1EB9" w:rsidP="002858D5">
      <w:pPr>
        <w:spacing w:after="240" w:line="240" w:lineRule="auto"/>
        <w:ind w:left="708"/>
        <w:jc w:val="both"/>
        <w:rPr>
          <w:rFonts w:ascii="Times New Roman" w:hAnsi="Times New Roman"/>
          <w:lang w:eastAsia="pt-BR"/>
        </w:rPr>
      </w:pPr>
      <w:r w:rsidRPr="00562A0F">
        <w:rPr>
          <w:rFonts w:ascii="Times New Roman" w:hAnsi="Times New Roman"/>
          <w:lang w:eastAsia="pt-BR"/>
        </w:rPr>
        <w:t>"A exigência de registro ou inscrição na entidade profissional competente, prevista no art. 30, inciso I, da Lei 8.666/1993, deve se limitar ao conselho que fiscalize a atividade básica ou o serviço preponderante da licitação." (Informativo de Licitações e Contratos 286/2016)</w:t>
      </w:r>
    </w:p>
    <w:p w14:paraId="346E0907" w14:textId="37C198AD" w:rsidR="00DD1EB9" w:rsidRPr="00562A0F" w:rsidRDefault="00DD1EB9" w:rsidP="00BF56AC">
      <w:pPr>
        <w:spacing w:after="240" w:line="240" w:lineRule="auto"/>
        <w:jc w:val="both"/>
        <w:rPr>
          <w:rStyle w:val="Manoel"/>
          <w:rFonts w:ascii="Times New Roman" w:hAnsi="Times New Roman" w:cs="Times New Roman"/>
          <w:color w:val="auto"/>
          <w:sz w:val="22"/>
        </w:rPr>
      </w:pPr>
      <w:r w:rsidRPr="00562A0F">
        <w:rPr>
          <w:rStyle w:val="Manoel"/>
          <w:rFonts w:ascii="Times New Roman" w:hAnsi="Times New Roman" w:cs="Times New Roman"/>
          <w:color w:val="auto"/>
          <w:sz w:val="22"/>
        </w:rPr>
        <w:t xml:space="preserve">O Projeto Básico deverá definir os profissionais que serão necessários à execução do objeto licitado para, então, permitir ao edital delimitar a necessidade de inscrição da licitante no CREA – Conselho Regional de Engenharia e Agronomia, no CAU – Conselho de Arquitetura e Urbanismo, ou </w:t>
      </w:r>
      <w:r w:rsidR="00332138" w:rsidRPr="00562A0F">
        <w:rPr>
          <w:rFonts w:ascii="Times New Roman" w:hAnsi="Times New Roman"/>
        </w:rPr>
        <w:t>CRT (</w:t>
      </w:r>
      <w:r w:rsidR="00332138" w:rsidRPr="00562A0F">
        <w:rPr>
          <w:rFonts w:ascii="Times New Roman" w:hAnsi="Times New Roman"/>
          <w:bCs/>
        </w:rPr>
        <w:t>Conselho Regional dos Técnicos Industriais</w:t>
      </w:r>
      <w:r w:rsidR="00332138" w:rsidRPr="00562A0F">
        <w:rPr>
          <w:rFonts w:ascii="Times New Roman" w:hAnsi="Times New Roman"/>
        </w:rPr>
        <w:t>)</w:t>
      </w:r>
      <w:r w:rsidR="00D11C01" w:rsidRPr="00562A0F">
        <w:rPr>
          <w:rFonts w:ascii="Times New Roman" w:hAnsi="Times New Roman"/>
        </w:rPr>
        <w:t>, ou ainda em mais de um deles</w:t>
      </w:r>
      <w:r w:rsidRPr="00562A0F">
        <w:rPr>
          <w:rStyle w:val="Manoel"/>
          <w:rFonts w:ascii="Times New Roman" w:hAnsi="Times New Roman" w:cs="Times New Roman"/>
          <w:color w:val="auto"/>
          <w:sz w:val="22"/>
        </w:rPr>
        <w:t>, no caso de equipe multidisciplinar</w:t>
      </w:r>
      <w:r w:rsidRPr="00562A0F">
        <w:rPr>
          <w:rFonts w:ascii="Times New Roman" w:hAnsi="Times New Roman"/>
          <w:lang w:eastAsia="pt-BR"/>
        </w:rPr>
        <w:t xml:space="preserve"> ou de as competências exigidas serem comuns </w:t>
      </w:r>
      <w:r w:rsidR="00235F4D" w:rsidRPr="00562A0F">
        <w:rPr>
          <w:rFonts w:ascii="Times New Roman" w:hAnsi="Times New Roman"/>
          <w:lang w:eastAsia="pt-BR"/>
        </w:rPr>
        <w:t>a mais de uma das profissões</w:t>
      </w:r>
      <w:r w:rsidRPr="00562A0F">
        <w:rPr>
          <w:rStyle w:val="Manoel"/>
          <w:rFonts w:ascii="Times New Roman" w:hAnsi="Times New Roman" w:cs="Times New Roman"/>
          <w:color w:val="auto"/>
          <w:sz w:val="22"/>
        </w:rPr>
        <w:t>.</w:t>
      </w:r>
    </w:p>
    <w:p w14:paraId="190AF10D" w14:textId="774A71E9" w:rsidR="00D973AE" w:rsidRPr="00562A0F" w:rsidRDefault="00D973AE" w:rsidP="00BF56AC">
      <w:pPr>
        <w:spacing w:after="240" w:line="240" w:lineRule="auto"/>
        <w:jc w:val="both"/>
        <w:rPr>
          <w:rStyle w:val="Manoel"/>
          <w:rFonts w:ascii="Times New Roman" w:hAnsi="Times New Roman" w:cs="Times New Roman"/>
          <w:color w:val="auto"/>
          <w:sz w:val="22"/>
        </w:rPr>
      </w:pPr>
      <w:r w:rsidRPr="00562A0F">
        <w:rPr>
          <w:rFonts w:ascii="Times New Roman" w:hAnsi="Times New Roman"/>
          <w:bCs/>
          <w:lang w:eastAsia="ar-SA"/>
        </w:rPr>
        <w:t>Nesse ponto, destaca-se que a Lei n</w:t>
      </w:r>
      <w:r w:rsidRPr="00562A0F">
        <w:rPr>
          <w:rFonts w:ascii="Times New Roman" w:hAnsi="Times New Roman"/>
          <w:bCs/>
          <w:strike/>
          <w:lang w:eastAsia="ar-SA"/>
        </w:rPr>
        <w:t>°</w:t>
      </w:r>
      <w:r w:rsidRPr="00562A0F">
        <w:rPr>
          <w:rFonts w:ascii="Times New Roman" w:hAnsi="Times New Roman"/>
          <w:bCs/>
          <w:lang w:eastAsia="ar-SA"/>
        </w:rPr>
        <w:t xml:space="preserve"> 13.639, de 26 de março de 2018, criou o Conselho Federal dos Técnicos Industriais – CFT e a Resolução CFT n</w:t>
      </w:r>
      <w:r w:rsidRPr="00562A0F">
        <w:rPr>
          <w:rFonts w:ascii="Times New Roman" w:hAnsi="Times New Roman"/>
          <w:bCs/>
          <w:strike/>
          <w:lang w:eastAsia="ar-SA"/>
        </w:rPr>
        <w:t>°</w:t>
      </w:r>
      <w:r w:rsidRPr="00562A0F">
        <w:rPr>
          <w:rFonts w:ascii="Times New Roman" w:hAnsi="Times New Roman"/>
          <w:bCs/>
          <w:lang w:eastAsia="ar-SA"/>
        </w:rPr>
        <w:t xml:space="preserve"> 101, de 4 de junho de 2020, prescreve as atribuições desses profissionais. Assim, compete ao órgão ou entidade avaliar qual profissional é o necessário e adequado ao objeto licitado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p w14:paraId="6D23B4F2" w14:textId="1A308BE0" w:rsidR="004D78F1" w:rsidRPr="00562A0F" w:rsidRDefault="004D78F1" w:rsidP="004D78F1">
      <w:pPr>
        <w:spacing w:after="240" w:line="240" w:lineRule="auto"/>
        <w:jc w:val="both"/>
        <w:rPr>
          <w:rStyle w:val="Manoel"/>
          <w:rFonts w:ascii="Times New Roman" w:hAnsi="Times New Roman" w:cs="Times New Roman"/>
          <w:color w:val="auto"/>
          <w:sz w:val="22"/>
        </w:rPr>
      </w:pPr>
      <w:r w:rsidRPr="00562A0F">
        <w:rPr>
          <w:rFonts w:ascii="Times New Roman" w:hAnsi="Times New Roman"/>
        </w:rPr>
        <w:t>Igualmente, a elaboração das planilhas orçamentárias também exige a emissão da ART, conforme art. 10 do Decreto nº 7.983, de 2013. Embora o Decreto mencione apenas a ART, entendemos que a interpretação extensiva é cabível nesse contexto, para abarcar também o RRT e o TRT, conforme as planilhas forem elaboradas por arquiteto ou por técnico industrial</w:t>
      </w:r>
    </w:p>
    <w:p w14:paraId="7C5D1C51" w14:textId="77777777" w:rsidR="00DD1EB9" w:rsidRPr="00562A0F" w:rsidRDefault="00DD1EB9" w:rsidP="00BF56AC">
      <w:pPr>
        <w:spacing w:after="240" w:line="240" w:lineRule="auto"/>
        <w:jc w:val="both"/>
        <w:rPr>
          <w:rStyle w:val="Manoel"/>
          <w:rFonts w:ascii="Times New Roman" w:hAnsi="Times New Roman" w:cs="Times New Roman"/>
          <w:color w:val="auto"/>
          <w:sz w:val="22"/>
        </w:rPr>
      </w:pPr>
    </w:p>
    <w:p w14:paraId="1B145A45" w14:textId="2D6E0059" w:rsidR="00DD1EB9" w:rsidRPr="00562A0F" w:rsidRDefault="00DD1EB9" w:rsidP="00BF56AC">
      <w:pPr>
        <w:spacing w:after="240" w:line="240" w:lineRule="auto"/>
        <w:jc w:val="both"/>
        <w:rPr>
          <w:rFonts w:ascii="Times New Roman" w:hAnsi="Times New Roman"/>
        </w:rPr>
      </w:pPr>
      <w:r w:rsidRPr="00562A0F">
        <w:rPr>
          <w:rStyle w:val="Manoel"/>
          <w:rFonts w:ascii="Times New Roman" w:hAnsi="Times New Roman" w:cs="Times New Roman"/>
          <w:b/>
          <w:bCs/>
          <w:color w:val="auto"/>
          <w:sz w:val="22"/>
          <w:u w:val="single"/>
        </w:rPr>
        <w:t>JUSTIFICATIVA</w:t>
      </w:r>
      <w:r w:rsidRPr="00562A0F">
        <w:rPr>
          <w:rStyle w:val="Manoel"/>
          <w:rFonts w:ascii="Times New Roman" w:hAnsi="Times New Roman" w:cs="Times New Roman"/>
          <w:color w:val="auto"/>
          <w:sz w:val="22"/>
        </w:rPr>
        <w:t>: Na presente licitação, será exigido o registro d</w:t>
      </w:r>
      <w:r w:rsidR="002858D5" w:rsidRPr="00562A0F">
        <w:rPr>
          <w:rStyle w:val="Manoel"/>
          <w:rFonts w:ascii="Times New Roman" w:hAnsi="Times New Roman" w:cs="Times New Roman"/>
          <w:color w:val="auto"/>
          <w:sz w:val="22"/>
        </w:rPr>
        <w:t xml:space="preserve">a empresa </w:t>
      </w:r>
      <w:r w:rsidRPr="00562A0F">
        <w:rPr>
          <w:rStyle w:val="Manoel"/>
          <w:rFonts w:ascii="Times New Roman" w:hAnsi="Times New Roman" w:cs="Times New Roman"/>
          <w:color w:val="auto"/>
          <w:sz w:val="22"/>
        </w:rPr>
        <w:t xml:space="preserve">licitante junto ao (   ) CREA ou </w:t>
      </w:r>
      <w:r w:rsidR="002858D5" w:rsidRPr="00562A0F">
        <w:rPr>
          <w:rStyle w:val="Manoel"/>
          <w:rFonts w:ascii="Times New Roman" w:hAnsi="Times New Roman" w:cs="Times New Roman"/>
          <w:color w:val="auto"/>
          <w:sz w:val="22"/>
        </w:rPr>
        <w:t xml:space="preserve">ao </w:t>
      </w:r>
      <w:r w:rsidRPr="00562A0F">
        <w:rPr>
          <w:rStyle w:val="Manoel"/>
          <w:rFonts w:ascii="Times New Roman" w:hAnsi="Times New Roman" w:cs="Times New Roman"/>
          <w:color w:val="auto"/>
          <w:sz w:val="22"/>
        </w:rPr>
        <w:t>(   ) CAU</w:t>
      </w:r>
      <w:r w:rsidR="00375318" w:rsidRPr="00562A0F">
        <w:rPr>
          <w:rStyle w:val="Manoel"/>
          <w:rFonts w:ascii="Times New Roman" w:hAnsi="Times New Roman" w:cs="Times New Roman"/>
          <w:color w:val="auto"/>
          <w:sz w:val="22"/>
        </w:rPr>
        <w:t xml:space="preserve"> ou a</w:t>
      </w:r>
      <w:r w:rsidR="00576A15" w:rsidRPr="00562A0F">
        <w:rPr>
          <w:rStyle w:val="Manoel"/>
          <w:rFonts w:ascii="Times New Roman" w:hAnsi="Times New Roman" w:cs="Times New Roman"/>
          <w:color w:val="auto"/>
          <w:sz w:val="22"/>
        </w:rPr>
        <w:t>o (    ) CRT</w:t>
      </w:r>
      <w:r w:rsidRPr="00562A0F">
        <w:rPr>
          <w:rStyle w:val="Manoel"/>
          <w:rFonts w:ascii="Times New Roman" w:hAnsi="Times New Roman" w:cs="Times New Roman"/>
          <w:color w:val="auto"/>
          <w:sz w:val="22"/>
        </w:rPr>
        <w:t>, com base na seguinte justificativa técnica:</w:t>
      </w:r>
    </w:p>
    <w:p w14:paraId="76D7D2DE" w14:textId="77777777" w:rsidR="00BF56AC" w:rsidRPr="00562A0F" w:rsidRDefault="00BF56AC" w:rsidP="00BF56AC">
      <w:pPr>
        <w:spacing w:after="240" w:line="240" w:lineRule="auto"/>
        <w:jc w:val="both"/>
        <w:rPr>
          <w:rFonts w:ascii="Times New Roman" w:hAnsi="Times New Roman"/>
        </w:rPr>
      </w:pPr>
      <w:r w:rsidRPr="00562A0F">
        <w:rPr>
          <w:rFonts w:ascii="Times New Roman" w:hAnsi="Times New Roman"/>
        </w:rPr>
        <w:t>-----------------------------------------------------------------------------------------------------------------------------------------------------------------------------------------------------------------------------------------------------------------------------------------------------------------------------------------------------------------------------------------------------------------------------------------------------------------------------------------------------------------------------------------------------------------------------------------------------------------------------------------------------------</w:t>
      </w:r>
    </w:p>
    <w:p w14:paraId="50C18BA1" w14:textId="77777777" w:rsidR="002858D5" w:rsidRPr="00562A0F" w:rsidRDefault="002858D5" w:rsidP="00BF56AC">
      <w:pPr>
        <w:spacing w:after="240" w:line="240" w:lineRule="auto"/>
        <w:jc w:val="both"/>
        <w:rPr>
          <w:rFonts w:ascii="Times New Roman" w:hAnsi="Times New Roman"/>
        </w:rPr>
      </w:pPr>
    </w:p>
    <w:p w14:paraId="2C16786E" w14:textId="77777777" w:rsidR="001B2956" w:rsidRPr="00562A0F" w:rsidRDefault="00864D51" w:rsidP="00297ABB">
      <w:pPr>
        <w:pStyle w:val="PargrafodaLista"/>
        <w:numPr>
          <w:ilvl w:val="1"/>
          <w:numId w:val="1"/>
        </w:numPr>
        <w:spacing w:after="240" w:line="240" w:lineRule="auto"/>
        <w:jc w:val="both"/>
        <w:rPr>
          <w:rFonts w:ascii="Times New Roman" w:hAnsi="Times New Roman"/>
          <w:b/>
          <w:bCs/>
          <w:u w:val="single"/>
        </w:rPr>
      </w:pPr>
      <w:r w:rsidRPr="00562A0F">
        <w:rPr>
          <w:rFonts w:ascii="Times New Roman" w:hAnsi="Times New Roman"/>
          <w:b/>
          <w:bCs/>
          <w:u w:val="single"/>
        </w:rPr>
        <w:t>CAPACIDADE TÉCNICO-OPERACIONAL</w:t>
      </w:r>
    </w:p>
    <w:p w14:paraId="0FE73D44" w14:textId="77777777" w:rsidR="00DD1EB9" w:rsidRPr="005872E5" w:rsidRDefault="00DD1EB9" w:rsidP="00297ABB">
      <w:pPr>
        <w:spacing w:after="240" w:line="240" w:lineRule="auto"/>
        <w:jc w:val="both"/>
        <w:rPr>
          <w:rFonts w:ascii="Times New Roman" w:hAnsi="Times New Roman"/>
        </w:rPr>
      </w:pPr>
      <w:r w:rsidRPr="005872E5">
        <w:rPr>
          <w:rFonts w:ascii="Times New Roman" w:hAnsi="Times New Roman"/>
          <w:lang w:eastAsia="pt-BR"/>
        </w:rPr>
        <w:lastRenderedPageBreak/>
        <w:t xml:space="preserve">Conforme a Súmula </w:t>
      </w:r>
      <w:bookmarkStart w:id="7" w:name="_Hlk56627308"/>
      <w:r w:rsidRPr="005872E5">
        <w:rPr>
          <w:rFonts w:ascii="Times New Roman" w:hAnsi="Times New Roman"/>
          <w:lang w:eastAsia="pt-BR"/>
        </w:rPr>
        <w:t>TCU nº 263/2011, a comprovação da capacidade técnico-operacional deve limitar-se às parcelas simultaneamente de maior relevância e valor significativo do objeto licitado – as quais devem ser indicadas no edital, conforme § 2º do art. 30 da Lei nº 8.666/93.</w:t>
      </w:r>
      <w:bookmarkEnd w:id="7"/>
    </w:p>
    <w:p w14:paraId="35260BE8" w14:textId="77777777" w:rsidR="00DD1EB9" w:rsidRPr="005872E5" w:rsidRDefault="00DD1EB9" w:rsidP="00297ABB">
      <w:pPr>
        <w:spacing w:after="240" w:line="240" w:lineRule="auto"/>
        <w:jc w:val="both"/>
        <w:rPr>
          <w:rFonts w:ascii="Times New Roman" w:hAnsi="Times New Roman"/>
        </w:rPr>
      </w:pPr>
      <w:r w:rsidRPr="005872E5">
        <w:rPr>
          <w:rFonts w:ascii="Times New Roman" w:hAnsi="Times New Roman"/>
          <w:lang w:eastAsia="pt-BR"/>
        </w:rPr>
        <w:t>Como mencionado, um instrumento fundamental para definir quais seriam tais parcelas em cada licitação é a Curva ABC, tanto para os serviços quanto para os insumos necessários à execução do objeto. Tal documento agrupa e ordena os itens do orçamento de acordo com seu peso no valor total estimado para a contratação – e permite visualizar os itens de maior relevância econômica.</w:t>
      </w:r>
    </w:p>
    <w:p w14:paraId="0FA39196" w14:textId="77777777" w:rsidR="00DD1EB9" w:rsidRPr="005872E5" w:rsidRDefault="00DD1EB9" w:rsidP="00297ABB">
      <w:pPr>
        <w:spacing w:after="240" w:line="240" w:lineRule="auto"/>
        <w:jc w:val="both"/>
        <w:rPr>
          <w:rFonts w:ascii="Times New Roman" w:hAnsi="Times New Roman"/>
        </w:rPr>
      </w:pPr>
      <w:r w:rsidRPr="005872E5">
        <w:rPr>
          <w:rFonts w:ascii="Times New Roman" w:hAnsi="Times New Roman"/>
          <w:lang w:eastAsia="pt-BR"/>
        </w:rPr>
        <w:t>No mais, o critério de relevância econômica deve ser aliado à relevância técnica – ou seja, aquelas parcelas cuja execução apresente determinado grau de complexidade que nem toda empresa possa cumprir de forma satisfatória, demandando assim a comprovação prévia para evitar riscos futuros à contratação.</w:t>
      </w:r>
    </w:p>
    <w:p w14:paraId="1114D3DA" w14:textId="77777777" w:rsidR="00DD1EB9" w:rsidRPr="005872E5" w:rsidRDefault="00DD1EB9" w:rsidP="00297ABB">
      <w:pPr>
        <w:spacing w:after="240" w:line="240" w:lineRule="auto"/>
        <w:jc w:val="both"/>
        <w:rPr>
          <w:rFonts w:ascii="Times New Roman" w:hAnsi="Times New Roman"/>
        </w:rPr>
      </w:pPr>
      <w:r w:rsidRPr="005872E5">
        <w:rPr>
          <w:rFonts w:ascii="Times New Roman" w:hAnsi="Times New Roman"/>
          <w:lang w:eastAsia="pt-BR"/>
        </w:rPr>
        <w:t>O TCU, a propósito, já considerou irregular a exigência de qualificação técnica “em item sem grande complexidade técnica” (Acórdão nº 33/2013 – Plenário), bem como “relativa à execução de serviço de pequena complexidade técnica” (Acórdão nº 1.898/2011 – Plenário).</w:t>
      </w:r>
    </w:p>
    <w:p w14:paraId="67101A0D" w14:textId="77777777" w:rsidR="00DD1EB9" w:rsidRPr="005872E5" w:rsidRDefault="00DD1EB9" w:rsidP="00297ABB">
      <w:pPr>
        <w:spacing w:after="240" w:line="240" w:lineRule="auto"/>
        <w:jc w:val="both"/>
        <w:rPr>
          <w:rFonts w:ascii="Times New Roman" w:hAnsi="Times New Roman"/>
        </w:rPr>
      </w:pPr>
      <w:r w:rsidRPr="005872E5">
        <w:rPr>
          <w:rFonts w:ascii="Times New Roman" w:hAnsi="Times New Roman"/>
          <w:lang w:eastAsia="pt-BR"/>
        </w:rPr>
        <w:t>Tanto que, no Acórdão nº 2.474/2019 – Plenário, deixou claro: “A exigência de comprovação de experiência anterior, para fins de qualificação técnico-operacional, na prestação de serviços que não são, simultaneamente, de maior relevância técnica e valor significativo do objeto viola o art. 30, § 1º, inciso I, da Lei 8.666/1993, o art. 14 da Lei 12.462/2011 (RDC) e a Súmula TCU 263.”</w:t>
      </w:r>
    </w:p>
    <w:p w14:paraId="6FC445FA" w14:textId="77777777" w:rsidR="00DD1EB9" w:rsidRPr="005872E5" w:rsidRDefault="00DD1EB9" w:rsidP="00297ABB">
      <w:pPr>
        <w:spacing w:after="240" w:line="240" w:lineRule="auto"/>
        <w:jc w:val="both"/>
        <w:rPr>
          <w:rFonts w:ascii="Times New Roman" w:hAnsi="Times New Roman"/>
        </w:rPr>
      </w:pPr>
      <w:r w:rsidRPr="005872E5">
        <w:rPr>
          <w:rFonts w:ascii="Times New Roman" w:hAnsi="Times New Roman"/>
          <w:lang w:eastAsia="ar-SA"/>
        </w:rPr>
        <w:t>No que se refere à fixação de quantidades mínimas, o TCU manifesta-se pela necessidade de razoabilidade na exigência, em patamar que não restrinja a competição: “</w:t>
      </w:r>
      <w:r w:rsidRPr="005872E5">
        <w:rPr>
          <w:rFonts w:ascii="Times New Roman" w:hAnsi="Times New Roman"/>
        </w:rPr>
        <w:t>Embora seja possível a fixação de quantidades mínimas, relativas às parcelas de maior relevância e valor significativo do objeto da licitação, essa exigência deve ser razoável, num patamar que possa garantir que a empresa contratada tenha condições técnicas para executar o objeto licitado, mas que não restrinja a competitividade. A comparação efetuada pela unidade técnica demonstra claramente que as quantidades mínimas previstas na concorrência ora examinada são excessivas, limitando desnecessariamente o universo de possíveis interessados em participar do certame licitatório.” (Voto no Acórdão 1771/2007 – Plenário).</w:t>
      </w:r>
    </w:p>
    <w:p w14:paraId="57BD7F2E" w14:textId="77777777" w:rsidR="00DD1EB9" w:rsidRPr="005872E5" w:rsidRDefault="00DD1EB9" w:rsidP="00297ABB">
      <w:pPr>
        <w:spacing w:after="240" w:line="240" w:lineRule="auto"/>
        <w:jc w:val="both"/>
        <w:rPr>
          <w:rFonts w:ascii="Times New Roman" w:hAnsi="Times New Roman"/>
          <w:lang w:eastAsia="pt-BR"/>
        </w:rPr>
      </w:pPr>
      <w:r w:rsidRPr="005872E5">
        <w:rPr>
          <w:rFonts w:ascii="Times New Roman" w:hAnsi="Times New Roman"/>
        </w:rPr>
        <w:t>Em outros acórdãos, o TCU menciona o patamar de 50% do quantitativo correspondente do objeto licitado como limite máximo da exigência, salvo justificativa técnica, lastreada em dados objetivos</w:t>
      </w:r>
      <w:r w:rsidRPr="005872E5">
        <w:rPr>
          <w:rFonts w:ascii="Times New Roman" w:hAnsi="Times New Roman"/>
          <w:lang w:eastAsia="pt-BR"/>
        </w:rPr>
        <w:t xml:space="preserve"> (Acórdãos n° 2.099/2009, 2.147/2009, 813/2010, 1.432/2010, 3.105/2010, 1.832/2011, 2.672/2011, 737/2012, 1.052/2012, 1.552/2012, 2.281/2012 e </w:t>
      </w:r>
      <w:r w:rsidRPr="005872E5">
        <w:rPr>
          <w:rFonts w:ascii="Times New Roman" w:hAnsi="Times New Roman"/>
          <w:color w:val="000000"/>
          <w:lang w:eastAsia="pt-BR"/>
        </w:rPr>
        <w:t>397/2013</w:t>
      </w:r>
      <w:r w:rsidRPr="005872E5">
        <w:rPr>
          <w:rFonts w:ascii="Times New Roman" w:hAnsi="Times New Roman"/>
          <w:lang w:eastAsia="pt-BR"/>
        </w:rPr>
        <w:t>, todos do Plenário).</w:t>
      </w:r>
    </w:p>
    <w:p w14:paraId="1BC4EF30" w14:textId="77777777" w:rsidR="00DD1EB9" w:rsidRPr="005872E5" w:rsidRDefault="00DD1EB9" w:rsidP="00297ABB">
      <w:pPr>
        <w:spacing w:after="240" w:line="240" w:lineRule="auto"/>
        <w:jc w:val="both"/>
        <w:rPr>
          <w:rFonts w:ascii="Times New Roman" w:hAnsi="Times New Roman"/>
        </w:rPr>
      </w:pPr>
    </w:p>
    <w:p w14:paraId="6D18D85B" w14:textId="77777777" w:rsidR="00DD1EB9" w:rsidRPr="005872E5" w:rsidRDefault="00DD1EB9" w:rsidP="00297ABB">
      <w:pPr>
        <w:spacing w:after="240" w:line="240" w:lineRule="auto"/>
        <w:jc w:val="both"/>
        <w:rPr>
          <w:rFonts w:ascii="Times New Roman" w:hAnsi="Times New Roman"/>
        </w:rPr>
      </w:pPr>
      <w:r w:rsidRPr="005872E5">
        <w:rPr>
          <w:rFonts w:ascii="Times New Roman" w:hAnsi="Times New Roman"/>
          <w:b/>
          <w:bCs/>
          <w:u w:val="single"/>
        </w:rPr>
        <w:t>JUSTIFICATIVA</w:t>
      </w:r>
      <w:r w:rsidRPr="005872E5">
        <w:rPr>
          <w:rFonts w:ascii="Times New Roman" w:hAnsi="Times New Roman"/>
        </w:rPr>
        <w:t>: Na presente licitação, as comprovações de capacidade técnico-operacional serão exigidas quanto às parcelas de maior relevância técnica e valor significativo do objeto, a seguir elencadas:</w:t>
      </w:r>
    </w:p>
    <w:p w14:paraId="6D3105AE" w14:textId="77777777" w:rsidR="002858D5" w:rsidRPr="00562A0F" w:rsidRDefault="002858D5" w:rsidP="002858D5">
      <w:pPr>
        <w:spacing w:after="240" w:line="240" w:lineRule="auto"/>
        <w:jc w:val="both"/>
        <w:rPr>
          <w:rFonts w:ascii="Times New Roman" w:hAnsi="Times New Roman"/>
        </w:rPr>
      </w:pPr>
      <w:r w:rsidRPr="00562A0F">
        <w:rPr>
          <w:rFonts w:ascii="Times New Roman" w:hAnsi="Times New Roman"/>
        </w:rPr>
        <w:t>-----------------------------------------------------------------------------------------------------------------------------------------------------------------------------------------------------------------------------------------------------------------------------------------------------------------------------------------------------------------------------------------------------------------------------------------------------------------------------------------------------------------------------------------------------------------------------------------------------------------------------------------------------------</w:t>
      </w:r>
    </w:p>
    <w:p w14:paraId="0CB3D056" w14:textId="77777777" w:rsidR="00DD1EB9" w:rsidRPr="005872E5" w:rsidRDefault="00DD1EB9" w:rsidP="009D45A4">
      <w:pPr>
        <w:spacing w:after="240" w:line="240" w:lineRule="auto"/>
        <w:jc w:val="both"/>
        <w:rPr>
          <w:rFonts w:ascii="Times New Roman" w:hAnsi="Times New Roman"/>
        </w:rPr>
      </w:pPr>
      <w:r w:rsidRPr="005872E5">
        <w:rPr>
          <w:rFonts w:ascii="Times New Roman" w:hAnsi="Times New Roman"/>
        </w:rPr>
        <w:t>(   ) SERÁ exigida a comprovação de quantitativos mínimos nos atestados, correspondentes aos seguintes serviços das parcelas de maior relevância técnica e valor significativo do objeto:</w:t>
      </w:r>
    </w:p>
    <w:p w14:paraId="694C2AE9" w14:textId="77777777" w:rsidR="00DD1EB9" w:rsidRPr="005872E5" w:rsidRDefault="00DD1EB9" w:rsidP="009D45A4">
      <w:pPr>
        <w:spacing w:after="240" w:line="240" w:lineRule="auto"/>
        <w:ind w:left="708"/>
        <w:jc w:val="both"/>
        <w:rPr>
          <w:rFonts w:ascii="Times New Roman" w:hAnsi="Times New Roman"/>
        </w:rPr>
      </w:pPr>
      <w:r w:rsidRPr="005872E5">
        <w:rPr>
          <w:rFonts w:ascii="Times New Roman" w:hAnsi="Times New Roman"/>
        </w:rPr>
        <w:lastRenderedPageBreak/>
        <w:t>Para os serviços de _______________________________: quantitativos mínimos equivalentes ao percentual de ______________ dos quantitativos licitados;</w:t>
      </w:r>
    </w:p>
    <w:p w14:paraId="2A172B46" w14:textId="77777777" w:rsidR="00DD1EB9" w:rsidRPr="005872E5" w:rsidRDefault="00DD1EB9" w:rsidP="009D45A4">
      <w:pPr>
        <w:spacing w:after="240" w:line="240" w:lineRule="auto"/>
        <w:ind w:left="708"/>
        <w:jc w:val="both"/>
        <w:rPr>
          <w:rFonts w:ascii="Times New Roman" w:hAnsi="Times New Roman"/>
        </w:rPr>
      </w:pPr>
      <w:r w:rsidRPr="005872E5">
        <w:rPr>
          <w:rFonts w:ascii="Times New Roman" w:hAnsi="Times New Roman"/>
        </w:rPr>
        <w:t>Para os serviços de _______________________________: quantitativos mínimos equivalentes ao percentual de ______________ dos quantitativos licitados;</w:t>
      </w:r>
    </w:p>
    <w:p w14:paraId="55E3F538" w14:textId="77777777" w:rsidR="00DD1EB9" w:rsidRPr="005872E5" w:rsidRDefault="00DD1EB9" w:rsidP="009D45A4">
      <w:pPr>
        <w:spacing w:after="240" w:line="240" w:lineRule="auto"/>
        <w:ind w:left="708"/>
        <w:jc w:val="both"/>
        <w:rPr>
          <w:rFonts w:ascii="Times New Roman" w:hAnsi="Times New Roman"/>
        </w:rPr>
      </w:pPr>
      <w:r w:rsidRPr="005872E5">
        <w:rPr>
          <w:rFonts w:ascii="Times New Roman" w:hAnsi="Times New Roman"/>
        </w:rPr>
        <w:t>Para os serviços de _______________________________: quantitativos mínimos equivalentes ao percentual de ______________ dos quantitativos licitados;</w:t>
      </w:r>
    </w:p>
    <w:p w14:paraId="2543488D" w14:textId="77777777" w:rsidR="00DD1EB9" w:rsidRPr="005872E5" w:rsidRDefault="00DD1EB9" w:rsidP="009D45A4">
      <w:pPr>
        <w:spacing w:after="240" w:line="240" w:lineRule="auto"/>
        <w:ind w:left="708"/>
        <w:jc w:val="both"/>
        <w:rPr>
          <w:rFonts w:ascii="Times New Roman" w:hAnsi="Times New Roman"/>
        </w:rPr>
      </w:pPr>
      <w:r w:rsidRPr="005872E5">
        <w:rPr>
          <w:rFonts w:ascii="Times New Roman" w:hAnsi="Times New Roman"/>
        </w:rPr>
        <w:t>Para os serviços de _______________________________: quantitativos mínimos equivalentes ao percentual de ______________ dos quantitativos licitados;</w:t>
      </w:r>
    </w:p>
    <w:p w14:paraId="21430F95" w14:textId="77777777" w:rsidR="002858D5" w:rsidRPr="00562A0F" w:rsidRDefault="00DD1EB9" w:rsidP="009D45A4">
      <w:pPr>
        <w:spacing w:after="240" w:line="240" w:lineRule="auto"/>
        <w:ind w:left="708"/>
        <w:jc w:val="both"/>
        <w:rPr>
          <w:rFonts w:ascii="Times New Roman" w:hAnsi="Times New Roman"/>
        </w:rPr>
      </w:pPr>
      <w:r w:rsidRPr="005872E5">
        <w:rPr>
          <w:rFonts w:ascii="Times New Roman" w:hAnsi="Times New Roman"/>
        </w:rPr>
        <w:t>Para os serviços de _______________________________: quantitativos mínimos equivalentes ao percentual de ______________ dos quantitativos licitados;</w:t>
      </w:r>
    </w:p>
    <w:p w14:paraId="24B9901C" w14:textId="77777777" w:rsidR="002858D5" w:rsidRPr="00562A0F" w:rsidRDefault="002858D5" w:rsidP="002858D5">
      <w:pPr>
        <w:spacing w:after="240" w:line="240" w:lineRule="auto"/>
        <w:jc w:val="both"/>
        <w:rPr>
          <w:rFonts w:ascii="Times New Roman" w:hAnsi="Times New Roman"/>
        </w:rPr>
      </w:pPr>
    </w:p>
    <w:p w14:paraId="7DDA58DC" w14:textId="77777777" w:rsidR="001B2956" w:rsidRPr="00562A0F" w:rsidRDefault="00864D51" w:rsidP="00297ABB">
      <w:pPr>
        <w:pStyle w:val="PargrafodaLista"/>
        <w:numPr>
          <w:ilvl w:val="1"/>
          <w:numId w:val="1"/>
        </w:numPr>
        <w:spacing w:after="240" w:line="240" w:lineRule="auto"/>
        <w:jc w:val="both"/>
        <w:rPr>
          <w:rFonts w:ascii="Times New Roman" w:hAnsi="Times New Roman"/>
          <w:b/>
          <w:bCs/>
          <w:u w:val="single"/>
        </w:rPr>
      </w:pPr>
      <w:r w:rsidRPr="00562A0F">
        <w:rPr>
          <w:rFonts w:ascii="Times New Roman" w:hAnsi="Times New Roman"/>
          <w:b/>
          <w:bCs/>
          <w:u w:val="single"/>
          <w:lang w:eastAsia="pt-BR"/>
        </w:rPr>
        <w:t xml:space="preserve">POSSIBILIDADE DE SOMATÓRIO DOS ATESTADOS </w:t>
      </w:r>
    </w:p>
    <w:p w14:paraId="53473724" w14:textId="77777777" w:rsidR="00DD1EB9" w:rsidRPr="00562A0F" w:rsidRDefault="00DD1EB9" w:rsidP="002858D5">
      <w:pPr>
        <w:spacing w:after="240" w:line="240" w:lineRule="auto"/>
        <w:jc w:val="both"/>
        <w:rPr>
          <w:rFonts w:ascii="Times New Roman" w:hAnsi="Times New Roman"/>
        </w:rPr>
      </w:pPr>
      <w:r w:rsidRPr="00562A0F">
        <w:rPr>
          <w:rFonts w:ascii="Times New Roman" w:hAnsi="Times New Roman"/>
          <w:lang w:eastAsia="pt-BR"/>
        </w:rPr>
        <w:t>Segundo defende a jurisprudência do TCU, cabe aceitar o somatório de atestados para atingimento dos quantitativos mínimos dos serviços demandados na capacitação técnico-operacional do licitante (Acórdãos nº 170/2007, 1.631/2007, 727/2009, 1.382/2009, 1.823/2009, 2.783/2009, 3.260/2011, 342/2012, 1.028/2012, 1.231/2012, 1.380/2012, 1.552/2012, 2.869/2012 e 1.391/2014 – Plenário).</w:t>
      </w:r>
    </w:p>
    <w:p w14:paraId="6E1B4CCC" w14:textId="77777777" w:rsidR="00DD1EB9" w:rsidRPr="00562A0F" w:rsidRDefault="00DD1EB9" w:rsidP="002858D5">
      <w:pPr>
        <w:spacing w:after="240" w:line="240" w:lineRule="auto"/>
        <w:jc w:val="both"/>
        <w:rPr>
          <w:rFonts w:ascii="Times New Roman" w:hAnsi="Times New Roman"/>
        </w:rPr>
      </w:pPr>
      <w:r w:rsidRPr="00562A0F">
        <w:rPr>
          <w:rFonts w:ascii="Times New Roman" w:hAnsi="Times New Roman"/>
        </w:rPr>
        <w:t>Consequentemente, sem que haja devida justificativa técnica, é inviável a fixação de quantidade mínima ou máxima de atestados, de serviços por atestados ou que vedem o somatório de atestados, bem como as limitações de tempo, época, locais específicos ou quaisquer outras não previstas em lei, que inibam a participação da licitação (Acórdãos 1.090/2001,</w:t>
      </w:r>
      <w:r w:rsidRPr="00562A0F">
        <w:rPr>
          <w:rFonts w:ascii="Times New Roman" w:hAnsi="Times New Roman"/>
          <w:lang w:eastAsia="pt-BR"/>
        </w:rPr>
        <w:t xml:space="preserve"> </w:t>
      </w:r>
      <w:r w:rsidRPr="00562A0F">
        <w:rPr>
          <w:rFonts w:ascii="Times New Roman" w:hAnsi="Times New Roman"/>
        </w:rPr>
        <w:t>1.636/2007, 170/2007, 2.640/2007, 1.163/2008, 2.150/2008, 2.783/2009, 3.119/2010 e 3.170/2011, 1079/2013-Plenário (itens 9.5.1 a 9.5.3) (todos do Plenário).</w:t>
      </w:r>
    </w:p>
    <w:p w14:paraId="285E1D74" w14:textId="77777777" w:rsidR="00DD1EB9" w:rsidRPr="00562A0F" w:rsidRDefault="00DD1EB9" w:rsidP="002858D5">
      <w:pPr>
        <w:spacing w:after="240" w:line="240" w:lineRule="auto"/>
        <w:jc w:val="both"/>
        <w:rPr>
          <w:rFonts w:ascii="Times New Roman" w:hAnsi="Times New Roman"/>
        </w:rPr>
      </w:pPr>
      <w:r w:rsidRPr="00562A0F">
        <w:rPr>
          <w:rFonts w:ascii="Times New Roman" w:hAnsi="Times New Roman"/>
          <w:lang w:eastAsia="pt-BR"/>
        </w:rPr>
        <w:t>Porém, em determinadas situações de maior complexidade técnica, devidamente justificadas, a jurisprudência do TCU admite vedar o somatório de atestados - quando “o aumento de quantitativos do serviço acarretar, incontestavelmente, o aumento da complexidade técnica do objeto ou uma desproporção entre as quantidades e prazos para a sua execução, capazes de ensejar maior capacidade operativa e gerencial da licitante e de potencial comprometimento acerca da qualidade ou da finalidade almejada na contratação da obra ou serviço” (Acórdão n° 2.150/2008 – Plenário).</w:t>
      </w:r>
    </w:p>
    <w:p w14:paraId="3D9CC1FC" w14:textId="77777777" w:rsidR="00DD1EB9" w:rsidRPr="00562A0F" w:rsidRDefault="00DD1EB9" w:rsidP="002858D5">
      <w:pPr>
        <w:spacing w:after="240" w:line="240" w:lineRule="auto"/>
        <w:jc w:val="both"/>
        <w:rPr>
          <w:rFonts w:ascii="Times New Roman" w:hAnsi="Times New Roman"/>
        </w:rPr>
      </w:pPr>
      <w:r w:rsidRPr="00562A0F">
        <w:rPr>
          <w:rFonts w:ascii="Times New Roman" w:hAnsi="Times New Roman"/>
          <w:lang w:eastAsia="pt-BR"/>
        </w:rPr>
        <w:t>Tome-se como exemplo a construção de uma ponte. A expertise técnica necessária para construir uma ponte de 10 km não é a mesma de uma ponte de 100 metros. De nada adianta a empresa provar que já construiu 100 pontes de 100 metros cada: ainda que, no total, representem a mesma extensão, não significa que possui a competência necessária para construir uma única ponte de 10 km.</w:t>
      </w:r>
    </w:p>
    <w:p w14:paraId="41CAA807" w14:textId="77777777" w:rsidR="00DD1EB9" w:rsidRPr="00562A0F" w:rsidRDefault="00DD1EB9" w:rsidP="002858D5">
      <w:pPr>
        <w:spacing w:after="240" w:line="240" w:lineRule="auto"/>
        <w:jc w:val="both"/>
        <w:rPr>
          <w:rFonts w:ascii="Times New Roman" w:hAnsi="Times New Roman"/>
        </w:rPr>
      </w:pPr>
      <w:r w:rsidRPr="00562A0F">
        <w:rPr>
          <w:rFonts w:ascii="Times New Roman" w:hAnsi="Times New Roman"/>
          <w:lang w:eastAsia="pt-BR"/>
        </w:rPr>
        <w:t>Daí a finalidade da vedação ao somatório de atestados: a empresa deverá provar já ter executado os serviços de maior dimensão numa única contratação, e não por meio de diversas contratações separadas.</w:t>
      </w:r>
    </w:p>
    <w:p w14:paraId="169CF953" w14:textId="77777777" w:rsidR="00DD1EB9" w:rsidRPr="00562A0F" w:rsidRDefault="00DD1EB9" w:rsidP="002858D5">
      <w:pPr>
        <w:spacing w:after="240" w:line="240" w:lineRule="auto"/>
        <w:jc w:val="both"/>
        <w:rPr>
          <w:rFonts w:ascii="Times New Roman" w:hAnsi="Times New Roman"/>
        </w:rPr>
      </w:pPr>
      <w:r w:rsidRPr="00562A0F">
        <w:rPr>
          <w:rFonts w:ascii="Times New Roman" w:hAnsi="Times New Roman"/>
        </w:rPr>
        <w:t xml:space="preserve">Já decidiu o TCU: “Nesse contexto, entendeu a medida razoável pois, em vista da complexidade e do ineditismo dos estudos a serem exigidos do vencedor da licitação, a soma da execução de vários pequenos serviços, de baixa complexidade e valores, não comprovaria que o licitante possui a experiência necessária para bem cumprir o objeto da licitação.” (Acórdão nº 2.032/2020 – Plenário) </w:t>
      </w:r>
    </w:p>
    <w:p w14:paraId="1F15A465" w14:textId="77777777" w:rsidR="00DD1EB9" w:rsidRPr="00562A0F" w:rsidRDefault="00DD1EB9" w:rsidP="002858D5">
      <w:pPr>
        <w:spacing w:after="240" w:line="240" w:lineRule="auto"/>
        <w:jc w:val="both"/>
        <w:rPr>
          <w:rFonts w:ascii="Times New Roman" w:hAnsi="Times New Roman"/>
          <w:highlight w:val="cyan"/>
        </w:rPr>
      </w:pPr>
      <w:r w:rsidRPr="00562A0F">
        <w:rPr>
          <w:rFonts w:ascii="Times New Roman" w:hAnsi="Times New Roman"/>
          <w:lang w:eastAsia="pt-BR"/>
        </w:rPr>
        <w:lastRenderedPageBreak/>
        <w:t>Porém, na situação contrária, "se o aumento de quantitativos do serviço não incrementa, incontestavelmente, a complexidade técnica da tarefa, não há motivos para estabelecer limite para o número de atestados" (Acórdão nº 2.760/2012 - Plenário).</w:t>
      </w:r>
    </w:p>
    <w:p w14:paraId="1C5075DC" w14:textId="77777777" w:rsidR="00DD1EB9" w:rsidRPr="00562A0F" w:rsidRDefault="00DD1EB9" w:rsidP="002858D5">
      <w:pPr>
        <w:spacing w:after="240" w:line="240" w:lineRule="auto"/>
        <w:jc w:val="both"/>
        <w:rPr>
          <w:rFonts w:ascii="Times New Roman" w:hAnsi="Times New Roman"/>
          <w:lang w:eastAsia="pt-BR"/>
        </w:rPr>
      </w:pPr>
    </w:p>
    <w:p w14:paraId="55C6311E" w14:textId="77777777" w:rsidR="00DD1EB9" w:rsidRPr="00562A0F" w:rsidRDefault="00DD1EB9" w:rsidP="002858D5">
      <w:pPr>
        <w:spacing w:after="240" w:line="240" w:lineRule="auto"/>
        <w:jc w:val="both"/>
        <w:rPr>
          <w:rFonts w:ascii="Times New Roman" w:hAnsi="Times New Roman"/>
          <w:lang w:eastAsia="pt-BR"/>
        </w:rPr>
      </w:pPr>
      <w:r w:rsidRPr="00562A0F">
        <w:rPr>
          <w:rFonts w:ascii="Times New Roman" w:hAnsi="Times New Roman"/>
          <w:b/>
          <w:bCs/>
          <w:u w:val="single"/>
          <w:lang w:eastAsia="pt-BR"/>
        </w:rPr>
        <w:t>JUSTIFICATIVA</w:t>
      </w:r>
      <w:r w:rsidRPr="00562A0F">
        <w:rPr>
          <w:rFonts w:ascii="Times New Roman" w:hAnsi="Times New Roman"/>
          <w:lang w:eastAsia="pt-BR"/>
        </w:rPr>
        <w:t>: Na presente licitação, será (   ) ACEITO ou (   ) VEDADO o somatório de atestados de capacidade técnico-operacional para atingimento dos quantitativos mínimos demandados, com base na seguinte justificativa técnica:</w:t>
      </w:r>
    </w:p>
    <w:p w14:paraId="2F572E95" w14:textId="77777777" w:rsidR="002858D5" w:rsidRPr="00562A0F" w:rsidRDefault="002858D5" w:rsidP="002858D5">
      <w:pPr>
        <w:spacing w:after="240" w:line="240" w:lineRule="auto"/>
        <w:jc w:val="both"/>
        <w:rPr>
          <w:rFonts w:ascii="Times New Roman" w:hAnsi="Times New Roman"/>
        </w:rPr>
      </w:pPr>
      <w:r w:rsidRPr="00562A0F">
        <w:rPr>
          <w:rFonts w:ascii="Times New Roman" w:hAnsi="Times New Roman"/>
        </w:rPr>
        <w:t>-----------------------------------------------------------------------------------------------------------------------------------------------------------------------------------------------------------------------------------------------------------------------------------------------------------------------------------------------------------------------------------------------------------------------------------------------------------------------------------------------------------------------------------------------------------------------------------------------------------------------------------------------------------</w:t>
      </w:r>
    </w:p>
    <w:p w14:paraId="3EA2C612" w14:textId="77777777" w:rsidR="002858D5" w:rsidRPr="00562A0F" w:rsidRDefault="002858D5" w:rsidP="002858D5">
      <w:pPr>
        <w:spacing w:after="240" w:line="240" w:lineRule="auto"/>
        <w:jc w:val="both"/>
        <w:rPr>
          <w:rFonts w:ascii="Times New Roman" w:hAnsi="Times New Roman"/>
        </w:rPr>
      </w:pPr>
    </w:p>
    <w:p w14:paraId="0595865F" w14:textId="77777777" w:rsidR="001B2956" w:rsidRPr="00562A0F" w:rsidRDefault="00864D51" w:rsidP="00297ABB">
      <w:pPr>
        <w:pStyle w:val="PargrafodaLista"/>
        <w:numPr>
          <w:ilvl w:val="1"/>
          <w:numId w:val="1"/>
        </w:numPr>
        <w:spacing w:after="240" w:line="240" w:lineRule="auto"/>
        <w:jc w:val="both"/>
        <w:rPr>
          <w:rFonts w:ascii="Times New Roman" w:hAnsi="Times New Roman"/>
          <w:b/>
          <w:bCs/>
          <w:u w:val="single"/>
        </w:rPr>
      </w:pPr>
      <w:r w:rsidRPr="00562A0F">
        <w:rPr>
          <w:rFonts w:ascii="Times New Roman" w:hAnsi="Times New Roman"/>
          <w:b/>
          <w:bCs/>
          <w:u w:val="single"/>
        </w:rPr>
        <w:t>CAPACIDADE TÉCNICO-PROFISSIONAL</w:t>
      </w:r>
    </w:p>
    <w:p w14:paraId="32EC6E8B" w14:textId="53EEFF04" w:rsidR="00AF06F9" w:rsidRPr="00562A0F" w:rsidRDefault="00AF06F9" w:rsidP="00297ABB">
      <w:pPr>
        <w:spacing w:after="240" w:line="240" w:lineRule="auto"/>
        <w:jc w:val="both"/>
        <w:rPr>
          <w:rFonts w:ascii="Times New Roman" w:hAnsi="Times New Roman"/>
        </w:rPr>
      </w:pPr>
      <w:r w:rsidRPr="00562A0F">
        <w:rPr>
          <w:rFonts w:ascii="Times New Roman" w:hAnsi="Times New Roman"/>
        </w:rPr>
        <w:t>A experiência do profissiona</w:t>
      </w:r>
      <w:r w:rsidR="00A4177A" w:rsidRPr="00562A0F">
        <w:rPr>
          <w:rFonts w:ascii="Times New Roman" w:hAnsi="Times New Roman"/>
        </w:rPr>
        <w:t>l</w:t>
      </w:r>
      <w:r w:rsidRPr="00562A0F">
        <w:rPr>
          <w:rFonts w:ascii="Times New Roman" w:hAnsi="Times New Roman"/>
        </w:rPr>
        <w:t xml:space="preserve"> de engenharia é comprovada </w:t>
      </w:r>
      <w:r w:rsidR="00A4177A" w:rsidRPr="00562A0F">
        <w:rPr>
          <w:rFonts w:ascii="Times New Roman" w:hAnsi="Times New Roman"/>
        </w:rPr>
        <w:t>por meio da Anotação de Responsabilidade Técnica – ART, que demonstre ter executado previamente determinado serviço. Para o profissional de arquitetura, o documento correspondente é o Registro de Responsabilidade Técnica – RRT</w:t>
      </w:r>
      <w:r w:rsidR="00D64101">
        <w:rPr>
          <w:rFonts w:ascii="Times New Roman" w:hAnsi="Times New Roman"/>
        </w:rPr>
        <w:t xml:space="preserve">, e para o técnico industrial, o </w:t>
      </w:r>
      <w:r w:rsidR="005B75E4">
        <w:rPr>
          <w:rFonts w:ascii="Times New Roman" w:hAnsi="Times New Roman"/>
        </w:rPr>
        <w:t xml:space="preserve">Termo de </w:t>
      </w:r>
      <w:r w:rsidR="00B85CD6">
        <w:rPr>
          <w:rFonts w:ascii="Times New Roman" w:hAnsi="Times New Roman"/>
        </w:rPr>
        <w:t>Responsabilidade Técnica - TRT</w:t>
      </w:r>
      <w:r w:rsidR="00A4177A" w:rsidRPr="00562A0F">
        <w:rPr>
          <w:rFonts w:ascii="Times New Roman" w:hAnsi="Times New Roman"/>
        </w:rPr>
        <w:t>.</w:t>
      </w:r>
    </w:p>
    <w:p w14:paraId="335987F0" w14:textId="47F52DAB" w:rsidR="00AF06F9" w:rsidRPr="00562A0F" w:rsidRDefault="00A4177A" w:rsidP="00A4177A">
      <w:pPr>
        <w:spacing w:after="240" w:line="240" w:lineRule="auto"/>
        <w:jc w:val="both"/>
        <w:rPr>
          <w:rFonts w:ascii="Times New Roman" w:hAnsi="Times New Roman"/>
        </w:rPr>
      </w:pPr>
      <w:r w:rsidRPr="00562A0F">
        <w:rPr>
          <w:rFonts w:ascii="Times New Roman" w:hAnsi="Times New Roman"/>
        </w:rPr>
        <w:t>As ARTs</w:t>
      </w:r>
      <w:r w:rsidR="00B85CD6">
        <w:rPr>
          <w:rFonts w:ascii="Times New Roman" w:hAnsi="Times New Roman"/>
        </w:rPr>
        <w:t>,</w:t>
      </w:r>
      <w:r w:rsidRPr="00562A0F">
        <w:rPr>
          <w:rFonts w:ascii="Times New Roman" w:hAnsi="Times New Roman"/>
        </w:rPr>
        <w:t xml:space="preserve"> RRTs </w:t>
      </w:r>
      <w:r w:rsidR="00B85CD6">
        <w:rPr>
          <w:rFonts w:ascii="Times New Roman" w:hAnsi="Times New Roman"/>
        </w:rPr>
        <w:t xml:space="preserve">e TRSs </w:t>
      </w:r>
      <w:r w:rsidR="00CC7AC4" w:rsidRPr="00562A0F">
        <w:rPr>
          <w:rFonts w:ascii="Times New Roman" w:hAnsi="Times New Roman"/>
        </w:rPr>
        <w:t xml:space="preserve">emitidas em nome de cada profissional </w:t>
      </w:r>
      <w:r w:rsidRPr="00562A0F">
        <w:rPr>
          <w:rFonts w:ascii="Times New Roman" w:hAnsi="Times New Roman"/>
        </w:rPr>
        <w:t xml:space="preserve">são compiladas na </w:t>
      </w:r>
      <w:r w:rsidR="00CC7AC4" w:rsidRPr="00562A0F">
        <w:rPr>
          <w:rFonts w:ascii="Times New Roman" w:hAnsi="Times New Roman"/>
        </w:rPr>
        <w:t xml:space="preserve">respectiva </w:t>
      </w:r>
      <w:r w:rsidRPr="00562A0F">
        <w:rPr>
          <w:rFonts w:ascii="Times New Roman" w:hAnsi="Times New Roman"/>
        </w:rPr>
        <w:t>Certidão de Acervo Técnico – CAT, expedida pelo CREA</w:t>
      </w:r>
      <w:r w:rsidR="00B85CD6">
        <w:rPr>
          <w:rFonts w:ascii="Times New Roman" w:hAnsi="Times New Roman"/>
        </w:rPr>
        <w:t>,</w:t>
      </w:r>
      <w:r w:rsidRPr="00562A0F">
        <w:rPr>
          <w:rFonts w:ascii="Times New Roman" w:hAnsi="Times New Roman"/>
        </w:rPr>
        <w:t xml:space="preserve"> CAU</w:t>
      </w:r>
      <w:r w:rsidR="00B85CD6">
        <w:rPr>
          <w:rFonts w:ascii="Times New Roman" w:hAnsi="Times New Roman"/>
        </w:rPr>
        <w:t xml:space="preserve"> ou CRT</w:t>
      </w:r>
      <w:r w:rsidR="00B615D9">
        <w:rPr>
          <w:rFonts w:ascii="Times New Roman" w:hAnsi="Times New Roman"/>
        </w:rPr>
        <w:t>,</w:t>
      </w:r>
      <w:r w:rsidRPr="00562A0F">
        <w:rPr>
          <w:rFonts w:ascii="Times New Roman" w:hAnsi="Times New Roman"/>
        </w:rPr>
        <w:t xml:space="preserve"> conforme o caso.</w:t>
      </w:r>
    </w:p>
    <w:p w14:paraId="0CC0D9EF" w14:textId="714FDB8C" w:rsidR="00DD1EB9" w:rsidRPr="00562A0F" w:rsidRDefault="00CC7AC4" w:rsidP="00297ABB">
      <w:pPr>
        <w:spacing w:after="240" w:line="240" w:lineRule="auto"/>
        <w:jc w:val="both"/>
        <w:rPr>
          <w:rFonts w:ascii="Times New Roman" w:hAnsi="Times New Roman"/>
        </w:rPr>
      </w:pPr>
      <w:r w:rsidRPr="00562A0F">
        <w:rPr>
          <w:rFonts w:ascii="Times New Roman" w:hAnsi="Times New Roman"/>
        </w:rPr>
        <w:t>Na licitação pública, a</w:t>
      </w:r>
      <w:r w:rsidR="00DD1EB9" w:rsidRPr="00562A0F">
        <w:rPr>
          <w:rFonts w:ascii="Times New Roman" w:hAnsi="Times New Roman"/>
        </w:rPr>
        <w:t xml:space="preserve"> </w:t>
      </w:r>
      <w:r w:rsidRPr="00562A0F">
        <w:rPr>
          <w:rFonts w:ascii="Times New Roman" w:hAnsi="Times New Roman"/>
        </w:rPr>
        <w:t>ART</w:t>
      </w:r>
      <w:r w:rsidR="00B615D9">
        <w:rPr>
          <w:rFonts w:ascii="Times New Roman" w:hAnsi="Times New Roman"/>
        </w:rPr>
        <w:t>,</w:t>
      </w:r>
      <w:r w:rsidR="00DD1EB9" w:rsidRPr="00562A0F">
        <w:rPr>
          <w:rFonts w:ascii="Times New Roman" w:hAnsi="Times New Roman"/>
        </w:rPr>
        <w:t xml:space="preserve"> </w:t>
      </w:r>
      <w:r w:rsidR="00B615D9">
        <w:rPr>
          <w:rFonts w:ascii="Times New Roman" w:hAnsi="Times New Roman"/>
        </w:rPr>
        <w:t xml:space="preserve">o </w:t>
      </w:r>
      <w:r w:rsidRPr="00562A0F">
        <w:rPr>
          <w:rFonts w:ascii="Times New Roman" w:hAnsi="Times New Roman"/>
        </w:rPr>
        <w:t>RRT</w:t>
      </w:r>
      <w:r w:rsidR="00DD1EB9" w:rsidRPr="00562A0F">
        <w:rPr>
          <w:rFonts w:ascii="Times New Roman" w:hAnsi="Times New Roman"/>
        </w:rPr>
        <w:t xml:space="preserve"> </w:t>
      </w:r>
      <w:r w:rsidR="00B615D9">
        <w:rPr>
          <w:rFonts w:ascii="Times New Roman" w:hAnsi="Times New Roman"/>
        </w:rPr>
        <w:t xml:space="preserve">e o TRT </w:t>
      </w:r>
      <w:r w:rsidR="00DD1EB9" w:rsidRPr="00562A0F">
        <w:rPr>
          <w:rFonts w:ascii="Times New Roman" w:hAnsi="Times New Roman"/>
        </w:rPr>
        <w:t xml:space="preserve">exigidos </w:t>
      </w:r>
      <w:r w:rsidRPr="00562A0F">
        <w:rPr>
          <w:rFonts w:ascii="Times New Roman" w:hAnsi="Times New Roman"/>
        </w:rPr>
        <w:t xml:space="preserve">para comprovar a experiência dos profissionais </w:t>
      </w:r>
      <w:r w:rsidR="00DD1EB9" w:rsidRPr="00562A0F">
        <w:rPr>
          <w:rFonts w:ascii="Times New Roman" w:hAnsi="Times New Roman"/>
        </w:rPr>
        <w:t xml:space="preserve">limitar-se-ão às parcelas de maior relevância e valor significativo do objeto da licitação, vedadas as exigências de quantidades mínimas ou prazos máximos (artigo 30, §1º, inc. I, Lei 8.666, 1993). </w:t>
      </w:r>
    </w:p>
    <w:p w14:paraId="5D754DD6" w14:textId="3A91E70F" w:rsidR="00DD1EB9" w:rsidRPr="00562A0F" w:rsidRDefault="00DD1EB9" w:rsidP="00297ABB">
      <w:pPr>
        <w:spacing w:after="240" w:line="240" w:lineRule="auto"/>
        <w:jc w:val="both"/>
        <w:rPr>
          <w:rFonts w:ascii="Times New Roman" w:hAnsi="Times New Roman"/>
          <w:highlight w:val="cyan"/>
        </w:rPr>
      </w:pPr>
      <w:r w:rsidRPr="00562A0F">
        <w:rPr>
          <w:rFonts w:ascii="Times New Roman" w:hAnsi="Times New Roman"/>
        </w:rPr>
        <w:t>Assim, conforme o objeto licitatório, a exigência deve referir-se à área ou áreas de engenharia/arquitetura</w:t>
      </w:r>
      <w:r w:rsidR="00B615D9">
        <w:rPr>
          <w:rFonts w:ascii="Times New Roman" w:hAnsi="Times New Roman"/>
        </w:rPr>
        <w:t>/técnica industrial</w:t>
      </w:r>
      <w:r w:rsidRPr="00562A0F">
        <w:rPr>
          <w:rFonts w:ascii="Times New Roman" w:hAnsi="Times New Roman"/>
        </w:rPr>
        <w:t xml:space="preserve"> de maior relevo. Por exemplo, em alguns casos, poderia bastar o ART/RRT em relação ao engenheiro civil/arquiteto, em outras pode ser necessário em relação a este e o engenheiro mecânico, ou elétrico, geólogo, urbanista. É essencial que a equipe técnica participe da elaboração da </w:t>
      </w:r>
      <w:r w:rsidR="00A23B66">
        <w:rPr>
          <w:rFonts w:ascii="Times New Roman" w:hAnsi="Times New Roman"/>
        </w:rPr>
        <w:t>qualificação técnica do TR/PB e que a minuta do edital reitere as previsões</w:t>
      </w:r>
      <w:r w:rsidRPr="00562A0F">
        <w:rPr>
          <w:rFonts w:ascii="Times New Roman" w:hAnsi="Times New Roman"/>
        </w:rPr>
        <w:t>.</w:t>
      </w:r>
    </w:p>
    <w:p w14:paraId="7837E46E" w14:textId="77777777" w:rsidR="00DD1EB9" w:rsidRPr="00562A0F" w:rsidRDefault="00DD1EB9" w:rsidP="00297ABB">
      <w:pPr>
        <w:spacing w:after="240" w:line="240" w:lineRule="auto"/>
        <w:jc w:val="both"/>
        <w:rPr>
          <w:rFonts w:ascii="Times New Roman" w:hAnsi="Times New Roman"/>
        </w:rPr>
      </w:pPr>
      <w:r w:rsidRPr="00562A0F">
        <w:rPr>
          <w:rFonts w:ascii="Times New Roman" w:hAnsi="Times New Roman"/>
          <w:lang w:eastAsia="pt-BR"/>
        </w:rPr>
        <w:t>Novamente, a Curva ABC é instrumento fundamental para definir quais seriam tais parcelas em cada licitação.</w:t>
      </w:r>
    </w:p>
    <w:p w14:paraId="13433A10" w14:textId="77777777" w:rsidR="00DD1EB9" w:rsidRPr="00562A0F" w:rsidRDefault="00DD1EB9" w:rsidP="00297ABB">
      <w:pPr>
        <w:spacing w:after="240" w:line="240" w:lineRule="auto"/>
        <w:jc w:val="both"/>
        <w:rPr>
          <w:rFonts w:ascii="Times New Roman" w:hAnsi="Times New Roman"/>
        </w:rPr>
      </w:pPr>
      <w:r w:rsidRPr="00562A0F">
        <w:rPr>
          <w:rFonts w:ascii="Times New Roman" w:hAnsi="Times New Roman"/>
        </w:rPr>
        <w:t xml:space="preserve">A Lei de Licitações dispõe o seguinte em seu art. 30, §1º, I: </w:t>
      </w:r>
    </w:p>
    <w:p w14:paraId="15173315" w14:textId="77777777" w:rsidR="00DD1EB9"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 xml:space="preserve">I - 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limitadas estas exclusivamente às parcelas de maior relevância e valor significativo do objeto da licitação, vedadas as exigências de quantidades mínimas ou prazos máximos; </w:t>
      </w:r>
    </w:p>
    <w:p w14:paraId="360F7A1B" w14:textId="77777777" w:rsidR="00DD1EB9" w:rsidRPr="00562A0F" w:rsidRDefault="00DD1EB9" w:rsidP="00297ABB">
      <w:pPr>
        <w:spacing w:after="240" w:line="240" w:lineRule="auto"/>
        <w:jc w:val="both"/>
        <w:rPr>
          <w:rFonts w:ascii="Times New Roman" w:hAnsi="Times New Roman"/>
        </w:rPr>
      </w:pPr>
      <w:r w:rsidRPr="00562A0F">
        <w:rPr>
          <w:rFonts w:ascii="Times New Roman" w:hAnsi="Times New Roman"/>
        </w:rPr>
        <w:t xml:space="preserve">Tendo em vista a vedação legal expressa, a exigência de quantitativos mínimos para a qualificação profissional é algo excepcionalíssimo e deve estar calcada em justificativa tal que demonstre que, </w:t>
      </w:r>
      <w:r w:rsidRPr="00562A0F">
        <w:rPr>
          <w:rFonts w:ascii="Times New Roman" w:hAnsi="Times New Roman"/>
        </w:rPr>
        <w:lastRenderedPageBreak/>
        <w:t xml:space="preserve">naquele caso específico, a parte final do art. 30, §1º, I da Lei 8.666/93 não se aplica porque a própria quantidade faz parte da especificação técnica, no sentido de que a técnica utilizada para a quantidade de até "x" metros quadrados, por exemplo, é uma, e a técnica utilizada para a quantidade superior a "x" metros quadrados é outra, o mesmo valendo para os outros critérios, como de potência, número de hidrantes ou quilogramas. </w:t>
      </w:r>
    </w:p>
    <w:p w14:paraId="0ACC309C" w14:textId="77777777" w:rsidR="00DD1EB9" w:rsidRPr="00562A0F" w:rsidRDefault="00DD1EB9" w:rsidP="00297ABB">
      <w:pPr>
        <w:spacing w:after="240" w:line="240" w:lineRule="auto"/>
        <w:jc w:val="both"/>
        <w:rPr>
          <w:rFonts w:ascii="Times New Roman" w:hAnsi="Times New Roman"/>
        </w:rPr>
      </w:pPr>
      <w:r w:rsidRPr="00562A0F">
        <w:rPr>
          <w:rFonts w:ascii="Times New Roman" w:hAnsi="Times New Roman"/>
        </w:rPr>
        <w:t xml:space="preserve">Somente em hipóteses assim o órgão poderia fixar quantitativo mínimo para a qualificação técnica profissional, e justamente no mínimo a partir do qual a técnica a ser utilizada é outra. Ou seja, a quantidade, aqui, seria um elemento da especificação técnica. </w:t>
      </w:r>
    </w:p>
    <w:p w14:paraId="56717922" w14:textId="77777777" w:rsidR="00DD1EB9" w:rsidRPr="00562A0F" w:rsidRDefault="00DD1EB9" w:rsidP="00297ABB">
      <w:pPr>
        <w:spacing w:after="240" w:line="240" w:lineRule="auto"/>
        <w:jc w:val="both"/>
        <w:rPr>
          <w:rFonts w:ascii="Times New Roman" w:hAnsi="Times New Roman"/>
        </w:rPr>
      </w:pPr>
      <w:r w:rsidRPr="00562A0F">
        <w:rPr>
          <w:rFonts w:ascii="Times New Roman" w:hAnsi="Times New Roman"/>
        </w:rPr>
        <w:t>Mas mesmo nesta hipótese o risco de dificuldades advindas de tal exigência seriam consideráveis, e a justificativa deveria estar muito bem estruturada em elementos técnicos, inclusive com referências a documentos nesse sentido, para deixar claro que não se trata de mera exigência quantitativa, mas sim de exigência técnica pura e simplesmente.</w:t>
      </w:r>
    </w:p>
    <w:p w14:paraId="5A40EA7C" w14:textId="77777777" w:rsidR="00DD1EB9" w:rsidRPr="00562A0F" w:rsidRDefault="00DD1EB9" w:rsidP="00297ABB">
      <w:pPr>
        <w:spacing w:after="240" w:line="240" w:lineRule="auto"/>
        <w:jc w:val="both"/>
        <w:rPr>
          <w:rFonts w:ascii="Times New Roman" w:hAnsi="Times New Roman"/>
        </w:rPr>
      </w:pPr>
      <w:r w:rsidRPr="00562A0F">
        <w:rPr>
          <w:rFonts w:ascii="Times New Roman" w:hAnsi="Times New Roman"/>
        </w:rPr>
        <w:t>De todo modo, a jurisprudência do TCU admite em situações excepcionais a exigência de quantitativos mínimos também a comprovação da capacidade técnico-profissional, desde que devidamente justificada e demonstrado ser indispensável para garantir o cumprimento da obrigação a ser assumida pela vencedora do certame (por exemplo, Acórdãos nº 3.070/2013, 534/2016 e 2.032/2020 – Plenário).</w:t>
      </w:r>
    </w:p>
    <w:p w14:paraId="07708EC9" w14:textId="77777777" w:rsidR="00DD1EB9" w:rsidRPr="00562A0F" w:rsidRDefault="00DD1EB9" w:rsidP="00297ABB">
      <w:pPr>
        <w:spacing w:after="240" w:line="240" w:lineRule="auto"/>
        <w:jc w:val="both"/>
        <w:rPr>
          <w:rFonts w:ascii="Times New Roman" w:hAnsi="Times New Roman"/>
        </w:rPr>
      </w:pPr>
    </w:p>
    <w:p w14:paraId="0422728A" w14:textId="77777777" w:rsidR="00DD1EB9" w:rsidRPr="00562A0F" w:rsidRDefault="00DD1EB9" w:rsidP="00297ABB">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Na presente licitação, as comprovações de capacidade técnico-profissional serão exigidas quanto às parcelas de maior relevância técnica e valor significativo do objeto, a serem executadas pelos profissionais abaixo elencados:</w:t>
      </w:r>
    </w:p>
    <w:p w14:paraId="3890D07B" w14:textId="77777777" w:rsidR="00DD1EB9"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Para o cargo de _______________________________: serviços de ______________________________________________;</w:t>
      </w:r>
    </w:p>
    <w:p w14:paraId="269AC8F0" w14:textId="77777777" w:rsidR="00DD1EB9"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Para o cargo de _______________________________: serviços de ______________________________________________;</w:t>
      </w:r>
    </w:p>
    <w:p w14:paraId="1B1B7941" w14:textId="77777777" w:rsidR="00DD1EB9"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Para o cargo de _______________________________: serviços de ______________________________________________;</w:t>
      </w:r>
    </w:p>
    <w:p w14:paraId="080772D5" w14:textId="77777777" w:rsidR="00DD1EB9"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Para o cargo de _______________________________: serviços de ______________________________________________;</w:t>
      </w:r>
    </w:p>
    <w:p w14:paraId="20CCFC0B" w14:textId="77777777" w:rsidR="00DD1EB9"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Para o cargo de _______________________________: serviços de ______________________________________________;</w:t>
      </w:r>
    </w:p>
    <w:p w14:paraId="72EE0158" w14:textId="77777777" w:rsidR="009D45A4" w:rsidRPr="00562A0F" w:rsidRDefault="009D45A4" w:rsidP="00297ABB">
      <w:pPr>
        <w:spacing w:after="240" w:line="240" w:lineRule="auto"/>
        <w:jc w:val="both"/>
        <w:rPr>
          <w:rFonts w:ascii="Times New Roman" w:hAnsi="Times New Roman"/>
        </w:rPr>
      </w:pPr>
    </w:p>
    <w:p w14:paraId="2FB67485" w14:textId="77777777" w:rsidR="00DD1EB9" w:rsidRPr="00562A0F" w:rsidRDefault="00DD1EB9" w:rsidP="00297ABB">
      <w:pPr>
        <w:spacing w:after="240" w:line="240" w:lineRule="auto"/>
        <w:jc w:val="both"/>
        <w:rPr>
          <w:rFonts w:ascii="Times New Roman" w:hAnsi="Times New Roman"/>
        </w:rPr>
      </w:pPr>
      <w:r w:rsidRPr="00562A0F">
        <w:rPr>
          <w:rFonts w:ascii="Times New Roman" w:hAnsi="Times New Roman"/>
        </w:rPr>
        <w:t>(   ) SERÁ, excepcionalmente, exigida a comprovação de quantitativos mínimos nos documentos de ART/RRT, com base na seguinte justificativa:</w:t>
      </w:r>
    </w:p>
    <w:p w14:paraId="05A0ED5C" w14:textId="77777777" w:rsidR="009D45A4" w:rsidRPr="00562A0F" w:rsidRDefault="009D45A4" w:rsidP="009D45A4">
      <w:pPr>
        <w:spacing w:after="240" w:line="240" w:lineRule="auto"/>
        <w:jc w:val="both"/>
        <w:rPr>
          <w:rFonts w:ascii="Times New Roman" w:hAnsi="Times New Roman"/>
        </w:rPr>
      </w:pPr>
      <w:r w:rsidRPr="00562A0F">
        <w:rPr>
          <w:rFonts w:ascii="Times New Roman" w:hAnsi="Times New Roman"/>
        </w:rPr>
        <w:t>-----------------------------------------------------------------------------------------------------------------------------------------------------------------------------------------------------------------------------------------------------------------------------------------------------------------------------------------------------------------------------------------------------------------------------------------------------------------------------------------------------------------------------------------------------------------------------------------------------------------------------------------------------------</w:t>
      </w:r>
    </w:p>
    <w:p w14:paraId="09BE8A23" w14:textId="77777777" w:rsidR="009D45A4" w:rsidRPr="00562A0F" w:rsidRDefault="00DD1EB9" w:rsidP="009D45A4">
      <w:pPr>
        <w:spacing w:after="240" w:line="240" w:lineRule="auto"/>
        <w:jc w:val="both"/>
        <w:rPr>
          <w:rFonts w:ascii="Times New Roman" w:hAnsi="Times New Roman"/>
        </w:rPr>
      </w:pPr>
      <w:r w:rsidRPr="00562A0F">
        <w:rPr>
          <w:rFonts w:ascii="Times New Roman" w:hAnsi="Times New Roman"/>
        </w:rPr>
        <w:lastRenderedPageBreak/>
        <w:t xml:space="preserve">Os quantitativos mínimos a serem comprovados nos documentos de ART/RRT, por cada profissional, estão abaixo elencados: </w:t>
      </w:r>
    </w:p>
    <w:p w14:paraId="6DC61E87" w14:textId="77777777" w:rsidR="00DD1EB9"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Para o cargo de _______________________________: quantitativos mínimos equivalentes ao percentual de ______________ dos quantitativos licitados, para os serviços de ______________________________________________;</w:t>
      </w:r>
    </w:p>
    <w:p w14:paraId="648E1BA0" w14:textId="77777777" w:rsidR="00DD1EB9"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Para o cargo de _______________________________: quantitativos mínimos equivalentes ao percentual de ______________ dos quantitativos licitados, para os serviços de ______________________________________________;</w:t>
      </w:r>
    </w:p>
    <w:p w14:paraId="3AC6A942" w14:textId="77777777" w:rsidR="00DD1EB9"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Para o cargo de _______________________________: quantitativos mínimos equivalentes ao percentual de ______________ dos quantitativos licitados, para os serviços de ______________________________________________;</w:t>
      </w:r>
    </w:p>
    <w:p w14:paraId="72582489" w14:textId="77777777" w:rsidR="00DD1EB9"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Para o cargo de _______________________________: quantitativos mínimos equivalentes ao percentual de ______________ dos quantitativos licitados, para os serviços de ______________________________________________;</w:t>
      </w:r>
    </w:p>
    <w:p w14:paraId="3A7E9AA0" w14:textId="77777777" w:rsidR="009D45A4"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Para o cargo de _______________________________: quantitativos mínimos equivalentes ao percentual de ______________ dos quantitativos licitados, para os serviços de ______________________________________________;</w:t>
      </w:r>
    </w:p>
    <w:p w14:paraId="25FEB389" w14:textId="77777777" w:rsidR="009D45A4" w:rsidRPr="00562A0F" w:rsidRDefault="009D45A4" w:rsidP="009D45A4">
      <w:pPr>
        <w:spacing w:after="240" w:line="240" w:lineRule="auto"/>
        <w:jc w:val="both"/>
        <w:rPr>
          <w:rFonts w:ascii="Times New Roman" w:hAnsi="Times New Roman"/>
        </w:rPr>
      </w:pPr>
    </w:p>
    <w:p w14:paraId="373A4638" w14:textId="77777777" w:rsidR="001B2956" w:rsidRPr="00562A0F" w:rsidRDefault="00864D51" w:rsidP="00297ABB">
      <w:pPr>
        <w:pStyle w:val="PargrafodaLista"/>
        <w:numPr>
          <w:ilvl w:val="1"/>
          <w:numId w:val="1"/>
        </w:numPr>
        <w:spacing w:after="240" w:line="240" w:lineRule="auto"/>
        <w:jc w:val="both"/>
        <w:rPr>
          <w:rFonts w:ascii="Times New Roman" w:hAnsi="Times New Roman"/>
          <w:b/>
          <w:bCs/>
          <w:u w:val="single"/>
        </w:rPr>
      </w:pPr>
      <w:r w:rsidRPr="00562A0F">
        <w:rPr>
          <w:rFonts w:ascii="Times New Roman" w:hAnsi="Times New Roman"/>
          <w:b/>
          <w:bCs/>
          <w:u w:val="single"/>
        </w:rPr>
        <w:t>EXIGÊNCIA DE INSTALAÇÕES, APARELHAMENTO E PESSOAL TÉCNICO</w:t>
      </w:r>
    </w:p>
    <w:p w14:paraId="320FFF8C" w14:textId="77777777" w:rsidR="00DD1EB9" w:rsidRPr="00562A0F" w:rsidRDefault="00DD1EB9" w:rsidP="009D45A4">
      <w:pPr>
        <w:spacing w:after="240" w:line="240" w:lineRule="auto"/>
        <w:jc w:val="both"/>
        <w:rPr>
          <w:rFonts w:ascii="Times New Roman" w:hAnsi="Times New Roman"/>
          <w:lang w:eastAsia="pt-BR"/>
        </w:rPr>
      </w:pPr>
      <w:r w:rsidRPr="00562A0F">
        <w:rPr>
          <w:rFonts w:ascii="Times New Roman" w:hAnsi="Times New Roman"/>
        </w:rPr>
        <w:t>Segundo o art. 30, inciso II, da Lei nº 8.666, de 1993, dentre os requisitos de qualificação técnica, pode-se exigir que o licitante indique as instalações, aparelhamento e pessoal técnico adequados e disponíveis para a realização do objeto da licitação, bem como a qualificação de cada um dos membros da equipe técnica que se responsabilizará pelos trabalhos.</w:t>
      </w:r>
    </w:p>
    <w:p w14:paraId="2ACB5994" w14:textId="77777777" w:rsidR="00DD1EB9" w:rsidRPr="00562A0F" w:rsidRDefault="00DD1EB9" w:rsidP="009D45A4">
      <w:pPr>
        <w:spacing w:after="240" w:line="240" w:lineRule="auto"/>
        <w:jc w:val="both"/>
        <w:rPr>
          <w:rFonts w:ascii="Times New Roman" w:hAnsi="Times New Roman"/>
          <w:lang w:eastAsia="pt-BR"/>
        </w:rPr>
      </w:pPr>
      <w:r w:rsidRPr="00562A0F">
        <w:rPr>
          <w:rFonts w:ascii="Times New Roman" w:hAnsi="Times New Roman"/>
        </w:rPr>
        <w:t>Tem sido praxe exigir nos editais uma declaração formal de que a licitante disporá, por ocasião da futura contratação, das instalações, aparelhamento e pessoal técnico considerados essenciais para a execução contratual, mas sem relacionar quais seriam essas instalações, aparelhamento ou pessoal.</w:t>
      </w:r>
    </w:p>
    <w:p w14:paraId="563853B0" w14:textId="1E7DF384" w:rsidR="00DD1EB9" w:rsidRPr="00562A0F" w:rsidRDefault="00DD1EB9" w:rsidP="009D45A4">
      <w:pPr>
        <w:spacing w:after="240" w:line="240" w:lineRule="auto"/>
        <w:jc w:val="both"/>
        <w:rPr>
          <w:rFonts w:ascii="Times New Roman" w:hAnsi="Times New Roman"/>
          <w:lang w:eastAsia="pt-BR"/>
        </w:rPr>
      </w:pPr>
      <w:r w:rsidRPr="00562A0F">
        <w:rPr>
          <w:rFonts w:ascii="Times New Roman" w:hAnsi="Times New Roman"/>
        </w:rPr>
        <w:t xml:space="preserve">Isso acaba revestindo a exigência de algo absolutamente formal, sem acréscimo algum à garantia do cumprimento das obrigações. Pelo contrário, representa um risco de trazer problemas para a licitação, porque pode inclusive passar desapercebida pela licitante - e eventualmente a melhor proposta </w:t>
      </w:r>
      <w:r w:rsidR="00A97BDC">
        <w:rPr>
          <w:rFonts w:ascii="Times New Roman" w:hAnsi="Times New Roman"/>
        </w:rPr>
        <w:t xml:space="preserve">vir a </w:t>
      </w:r>
      <w:r w:rsidRPr="00562A0F">
        <w:rPr>
          <w:rFonts w:ascii="Times New Roman" w:hAnsi="Times New Roman"/>
        </w:rPr>
        <w:t>ser desclassificada por conta dessa formalidade.</w:t>
      </w:r>
    </w:p>
    <w:p w14:paraId="05B62956" w14:textId="77777777" w:rsidR="00DD1EB9" w:rsidRPr="00562A0F" w:rsidRDefault="00DD1EB9" w:rsidP="009D45A4">
      <w:pPr>
        <w:spacing w:after="240" w:line="240" w:lineRule="auto"/>
        <w:jc w:val="both"/>
        <w:rPr>
          <w:rFonts w:ascii="Times New Roman" w:hAnsi="Times New Roman"/>
          <w:color w:val="00000A"/>
          <w:lang w:eastAsia="pt-BR"/>
        </w:rPr>
      </w:pPr>
      <w:r w:rsidRPr="00562A0F">
        <w:rPr>
          <w:rFonts w:ascii="Times New Roman" w:hAnsi="Times New Roman"/>
        </w:rPr>
        <w:t xml:space="preserve">De qualquer forma, em havendo itens específicos reputados necessários para a execução da obra ou serviço, como determinadas máquinas, equipamentos ou pessoal técnico, o órgão poderá inserir a referida exigência, cuidando para não estabelecer </w:t>
      </w:r>
      <w:r w:rsidRPr="00562A0F">
        <w:rPr>
          <w:rFonts w:ascii="Times New Roman" w:hAnsi="Times New Roman"/>
          <w:color w:val="00000A"/>
          <w:lang w:eastAsia="pt-BR"/>
        </w:rPr>
        <w:t xml:space="preserve">exigências de propriedade ou localização prévia, que são vedadas pelo </w:t>
      </w:r>
      <w:r w:rsidRPr="00562A0F">
        <w:rPr>
          <w:rFonts w:ascii="Times New Roman" w:hAnsi="Times New Roman"/>
        </w:rPr>
        <w:t xml:space="preserve">que </w:t>
      </w:r>
      <w:r w:rsidRPr="00562A0F">
        <w:rPr>
          <w:rFonts w:ascii="Times New Roman" w:hAnsi="Times New Roman"/>
          <w:color w:val="00000A"/>
          <w:lang w:eastAsia="pt-BR"/>
        </w:rPr>
        <w:t>art. 30, § 6°, da Lei n° 8.666/93.</w:t>
      </w:r>
    </w:p>
    <w:p w14:paraId="385C7905" w14:textId="77777777" w:rsidR="00DD1EB9" w:rsidRPr="00562A0F" w:rsidRDefault="00DD1EB9" w:rsidP="009D45A4">
      <w:pPr>
        <w:spacing w:after="240" w:line="240" w:lineRule="auto"/>
        <w:jc w:val="both"/>
        <w:rPr>
          <w:rFonts w:ascii="Times New Roman" w:hAnsi="Times New Roman"/>
          <w:color w:val="00000A"/>
          <w:lang w:eastAsia="pt-BR"/>
        </w:rPr>
      </w:pPr>
    </w:p>
    <w:p w14:paraId="4E9B982C"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b/>
          <w:bCs/>
          <w:u w:val="single"/>
          <w:lang w:eastAsia="pt-BR"/>
        </w:rPr>
        <w:t>JUSTIFICATIVA</w:t>
      </w:r>
      <w:r w:rsidRPr="00562A0F">
        <w:rPr>
          <w:rFonts w:ascii="Times New Roman" w:hAnsi="Times New Roman"/>
          <w:lang w:eastAsia="pt-BR"/>
        </w:rPr>
        <w:t xml:space="preserve">: Na presente licitação, </w:t>
      </w:r>
      <w:r w:rsidRPr="00562A0F">
        <w:rPr>
          <w:rFonts w:ascii="Times New Roman" w:hAnsi="Times New Roman"/>
        </w:rPr>
        <w:t>(   ) SERÁ exigida a indicação de instalações, aparelhamento ou pessoal técnico com determinada qualificação, a seguir elencados:</w:t>
      </w:r>
    </w:p>
    <w:p w14:paraId="4229A447" w14:textId="77777777" w:rsidR="009D45A4" w:rsidRPr="00562A0F" w:rsidRDefault="009D45A4" w:rsidP="009D45A4">
      <w:pPr>
        <w:spacing w:after="240" w:line="240" w:lineRule="auto"/>
        <w:jc w:val="both"/>
        <w:rPr>
          <w:rFonts w:ascii="Times New Roman" w:hAnsi="Times New Roman"/>
        </w:rPr>
      </w:pPr>
      <w:r w:rsidRPr="00562A0F">
        <w:rPr>
          <w:rFonts w:ascii="Times New Roman" w:hAnsi="Times New Roman"/>
        </w:rPr>
        <w:t>----------------------------------------------------------------------------------------------------------------------------------------------------------------------------------------------------------------------------------------</w:t>
      </w:r>
      <w:r w:rsidRPr="00562A0F">
        <w:rPr>
          <w:rFonts w:ascii="Times New Roman" w:hAnsi="Times New Roman"/>
        </w:rPr>
        <w:lastRenderedPageBreak/>
        <w:t>-------------------------------------------------------------------------------------------------------------------------------------------------------------------------------------------------------------------------------------------------------------------------------------------------------------------------------------------------------------------------------------------------------------------</w:t>
      </w:r>
    </w:p>
    <w:p w14:paraId="52901EE5" w14:textId="77777777" w:rsidR="009D45A4" w:rsidRPr="00562A0F" w:rsidRDefault="009D45A4" w:rsidP="009D45A4">
      <w:pPr>
        <w:spacing w:after="240" w:line="240" w:lineRule="auto"/>
        <w:jc w:val="both"/>
        <w:rPr>
          <w:rFonts w:ascii="Times New Roman" w:hAnsi="Times New Roman"/>
        </w:rPr>
      </w:pPr>
    </w:p>
    <w:p w14:paraId="7DFE0EA1" w14:textId="77777777" w:rsidR="001B2956" w:rsidRPr="00562A0F" w:rsidRDefault="00864D51" w:rsidP="00297ABB">
      <w:pPr>
        <w:pStyle w:val="PargrafodaLista"/>
        <w:numPr>
          <w:ilvl w:val="1"/>
          <w:numId w:val="1"/>
        </w:numPr>
        <w:spacing w:after="240" w:line="240" w:lineRule="auto"/>
        <w:jc w:val="both"/>
        <w:rPr>
          <w:rFonts w:ascii="Times New Roman" w:hAnsi="Times New Roman"/>
          <w:b/>
          <w:bCs/>
          <w:u w:val="single"/>
        </w:rPr>
      </w:pPr>
      <w:r w:rsidRPr="00562A0F">
        <w:rPr>
          <w:rFonts w:ascii="Times New Roman" w:hAnsi="Times New Roman"/>
          <w:b/>
          <w:bCs/>
          <w:iCs/>
          <w:u w:val="single"/>
        </w:rPr>
        <w:t>EXIGÊNCIA DE VISTORIA PARA A LICITAÇÃO</w:t>
      </w:r>
    </w:p>
    <w:p w14:paraId="690D97CD"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De acordo com o art. 30, III, da Lei 8.666, de 1993, o licitante deve apresentar na habilitação “comprovação, fornecida pelo órgão licitante, de que recebeu os documentos, e, quando exigido, de que tomou conhecimento de todas as informações e das condições locais para o cumprimento das obrigações objeto da licitação”. Lembramos que tal documento só deve ser exigido para a habilitação do licitante caso a vistoria seja definida pelo órgão, no Projeto Básico, como obrigatória, assim como deverá ser apresentada justificativa, conforme item 3.3 do Anexo VII-A da IN SEGES/MP n. 5/2017.</w:t>
      </w:r>
    </w:p>
    <w:p w14:paraId="49858A02"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230C5634"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Esse quadro tornou-se mais crítico com o Acórdão 170/2018 – Plenário (Informativo 339), que chega a considerar a vistoria como um Direito do Licitante, e não uma obrigação imposta pela Administração.</w:t>
      </w:r>
    </w:p>
    <w:p w14:paraId="2B53DCD0"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 xml:space="preserve">Por isso, a redação padrão do edital da AGU permite ao licitante emitir a declaração, mesmo quando o órgão exija a vistoria. </w:t>
      </w:r>
    </w:p>
    <w:p w14:paraId="4B4ADBD2"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Caso o órgão efetivamente pretenda exigir a vistoria, sem permitir essa alternativa aos licitantes, deve apresentar a justificativa técnica robusta para tal exigência.</w:t>
      </w:r>
    </w:p>
    <w:p w14:paraId="11DFF357"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De qualquer forma, reitera-se que a exigência de vistoria deve ser excepcional, porque restringe a participação no certame, razão pela qual a divulgação de ‘fotografias, plantas, desenhos técnicos e congêneres’ torna-se ainda mais importante, para a correta dimensão do custo da execução e, consequentemente, para a maior isonomia entre os licitantes.</w:t>
      </w:r>
    </w:p>
    <w:p w14:paraId="5787013C" w14:textId="77777777" w:rsidR="00DD1EB9" w:rsidRPr="00562A0F" w:rsidRDefault="00DD1EB9" w:rsidP="009D45A4">
      <w:pPr>
        <w:spacing w:after="240" w:line="240" w:lineRule="auto"/>
        <w:jc w:val="both"/>
        <w:rPr>
          <w:rFonts w:ascii="Times New Roman" w:hAnsi="Times New Roman"/>
        </w:rPr>
      </w:pPr>
    </w:p>
    <w:p w14:paraId="71473036"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Na presente licitação, a realização de vistoria será (   ) FACULTATIVA ou (   ) OBRIGATÓRIA, e o licitante (   ) PODERÁ ou (   ) NÃO PODERÁ substituir o atestado de vistoria pela declaração de pleno conhecimento das condições de execução do objeto, com base na seguinte justificativa técnica:</w:t>
      </w:r>
    </w:p>
    <w:p w14:paraId="53118A84" w14:textId="28CD6007" w:rsidR="009D45A4" w:rsidRPr="00562A0F" w:rsidRDefault="009D45A4" w:rsidP="009D45A4">
      <w:pPr>
        <w:spacing w:after="240" w:line="240" w:lineRule="auto"/>
        <w:jc w:val="both"/>
        <w:rPr>
          <w:rFonts w:ascii="Times New Roman" w:hAnsi="Times New Roman"/>
        </w:rPr>
      </w:pPr>
      <w:r w:rsidRPr="00562A0F">
        <w:rPr>
          <w:rFonts w:ascii="Times New Roman" w:hAnsi="Times New Roman"/>
        </w:rPr>
        <w:t>-----------------------------------------------------------------------------------------------------------------------------------------------------------------------------------------------------------------------------------------------------------------------------------------------------------------------------------------------------------------------------------------------------------------------------------------------------------------------------------------------------------------------------------------------------------------------------------------------------------------------------------------------------------</w:t>
      </w:r>
      <w:r w:rsidR="007D6997">
        <w:rPr>
          <w:rFonts w:ascii="Times New Roman" w:hAnsi="Times New Roman"/>
        </w:rPr>
        <w:br/>
      </w:r>
    </w:p>
    <w:p w14:paraId="4034416D" w14:textId="77777777" w:rsidR="007D6997" w:rsidRPr="00562A0F" w:rsidRDefault="007D6997" w:rsidP="007D6997">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POSSIBILIDADE DE SUBCONTRATAÇÃO</w:t>
      </w:r>
    </w:p>
    <w:p w14:paraId="2FBEDAD3" w14:textId="77777777" w:rsidR="007D6997" w:rsidRPr="00562A0F" w:rsidRDefault="007D6997" w:rsidP="007D6997">
      <w:pPr>
        <w:spacing w:after="240" w:line="240" w:lineRule="auto"/>
        <w:jc w:val="both"/>
        <w:rPr>
          <w:rFonts w:ascii="Times New Roman" w:hAnsi="Times New Roman"/>
        </w:rPr>
      </w:pPr>
      <w:r w:rsidRPr="00562A0F">
        <w:rPr>
          <w:rFonts w:ascii="Times New Roman" w:hAnsi="Times New Roman"/>
        </w:rPr>
        <w:lastRenderedPageBreak/>
        <w:t>Dispõe a Lei nº 8.666/93, em seu art. 72,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47DD9D87" w14:textId="77777777" w:rsidR="007D6997" w:rsidRPr="00562A0F" w:rsidRDefault="007D6997" w:rsidP="007D6997">
      <w:pPr>
        <w:spacing w:after="240" w:line="240" w:lineRule="auto"/>
        <w:jc w:val="both"/>
        <w:rPr>
          <w:rFonts w:ascii="Times New Roman" w:hAnsi="Times New Roman"/>
          <w:lang w:eastAsia="pt-BR"/>
        </w:rPr>
      </w:pPr>
      <w:r w:rsidRPr="00562A0F">
        <w:rPr>
          <w:rFonts w:ascii="Times New Roman" w:hAnsi="Times New Roman"/>
          <w:lang w:eastAsia="pt-BR"/>
        </w:rPr>
        <w:t>Vejamos também a doutrina de Marçal Justen Filho:</w:t>
      </w:r>
    </w:p>
    <w:p w14:paraId="1BF12BD2" w14:textId="77777777" w:rsidR="007D6997" w:rsidRPr="00562A0F" w:rsidRDefault="007D6997" w:rsidP="007D6997">
      <w:pPr>
        <w:spacing w:after="240" w:line="240" w:lineRule="auto"/>
        <w:ind w:left="708"/>
        <w:jc w:val="both"/>
        <w:rPr>
          <w:rFonts w:ascii="Times New Roman" w:hAnsi="Times New Roman"/>
          <w:lang w:eastAsia="pt-BR"/>
        </w:rPr>
      </w:pPr>
      <w:r w:rsidRPr="00562A0F">
        <w:rPr>
          <w:rFonts w:ascii="Times New Roman" w:hAnsi="Times New Roman"/>
          <w:lang w:eastAsia="pt-BR"/>
        </w:rPr>
        <w:t>“A hipótese torna-se cabível, por exemplo, quando o objeto licitado comporta uma execução complexa, em que algumas fases, etapas ou aspectos apresentam grande simplicidade e possam ser desempenhados por terceiros sem que isso acarrete prejuízo. A evolução dos princípios organizacionais produziu o fenômeno denominado de “terceirização”, que deriva dos princípios da especialização e da concentração de atividades. Em vez de desempenhar integralmente todos os ângulos de uma atividade, as empresas tornam-se especialistas em certos setores.</w:t>
      </w:r>
    </w:p>
    <w:p w14:paraId="0E2AE0B9" w14:textId="77777777" w:rsidR="007D6997" w:rsidRPr="00562A0F" w:rsidRDefault="007D6997" w:rsidP="007D6997">
      <w:pPr>
        <w:spacing w:after="240" w:line="240" w:lineRule="auto"/>
        <w:ind w:left="708"/>
        <w:jc w:val="both"/>
        <w:rPr>
          <w:rFonts w:ascii="Times New Roman" w:hAnsi="Times New Roman"/>
          <w:lang w:eastAsia="pt-BR"/>
        </w:rPr>
      </w:pPr>
      <w:r w:rsidRPr="00562A0F">
        <w:rPr>
          <w:rFonts w:ascii="Times New Roman" w:hAnsi="Times New Roman"/>
          <w:lang w:eastAsia="pt-BR"/>
        </w:rPr>
        <w:t>A escolha da Administração deve ser orientada pelos princípios que regem a atividade privada. Se, na iniciativa privada, prevalece a subcontratação na execução de certas prestações, o ato convocatório deverá albergar permissão para que idênticos procedimentos sejam adotados na execução do contrato administrativo. Assim se impõe porque, estabelecendo regras diversas das práticas entre os particulares, a Administração reduziria a competitividade do certame. É óbvio que se pressupõe, em todas as hipóteses, que a Administração comprove se as práticas usuais adotadas pela iniciativa privada são adequadas para satisfazer os interesses fundamentais.” (Comentários à Lei de Licitações e Contratos Administrativos, 11ª ed., São Paulo: Dialética, 2005, p. 566)</w:t>
      </w:r>
    </w:p>
    <w:p w14:paraId="1DFBCCFC" w14:textId="77777777" w:rsidR="007D6997" w:rsidRPr="00DD4E47" w:rsidRDefault="007D6997" w:rsidP="007D6997">
      <w:pPr>
        <w:spacing w:after="240" w:line="240" w:lineRule="auto"/>
        <w:jc w:val="both"/>
        <w:rPr>
          <w:rFonts w:ascii="Times New Roman" w:hAnsi="Times New Roman"/>
        </w:rPr>
      </w:pPr>
      <w:r w:rsidRPr="00562A0F">
        <w:rPr>
          <w:rFonts w:ascii="Times New Roman" w:hAnsi="Times New Roman"/>
        </w:rPr>
        <w:t xml:space="preserve">À Administração contratante cabe, exercitando a previsão do edital, autorizar a subcontratação. Esta, mais do que possível, é desejável, na medida em que o Projeto Básico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Projeto Básico e convém à consecução das finalidades do contrato. Caso admitida, cabe ao Projeto Básico </w:t>
      </w:r>
      <w:r w:rsidRPr="00DD4E47">
        <w:rPr>
          <w:rFonts w:ascii="Times New Roman" w:hAnsi="Times New Roman"/>
        </w:rPr>
        <w:t>estabelecer com detalhamento seus limites e condições.</w:t>
      </w:r>
    </w:p>
    <w:p w14:paraId="5FF3A6BA" w14:textId="77777777" w:rsidR="007D6997" w:rsidRPr="00DD4E47" w:rsidRDefault="007D6997" w:rsidP="007D6997">
      <w:pPr>
        <w:spacing w:after="240" w:line="240" w:lineRule="auto"/>
        <w:jc w:val="both"/>
        <w:rPr>
          <w:rFonts w:ascii="Times New Roman" w:hAnsi="Times New Roman"/>
          <w:lang w:eastAsia="pt-BR"/>
        </w:rPr>
      </w:pPr>
      <w:r w:rsidRPr="00DD4E47">
        <w:rPr>
          <w:rFonts w:ascii="Times New Roman" w:hAnsi="Times New Roman"/>
          <w:lang w:eastAsia="pt-BR"/>
        </w:rPr>
        <w:t>No entanto, quando a licitação demanda rigorosa comprovação da qualificação técnica da empresa, torna-se um contrassenso admitir a ampla possibilidade de subcontratação, inclusive dos serviços que integram o núcleo do objeto contratado. De fato, tais exigências só se justificam frente à necessidade de assegurar a capacitação e aptidão técnica da empresa para executar satisfatoriamente os serviços licitados, dada sua presumível complexidade ou especialidade. É incoerente autorizar que, após severo processo de seleção, outra empresa os execute – conforme a jurisprudência do TCU (Acórdãos n° 3.144/2011 e 2.760/2012 do Plenário).</w:t>
      </w:r>
    </w:p>
    <w:p w14:paraId="21501CD7" w14:textId="77777777" w:rsidR="007D6997" w:rsidRPr="00DD4E47" w:rsidRDefault="007D6997" w:rsidP="007D6997">
      <w:pPr>
        <w:spacing w:after="240" w:line="240" w:lineRule="auto"/>
        <w:jc w:val="both"/>
        <w:rPr>
          <w:rFonts w:ascii="Times New Roman" w:hAnsi="Times New Roman"/>
          <w:lang w:eastAsia="pt-BR"/>
        </w:rPr>
      </w:pPr>
      <w:r w:rsidRPr="00DD4E47">
        <w:rPr>
          <w:rFonts w:ascii="Times New Roman" w:hAnsi="Times New Roman"/>
          <w:lang w:eastAsia="pt-BR"/>
        </w:rPr>
        <w:t>De todo modo, tratando-se de questão técnica, cabe ao setor técnico analisá-la sob tal ponto de vista - configuração do mercado fornecedor e práticas adotadas pelos fornecedores do ramo - e apresentar a justificativa pertinente a cada caso concreto, seja para admitir ou negar a subcontratação.</w:t>
      </w:r>
    </w:p>
    <w:p w14:paraId="196F33D5" w14:textId="77777777" w:rsidR="007D6997" w:rsidRPr="00562A0F" w:rsidRDefault="007D6997" w:rsidP="007D6997">
      <w:pPr>
        <w:spacing w:after="240" w:line="240" w:lineRule="auto"/>
        <w:jc w:val="both"/>
        <w:rPr>
          <w:rFonts w:ascii="Times New Roman" w:hAnsi="Times New Roman"/>
          <w:lang w:eastAsia="pt-BR"/>
        </w:rPr>
      </w:pPr>
      <w:r w:rsidRPr="00DD4E47">
        <w:rPr>
          <w:rFonts w:ascii="Times New Roman" w:hAnsi="Times New Roman"/>
          <w:lang w:eastAsia="pt-BR"/>
        </w:rPr>
        <w:t>Caso o órgão</w:t>
      </w:r>
      <w:r>
        <w:rPr>
          <w:rFonts w:ascii="Times New Roman" w:hAnsi="Times New Roman"/>
          <w:lang w:eastAsia="pt-BR"/>
        </w:rPr>
        <w:t>/entidade</w:t>
      </w:r>
      <w:r w:rsidRPr="00DD4E47">
        <w:rPr>
          <w:rFonts w:ascii="Times New Roman" w:hAnsi="Times New Roman"/>
          <w:lang w:eastAsia="pt-BR"/>
        </w:rPr>
        <w:t xml:space="preserve"> eventualmente decida admitir a subcontratação no presente feito, a jurisprudência do TCU orienta que sejam definidas as parcelas passíveis de subcontratação (por exemplo, Acórdãos nº 1.041/2012 – 2ª Câmara e n° 1.626/2010 – Plenário) – mantendo-se, porém, as diretrizes anteriores, especialmente: a) que não abranjam as parcelas principais da contratação; b) que não abranjam as parcelas requeridas na comprovação de qualificação técnica do licitante.</w:t>
      </w:r>
    </w:p>
    <w:p w14:paraId="5A24300B" w14:textId="77777777" w:rsidR="007D6997" w:rsidRPr="00562A0F" w:rsidRDefault="007D6997" w:rsidP="007D6997">
      <w:pPr>
        <w:spacing w:after="240" w:line="240" w:lineRule="auto"/>
        <w:jc w:val="both"/>
        <w:rPr>
          <w:rFonts w:ascii="Times New Roman" w:hAnsi="Times New Roman"/>
          <w:highlight w:val="yellow"/>
        </w:rPr>
      </w:pPr>
    </w:p>
    <w:p w14:paraId="395402A5" w14:textId="77777777" w:rsidR="007D6997" w:rsidRPr="00562A0F" w:rsidRDefault="007D6997" w:rsidP="007D6997">
      <w:pPr>
        <w:spacing w:after="240" w:line="240" w:lineRule="auto"/>
        <w:jc w:val="both"/>
        <w:rPr>
          <w:rFonts w:ascii="Times New Roman" w:hAnsi="Times New Roman"/>
        </w:rPr>
      </w:pPr>
      <w:r w:rsidRPr="00562A0F">
        <w:rPr>
          <w:rFonts w:ascii="Times New Roman" w:hAnsi="Times New Roman"/>
          <w:b/>
          <w:bCs/>
          <w:u w:val="single"/>
        </w:rPr>
        <w:lastRenderedPageBreak/>
        <w:t>JUSTIFICATIVA</w:t>
      </w:r>
      <w:r w:rsidRPr="00562A0F">
        <w:rPr>
          <w:rFonts w:ascii="Times New Roman" w:hAnsi="Times New Roman"/>
        </w:rPr>
        <w:t>: O Projeto Básico (   ) ADMITIU ou (   ) NÃO ADMITIU a subcontratação na presente licitação, de acordo com as diretrizes acima e as seguintes considerações (preencher se necessário):</w:t>
      </w:r>
    </w:p>
    <w:p w14:paraId="66F635F4" w14:textId="02EA705C" w:rsidR="007D6997" w:rsidRPr="00562A0F" w:rsidRDefault="007D6997" w:rsidP="007D6997">
      <w:pPr>
        <w:spacing w:after="240" w:line="240" w:lineRule="auto"/>
        <w:jc w:val="both"/>
        <w:rPr>
          <w:rFonts w:ascii="Times New Roman" w:hAnsi="Times New Roman"/>
        </w:rPr>
      </w:pPr>
      <w:r w:rsidRPr="00562A0F">
        <w:rPr>
          <w:rFonts w:ascii="Times New Roman" w:hAnsi="Times New Roman"/>
        </w:rPr>
        <w:t>----------------------------------------------------------------------------------------------------------------------------------------------------------------------------------------------------------------------------------------------------------------------------------------------------------------------------------------------------------------------------------------------------------------------------------------------------------------------------------------------------------------------------------------------------------------------------------------------------------------------------------------------------------</w:t>
      </w:r>
    </w:p>
    <w:p w14:paraId="62FBD061" w14:textId="2DCA73A0" w:rsidR="009D45A4" w:rsidRDefault="009D45A4" w:rsidP="009D45A4">
      <w:pPr>
        <w:spacing w:after="240" w:line="240" w:lineRule="auto"/>
        <w:jc w:val="both"/>
        <w:rPr>
          <w:rFonts w:ascii="Times New Roman" w:hAnsi="Times New Roman"/>
        </w:rPr>
      </w:pPr>
    </w:p>
    <w:p w14:paraId="4AC28F93" w14:textId="2D509B9B" w:rsidR="009D09D4" w:rsidRDefault="009D09D4" w:rsidP="009D45A4">
      <w:pPr>
        <w:spacing w:after="240" w:line="240" w:lineRule="auto"/>
        <w:jc w:val="both"/>
        <w:rPr>
          <w:rFonts w:ascii="Times New Roman" w:hAnsi="Times New Roman"/>
        </w:rPr>
      </w:pPr>
    </w:p>
    <w:p w14:paraId="086E5344" w14:textId="0B7D15E6" w:rsidR="009D09D4" w:rsidRDefault="009D09D4" w:rsidP="009D45A4">
      <w:pPr>
        <w:spacing w:after="240" w:line="240" w:lineRule="auto"/>
        <w:jc w:val="both"/>
        <w:rPr>
          <w:rFonts w:ascii="Times New Roman" w:hAnsi="Times New Roman"/>
        </w:rPr>
      </w:pPr>
    </w:p>
    <w:p w14:paraId="58BDC2E3" w14:textId="77777777" w:rsidR="009D09D4" w:rsidRPr="00562A0F" w:rsidRDefault="009D09D4" w:rsidP="009D45A4">
      <w:pPr>
        <w:spacing w:after="240" w:line="240" w:lineRule="auto"/>
        <w:jc w:val="both"/>
        <w:rPr>
          <w:rFonts w:ascii="Times New Roman" w:hAnsi="Times New Roman"/>
        </w:rPr>
      </w:pPr>
    </w:p>
    <w:p w14:paraId="7175FEB0" w14:textId="77777777" w:rsidR="001B2956"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EXIGÊNCIAS DE QUALIFICAÇÃO ECONÔMICO-FINANCEIRA</w:t>
      </w:r>
    </w:p>
    <w:p w14:paraId="56B8A3E4" w14:textId="77777777" w:rsidR="009D45A4" w:rsidRPr="00562A0F" w:rsidRDefault="009D45A4" w:rsidP="009D45A4">
      <w:pPr>
        <w:pStyle w:val="PargrafodaLista"/>
        <w:spacing w:after="240" w:line="240" w:lineRule="auto"/>
        <w:ind w:left="360"/>
        <w:jc w:val="both"/>
        <w:rPr>
          <w:rFonts w:ascii="Times New Roman" w:hAnsi="Times New Roman"/>
          <w:b/>
          <w:bCs/>
          <w:u w:val="single"/>
        </w:rPr>
      </w:pPr>
    </w:p>
    <w:p w14:paraId="047448B5" w14:textId="77777777" w:rsidR="00864D51" w:rsidRPr="00562A0F" w:rsidRDefault="00864D51" w:rsidP="00297ABB">
      <w:pPr>
        <w:pStyle w:val="PargrafodaLista"/>
        <w:numPr>
          <w:ilvl w:val="1"/>
          <w:numId w:val="1"/>
        </w:numPr>
        <w:spacing w:after="240" w:line="240" w:lineRule="auto"/>
        <w:jc w:val="both"/>
        <w:rPr>
          <w:rFonts w:ascii="Times New Roman" w:hAnsi="Times New Roman"/>
          <w:b/>
          <w:bCs/>
          <w:u w:val="single"/>
        </w:rPr>
      </w:pPr>
      <w:r w:rsidRPr="00562A0F">
        <w:rPr>
          <w:rFonts w:ascii="Times New Roman" w:hAnsi="Times New Roman"/>
          <w:b/>
          <w:bCs/>
          <w:u w:val="single"/>
        </w:rPr>
        <w:t>DEFINIÇÃO DO PERCENTUAL DE CAPITAL OU PATRIMÔNIO LÍQUIDO MÍNIMO</w:t>
      </w:r>
    </w:p>
    <w:p w14:paraId="74959E1C"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 xml:space="preserve">O licitante que apresentar índices econômicos iguais ou inferiores a 1 (um) em qualquer dos índices de Liquidez Geral, Solvência Geral e Liquidez Corrente deverá comprovar que possui capital </w:t>
      </w:r>
      <w:r w:rsidRPr="00AF5131">
        <w:rPr>
          <w:rFonts w:ascii="Times New Roman" w:hAnsi="Times New Roman"/>
          <w:b/>
          <w:bCs/>
          <w:u w:val="single"/>
        </w:rPr>
        <w:t>ou</w:t>
      </w:r>
      <w:r w:rsidRPr="00562A0F">
        <w:rPr>
          <w:rFonts w:ascii="Times New Roman" w:hAnsi="Times New Roman"/>
        </w:rPr>
        <w:t xml:space="preserve"> patrimônio líquido mínimo equivalente a determinado percentual do valor total estimado da contratação, limitado ao máximo de 10% (dez por cento).</w:t>
      </w:r>
    </w:p>
    <w:p w14:paraId="2ADF814C"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A fixação do percentual se insere na esfera de atuação discricionária da Administração até o limite legal de 10% (dez por cento) (art. 31, § 3º da Lei nº 8.666/93), a qual deve balizar-se em critérios técnicos. 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5B701474" w14:textId="77777777" w:rsidR="00DD1EB9" w:rsidRPr="00562A0F" w:rsidRDefault="00DD1EB9" w:rsidP="009D45A4">
      <w:pPr>
        <w:spacing w:after="240" w:line="240" w:lineRule="auto"/>
        <w:jc w:val="both"/>
        <w:rPr>
          <w:rFonts w:ascii="Times New Roman" w:hAnsi="Times New Roman"/>
        </w:rPr>
      </w:pPr>
    </w:p>
    <w:p w14:paraId="75CD89CB"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Na presente licitação, será exigida a comprovação de (   ) CAPITAL MÍNIMO ou (   ) PATRIMÔNIO LÍQUIDO MÍNIMO, no percentual de (                        ) por cento sobre o valor total estimado da contratação, com base na seguinte justificativa técnica:</w:t>
      </w:r>
    </w:p>
    <w:p w14:paraId="692C20E9" w14:textId="77777777" w:rsidR="009D45A4" w:rsidRPr="00562A0F" w:rsidRDefault="009D45A4" w:rsidP="009D45A4">
      <w:pPr>
        <w:spacing w:after="240" w:line="240" w:lineRule="auto"/>
        <w:jc w:val="both"/>
        <w:rPr>
          <w:rFonts w:ascii="Times New Roman" w:hAnsi="Times New Roman"/>
        </w:rPr>
      </w:pPr>
      <w:r w:rsidRPr="00562A0F">
        <w:rPr>
          <w:rFonts w:ascii="Times New Roman" w:hAnsi="Times New Roman"/>
        </w:rPr>
        <w:t>-----------------------------------------------------------------------------------------------------------------------------------------------------------------------------------------------------------------------------------------------------------------------------------------------------------------------------------------------------------------------------------------------------------------------------------------------------------------------------------------------------------------------------------------------------------------------------------------------------------------------------------------------------------</w:t>
      </w:r>
    </w:p>
    <w:p w14:paraId="5CF787B3" w14:textId="77777777" w:rsidR="00DD1EB9" w:rsidRPr="00562A0F" w:rsidRDefault="00DD1EB9" w:rsidP="009D45A4">
      <w:pPr>
        <w:spacing w:after="240" w:line="240" w:lineRule="auto"/>
        <w:jc w:val="both"/>
        <w:rPr>
          <w:rFonts w:ascii="Times New Roman" w:hAnsi="Times New Roman"/>
          <w:color w:val="000000"/>
        </w:rPr>
      </w:pPr>
    </w:p>
    <w:p w14:paraId="1F1DBDF0" w14:textId="77777777" w:rsidR="00001F07" w:rsidRPr="00562A0F" w:rsidRDefault="00001F07"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lastRenderedPageBreak/>
        <w:t>PARTICIPAÇÃO DE CONSÓRCIOS</w:t>
      </w:r>
    </w:p>
    <w:p w14:paraId="1DD25153"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ns. 1.636/2006-P e 566/2006-P” - TCU Ac n. 2869/2012-Plenário (Item 1.7.1).</w:t>
      </w:r>
    </w:p>
    <w:p w14:paraId="2886A35D"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Em todo caso, a Administração deverá fundamentar qualquer opção adotada, vez que “...a vedação de empresas em consórcio, sem que haja justificativa razoável...” pode ser considerada restrição à competitividade do certame (TCU, Ac n. 963/2011-2ª Câmara, Item 9.2.1).</w:t>
      </w:r>
    </w:p>
    <w:p w14:paraId="5035E1D4" w14:textId="77777777" w:rsidR="00DD1EB9" w:rsidRPr="00562A0F" w:rsidRDefault="00DD1EB9" w:rsidP="009D45A4">
      <w:pPr>
        <w:spacing w:after="240" w:line="240" w:lineRule="auto"/>
        <w:jc w:val="both"/>
        <w:rPr>
          <w:rFonts w:ascii="Times New Roman" w:hAnsi="Times New Roman"/>
          <w:lang w:eastAsia="pt-BR"/>
        </w:rPr>
      </w:pPr>
      <w:r w:rsidRPr="00562A0F">
        <w:rPr>
          <w:rFonts w:ascii="Times New Roman" w:hAnsi="Times New Roman"/>
          <w:lang w:eastAsia="pt-BR"/>
        </w:rPr>
        <w:t>Tal justificativa deve basear-se na análise individualizada do caso concreto, conforme orientações do TCU: “Deve-se analisar com a profundidade que cada empreendimento estará a requerer, por exemplo, o risco à competitividade, as dificuldades de gestão da obra, a capacitação técnica dos participantes, fatos estes que poderão gerar atraso nas obras como um todo, implicando em grandes prejuízos ao Erário. Outros aspectos deverão dimensionar a complexidade do empreendimento, os riscos de contratação de empresas sem qualificação para a assunção de encargos além de suas respectivas capacidades técnica, operacional ou econômico-financeira, todos esses fatores que estarão a sopesar a decisão que deverá ser tomada pelo gestor.” (Acórdão n° 1.165/2012 – Plenário)</w:t>
      </w:r>
    </w:p>
    <w:p w14:paraId="3E2560F3" w14:textId="77777777" w:rsidR="00DD1EB9" w:rsidRPr="00562A0F" w:rsidRDefault="00DD1EB9" w:rsidP="009D45A4">
      <w:pPr>
        <w:spacing w:after="240" w:line="240" w:lineRule="auto"/>
        <w:jc w:val="both"/>
        <w:rPr>
          <w:rFonts w:ascii="Times New Roman" w:hAnsi="Times New Roman"/>
          <w:lang w:eastAsia="pt-BR"/>
        </w:rPr>
      </w:pPr>
      <w:r w:rsidRPr="00562A0F">
        <w:rPr>
          <w:rFonts w:ascii="Times New Roman" w:hAnsi="Times New Roman"/>
          <w:lang w:eastAsia="pt-BR"/>
        </w:rPr>
        <w:t>Ao final, de acordo com o Acórdão nº 2.898/2012 - Plenário, "</w:t>
      </w:r>
      <w:r w:rsidRPr="00562A0F">
        <w:rPr>
          <w:rFonts w:ascii="Times New Roman" w:hAnsi="Times New Roman"/>
          <w:color w:val="000000"/>
          <w:lang w:eastAsia="pt-BR"/>
        </w:rPr>
        <w:t>deve ser admitida a formação de consórcio quanto o objeto a ser licitado envolver questões de alta complexidade e de relevante vulto, em que empresas, isoladamente, não tenham condições de suprir os requisitos de habilitação do edital, com vistas à ampliação da competitividade e à obtenção da proposta mais vantajosa, em atendimento ao art. 3º, § 1º, inciso I, da Lei 8.666/1993".</w:t>
      </w:r>
    </w:p>
    <w:p w14:paraId="3B052970" w14:textId="77777777" w:rsidR="00DD1EB9" w:rsidRPr="00562A0F" w:rsidRDefault="00DD1EB9" w:rsidP="009D45A4">
      <w:pPr>
        <w:spacing w:after="240" w:line="240" w:lineRule="auto"/>
        <w:jc w:val="both"/>
        <w:rPr>
          <w:rFonts w:ascii="Times New Roman" w:hAnsi="Times New Roman"/>
          <w:lang w:eastAsia="pt-BR"/>
        </w:rPr>
      </w:pPr>
    </w:p>
    <w:p w14:paraId="50137B63" w14:textId="77777777" w:rsidR="00DD1EB9" w:rsidRPr="00562A0F" w:rsidRDefault="00DD1EB9" w:rsidP="009D45A4">
      <w:pPr>
        <w:spacing w:after="240" w:line="240" w:lineRule="auto"/>
        <w:jc w:val="both"/>
        <w:rPr>
          <w:rFonts w:ascii="Times New Roman" w:hAnsi="Times New Roman"/>
          <w:lang w:eastAsia="pt-BR"/>
        </w:rPr>
      </w:pPr>
      <w:r w:rsidRPr="00562A0F">
        <w:rPr>
          <w:rFonts w:ascii="Times New Roman" w:hAnsi="Times New Roman"/>
          <w:b/>
          <w:bCs/>
          <w:u w:val="single"/>
          <w:lang w:eastAsia="pt-BR"/>
        </w:rPr>
        <w:t>JUSTIFICATIVA</w:t>
      </w:r>
      <w:r w:rsidRPr="00562A0F">
        <w:rPr>
          <w:rFonts w:ascii="Times New Roman" w:hAnsi="Times New Roman"/>
          <w:lang w:eastAsia="pt-BR"/>
        </w:rPr>
        <w:t>: Na presente licitação, será (   ) VEDADA ou (   ) PERMITIDA a participação de consórcios, com base na seguinte justificativa:</w:t>
      </w:r>
    </w:p>
    <w:p w14:paraId="16716CAB" w14:textId="77777777" w:rsidR="009D45A4" w:rsidRPr="00562A0F" w:rsidRDefault="009D45A4" w:rsidP="009D45A4">
      <w:pPr>
        <w:spacing w:after="240" w:line="240" w:lineRule="auto"/>
        <w:jc w:val="both"/>
        <w:rPr>
          <w:rFonts w:ascii="Times New Roman" w:hAnsi="Times New Roman"/>
        </w:rPr>
      </w:pPr>
      <w:r w:rsidRPr="00562A0F">
        <w:rPr>
          <w:rFonts w:ascii="Times New Roman" w:hAnsi="Times New Roman"/>
        </w:rPr>
        <w:t>-----------------------------------------------------------------------------------------------------------------------------------------------------------------------------------------------------------------------------------------------------------------------------------------------------------------------------------------------------------------------------------------------------------------------------------------------------------------------------------------------------------------------------------------------------------------------------------------------------------------------------------------------------------</w:t>
      </w:r>
    </w:p>
    <w:p w14:paraId="18629E96" w14:textId="77777777" w:rsidR="009D45A4" w:rsidRPr="00562A0F" w:rsidRDefault="009D45A4" w:rsidP="009D45A4">
      <w:pPr>
        <w:spacing w:after="240" w:line="240" w:lineRule="auto"/>
        <w:jc w:val="both"/>
        <w:rPr>
          <w:rFonts w:ascii="Times New Roman" w:hAnsi="Times New Roman"/>
        </w:rPr>
      </w:pPr>
    </w:p>
    <w:p w14:paraId="4135DB83" w14:textId="2F7E24A3" w:rsidR="00FD67D4" w:rsidRPr="00FD67D4" w:rsidRDefault="00001F07" w:rsidP="00270F84">
      <w:pPr>
        <w:pStyle w:val="PargrafodaLista"/>
        <w:numPr>
          <w:ilvl w:val="0"/>
          <w:numId w:val="1"/>
        </w:numPr>
        <w:spacing w:after="240" w:line="240" w:lineRule="auto"/>
        <w:jc w:val="both"/>
        <w:rPr>
          <w:rFonts w:ascii="Times New Roman" w:hAnsi="Times New Roman"/>
          <w:b/>
          <w:bCs/>
          <w:u w:val="single"/>
        </w:rPr>
      </w:pPr>
      <w:r w:rsidRPr="00FD67D4">
        <w:rPr>
          <w:rFonts w:ascii="Times New Roman" w:hAnsi="Times New Roman"/>
          <w:b/>
          <w:bCs/>
          <w:u w:val="single"/>
        </w:rPr>
        <w:t>PARTICIPAÇÃO DE COOPERATIVAS</w:t>
      </w:r>
    </w:p>
    <w:p w14:paraId="6B033A24" w14:textId="77777777" w:rsidR="00DD1EB9" w:rsidRPr="00562A0F" w:rsidRDefault="00DD1EB9" w:rsidP="009D45A4">
      <w:pPr>
        <w:spacing w:after="240" w:line="240" w:lineRule="auto"/>
        <w:jc w:val="both"/>
        <w:rPr>
          <w:rFonts w:ascii="Times New Roman" w:hAnsi="Times New Roman"/>
          <w:color w:val="000000" w:themeColor="text1"/>
        </w:rPr>
      </w:pPr>
      <w:r w:rsidRPr="00562A0F">
        <w:rPr>
          <w:rFonts w:ascii="Times New Roman" w:hAnsi="Times New Roman"/>
        </w:rPr>
        <w:t xml:space="preserve">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 – conforme a diretriz do </w:t>
      </w:r>
      <w:r w:rsidRPr="00562A0F">
        <w:rPr>
          <w:rFonts w:ascii="Times New Roman" w:hAnsi="Times New Roman"/>
          <w:color w:val="000000" w:themeColor="text1"/>
        </w:rPr>
        <w:t>artigo 10 da Instrução Normativa SEGES/MP n° 5, de 2017.</w:t>
      </w:r>
    </w:p>
    <w:p w14:paraId="75DA5B67" w14:textId="5E3714F6" w:rsidR="00DD1EB9" w:rsidRDefault="00DD1EB9" w:rsidP="009D45A4">
      <w:pPr>
        <w:spacing w:after="240" w:line="240" w:lineRule="auto"/>
        <w:jc w:val="both"/>
        <w:rPr>
          <w:rFonts w:ascii="Times New Roman" w:hAnsi="Times New Roman"/>
        </w:rPr>
      </w:pPr>
      <w:r w:rsidRPr="00562A0F">
        <w:rPr>
          <w:rFonts w:ascii="Times New Roman" w:hAnsi="Times New Roman"/>
        </w:rPr>
        <w:t>Segundo a 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77505186" w14:textId="77777777" w:rsidR="006B0B2D" w:rsidRPr="006B0B2D" w:rsidRDefault="006B0B2D" w:rsidP="006B0B2D">
      <w:pPr>
        <w:spacing w:after="48" w:line="288" w:lineRule="atLeast"/>
        <w:jc w:val="both"/>
        <w:rPr>
          <w:rFonts w:ascii="Times New Roman, Times, serif" w:eastAsia="Times New Roman" w:hAnsi="Times New Roman, Times, serif"/>
          <w:color w:val="000000"/>
          <w:lang w:eastAsia="pt-BR"/>
        </w:rPr>
      </w:pPr>
      <w:r w:rsidRPr="006B0B2D">
        <w:rPr>
          <w:rFonts w:ascii="Times New Roman, Times, serif" w:eastAsia="Times New Roman" w:hAnsi="Times New Roman, Times, serif"/>
          <w:color w:val="000000"/>
          <w:lang w:eastAsia="pt-BR"/>
        </w:rPr>
        <w:lastRenderedPageBreak/>
        <w:t>De igual modo, o Parecer n. 096/2015/DECOR/CGU/AGU (00407.004648/2014-96, Seq. 14) tem a seguinte ementa:</w:t>
      </w:r>
    </w:p>
    <w:p w14:paraId="5F546F4C" w14:textId="77777777" w:rsidR="006B0B2D" w:rsidRPr="006B0B2D" w:rsidRDefault="006B0B2D" w:rsidP="006B0B2D">
      <w:pPr>
        <w:pStyle w:val="citaoLU"/>
        <w:rPr>
          <w:lang w:eastAsia="pt-BR"/>
        </w:rPr>
      </w:pPr>
      <w:r w:rsidRPr="006B0B2D">
        <w:rPr>
          <w:lang w:eastAsia="pt-BR"/>
        </w:rPr>
        <w:t>DIREITO ADMINISTRATIVO E DIREITO DO TRABALHO. DIVERGÊNCIA CARACTERIZADA ENTRE A PROCURADORIA-GERAL FEDERAL E A PROCURADORIA-GERAL DA UNIÃO – RESTA INCÓLUME O TERMO DE CONCILIAÇÃO JUDICIAL FIRMADO ENTRE O MINISTÉRIO PÚBLICO DO TRABALHO E A UNIÃO, QUE TRATA DA VEDAÇÃO DA CONTRATAÇÃO DE COOPERATIVAS DE TRABALHO PARA EXECUÇÃO DE DETERMINADOS SERVIÇOS TERCEIRIZADOS, MESMO DIANTE DA SUPERVENIÊNCIA DAS LEIS Nº 12.690, DE 2012, E Nº 12.349, DE 2010 – SERVIÇOS OBJETO DO TERMO QUE, POR SUA NATUREZA, CARACTERIZAM-SE PELA EXECUÇÃO MEDIANTE VÍNCULO EMPREGATÍCIO, COM SUBORDINAÇÃO, PESSOALIDADE, ONEROSIDADE E HABITUALIDADE.</w:t>
      </w:r>
    </w:p>
    <w:p w14:paraId="453EACEC" w14:textId="77777777" w:rsidR="006B0B2D" w:rsidRPr="006B0B2D" w:rsidRDefault="006B0B2D" w:rsidP="006B0B2D">
      <w:pPr>
        <w:pStyle w:val="citaoLU"/>
        <w:rPr>
          <w:lang w:eastAsia="pt-BR"/>
        </w:rPr>
      </w:pPr>
      <w:r w:rsidRPr="006B0B2D">
        <w:rPr>
          <w:lang w:eastAsia="pt-BR"/>
        </w:rPr>
        <w:t>I – As Cooperativas de Trabalho, na forma da Lei nº 12.690, de 2012, são sociedades constituídas para o exercício de atividades laborais em proveito comum, com autonomia coletiva e coordenada, mediante autogestão e adesão voluntária e livre.</w:t>
      </w:r>
    </w:p>
    <w:p w14:paraId="107CAC4F" w14:textId="77777777" w:rsidR="006B0B2D" w:rsidRPr="006B0B2D" w:rsidRDefault="006B0B2D" w:rsidP="006B0B2D">
      <w:pPr>
        <w:pStyle w:val="citaoLU"/>
        <w:rPr>
          <w:lang w:eastAsia="pt-BR"/>
        </w:rPr>
      </w:pPr>
      <w:r w:rsidRPr="006B0B2D">
        <w:rPr>
          <w:lang w:eastAsia="pt-BR"/>
        </w:rPr>
        <w:t>II - Os serviços abrangidos pelo termo de conciliação judicial firmado entre a União e o Ministério Público do Trabalho se caracterizam pela pessoalidade, subordinação e não eventualidade.</w:t>
      </w:r>
    </w:p>
    <w:p w14:paraId="19EB0C9F" w14:textId="77777777" w:rsidR="006B0B2D" w:rsidRPr="006B0B2D" w:rsidRDefault="006B0B2D" w:rsidP="006B0B2D">
      <w:pPr>
        <w:pStyle w:val="citaoLU"/>
        <w:rPr>
          <w:lang w:eastAsia="pt-BR"/>
        </w:rPr>
      </w:pPr>
      <w:r w:rsidRPr="006B0B2D">
        <w:rPr>
          <w:lang w:eastAsia="pt-BR"/>
        </w:rPr>
        <w:t>III – Vedação à participação de cooperativas nos certames afetos a aludidos serviços que não ofende às Leis nº 12.690, de 2012, e nº 12.349, de 2010, uma vez que são admitidas apenas, e obviamente, a participação de verdadeiras cooperativas nas licitações, proibindo-se expressamente a utilização de cooperativa para fins de intermediação de mão de obra subordinada.</w:t>
      </w:r>
    </w:p>
    <w:p w14:paraId="694FF2E5" w14:textId="77777777" w:rsidR="006B0B2D" w:rsidRPr="006B0B2D" w:rsidRDefault="006B0B2D" w:rsidP="006B0B2D">
      <w:pPr>
        <w:pStyle w:val="citaoLU"/>
        <w:rPr>
          <w:lang w:eastAsia="pt-BR"/>
        </w:rPr>
      </w:pPr>
      <w:r w:rsidRPr="006B0B2D">
        <w:rPr>
          <w:lang w:eastAsia="pt-BR"/>
        </w:rPr>
        <w:t>IV – Proscrição que se volta para proteger os valores sociais do trabalho e prevenir a responsabilização da União por encargos trabalhistas.</w:t>
      </w:r>
    </w:p>
    <w:p w14:paraId="3B2631CE" w14:textId="77777777" w:rsidR="006B0B2D" w:rsidRPr="006B0B2D" w:rsidRDefault="006B0B2D" w:rsidP="006B0B2D">
      <w:pPr>
        <w:spacing w:after="48" w:line="240" w:lineRule="auto"/>
        <w:jc w:val="right"/>
        <w:rPr>
          <w:rFonts w:ascii="Times New Roman, Times, serif" w:eastAsia="Times New Roman" w:hAnsi="Times New Roman, Times, serif"/>
          <w:color w:val="000000"/>
          <w:sz w:val="20"/>
          <w:szCs w:val="20"/>
          <w:lang w:eastAsia="pt-BR"/>
        </w:rPr>
      </w:pPr>
      <w:r w:rsidRPr="006B0B2D">
        <w:rPr>
          <w:rFonts w:ascii="Times New Roman, Times, serif" w:eastAsia="Times New Roman" w:hAnsi="Times New Roman, Times, serif"/>
          <w:color w:val="000000"/>
          <w:sz w:val="20"/>
          <w:szCs w:val="20"/>
          <w:lang w:eastAsia="pt-BR"/>
        </w:rPr>
        <w:t> </w:t>
      </w:r>
    </w:p>
    <w:p w14:paraId="022C16EF" w14:textId="34A610FD" w:rsidR="006B0B2D" w:rsidRDefault="006B0B2D" w:rsidP="003A6C3C">
      <w:pPr>
        <w:spacing w:after="48" w:line="288" w:lineRule="atLeast"/>
        <w:jc w:val="both"/>
        <w:rPr>
          <w:rFonts w:ascii="Times New Roman, Times, serif" w:eastAsia="Times New Roman" w:hAnsi="Times New Roman, Times, serif"/>
          <w:color w:val="000000"/>
          <w:lang w:eastAsia="pt-BR"/>
        </w:rPr>
      </w:pPr>
      <w:r w:rsidRPr="006B0B2D">
        <w:rPr>
          <w:rFonts w:ascii="Times New Roman, Times, serif" w:eastAsia="Times New Roman" w:hAnsi="Times New Roman, Times, serif"/>
          <w:color w:val="000000"/>
          <w:lang w:eastAsia="pt-BR"/>
        </w:rPr>
        <w:t xml:space="preserve">Consequentemente, antes de se admitir a participação de cooperativas em uma licitação de obras e serviços de engenharia, é necessário averiguar se há "...necessidade de subordinação jurídica entre o obreiro e o contratado, bem como de pessoalidade e de habitualidade..." na execução do contrato que será celebrado. Portanto, demandando a existência de relação de emprego dos trabalhadores vinculados à execução do ajuste, não será possível a participação de cooperativas no certame. E </w:t>
      </w:r>
      <w:r w:rsidR="00E95810">
        <w:rPr>
          <w:rFonts w:ascii="Times New Roman, Times, serif" w:eastAsia="Times New Roman" w:hAnsi="Times New Roman, Times, serif"/>
          <w:color w:val="000000"/>
          <w:lang w:eastAsia="pt-BR"/>
        </w:rPr>
        <w:t xml:space="preserve">geralmente consta a </w:t>
      </w:r>
      <w:r w:rsidRPr="006B0B2D">
        <w:rPr>
          <w:rFonts w:ascii="Times New Roman, Times, serif" w:eastAsia="Times New Roman" w:hAnsi="Times New Roman, Times, serif"/>
          <w:color w:val="000000"/>
          <w:lang w:eastAsia="pt-BR"/>
        </w:rPr>
        <w:t xml:space="preserve">previsão de utilização de diversos profissionais que, "...pelo modo como é usualmente executado no mercado em geral...", </w:t>
      </w:r>
      <w:r w:rsidR="00E95810">
        <w:rPr>
          <w:rFonts w:ascii="Times New Roman, Times, serif" w:eastAsia="Times New Roman" w:hAnsi="Times New Roman, Times, serif"/>
          <w:color w:val="000000"/>
          <w:lang w:eastAsia="pt-BR"/>
        </w:rPr>
        <w:t xml:space="preserve">implica em </w:t>
      </w:r>
      <w:r w:rsidRPr="006B0B2D">
        <w:rPr>
          <w:rFonts w:ascii="Times New Roman, Times, serif" w:eastAsia="Times New Roman" w:hAnsi="Times New Roman, Times, serif"/>
          <w:color w:val="000000"/>
          <w:lang w:eastAsia="pt-BR"/>
        </w:rPr>
        <w:t xml:space="preserve">subordinação jurídica da empresa contratada e dos respectivos trabalhadores. </w:t>
      </w:r>
    </w:p>
    <w:p w14:paraId="61E695B2" w14:textId="77777777" w:rsidR="003A6C3C" w:rsidRPr="00562A0F" w:rsidRDefault="003A6C3C" w:rsidP="003A6C3C">
      <w:pPr>
        <w:spacing w:after="48" w:line="288" w:lineRule="atLeast"/>
        <w:jc w:val="both"/>
        <w:rPr>
          <w:rFonts w:ascii="Times New Roman" w:hAnsi="Times New Roman"/>
        </w:rPr>
      </w:pPr>
    </w:p>
    <w:p w14:paraId="54F18703" w14:textId="77777777" w:rsidR="00DD1EB9" w:rsidRPr="00562A0F" w:rsidRDefault="00DD1EB9" w:rsidP="009D45A4">
      <w:pPr>
        <w:spacing w:after="240" w:line="240" w:lineRule="auto"/>
        <w:jc w:val="both"/>
        <w:rPr>
          <w:rFonts w:ascii="Times New Roman" w:hAnsi="Times New Roman"/>
          <w:lang w:eastAsia="pt-BR"/>
        </w:rPr>
      </w:pPr>
      <w:r w:rsidRPr="00562A0F">
        <w:rPr>
          <w:rFonts w:ascii="Times New Roman" w:hAnsi="Times New Roman"/>
          <w:lang w:eastAsia="pt-BR"/>
        </w:rPr>
        <w:t>Ademais, a participação de cooperativas só deve ser permitida quando a gestão operacional do serviço puder ser executada de forma compartilhada ou em rodízio, pelos próprios cooperados – e os serviços contratados também deverão ser executados obrigatoriamente pelos cooperados, vedada qualquer intermediação ou subcontratação.</w:t>
      </w:r>
    </w:p>
    <w:p w14:paraId="50D55D06"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Em caso positivo, a participação de cooperativas será permitida. Do contrário, deve ser vedada a participação de cooperativas no certame.</w:t>
      </w:r>
    </w:p>
    <w:p w14:paraId="245E8E57" w14:textId="77777777" w:rsidR="00DD1EB9" w:rsidRPr="00562A0F" w:rsidRDefault="00DD1EB9" w:rsidP="009D45A4">
      <w:pPr>
        <w:pStyle w:val="PargrafodaLista"/>
        <w:spacing w:after="240" w:line="240" w:lineRule="auto"/>
        <w:ind w:left="360"/>
        <w:jc w:val="both"/>
        <w:rPr>
          <w:rFonts w:ascii="Times New Roman" w:hAnsi="Times New Roman"/>
          <w:lang w:eastAsia="pt-BR"/>
        </w:rPr>
      </w:pPr>
    </w:p>
    <w:p w14:paraId="5A876D4E" w14:textId="77777777" w:rsidR="00DD1EB9" w:rsidRPr="00562A0F" w:rsidRDefault="00DD1EB9" w:rsidP="009D45A4">
      <w:pPr>
        <w:spacing w:after="240" w:line="240" w:lineRule="auto"/>
        <w:jc w:val="both"/>
        <w:rPr>
          <w:rFonts w:ascii="Times New Roman" w:hAnsi="Times New Roman"/>
          <w:lang w:eastAsia="pt-BR"/>
        </w:rPr>
      </w:pPr>
      <w:r w:rsidRPr="00562A0F">
        <w:rPr>
          <w:rFonts w:ascii="Times New Roman" w:hAnsi="Times New Roman"/>
          <w:b/>
          <w:bCs/>
          <w:u w:val="single"/>
          <w:lang w:eastAsia="pt-BR"/>
        </w:rPr>
        <w:t>JUSTIFICATIVA</w:t>
      </w:r>
      <w:r w:rsidRPr="00562A0F">
        <w:rPr>
          <w:rFonts w:ascii="Times New Roman" w:hAnsi="Times New Roman"/>
          <w:lang w:eastAsia="pt-BR"/>
        </w:rPr>
        <w:t>: Na presente licitação, será (   ) VEDADA ou (   ) PERMITIDA a participação de cooperativas, com base na seguinte justificativa:</w:t>
      </w:r>
    </w:p>
    <w:p w14:paraId="1879310A" w14:textId="77777777" w:rsidR="009D45A4" w:rsidRPr="00562A0F" w:rsidRDefault="009D45A4" w:rsidP="009D45A4">
      <w:pPr>
        <w:spacing w:after="240" w:line="240" w:lineRule="auto"/>
        <w:jc w:val="both"/>
        <w:rPr>
          <w:rFonts w:ascii="Times New Roman" w:hAnsi="Times New Roman"/>
        </w:rPr>
      </w:pPr>
      <w:r w:rsidRPr="00562A0F">
        <w:rPr>
          <w:rFonts w:ascii="Times New Roman" w:hAnsi="Times New Roman"/>
        </w:rPr>
        <w:t>--------------------------------------------------------------------------------------------------------------------------------------------------------------------------------------------------------------------------------------------------------------------------------------------------------------------------------------------------------------------------------------------------------------------------------------------------------------------------------</w:t>
      </w:r>
      <w:r w:rsidRPr="00562A0F">
        <w:rPr>
          <w:rFonts w:ascii="Times New Roman" w:hAnsi="Times New Roman"/>
        </w:rPr>
        <w:lastRenderedPageBreak/>
        <w:t>---------------------------------------------------------------------------------------------------------------------------------------------------------------------------</w:t>
      </w:r>
    </w:p>
    <w:p w14:paraId="7C5B0F17" w14:textId="77777777" w:rsidR="009D45A4" w:rsidRPr="00562A0F" w:rsidRDefault="009D45A4" w:rsidP="009D45A4">
      <w:pPr>
        <w:spacing w:after="240" w:line="240" w:lineRule="auto"/>
        <w:jc w:val="both"/>
        <w:rPr>
          <w:rFonts w:ascii="Times New Roman" w:hAnsi="Times New Roman"/>
        </w:rPr>
      </w:pPr>
    </w:p>
    <w:p w14:paraId="05B5B0C2" w14:textId="77777777" w:rsidR="00FD67D4" w:rsidRPr="00FD67D4" w:rsidRDefault="00FD67D4" w:rsidP="00FD67D4">
      <w:pPr>
        <w:pStyle w:val="PargrafodaLista"/>
        <w:numPr>
          <w:ilvl w:val="0"/>
          <w:numId w:val="1"/>
        </w:numPr>
        <w:spacing w:after="240" w:line="240" w:lineRule="auto"/>
        <w:jc w:val="both"/>
        <w:rPr>
          <w:rFonts w:ascii="Times New Roman" w:hAnsi="Times New Roman"/>
          <w:b/>
          <w:bCs/>
          <w:u w:val="single"/>
        </w:rPr>
      </w:pPr>
      <w:r w:rsidRPr="00FD67D4">
        <w:rPr>
          <w:rFonts w:ascii="Times New Roman" w:hAnsi="Times New Roman"/>
          <w:b/>
          <w:bCs/>
          <w:u w:val="single"/>
        </w:rPr>
        <w:t>CRITÉRIOS E PRÁTICAS DE SUSTENTABILIDADE SOCIOAMBIENTAL E DE ACESSIBILIDADE</w:t>
      </w:r>
    </w:p>
    <w:p w14:paraId="264AC3E4" w14:textId="77777777" w:rsidR="00FD67D4" w:rsidRDefault="00FD67D4" w:rsidP="00FD67D4">
      <w:pPr>
        <w:spacing w:after="240" w:line="240" w:lineRule="auto"/>
        <w:jc w:val="both"/>
        <w:rPr>
          <w:rFonts w:ascii="Times New Roman" w:hAnsi="Times New Roman"/>
        </w:rPr>
      </w:pPr>
      <w:r>
        <w:rPr>
          <w:rFonts w:ascii="Times New Roman" w:hAnsi="Times New Roman"/>
        </w:rPr>
        <w:t xml:space="preserve">A contratação de obras e serviços de engenharia deverá observar a inclusão de critérios e práticas de sustentabilidade socioambiental e de acessibilidade (artigo 3º, caput, da Lei </w:t>
      </w:r>
      <w:r>
        <w:rPr>
          <w:rFonts w:ascii="Times New Roman" w:hAnsi="Times New Roman"/>
          <w:lang w:eastAsia="pt-BR"/>
        </w:rPr>
        <w:t>n° 8.666/93)</w:t>
      </w:r>
      <w:r>
        <w:rPr>
          <w:rFonts w:ascii="Times New Roman" w:hAnsi="Times New Roman"/>
        </w:rPr>
        <w:t xml:space="preserve">. </w:t>
      </w:r>
    </w:p>
    <w:p w14:paraId="1D49CB43" w14:textId="77777777" w:rsidR="00FD67D4" w:rsidRDefault="00FD67D4" w:rsidP="00FD67D4">
      <w:pPr>
        <w:tabs>
          <w:tab w:val="left" w:pos="709"/>
        </w:tabs>
        <w:spacing w:line="240" w:lineRule="auto"/>
        <w:ind w:left="851"/>
        <w:jc w:val="both"/>
        <w:rPr>
          <w:rFonts w:ascii="Times New Roman" w:hAnsi="Times New Roman"/>
        </w:rPr>
      </w:pPr>
      <w:r>
        <w:rPr>
          <w:rFonts w:ascii="Times New Roman" w:hAnsi="Times New Roman"/>
        </w:rPr>
        <w:t xml:space="preserve">A inserção da sustentabilidade em obras e serviços de engenharia pode ocorrer em: </w:t>
      </w:r>
    </w:p>
    <w:p w14:paraId="33077D1E" w14:textId="77777777" w:rsidR="00FD67D4" w:rsidRDefault="00FD67D4" w:rsidP="00FD67D4">
      <w:pPr>
        <w:pStyle w:val="PargrafodaLista"/>
        <w:numPr>
          <w:ilvl w:val="0"/>
          <w:numId w:val="9"/>
        </w:numPr>
        <w:spacing w:after="200" w:line="240" w:lineRule="auto"/>
        <w:jc w:val="both"/>
        <w:rPr>
          <w:rFonts w:ascii="Times New Roman" w:hAnsi="Times New Roman"/>
        </w:rPr>
      </w:pPr>
      <w:r>
        <w:rPr>
          <w:rFonts w:ascii="Times New Roman" w:hAnsi="Times New Roman"/>
          <w:b/>
          <w:bCs/>
        </w:rPr>
        <w:t>aspectos técnicos</w:t>
      </w:r>
      <w:r>
        <w:rPr>
          <w:rFonts w:ascii="Times New Roman" w:hAnsi="Times New Roman"/>
        </w:rPr>
        <w:t xml:space="preserve"> constantes do projeto básico/termo de referência ou do projeto executivo. Nos aspectos técnicos, há orientações no Manual Projeto de Edifícios Públicos Sustentáveis: uma abordagem cultural, econômica, ambiental e arquitetônica, publicação do Senado Federal/Rede Legislativo Sustentável (2ª, edição, Senado Federal, 2019), disponível neste link:</w:t>
      </w:r>
    </w:p>
    <w:p w14:paraId="4157AF15" w14:textId="77777777" w:rsidR="00FD67D4" w:rsidRDefault="009D33AE" w:rsidP="00FD67D4">
      <w:pPr>
        <w:pStyle w:val="PargrafodaLista"/>
        <w:spacing w:after="200" w:line="240" w:lineRule="auto"/>
        <w:ind w:left="1211"/>
        <w:jc w:val="both"/>
        <w:rPr>
          <w:rFonts w:ascii="Times New Roman" w:hAnsi="Times New Roman"/>
        </w:rPr>
      </w:pPr>
      <w:hyperlink r:id="rId10" w:history="1">
        <w:r w:rsidR="00FD67D4">
          <w:rPr>
            <w:rStyle w:val="Hyperlink"/>
            <w:rFonts w:ascii="Times New Roman" w:hAnsi="Times New Roman"/>
          </w:rPr>
          <w:t>https://www2.senado.leg.br/bdsf/handle/id/562746</w:t>
        </w:r>
      </w:hyperlink>
      <w:r w:rsidR="00FD67D4">
        <w:rPr>
          <w:rFonts w:ascii="Times New Roman" w:hAnsi="Times New Roman"/>
        </w:rPr>
        <w:t xml:space="preserve"> e</w:t>
      </w:r>
    </w:p>
    <w:p w14:paraId="5BE48188" w14:textId="77777777" w:rsidR="00FD67D4" w:rsidRDefault="00FD67D4" w:rsidP="00FD67D4">
      <w:pPr>
        <w:pStyle w:val="PargrafodaLista"/>
        <w:spacing w:after="200" w:line="240" w:lineRule="auto"/>
        <w:ind w:left="1211"/>
        <w:jc w:val="both"/>
        <w:rPr>
          <w:rFonts w:ascii="Times New Roman" w:hAnsi="Times New Roman"/>
        </w:rPr>
      </w:pPr>
    </w:p>
    <w:p w14:paraId="684A347E" w14:textId="77777777" w:rsidR="00FD67D4" w:rsidRDefault="00FD67D4" w:rsidP="00FD67D4">
      <w:pPr>
        <w:pStyle w:val="PargrafodaLista"/>
        <w:numPr>
          <w:ilvl w:val="0"/>
          <w:numId w:val="9"/>
        </w:numPr>
        <w:spacing w:after="200" w:line="240" w:lineRule="auto"/>
        <w:jc w:val="both"/>
        <w:rPr>
          <w:rFonts w:ascii="Times New Roman" w:hAnsi="Times New Roman"/>
        </w:rPr>
      </w:pPr>
      <w:r>
        <w:rPr>
          <w:rFonts w:ascii="Times New Roman" w:hAnsi="Times New Roman"/>
          <w:b/>
          <w:bCs/>
        </w:rPr>
        <w:t>observância da legislação e normas brasileiras</w:t>
      </w:r>
      <w:r>
        <w:rPr>
          <w:rFonts w:ascii="Times New Roman" w:hAnsi="Times New Roman"/>
        </w:rPr>
        <w:t>. Neste aspecto, consulte o Guia Nacional de Contratações Sustentáveis, disponível neste link:</w:t>
      </w:r>
    </w:p>
    <w:p w14:paraId="01CCA9CF" w14:textId="77777777" w:rsidR="00FD67D4" w:rsidRDefault="009D33AE" w:rsidP="00FD67D4">
      <w:pPr>
        <w:pStyle w:val="PargrafodaLista"/>
        <w:spacing w:after="200" w:line="240" w:lineRule="auto"/>
        <w:ind w:left="1211"/>
        <w:jc w:val="both"/>
        <w:rPr>
          <w:rFonts w:ascii="Times New Roman" w:hAnsi="Times New Roman"/>
        </w:rPr>
      </w:pPr>
      <w:hyperlink r:id="rId11" w:history="1">
        <w:r w:rsidR="00FD67D4">
          <w:rPr>
            <w:rStyle w:val="Hyperlink"/>
            <w:rFonts w:ascii="Times New Roman" w:hAnsi="Times New Roman"/>
          </w:rPr>
          <w:t>https://www.gov.br/agu/pt-br/composicao/consultoria-geral-da-uniao-1/modelos-de-convenios-licitacoes-e-contratos/modelos-de-licitacoes-e-contratos/licitacoes-sustentaveis</w:t>
        </w:r>
      </w:hyperlink>
      <w:r w:rsidR="00FD67D4">
        <w:rPr>
          <w:rFonts w:ascii="Times New Roman" w:hAnsi="Times New Roman"/>
        </w:rPr>
        <w:t xml:space="preserve"> </w:t>
      </w:r>
    </w:p>
    <w:p w14:paraId="239B0A1F" w14:textId="77777777" w:rsidR="00FD67D4" w:rsidRDefault="00FD67D4" w:rsidP="00FD67D4">
      <w:pPr>
        <w:pStyle w:val="PargrafodaLista"/>
        <w:spacing w:after="200" w:line="240" w:lineRule="auto"/>
        <w:ind w:left="1211"/>
        <w:jc w:val="both"/>
        <w:rPr>
          <w:rFonts w:ascii="Times New Roman" w:hAnsi="Times New Roman"/>
        </w:rPr>
      </w:pPr>
      <w:r>
        <w:rPr>
          <w:rFonts w:ascii="Times New Roman" w:hAnsi="Times New Roman"/>
        </w:rPr>
        <w:t xml:space="preserve"> </w:t>
      </w:r>
    </w:p>
    <w:p w14:paraId="0DE00947" w14:textId="77777777" w:rsidR="00FD67D4" w:rsidRDefault="00FD67D4" w:rsidP="00FD67D4">
      <w:pPr>
        <w:spacing w:after="240" w:line="240" w:lineRule="auto"/>
        <w:jc w:val="both"/>
        <w:rPr>
          <w:rFonts w:ascii="Times New Roman" w:hAnsi="Times New Roman"/>
          <w:lang w:eastAsia="pt-BR"/>
        </w:rPr>
      </w:pPr>
      <w:r>
        <w:rPr>
          <w:rFonts w:ascii="Times New Roman" w:hAnsi="Times New Roman"/>
          <w:lang w:eastAsia="pt-BR"/>
        </w:rPr>
        <w:t xml:space="preserve">No âmbito da AGU, o </w:t>
      </w:r>
      <w:r>
        <w:rPr>
          <w:rStyle w:val="markedcontent"/>
          <w:rFonts w:ascii="Times New Roman" w:hAnsi="Times New Roman"/>
        </w:rPr>
        <w:t xml:space="preserve">PARECER n. 00001/2021/CNS/CGU/AGU, aprovado pelo DESPACHO n. 00525/2021/GAB/CGU/AGU, trouxe a seguinte orientação: </w:t>
      </w:r>
    </w:p>
    <w:p w14:paraId="66D0B43E" w14:textId="77777777" w:rsidR="00FD67D4" w:rsidRDefault="00FD67D4" w:rsidP="00FD67D4">
      <w:pPr>
        <w:spacing w:after="240" w:line="240" w:lineRule="auto"/>
        <w:ind w:left="851"/>
        <w:jc w:val="both"/>
        <w:rPr>
          <w:rStyle w:val="markedcontent"/>
        </w:rPr>
      </w:pPr>
      <w:r>
        <w:rPr>
          <w:rStyle w:val="markedcontent"/>
          <w:rFonts w:ascii="Times New Roman" w:hAnsi="Times New Roman"/>
        </w:rPr>
        <w:t xml:space="preserve">EMENTA:. </w:t>
      </w:r>
    </w:p>
    <w:p w14:paraId="6F9FAB5A" w14:textId="77777777" w:rsidR="00FD67D4" w:rsidRDefault="00FD67D4" w:rsidP="00FD67D4">
      <w:pPr>
        <w:spacing w:after="240" w:line="240" w:lineRule="auto"/>
        <w:ind w:left="851"/>
        <w:jc w:val="both"/>
        <w:rPr>
          <w:rStyle w:val="markedcontent"/>
          <w:rFonts w:ascii="Times New Roman" w:hAnsi="Times New Roman"/>
        </w:rPr>
      </w:pPr>
      <w:r>
        <w:rPr>
          <w:rStyle w:val="markedcontent"/>
          <w:rFonts w:ascii="Times New Roman" w:hAnsi="Times New Roman"/>
        </w:rPr>
        <w:t>I. Os órgãos e entidades que compõem a administração pública são obrigados a adotar critérios e práticas de sustentabilidade socioambiental e de acessibilidade nas contratações públicas, nas fases de planejamento, seleção de fornecedor, execução contratual, fiscalização e na gestão dos resíduos sólidos;</w:t>
      </w:r>
    </w:p>
    <w:p w14:paraId="5B7D8D0F" w14:textId="77777777" w:rsidR="00FD67D4" w:rsidRDefault="00FD67D4" w:rsidP="00FD67D4">
      <w:pPr>
        <w:spacing w:after="240" w:line="240" w:lineRule="auto"/>
        <w:ind w:left="851"/>
        <w:jc w:val="both"/>
        <w:rPr>
          <w:rStyle w:val="markedcontent"/>
          <w:rFonts w:ascii="Times New Roman" w:hAnsi="Times New Roman"/>
        </w:rPr>
      </w:pPr>
      <w:r>
        <w:rPr>
          <w:rStyle w:val="markedcontent"/>
          <w:rFonts w:ascii="Times New Roman" w:hAnsi="Times New Roman"/>
        </w:rPr>
        <w:t>II. A impossibilidade de adoção de tais critérios e práticas de sustentabilidade nas contratações públicas deverá ser justificada pelo gestor competente nos autos do processo administrativo, com a indicação das pertinentes razões de fato e/ou direito;</w:t>
      </w:r>
    </w:p>
    <w:p w14:paraId="7A9971E8" w14:textId="77777777" w:rsidR="00FD67D4" w:rsidRDefault="00FD67D4" w:rsidP="00FD67D4">
      <w:pPr>
        <w:spacing w:after="240" w:line="240" w:lineRule="auto"/>
        <w:ind w:left="851"/>
        <w:jc w:val="both"/>
      </w:pPr>
      <w:r>
        <w:rPr>
          <w:rStyle w:val="markedcontent"/>
          <w:rFonts w:ascii="Times New Roman" w:hAnsi="Times New Roman"/>
        </w:rPr>
        <w:t>III. Recomenda-se aos agentes da administração pública federal encarregados de realizar contratações públicas, que, no exercício de suas atribuições funcionais, consultem o Guia Nacional de Contratações Sustentáveis da Advocacia-Geral da União</w:t>
      </w:r>
    </w:p>
    <w:p w14:paraId="6BB3BBFA" w14:textId="77777777" w:rsidR="00FD67D4" w:rsidRDefault="00FD67D4" w:rsidP="00FD67D4">
      <w:pPr>
        <w:spacing w:after="240" w:line="240" w:lineRule="auto"/>
        <w:jc w:val="both"/>
        <w:rPr>
          <w:rFonts w:ascii="Times New Roman" w:hAnsi="Times New Roman"/>
        </w:rPr>
      </w:pPr>
    </w:p>
    <w:p w14:paraId="693F58D5" w14:textId="77777777" w:rsidR="00FD67D4" w:rsidRDefault="00FD67D4" w:rsidP="00FD67D4">
      <w:pPr>
        <w:spacing w:after="240" w:line="240" w:lineRule="auto"/>
        <w:jc w:val="both"/>
        <w:rPr>
          <w:rFonts w:ascii="Times New Roman" w:hAnsi="Times New Roman"/>
          <w:lang w:eastAsia="pt-BR"/>
        </w:rPr>
      </w:pPr>
      <w:r>
        <w:rPr>
          <w:rFonts w:ascii="Times New Roman" w:hAnsi="Times New Roman"/>
          <w:b/>
          <w:bCs/>
          <w:u w:val="single"/>
          <w:lang w:eastAsia="pt-BR"/>
        </w:rPr>
        <w:t>JUSTIFICATIVA</w:t>
      </w:r>
      <w:r>
        <w:rPr>
          <w:rFonts w:ascii="Times New Roman" w:hAnsi="Times New Roman"/>
          <w:lang w:eastAsia="pt-BR"/>
        </w:rPr>
        <w:t xml:space="preserve">: No presente feito, o Projeto Básico ou Termo de Referência ( ) ou Projeto Executivo (  ) incluiu critérios/práticas de sustentabilidade socioambiental (   ), de acessibilidade (  ). </w:t>
      </w:r>
    </w:p>
    <w:p w14:paraId="3E3FDCB0" w14:textId="77777777" w:rsidR="00FD67D4" w:rsidRDefault="00FD67D4" w:rsidP="00FD67D4">
      <w:pPr>
        <w:spacing w:after="240" w:line="240" w:lineRule="auto"/>
        <w:jc w:val="both"/>
        <w:rPr>
          <w:rFonts w:ascii="Times New Roman" w:hAnsi="Times New Roman"/>
          <w:lang w:eastAsia="pt-BR"/>
        </w:rPr>
      </w:pPr>
      <w:r>
        <w:rPr>
          <w:rFonts w:ascii="Times New Roman" w:hAnsi="Times New Roman"/>
          <w:lang w:eastAsia="pt-BR"/>
        </w:rPr>
        <w:t>No presente feito, o Projeto Básico ou Termo de Referência (   ) ou Projeto Executivo ( )  não incluiu critérios critérios/práticas de sustentabilidade socioambiental (   ), de acessibilidade (  ) pelos seguintes fundamentos:</w:t>
      </w:r>
    </w:p>
    <w:p w14:paraId="330228B3" w14:textId="77777777" w:rsidR="00FD67D4" w:rsidRDefault="00FD67D4" w:rsidP="00FD67D4">
      <w:pPr>
        <w:spacing w:after="240" w:line="240" w:lineRule="auto"/>
        <w:jc w:val="both"/>
        <w:rPr>
          <w:rFonts w:ascii="Times New Roman" w:hAnsi="Times New Roman"/>
        </w:rPr>
      </w:pPr>
      <w:r>
        <w:rPr>
          <w:rFonts w:ascii="Times New Roman" w:hAnsi="Times New Roman"/>
        </w:rPr>
        <w:lastRenderedPageBreak/>
        <w:t>-----------------------------------------------------------------------------------------------------------------------------------------------------------------------------------------------------------------------------------------------------------------------------------------------------------------------------------------------------------------------------------------------------------------------------------------------------------------------------------------------------------------------------------------------------------------------------------------------------------------------------------------------------------</w:t>
      </w:r>
    </w:p>
    <w:p w14:paraId="74E02FEB" w14:textId="77777777" w:rsidR="00FD67D4" w:rsidRDefault="00FD67D4" w:rsidP="00FD67D4">
      <w:pPr>
        <w:spacing w:after="240" w:line="240" w:lineRule="auto"/>
        <w:jc w:val="both"/>
        <w:rPr>
          <w:rFonts w:ascii="Times New Roman" w:hAnsi="Times New Roman"/>
        </w:rPr>
      </w:pPr>
    </w:p>
    <w:p w14:paraId="161F0540" w14:textId="77777777" w:rsidR="000A081A" w:rsidRPr="00562A0F" w:rsidRDefault="00001F07"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EXIGÊNCIA DE GARANTIA DE EXECUÇÃO CONTRATUAL</w:t>
      </w:r>
    </w:p>
    <w:p w14:paraId="42B96FB0" w14:textId="6D52EEAA" w:rsidR="00DD1EB9" w:rsidRPr="00562A0F" w:rsidRDefault="00DD1EB9" w:rsidP="009D45A4">
      <w:pPr>
        <w:spacing w:after="240" w:line="240" w:lineRule="auto"/>
        <w:jc w:val="both"/>
        <w:rPr>
          <w:rFonts w:ascii="Times New Roman" w:hAnsi="Times New Roman"/>
          <w:lang w:eastAsia="pt-BR"/>
        </w:rPr>
      </w:pPr>
      <w:r w:rsidRPr="00562A0F">
        <w:rPr>
          <w:rFonts w:ascii="Times New Roman" w:hAnsi="Times New Roman"/>
          <w:lang w:eastAsia="pt-BR"/>
        </w:rPr>
        <w:t xml:space="preserve">Conforme o parâmetro aventado pelo TCU, a garantia deve ser exigida nas contratações de </w:t>
      </w:r>
      <w:r w:rsidR="00BC4D8D">
        <w:rPr>
          <w:rFonts w:ascii="Times New Roman" w:hAnsi="Times New Roman"/>
          <w:lang w:eastAsia="pt-BR"/>
        </w:rPr>
        <w:t>maior</w:t>
      </w:r>
      <w:r w:rsidR="00361708">
        <w:rPr>
          <w:rFonts w:ascii="Times New Roman" w:hAnsi="Times New Roman"/>
          <w:lang w:eastAsia="pt-BR"/>
        </w:rPr>
        <w:t xml:space="preserve"> valor</w:t>
      </w:r>
      <w:r w:rsidRPr="00562A0F">
        <w:rPr>
          <w:rFonts w:ascii="Times New Roman" w:hAnsi="Times New Roman"/>
          <w:lang w:eastAsia="pt-BR"/>
        </w:rPr>
        <w:t>, envolvendo alta complexidade técnica e riscos financeiros consideráveis (Acórdão nº 3.126/2012 – Plenário).</w:t>
      </w:r>
    </w:p>
    <w:p w14:paraId="5EFE95EB" w14:textId="77777777" w:rsidR="00DD1EB9" w:rsidRPr="00562A0F" w:rsidRDefault="00DD1EB9" w:rsidP="009D45A4">
      <w:pPr>
        <w:spacing w:after="240" w:line="240" w:lineRule="auto"/>
        <w:jc w:val="both"/>
        <w:rPr>
          <w:rFonts w:ascii="Times New Roman" w:hAnsi="Times New Roman"/>
          <w:lang w:eastAsia="pt-BR"/>
        </w:rPr>
      </w:pPr>
      <w:r w:rsidRPr="00562A0F">
        <w:rPr>
          <w:rFonts w:ascii="Times New Roman" w:hAnsi="Times New Roman"/>
          <w:lang w:eastAsia="pt-BR"/>
        </w:rPr>
        <w:t>Vejamos o alerta de Marçal Justen Filho:</w:t>
      </w:r>
    </w:p>
    <w:p w14:paraId="67CA302F" w14:textId="77777777" w:rsidR="00DD1EB9" w:rsidRPr="00562A0F" w:rsidRDefault="00DD1EB9" w:rsidP="009D45A4">
      <w:pPr>
        <w:spacing w:after="240" w:line="240" w:lineRule="auto"/>
        <w:ind w:left="708"/>
        <w:jc w:val="both"/>
        <w:rPr>
          <w:rFonts w:ascii="Times New Roman" w:hAnsi="Times New Roman"/>
          <w:lang w:eastAsia="pt-BR"/>
        </w:rPr>
      </w:pPr>
      <w:r w:rsidRPr="00562A0F">
        <w:rPr>
          <w:rFonts w:ascii="Times New Roman" w:hAnsi="Times New Roman"/>
          <w:lang w:eastAsia="pt-BR"/>
        </w:rPr>
        <w:t>“A Lei remete à discricionariedade da Administração a exigência da garantia. Poderá (deverá) ser exigida apenas nas hipóteses em que se faça necessária. Quando inexistirem riscos de lesão ao interesse estatal, a Administração não precisará impor a prestação de garantia.” (</w:t>
      </w:r>
      <w:r w:rsidRPr="00562A0F">
        <w:rPr>
          <w:rFonts w:ascii="Times New Roman" w:hAnsi="Times New Roman"/>
          <w:i/>
          <w:iCs/>
          <w:lang w:eastAsia="pt-BR"/>
        </w:rPr>
        <w:t xml:space="preserve">Comentários à Lei de Licitações e Contratos Administrativos, </w:t>
      </w:r>
      <w:r w:rsidRPr="00562A0F">
        <w:rPr>
          <w:rFonts w:ascii="Times New Roman" w:hAnsi="Times New Roman"/>
          <w:lang w:eastAsia="pt-BR"/>
        </w:rPr>
        <w:t>11ª ed., São Paulo: Dialética, 2005, p. 499)</w:t>
      </w:r>
    </w:p>
    <w:p w14:paraId="52A776C8" w14:textId="77777777" w:rsidR="00DD1EB9" w:rsidRPr="00562A0F" w:rsidRDefault="00DD1EB9" w:rsidP="009D45A4">
      <w:pPr>
        <w:spacing w:after="240" w:line="240" w:lineRule="auto"/>
        <w:jc w:val="both"/>
        <w:rPr>
          <w:rFonts w:ascii="Times New Roman" w:hAnsi="Times New Roman"/>
          <w:lang w:eastAsia="pt-BR"/>
        </w:rPr>
      </w:pPr>
      <w:r w:rsidRPr="00562A0F">
        <w:rPr>
          <w:rFonts w:ascii="Times New Roman" w:hAnsi="Times New Roman"/>
          <w:lang w:eastAsia="pt-BR"/>
        </w:rPr>
        <w:t>Assim, a exigência deve ser avaliada em cada caso concreto, com base no grau de risco de prejuízo ao interesse público, frente à particularidade do objeto licitado.</w:t>
      </w:r>
    </w:p>
    <w:p w14:paraId="7D84AC39" w14:textId="77777777" w:rsidR="00DD1EB9" w:rsidRPr="00562A0F" w:rsidRDefault="00DD1EB9" w:rsidP="009D45A4">
      <w:pPr>
        <w:spacing w:after="240" w:line="240" w:lineRule="auto"/>
        <w:jc w:val="both"/>
        <w:rPr>
          <w:rFonts w:ascii="Times New Roman" w:hAnsi="Times New Roman"/>
          <w:lang w:eastAsia="pt-BR"/>
        </w:rPr>
      </w:pPr>
      <w:r w:rsidRPr="00562A0F">
        <w:rPr>
          <w:rFonts w:ascii="Times New Roman" w:hAnsi="Times New Roman"/>
          <w:lang w:eastAsia="pt-BR"/>
        </w:rPr>
        <w:t>De todo modo, a palavra final sempre cabe à autoridade administrativa – cabendo-lhe justificar sua decisão por exigir ou dispensar a garantia em cada certame, para a adequada instrução processual.</w:t>
      </w:r>
    </w:p>
    <w:p w14:paraId="65CFF12E"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Nos termos do art. 56 da Lei nº 8.666, de 1993, a garantia não excederá a 5% (cinco por cento) do valor do contrato (§ 2º), podendo ser elevada para até 10% (dez por cento) do valor do contrato para obras, serviços e fornecimentos de grande vulto envolvendo alta complexidade técnica e riscos financeiros consideráveis, demonstrados através de parecer tecnicamente aprovado pela autoridade competente (§ 3º).</w:t>
      </w:r>
    </w:p>
    <w:p w14:paraId="75644FE5" w14:textId="77777777" w:rsidR="00DD1EB9" w:rsidRPr="00562A0F" w:rsidRDefault="00DD1EB9" w:rsidP="009D45A4">
      <w:pPr>
        <w:spacing w:after="240" w:line="240" w:lineRule="auto"/>
        <w:jc w:val="both"/>
        <w:rPr>
          <w:rFonts w:ascii="Times New Roman" w:hAnsi="Times New Roman"/>
        </w:rPr>
      </w:pPr>
    </w:p>
    <w:p w14:paraId="2459EA65" w14:textId="77777777" w:rsidR="00DD1EB9" w:rsidRPr="00562A0F" w:rsidRDefault="00DD1EB9" w:rsidP="009D45A4">
      <w:pPr>
        <w:spacing w:after="240" w:line="240" w:lineRule="auto"/>
        <w:jc w:val="both"/>
        <w:rPr>
          <w:rFonts w:ascii="Times New Roman" w:hAnsi="Times New Roman"/>
          <w:lang w:eastAsia="pt-BR"/>
        </w:rPr>
      </w:pPr>
      <w:r w:rsidRPr="00562A0F">
        <w:rPr>
          <w:rFonts w:ascii="Times New Roman" w:hAnsi="Times New Roman"/>
          <w:b/>
          <w:bCs/>
          <w:u w:val="single"/>
          <w:lang w:eastAsia="pt-BR"/>
        </w:rPr>
        <w:t>JUSTIFICATIVA</w:t>
      </w:r>
      <w:r w:rsidRPr="00562A0F">
        <w:rPr>
          <w:rFonts w:ascii="Times New Roman" w:hAnsi="Times New Roman"/>
          <w:lang w:eastAsia="pt-BR"/>
        </w:rPr>
        <w:t>: Na presente licitação, será (   ) EXIGIDA ou (   ) DISPENSADA a apresentação de garantia de execução contratual, com base na seguinte justificativa:</w:t>
      </w:r>
    </w:p>
    <w:p w14:paraId="2881F53E" w14:textId="77777777" w:rsidR="009D45A4" w:rsidRPr="00562A0F" w:rsidRDefault="009D45A4" w:rsidP="009D45A4">
      <w:pPr>
        <w:spacing w:after="240" w:line="240" w:lineRule="auto"/>
        <w:jc w:val="both"/>
        <w:rPr>
          <w:rFonts w:ascii="Times New Roman" w:hAnsi="Times New Roman"/>
        </w:rPr>
      </w:pPr>
      <w:r w:rsidRPr="00562A0F">
        <w:rPr>
          <w:rFonts w:ascii="Times New Roman" w:hAnsi="Times New Roman"/>
        </w:rPr>
        <w:t>-----------------------------------------------------------------------------------------------------------------------------------------------------------------------------------------------------------------------------------------------------------------------------------------------------------------------------------------------------------------------------------------------------------------------------------------------------------------------------------------------------------------------------------------------------------------------------------------------------------------------------------------------------------</w:t>
      </w:r>
    </w:p>
    <w:p w14:paraId="1CAA091E" w14:textId="77777777" w:rsidR="009D45A4" w:rsidRPr="00562A0F" w:rsidRDefault="009D45A4" w:rsidP="009D45A4">
      <w:pPr>
        <w:spacing w:after="240" w:line="240" w:lineRule="auto"/>
        <w:jc w:val="both"/>
        <w:rPr>
          <w:rFonts w:ascii="Times New Roman" w:hAnsi="Times New Roman"/>
        </w:rPr>
      </w:pPr>
    </w:p>
    <w:p w14:paraId="422C8337" w14:textId="77777777" w:rsidR="00864D51" w:rsidRPr="00562A0F" w:rsidRDefault="00864D51" w:rsidP="00297ABB">
      <w:pPr>
        <w:pStyle w:val="PargrafodaLista"/>
        <w:numPr>
          <w:ilvl w:val="0"/>
          <w:numId w:val="1"/>
        </w:numPr>
        <w:spacing w:after="240" w:line="240" w:lineRule="auto"/>
        <w:jc w:val="both"/>
        <w:rPr>
          <w:rFonts w:ascii="Times New Roman" w:hAnsi="Times New Roman"/>
          <w:b/>
          <w:bCs/>
          <w:u w:val="single"/>
        </w:rPr>
      </w:pPr>
      <w:r w:rsidRPr="00562A0F">
        <w:rPr>
          <w:rFonts w:ascii="Times New Roman" w:hAnsi="Times New Roman"/>
          <w:b/>
          <w:bCs/>
          <w:u w:val="single"/>
        </w:rPr>
        <w:t>OPÇÃO PELO SISTEMA DE REGISTRO DE PREÇOS</w:t>
      </w:r>
    </w:p>
    <w:p w14:paraId="1EF581FA"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Nos termos do art. 3° do Decreto n° 7.892/2013, o sistema de registro de preços poderá ser adotado nas seguintes hipóteses:</w:t>
      </w:r>
    </w:p>
    <w:p w14:paraId="4B881083" w14:textId="77777777" w:rsidR="00DD1EB9" w:rsidRPr="00562A0F" w:rsidRDefault="00DD1EB9" w:rsidP="009D45A4">
      <w:pPr>
        <w:spacing w:after="240" w:line="240" w:lineRule="auto"/>
        <w:ind w:left="708"/>
        <w:jc w:val="both"/>
        <w:rPr>
          <w:rFonts w:ascii="Times New Roman" w:hAnsi="Times New Roman"/>
        </w:rPr>
      </w:pPr>
      <w:r w:rsidRPr="00562A0F">
        <w:rPr>
          <w:rStyle w:val="nfase"/>
          <w:rFonts w:ascii="Times New Roman" w:hAnsi="Times New Roman"/>
        </w:rPr>
        <w:lastRenderedPageBreak/>
        <w:t>I - quando, pelas características do bem ou serviço, houver necessidade de contratações frequentes;</w:t>
      </w:r>
    </w:p>
    <w:p w14:paraId="3DEE5060" w14:textId="77777777" w:rsidR="00DD1EB9" w:rsidRPr="00562A0F" w:rsidRDefault="00DD1EB9" w:rsidP="009D45A4">
      <w:pPr>
        <w:spacing w:after="240" w:line="240" w:lineRule="auto"/>
        <w:ind w:left="708"/>
        <w:jc w:val="both"/>
        <w:rPr>
          <w:rFonts w:ascii="Times New Roman" w:hAnsi="Times New Roman"/>
        </w:rPr>
      </w:pPr>
      <w:r w:rsidRPr="00562A0F">
        <w:rPr>
          <w:rStyle w:val="nfase"/>
          <w:rFonts w:ascii="Times New Roman" w:hAnsi="Times New Roman"/>
        </w:rPr>
        <w:t>II - quando for conveniente a aquisição de bens com previsão de entregas parceladas ou contratação de serviços remunerados por unidade de medida ou em regime de tarefa;</w:t>
      </w:r>
    </w:p>
    <w:p w14:paraId="7A8E4418" w14:textId="77777777" w:rsidR="00DD1EB9" w:rsidRPr="00562A0F" w:rsidRDefault="00DD1EB9" w:rsidP="009D45A4">
      <w:pPr>
        <w:spacing w:after="240" w:line="240" w:lineRule="auto"/>
        <w:ind w:left="708"/>
        <w:jc w:val="both"/>
        <w:rPr>
          <w:rFonts w:ascii="Times New Roman" w:hAnsi="Times New Roman"/>
        </w:rPr>
      </w:pPr>
      <w:r w:rsidRPr="00562A0F">
        <w:rPr>
          <w:rStyle w:val="nfase"/>
          <w:rFonts w:ascii="Times New Roman" w:hAnsi="Times New Roman"/>
        </w:rPr>
        <w:t>III - quando for conveniente a aquisição de bens ou a contratação de serviços para atendimento a mais de um órgão ou entidade, ou a programas de governo; ou</w:t>
      </w:r>
    </w:p>
    <w:p w14:paraId="3ED74906" w14:textId="77777777" w:rsidR="00DD1EB9" w:rsidRPr="00562A0F" w:rsidRDefault="00DD1EB9" w:rsidP="009D45A4">
      <w:pPr>
        <w:spacing w:after="240" w:line="240" w:lineRule="auto"/>
        <w:ind w:left="708"/>
        <w:jc w:val="both"/>
        <w:rPr>
          <w:rFonts w:ascii="Times New Roman" w:hAnsi="Times New Roman"/>
        </w:rPr>
      </w:pPr>
      <w:r w:rsidRPr="00562A0F">
        <w:rPr>
          <w:rStyle w:val="nfase"/>
          <w:rFonts w:ascii="Times New Roman" w:hAnsi="Times New Roman"/>
        </w:rPr>
        <w:t>IV - quando, pela natureza do objeto, não for possível definir previamente o quantitativo a ser demandado pela Administração.</w:t>
      </w:r>
    </w:p>
    <w:p w14:paraId="64195234"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 xml:space="preserve">Na prática das contratações públicas, é a opção indicada nos casos de demandas incertas, sempre que o órgão público não puder definir com certeza se efetivamente vai precisar daquele objeto, ou em que quantitativo, ou com que periodicidade. A licitação para SRP, assim, apenas predefine as condições de eventual contratação futura, sem criar para a Administração a obrigação de celebrar o ajuste, ou de se ater a quantidades ou frequências específicas. </w:t>
      </w:r>
    </w:p>
    <w:p w14:paraId="3A738BBA"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Quando necessitar de determinado quantitativo do material ou serviço, o órgão público emitirá um pedido de fornecimento específico, de acordo com o preço e demais condições registradas na Ata, formalizando a contratação por meio do instrumento incidente (termo de contrato, nota de empenho etc.), no valor correspondente ao total dos itens demandados. A vigência de cada contratação será limitada. Executado o objeto, o contrato se extinguirá. Quando surgir nova necessidade, será celebrado novo contrato independente, e assim sucessivamente, até o fim da validade da Ata, normalmente de 12 meses.</w:t>
      </w:r>
    </w:p>
    <w:p w14:paraId="7DC43B8E"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No cenário oposto, se a demanda do órgão público for certa e previamente conhecida, traduzindo-se pela previsão de aquisição da totalidade dos quantitativos licitados em prazos fixos, então haverá incompatibilidade com a licitação por SRP. Ao invés de contratações múltiplas e sucessivas, será celebrado um contrato único. O licitante vencedor será convocado uma única vez e, pelo restante dos 12 meses de validade, a Ata não gerará qualquer outra contratação. Qual a utilidade então de licitar por SRP, ao invés de um pregão eletrônico comum, que alcançaria exatamente o mesmo resultado pretendido pelo órgão público?</w:t>
      </w:r>
    </w:p>
    <w:p w14:paraId="6C2DA062"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O TCU tem condenado a utilização do SRP em tais situações, conforme os seguintes julgados:</w:t>
      </w:r>
    </w:p>
    <w:p w14:paraId="2D6EBBB9" w14:textId="77777777" w:rsidR="00DD1EB9"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“10. Manifesto-me favoravelmente ao posicionamento da unidade técnica de que não há base legal para o procedimento levado a efeito no âmbito da UFAM, considerando que na forma como foi concebido o certame só seria possível a contratação uma única vez, para o serviço ali explicitado, situação que descaracteriza por completo a opção pelo sistema de registro de preço.” (Acórdão n° 113/2012 – Plenário)</w:t>
      </w:r>
    </w:p>
    <w:p w14:paraId="0C24863F" w14:textId="77777777" w:rsidR="00DD1EB9"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“16. Atenta contra os princípios da razoabilidade e da finalidade o ente público ("órgão gerenciador", nos termos do art. 1º, parágrafo único, III, do Decreto Federal nº 3.931/2001) valer-se do sistema de registro de preços para celebrar contrato com objeto absolutamente idêntico ao da ata que lhe deu origem, isto é, constituir uma ata de registro de preços para simplesmente firmar contrato pela totalidade do valor da ata. Não se pode aceitar aqui o argumento de que, nesse caso, a ata ainda teria utilidade para os "caronas", uma vez que sua finalidade precípua - sua razão maior de ser - é o atendimento às necessidades do "gerenciador" e dos eventuais "participantes" (art. 2º, III, do Decreto Federal nº 3.931/2001).” (Acórdão nº 113/2014 – Plenário)</w:t>
      </w:r>
    </w:p>
    <w:p w14:paraId="703ED0C9" w14:textId="77777777" w:rsidR="00DD1EB9" w:rsidRPr="00562A0F" w:rsidRDefault="00DD1EB9" w:rsidP="009D45A4">
      <w:pPr>
        <w:spacing w:after="240" w:line="240" w:lineRule="auto"/>
        <w:ind w:left="708"/>
        <w:jc w:val="both"/>
        <w:rPr>
          <w:rFonts w:ascii="Times New Roman" w:hAnsi="Times New Roman"/>
        </w:rPr>
      </w:pPr>
      <w:r w:rsidRPr="00562A0F">
        <w:rPr>
          <w:rFonts w:ascii="Times New Roman" w:hAnsi="Times New Roman"/>
        </w:rPr>
        <w:t>“</w:t>
      </w:r>
      <w:r w:rsidRPr="00562A0F">
        <w:rPr>
          <w:rFonts w:ascii="Times New Roman" w:hAnsi="Times New Roman"/>
          <w:color w:val="000000"/>
        </w:rPr>
        <w:t xml:space="preserve">6. Assiste inteira razão à unidade técnica quanto à indevida utilização do sistema de registro de preços (SRP) para contratação dos serviços objeto do Pregão Eletrônico, uma vez que se trata de contratação imediata de serviços continuados e específicos, com </w:t>
      </w:r>
      <w:r w:rsidRPr="00562A0F">
        <w:rPr>
          <w:rFonts w:ascii="Times New Roman" w:hAnsi="Times New Roman"/>
          <w:color w:val="000000"/>
        </w:rPr>
        <w:lastRenderedPageBreak/>
        <w:t>quantitativos certos e determinados, não havendo parcelamento de entregas do objeto, conforme descrito no Termo de Referência.” (Acórdão 1.604/2017 – Plenário)</w:t>
      </w:r>
    </w:p>
    <w:p w14:paraId="34DCAE2D"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Assim, o registro de preços somente pode ser adotado quando a situação concreta ensejar o enquadramento num dos incisos do art. 3º do Decreto nº 7.892/2013, mediante justificativa expressa do setor técnico.</w:t>
      </w:r>
    </w:p>
    <w:p w14:paraId="1112B144" w14:textId="77777777" w:rsidR="00DD1EB9" w:rsidRPr="00562A0F" w:rsidRDefault="00DD1EB9" w:rsidP="009D45A4">
      <w:pPr>
        <w:spacing w:after="240" w:line="240" w:lineRule="auto"/>
        <w:jc w:val="both"/>
        <w:rPr>
          <w:rFonts w:ascii="Times New Roman" w:hAnsi="Times New Roman"/>
        </w:rPr>
      </w:pPr>
    </w:p>
    <w:p w14:paraId="15274B08"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b/>
          <w:bCs/>
          <w:u w:val="single"/>
        </w:rPr>
        <w:t>JUSTIFICATIVA</w:t>
      </w:r>
      <w:r w:rsidRPr="00562A0F">
        <w:rPr>
          <w:rFonts w:ascii="Times New Roman" w:hAnsi="Times New Roman"/>
        </w:rPr>
        <w:t>: Na presente licitação, o sistema de registro de preços (   ) FOI ou (   ) NÃO FOI adotado.</w:t>
      </w:r>
    </w:p>
    <w:p w14:paraId="1F7636C5" w14:textId="77777777" w:rsidR="00DD1EB9" w:rsidRPr="00562A0F" w:rsidRDefault="00DD1EB9" w:rsidP="009D45A4">
      <w:pPr>
        <w:spacing w:after="240" w:line="240" w:lineRule="auto"/>
        <w:jc w:val="both"/>
        <w:rPr>
          <w:rFonts w:ascii="Times New Roman" w:hAnsi="Times New Roman"/>
        </w:rPr>
      </w:pPr>
      <w:r w:rsidRPr="00562A0F">
        <w:rPr>
          <w:rFonts w:ascii="Times New Roman" w:hAnsi="Times New Roman"/>
        </w:rPr>
        <w:t>Em caso de resposta positiva, o enquadramento do registro de preços se dá no inciso (   ) I ou (   ) II ou (   ) III ou (   ) IV do art. 3º do Decreto nº 7.892/2013, com base na seguinte motivação:</w:t>
      </w:r>
    </w:p>
    <w:p w14:paraId="151FD446" w14:textId="50CB64DE" w:rsidR="009D45A4" w:rsidRDefault="009D45A4" w:rsidP="009D45A4">
      <w:pPr>
        <w:spacing w:after="240" w:line="240" w:lineRule="auto"/>
        <w:jc w:val="both"/>
        <w:rPr>
          <w:rFonts w:ascii="Times New Roman" w:hAnsi="Times New Roman"/>
        </w:rPr>
      </w:pPr>
      <w:r w:rsidRPr="00562A0F">
        <w:rPr>
          <w:rFonts w:ascii="Times New Roman" w:hAnsi="Times New Roman"/>
        </w:rPr>
        <w:t>-----------------------------------------------------------------------------------------------------------------------------------------------------------------------------------------------------------------------------------------------------------------------------------------------------------------------------------------------------------------------------------------------------------------------------------------------------------------------------------------------------------------------------------------------------------------------------------------------------------------------------------------------------------</w:t>
      </w:r>
    </w:p>
    <w:p w14:paraId="25E97B1B" w14:textId="09248837" w:rsidR="007D6997" w:rsidRDefault="007D6997" w:rsidP="009D45A4">
      <w:pPr>
        <w:spacing w:after="240" w:line="240" w:lineRule="auto"/>
        <w:jc w:val="both"/>
        <w:rPr>
          <w:rFonts w:ascii="Times New Roman" w:hAnsi="Times New Roman"/>
        </w:rPr>
      </w:pPr>
    </w:p>
    <w:p w14:paraId="297D275D" w14:textId="77777777" w:rsidR="007D6997" w:rsidRPr="00562A0F" w:rsidRDefault="007D6997" w:rsidP="007D6997">
      <w:pPr>
        <w:pStyle w:val="PargrafodaLista"/>
        <w:numPr>
          <w:ilvl w:val="0"/>
          <w:numId w:val="1"/>
        </w:numPr>
        <w:spacing w:after="240" w:line="240" w:lineRule="auto"/>
        <w:jc w:val="both"/>
        <w:rPr>
          <w:rFonts w:ascii="Times New Roman" w:hAnsi="Times New Roman"/>
          <w:b/>
          <w:bCs/>
          <w:u w:val="single"/>
        </w:rPr>
      </w:pPr>
      <w:r>
        <w:rPr>
          <w:rFonts w:ascii="Times New Roman" w:hAnsi="Times New Roman"/>
          <w:b/>
          <w:bCs/>
          <w:u w:val="single"/>
        </w:rPr>
        <w:t>NATUREZA DA ATIVIDADE SE CONSTITUI OU NÃO ATIVIDADE DE CUSTEIO (DECRETO Nº 10.193/2019)</w:t>
      </w:r>
    </w:p>
    <w:p w14:paraId="415BD12F" w14:textId="77777777" w:rsidR="007D6997" w:rsidRPr="00562A0F" w:rsidRDefault="007D6997" w:rsidP="007D6997">
      <w:pPr>
        <w:spacing w:after="240" w:line="240" w:lineRule="auto"/>
        <w:jc w:val="both"/>
        <w:rPr>
          <w:rFonts w:ascii="Times New Roman" w:hAnsi="Times New Roman"/>
        </w:rPr>
      </w:pPr>
      <w:r w:rsidRPr="006420D2">
        <w:rPr>
          <w:rFonts w:ascii="Times New Roman" w:hAnsi="Times New Roman"/>
          <w:lang w:eastAsia="pt-BR"/>
        </w:rPr>
        <w:t>No âmbito do Poder Executivo Federal, o Decreto nº 10.193, de 27 de dezembro de 2019 passou a estabelecer limites e instâncias de governança para a contratação de bens e serviços e para a realização de gastos com diárias e passagens, aplicáveis aos Órgãos, entidades e fundos do Poder Executivo Federal integrantes do Orçamentos Fiscal e da Seguridade Social, na forma do artigo 3º.</w:t>
      </w:r>
    </w:p>
    <w:p w14:paraId="7A74CCF7" w14:textId="77777777" w:rsidR="007D6997" w:rsidRPr="00887F32" w:rsidRDefault="007D6997" w:rsidP="007D6997">
      <w:pPr>
        <w:spacing w:after="0" w:line="240" w:lineRule="auto"/>
        <w:ind w:left="709"/>
        <w:jc w:val="both"/>
        <w:rPr>
          <w:rFonts w:ascii="Times New Roman" w:hAnsi="Times New Roman"/>
          <w:lang w:eastAsia="pt-BR"/>
        </w:rPr>
      </w:pPr>
      <w:r w:rsidRPr="00562A0F">
        <w:rPr>
          <w:rFonts w:ascii="Times New Roman" w:hAnsi="Times New Roman"/>
          <w:lang w:eastAsia="pt-BR"/>
        </w:rPr>
        <w:t>“</w:t>
      </w:r>
      <w:r w:rsidRPr="00887F32">
        <w:rPr>
          <w:rFonts w:ascii="Times New Roman" w:hAnsi="Times New Roman"/>
          <w:lang w:eastAsia="pt-BR"/>
        </w:rPr>
        <w:t>Art. 3º A celebração de novos contratos administrativos e a prorrogação de contratos administrativos em vigor relativos a atividades de custeio serão autorizadas em ato do Ministro de Estado ou do titular de órgão diretamente subordinado ao Presidente da República.</w:t>
      </w:r>
    </w:p>
    <w:p w14:paraId="6DE81836" w14:textId="77777777" w:rsidR="007D6997" w:rsidRPr="00887F32" w:rsidRDefault="007D6997" w:rsidP="007D6997">
      <w:pPr>
        <w:spacing w:after="0" w:line="240" w:lineRule="auto"/>
        <w:ind w:left="709"/>
        <w:jc w:val="both"/>
        <w:rPr>
          <w:rFonts w:ascii="Times New Roman" w:hAnsi="Times New Roman"/>
          <w:lang w:eastAsia="pt-BR"/>
        </w:rPr>
      </w:pPr>
      <w:r w:rsidRPr="00887F32">
        <w:rPr>
          <w:rFonts w:ascii="Times New Roman" w:hAnsi="Times New Roman"/>
          <w:lang w:eastAsia="pt-BR"/>
        </w:rPr>
        <w:t>§ 1º Para os contratos de qualquer valor, a competência de que trata o caput poderá ser delegada às seguintes autoridades, permitida a subdelegação na forma do § 2º:</w:t>
      </w:r>
    </w:p>
    <w:p w14:paraId="7BF5D2D0" w14:textId="77777777" w:rsidR="007D6997" w:rsidRPr="00887F32" w:rsidRDefault="007D6997" w:rsidP="007D6997">
      <w:pPr>
        <w:spacing w:after="0" w:line="240" w:lineRule="auto"/>
        <w:ind w:left="709"/>
        <w:jc w:val="both"/>
        <w:rPr>
          <w:rFonts w:ascii="Times New Roman" w:hAnsi="Times New Roman"/>
          <w:lang w:eastAsia="pt-BR"/>
        </w:rPr>
      </w:pPr>
      <w:r w:rsidRPr="00887F32">
        <w:rPr>
          <w:rFonts w:ascii="Times New Roman" w:hAnsi="Times New Roman"/>
          <w:lang w:eastAsia="pt-BR"/>
        </w:rPr>
        <w:t>I - titulares de cargos de natureza especial;</w:t>
      </w:r>
    </w:p>
    <w:p w14:paraId="20A577DD" w14:textId="77777777" w:rsidR="007D6997" w:rsidRPr="00887F32" w:rsidRDefault="007D6997" w:rsidP="007D6997">
      <w:pPr>
        <w:spacing w:after="0" w:line="240" w:lineRule="auto"/>
        <w:ind w:left="709"/>
        <w:jc w:val="both"/>
        <w:rPr>
          <w:rFonts w:ascii="Times New Roman" w:hAnsi="Times New Roman"/>
          <w:lang w:eastAsia="pt-BR"/>
        </w:rPr>
      </w:pPr>
      <w:r w:rsidRPr="00887F32">
        <w:rPr>
          <w:rFonts w:ascii="Times New Roman" w:hAnsi="Times New Roman"/>
          <w:lang w:eastAsia="pt-BR"/>
        </w:rPr>
        <w:t>II - dirigentes máximos das unidades diretamente subordinadas aos Ministros de Estado; e</w:t>
      </w:r>
    </w:p>
    <w:p w14:paraId="06F42E55" w14:textId="77777777" w:rsidR="007D6997" w:rsidRPr="00887F32" w:rsidRDefault="007D6997" w:rsidP="007D6997">
      <w:pPr>
        <w:spacing w:after="0" w:line="240" w:lineRule="auto"/>
        <w:ind w:left="709"/>
        <w:jc w:val="both"/>
        <w:rPr>
          <w:rFonts w:ascii="Times New Roman" w:hAnsi="Times New Roman"/>
          <w:lang w:eastAsia="pt-BR"/>
        </w:rPr>
      </w:pPr>
      <w:r w:rsidRPr="00887F32">
        <w:rPr>
          <w:rFonts w:ascii="Times New Roman" w:hAnsi="Times New Roman"/>
          <w:lang w:eastAsia="pt-BR"/>
        </w:rPr>
        <w:t>III - dirigentes máximos das entidades vinculadas.</w:t>
      </w:r>
    </w:p>
    <w:p w14:paraId="60A22C92" w14:textId="77777777" w:rsidR="007D6997" w:rsidRPr="00887F32" w:rsidRDefault="007D6997" w:rsidP="007D6997">
      <w:pPr>
        <w:spacing w:after="0" w:line="240" w:lineRule="auto"/>
        <w:ind w:left="709"/>
        <w:jc w:val="both"/>
        <w:rPr>
          <w:rFonts w:ascii="Times New Roman" w:hAnsi="Times New Roman"/>
          <w:lang w:eastAsia="pt-BR"/>
        </w:rPr>
      </w:pPr>
      <w:r w:rsidRPr="00887F32">
        <w:rPr>
          <w:rFonts w:ascii="Times New Roman" w:hAnsi="Times New Roman"/>
          <w:lang w:eastAsia="pt-BR"/>
        </w:rPr>
        <w:t>§ 2º Para os contratos com valor inferior a R$ 10.000.000,00 (dez milhões de reais), a competência de que trata o caput poderá ser delegada ou subdelegada aos subsecretários de planejamento, orçamento e administração ou à autoridade equivalente, permitida a subdelegação nos termos do disposto no § 3º.</w:t>
      </w:r>
    </w:p>
    <w:p w14:paraId="4894D7FF" w14:textId="77777777" w:rsidR="007D6997" w:rsidRPr="00562A0F" w:rsidRDefault="007D6997" w:rsidP="007D6997">
      <w:pPr>
        <w:spacing w:after="0" w:line="240" w:lineRule="auto"/>
        <w:ind w:left="709"/>
        <w:jc w:val="both"/>
        <w:rPr>
          <w:rFonts w:ascii="Times New Roman" w:hAnsi="Times New Roman"/>
        </w:rPr>
      </w:pPr>
      <w:r w:rsidRPr="00887F32">
        <w:rPr>
          <w:rFonts w:ascii="Times New Roman" w:hAnsi="Times New Roman"/>
          <w:lang w:eastAsia="pt-BR"/>
        </w:rPr>
        <w:t>§ 3º Para os contratos com valor igual ou inferior a R$ 1.000.000,00 (um milhão de reais), a competência de que trata o caput poderá ser delegada ou subdelegada aos coordenadores ou aos chefes das unidades administrativas dos órgãos ou das entidades, vedada a subdelegação.”</w:t>
      </w:r>
      <w:r>
        <w:rPr>
          <w:rFonts w:ascii="Times New Roman" w:hAnsi="Times New Roman"/>
          <w:lang w:eastAsia="pt-BR"/>
        </w:rPr>
        <w:br/>
      </w:r>
    </w:p>
    <w:p w14:paraId="112F2E40" w14:textId="77777777" w:rsidR="007D6997" w:rsidRPr="00361C55" w:rsidRDefault="007D6997" w:rsidP="007D6997">
      <w:pPr>
        <w:spacing w:after="240" w:line="240" w:lineRule="auto"/>
        <w:jc w:val="both"/>
        <w:rPr>
          <w:rFonts w:ascii="Times New Roman" w:hAnsi="Times New Roman"/>
          <w:lang w:eastAsia="pt-BR"/>
        </w:rPr>
      </w:pPr>
      <w:r w:rsidRPr="00361C55">
        <w:rPr>
          <w:rFonts w:ascii="Times New Roman" w:hAnsi="Times New Roman"/>
          <w:lang w:eastAsia="pt-BR"/>
        </w:rPr>
        <w:t>Sob a égide do revogado Decreto nº 7.689, 2012, que regulava o tema, foi baixada a Portaria nº 249, de 13 de junho de 2012</w:t>
      </w:r>
      <w:r>
        <w:rPr>
          <w:rFonts w:ascii="Times New Roman" w:hAnsi="Times New Roman"/>
          <w:lang w:eastAsia="pt-BR"/>
        </w:rPr>
        <w:t>, do então Ministério do Orçamento, Planejamento e Gestão,</w:t>
      </w:r>
      <w:r w:rsidRPr="00361C55">
        <w:rPr>
          <w:rFonts w:ascii="Times New Roman" w:hAnsi="Times New Roman"/>
          <w:lang w:eastAsia="pt-BR"/>
        </w:rPr>
        <w:t xml:space="preserve"> que estabeleceu normas complementares para o seu cumprimento, prevendo em seu artigo 3º que as </w:t>
      </w:r>
      <w:r w:rsidRPr="00361C55">
        <w:rPr>
          <w:rFonts w:ascii="Times New Roman" w:hAnsi="Times New Roman"/>
          <w:lang w:eastAsia="pt-BR"/>
        </w:rPr>
        <w:lastRenderedPageBreak/>
        <w:t>atividades de custeio decorrem de contratações diretamente relacionadas às atividades comuns a todos os Órgãos e entidades que apoiam o desempenho de suas atividades institucionais, tais como:</w:t>
      </w:r>
    </w:p>
    <w:p w14:paraId="5A0E1435" w14:textId="77777777" w:rsidR="007D6997" w:rsidRPr="00361C55" w:rsidRDefault="007D6997" w:rsidP="007D6997">
      <w:pPr>
        <w:spacing w:after="0" w:line="240" w:lineRule="auto"/>
        <w:ind w:left="709"/>
        <w:jc w:val="both"/>
        <w:rPr>
          <w:rFonts w:ascii="Times New Roman" w:hAnsi="Times New Roman"/>
          <w:lang w:eastAsia="pt-BR"/>
        </w:rPr>
      </w:pPr>
      <w:r w:rsidRPr="00361C55">
        <w:rPr>
          <w:rFonts w:ascii="Times New Roman" w:hAnsi="Times New Roman"/>
          <w:lang w:eastAsia="pt-BR"/>
        </w:rPr>
        <w:t>I - fornecimento de combustíveis, energia elétrica, água, esgoto e serviços de telecomunicação;</w:t>
      </w:r>
    </w:p>
    <w:p w14:paraId="692A0F9E" w14:textId="77777777" w:rsidR="007D6997" w:rsidRPr="00361C55" w:rsidRDefault="007D6997" w:rsidP="007D6997">
      <w:pPr>
        <w:spacing w:after="0" w:line="240" w:lineRule="auto"/>
        <w:ind w:left="709"/>
        <w:jc w:val="both"/>
        <w:rPr>
          <w:rFonts w:ascii="Times New Roman" w:hAnsi="Times New Roman"/>
          <w:lang w:eastAsia="pt-BR"/>
        </w:rPr>
      </w:pPr>
      <w:r w:rsidRPr="00361C55">
        <w:rPr>
          <w:rFonts w:ascii="Times New Roman" w:hAnsi="Times New Roman"/>
          <w:lang w:eastAsia="pt-BR"/>
        </w:rPr>
        <w:t>II - as atividades de conservação, limpeza, segurança, vigilância, transportes, informática, copeiragem, recepção, reprografia, telecomunicações e manutenção de prédios, equipamentos e instalações, conforme disposto no Decreto nº 2.271, de 7 de julho de 1997;</w:t>
      </w:r>
    </w:p>
    <w:p w14:paraId="0DA5FC7D" w14:textId="77777777" w:rsidR="007D6997" w:rsidRPr="00361C55" w:rsidRDefault="007D6997" w:rsidP="007D6997">
      <w:pPr>
        <w:spacing w:after="0" w:line="240" w:lineRule="auto"/>
        <w:ind w:left="709"/>
        <w:jc w:val="both"/>
        <w:rPr>
          <w:rFonts w:ascii="Times New Roman" w:hAnsi="Times New Roman"/>
          <w:lang w:eastAsia="pt-BR"/>
        </w:rPr>
      </w:pPr>
      <w:r w:rsidRPr="00361C55">
        <w:rPr>
          <w:rFonts w:ascii="Times New Roman" w:hAnsi="Times New Roman"/>
          <w:lang w:eastAsia="pt-BR"/>
        </w:rPr>
        <w:t>III - realizações de congressos e eventos, serviços de publicidade, serviços gráficos e editoriais;</w:t>
      </w:r>
    </w:p>
    <w:p w14:paraId="33D403F4" w14:textId="77777777" w:rsidR="007D6997" w:rsidRPr="00361C55" w:rsidRDefault="007D6997" w:rsidP="007D6997">
      <w:pPr>
        <w:spacing w:after="0" w:line="240" w:lineRule="auto"/>
        <w:ind w:left="709"/>
        <w:jc w:val="both"/>
        <w:rPr>
          <w:rFonts w:ascii="Times New Roman" w:hAnsi="Times New Roman"/>
          <w:lang w:eastAsia="pt-BR"/>
        </w:rPr>
      </w:pPr>
      <w:r w:rsidRPr="00361C55">
        <w:rPr>
          <w:rFonts w:ascii="Times New Roman" w:hAnsi="Times New Roman"/>
          <w:lang w:eastAsia="pt-BR"/>
        </w:rPr>
        <w:t>IV - aquisição, locação e reformas de imóveis; e</w:t>
      </w:r>
    </w:p>
    <w:p w14:paraId="67A8787C" w14:textId="77777777" w:rsidR="007D6997" w:rsidRDefault="007D6997" w:rsidP="007D6997">
      <w:pPr>
        <w:spacing w:after="0" w:line="240" w:lineRule="auto"/>
        <w:ind w:left="709"/>
        <w:jc w:val="both"/>
        <w:rPr>
          <w:rFonts w:ascii="Times New Roman" w:hAnsi="Times New Roman"/>
          <w:lang w:eastAsia="pt-BR"/>
        </w:rPr>
      </w:pPr>
      <w:r w:rsidRPr="00361C55">
        <w:rPr>
          <w:rFonts w:ascii="Times New Roman" w:hAnsi="Times New Roman"/>
          <w:lang w:eastAsia="pt-BR"/>
        </w:rPr>
        <w:t>V - aquisição, manutenção e locação de veículos, máquinas e equipamentos.</w:t>
      </w:r>
    </w:p>
    <w:p w14:paraId="45232CE0" w14:textId="77777777" w:rsidR="007D6997" w:rsidRPr="00361C55" w:rsidRDefault="007D6997" w:rsidP="007D6997">
      <w:pPr>
        <w:spacing w:after="0" w:line="240" w:lineRule="auto"/>
        <w:ind w:left="709"/>
        <w:jc w:val="both"/>
        <w:rPr>
          <w:rFonts w:ascii="Times New Roman" w:hAnsi="Times New Roman"/>
          <w:lang w:eastAsia="pt-BR"/>
        </w:rPr>
      </w:pPr>
      <w:r w:rsidRPr="00361C55">
        <w:rPr>
          <w:rFonts w:ascii="Times New Roman" w:hAnsi="Times New Roman"/>
          <w:lang w:eastAsia="pt-BR"/>
        </w:rPr>
        <w:t>Parágrafo único. O enquadramento do objeto da contratação como atividade de custeio deve considerar a natureza das atividades Contratadas, conforme disposto neste artigo, e não a classificação orçamentária da despesa.</w:t>
      </w:r>
    </w:p>
    <w:p w14:paraId="717D6291" w14:textId="77777777" w:rsidR="007D6997" w:rsidRPr="00562A0F" w:rsidRDefault="007D6997" w:rsidP="007D6997">
      <w:pPr>
        <w:spacing w:after="240" w:line="240" w:lineRule="auto"/>
        <w:jc w:val="both"/>
        <w:rPr>
          <w:rFonts w:ascii="Times New Roman" w:hAnsi="Times New Roman"/>
        </w:rPr>
      </w:pPr>
      <w:r w:rsidRPr="00562A0F">
        <w:rPr>
          <w:rFonts w:ascii="Times New Roman" w:hAnsi="Times New Roman"/>
          <w:lang w:eastAsia="pt-BR"/>
        </w:rPr>
        <w:t>.</w:t>
      </w:r>
    </w:p>
    <w:p w14:paraId="723B42AB" w14:textId="77777777" w:rsidR="007D6997" w:rsidRPr="00562A0F" w:rsidRDefault="007D6997" w:rsidP="007D6997">
      <w:pPr>
        <w:spacing w:after="240" w:line="240" w:lineRule="auto"/>
        <w:jc w:val="both"/>
        <w:rPr>
          <w:rFonts w:ascii="Times New Roman" w:hAnsi="Times New Roman"/>
        </w:rPr>
      </w:pPr>
      <w:r w:rsidRPr="00CB24F4">
        <w:rPr>
          <w:rFonts w:ascii="Times New Roman" w:hAnsi="Times New Roman"/>
        </w:rPr>
        <w:t>Até que o ato normativo (Portaria nº 249</w:t>
      </w:r>
      <w:r>
        <w:rPr>
          <w:rFonts w:ascii="Times New Roman" w:hAnsi="Times New Roman"/>
        </w:rPr>
        <w:t>/2012-MPOG</w:t>
      </w:r>
      <w:r w:rsidRPr="00CB24F4">
        <w:rPr>
          <w:rFonts w:ascii="Times New Roman" w:hAnsi="Times New Roman"/>
        </w:rPr>
        <w:t xml:space="preserve">) seja revisto ou revogado, conforme determinação contida no Decreto nº 10.139, de 28 de novembro de 2019, </w:t>
      </w:r>
      <w:r>
        <w:rPr>
          <w:rFonts w:ascii="Times New Roman" w:hAnsi="Times New Roman"/>
        </w:rPr>
        <w:t>o órgão/entidade</w:t>
      </w:r>
      <w:r w:rsidRPr="00CB24F4">
        <w:rPr>
          <w:rFonts w:ascii="Times New Roman" w:hAnsi="Times New Roman"/>
        </w:rPr>
        <w:t xml:space="preserve"> deve certificar-se sobre a natureza da atividade a ser contratada – se constitui ou não atividade de custeio - tendo como parâmetro a citada Portaria, adotando as providências necessárias, se for o caso, o que poderá ser feito em qualquer fase do processo de contratação até antes da assinatura do contrato ou do termo aditivo de prorrogação, podendo ser concedida por despacho no próprio processo, por memorando ou ofício, por meio eletrônico com assinatura digital ou outro meio idôneo que registre a autorização expressa da autoridade competente, consoante § 1º do artigo 4º da Portaria nº 249, de 2012.</w:t>
      </w:r>
    </w:p>
    <w:p w14:paraId="66798CD6" w14:textId="77777777" w:rsidR="007D6997" w:rsidRPr="00562A0F" w:rsidRDefault="007D6997" w:rsidP="007D6997">
      <w:pPr>
        <w:pStyle w:val="numerado"/>
        <w:spacing w:before="0" w:beforeAutospacing="0" w:after="240" w:afterAutospacing="0"/>
        <w:ind w:left="360"/>
        <w:jc w:val="both"/>
        <w:rPr>
          <w:sz w:val="22"/>
          <w:szCs w:val="22"/>
        </w:rPr>
      </w:pPr>
    </w:p>
    <w:p w14:paraId="601CCB2D" w14:textId="77777777" w:rsidR="007D6997" w:rsidRDefault="007D6997" w:rsidP="007D6997">
      <w:pPr>
        <w:spacing w:after="240" w:line="240" w:lineRule="auto"/>
        <w:jc w:val="both"/>
        <w:rPr>
          <w:rFonts w:ascii="Times New Roman" w:hAnsi="Times New Roman"/>
          <w:lang w:eastAsia="pt-BR"/>
        </w:rPr>
      </w:pPr>
      <w:r>
        <w:rPr>
          <w:rFonts w:ascii="Times New Roman" w:hAnsi="Times New Roman"/>
          <w:b/>
          <w:bCs/>
          <w:u w:val="single"/>
          <w:lang w:eastAsia="pt-BR"/>
        </w:rPr>
        <w:t>DECLARAÇÃO</w:t>
      </w:r>
      <w:r w:rsidRPr="00562A0F">
        <w:rPr>
          <w:rFonts w:ascii="Times New Roman" w:hAnsi="Times New Roman"/>
          <w:lang w:eastAsia="pt-BR"/>
        </w:rPr>
        <w:t xml:space="preserve">: No presente feito, </w:t>
      </w:r>
      <w:r>
        <w:rPr>
          <w:rFonts w:ascii="Times New Roman" w:hAnsi="Times New Roman"/>
          <w:lang w:eastAsia="pt-BR"/>
        </w:rPr>
        <w:t xml:space="preserve">com base nos critérios da </w:t>
      </w:r>
      <w:r w:rsidRPr="00CB24F4">
        <w:rPr>
          <w:rFonts w:ascii="Times New Roman" w:hAnsi="Times New Roman"/>
        </w:rPr>
        <w:t>Portaria nº 249</w:t>
      </w:r>
      <w:r>
        <w:rPr>
          <w:rFonts w:ascii="Times New Roman" w:hAnsi="Times New Roman"/>
        </w:rPr>
        <w:t>/2012-MPOG,</w:t>
      </w:r>
      <w:r>
        <w:rPr>
          <w:rFonts w:ascii="Times New Roman" w:hAnsi="Times New Roman"/>
          <w:lang w:eastAsia="pt-BR"/>
        </w:rPr>
        <w:t xml:space="preserve"> a natureza da atividade a ser contratada</w:t>
      </w:r>
    </w:p>
    <w:p w14:paraId="4BAB6A98" w14:textId="77777777" w:rsidR="007D6997" w:rsidRPr="00562A0F" w:rsidRDefault="007D6997" w:rsidP="007D6997">
      <w:pPr>
        <w:spacing w:after="240" w:line="240" w:lineRule="auto"/>
        <w:jc w:val="both"/>
        <w:rPr>
          <w:rFonts w:ascii="Times New Roman" w:hAnsi="Times New Roman"/>
        </w:rPr>
      </w:pPr>
      <w:r>
        <w:rPr>
          <w:rFonts w:ascii="Times New Roman" w:hAnsi="Times New Roman"/>
        </w:rPr>
        <w:t xml:space="preserve">A - </w:t>
      </w:r>
      <w:r w:rsidRPr="00562A0F">
        <w:rPr>
          <w:rFonts w:ascii="Times New Roman" w:hAnsi="Times New Roman"/>
        </w:rPr>
        <w:t xml:space="preserve">(   ) </w:t>
      </w:r>
      <w:r>
        <w:rPr>
          <w:rFonts w:ascii="Times New Roman" w:hAnsi="Times New Roman"/>
        </w:rPr>
        <w:t>Não se constitui em Atividade de Custeio.</w:t>
      </w:r>
    </w:p>
    <w:p w14:paraId="0A251C9E" w14:textId="77777777" w:rsidR="007D6997" w:rsidRDefault="007D6997" w:rsidP="007D6997">
      <w:pPr>
        <w:spacing w:after="240" w:line="240" w:lineRule="auto"/>
        <w:jc w:val="both"/>
        <w:rPr>
          <w:rFonts w:ascii="Times New Roman" w:hAnsi="Times New Roman"/>
        </w:rPr>
      </w:pPr>
      <w:r>
        <w:rPr>
          <w:rFonts w:ascii="Times New Roman" w:hAnsi="Times New Roman"/>
        </w:rPr>
        <w:t xml:space="preserve">B - </w:t>
      </w:r>
      <w:r w:rsidRPr="00562A0F">
        <w:rPr>
          <w:rFonts w:ascii="Times New Roman" w:hAnsi="Times New Roman"/>
        </w:rPr>
        <w:t xml:space="preserve">(   ) </w:t>
      </w:r>
      <w:r>
        <w:rPr>
          <w:rFonts w:ascii="Times New Roman" w:hAnsi="Times New Roman"/>
        </w:rPr>
        <w:t>constitui-se em Atividade de Custeio</w:t>
      </w:r>
      <w:r w:rsidRPr="00562A0F">
        <w:rPr>
          <w:rFonts w:ascii="Times New Roman" w:hAnsi="Times New Roman"/>
        </w:rPr>
        <w:t>;</w:t>
      </w:r>
    </w:p>
    <w:p w14:paraId="4CC7933E" w14:textId="77777777" w:rsidR="007D6997" w:rsidRDefault="007D6997" w:rsidP="007D6997">
      <w:pPr>
        <w:spacing w:after="240" w:line="240" w:lineRule="auto"/>
        <w:jc w:val="both"/>
        <w:rPr>
          <w:rFonts w:ascii="Times New Roman" w:hAnsi="Times New Roman"/>
          <w:lang w:eastAsia="pt-BR"/>
        </w:rPr>
      </w:pPr>
      <w:r>
        <w:rPr>
          <w:rFonts w:ascii="Times New Roman" w:hAnsi="Times New Roman"/>
        </w:rPr>
        <w:tab/>
      </w:r>
      <w:r>
        <w:rPr>
          <w:rFonts w:ascii="Times New Roman" w:hAnsi="Times New Roman"/>
        </w:rPr>
        <w:tab/>
        <w:t xml:space="preserve">Considerando o disposto no art. 3º do </w:t>
      </w:r>
      <w:r w:rsidRPr="006420D2">
        <w:rPr>
          <w:rFonts w:ascii="Times New Roman" w:hAnsi="Times New Roman"/>
          <w:lang w:eastAsia="pt-BR"/>
        </w:rPr>
        <w:t>Decreto nº 10.193</w:t>
      </w:r>
      <w:r>
        <w:rPr>
          <w:rFonts w:ascii="Times New Roman" w:hAnsi="Times New Roman"/>
          <w:lang w:eastAsia="pt-BR"/>
        </w:rPr>
        <w:t>/2019 e o valor estimado da contratação</w:t>
      </w:r>
      <w:r w:rsidRPr="001D3EF1">
        <w:rPr>
          <w:rFonts w:ascii="Times New Roman" w:hAnsi="Times New Roman"/>
          <w:i/>
          <w:iCs/>
          <w:color w:val="FF0000"/>
          <w:lang w:eastAsia="pt-BR"/>
        </w:rPr>
        <w:t>,</w:t>
      </w:r>
      <w:r w:rsidRPr="00031DF2">
        <w:rPr>
          <w:rFonts w:ascii="Times New Roman" w:hAnsi="Times New Roman"/>
          <w:i/>
          <w:iCs/>
          <w:color w:val="FF0000"/>
          <w:lang w:eastAsia="pt-BR"/>
        </w:rPr>
        <w:t xml:space="preserve"> bem como o constante da Portaria de Delegação nº______</w:t>
      </w:r>
      <w:r>
        <w:rPr>
          <w:rFonts w:ascii="Times New Roman" w:hAnsi="Times New Roman"/>
          <w:lang w:eastAsia="pt-BR"/>
        </w:rPr>
        <w:t>, a autoridade assessorada:</w:t>
      </w:r>
    </w:p>
    <w:p w14:paraId="1F68940E" w14:textId="77777777" w:rsidR="007D6997" w:rsidRDefault="007D6997" w:rsidP="007D6997">
      <w:pPr>
        <w:spacing w:after="240" w:line="240" w:lineRule="auto"/>
        <w:jc w:val="both"/>
        <w:rPr>
          <w:rFonts w:ascii="Times New Roman" w:hAnsi="Times New Roman"/>
          <w:lang w:eastAsia="pt-BR"/>
        </w:rPr>
      </w:pPr>
      <w:r>
        <w:rPr>
          <w:rFonts w:ascii="Times New Roman" w:hAnsi="Times New Roman"/>
          <w:lang w:eastAsia="pt-BR"/>
        </w:rPr>
        <w:tab/>
        <w:t>B.1 (    ) detém competência para celebrar o contrato;</w:t>
      </w:r>
    </w:p>
    <w:p w14:paraId="598A4B72" w14:textId="0E41403D" w:rsidR="007D6997" w:rsidRPr="00562A0F" w:rsidRDefault="007D6997" w:rsidP="009D45A4">
      <w:pPr>
        <w:spacing w:after="240" w:line="240" w:lineRule="auto"/>
        <w:jc w:val="both"/>
        <w:rPr>
          <w:rFonts w:ascii="Times New Roman" w:hAnsi="Times New Roman"/>
          <w:lang w:eastAsia="pt-BR"/>
        </w:rPr>
      </w:pPr>
      <w:r>
        <w:rPr>
          <w:rFonts w:ascii="Times New Roman" w:hAnsi="Times New Roman"/>
          <w:lang w:eastAsia="pt-BR"/>
        </w:rPr>
        <w:tab/>
        <w:t>B.2. (    ) irá obter autorização para celebrar o contrato.</w:t>
      </w:r>
    </w:p>
    <w:sectPr w:rsidR="007D6997" w:rsidRPr="00562A0F">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F6C8D" w14:textId="77777777" w:rsidR="009D33AE" w:rsidRDefault="009D33AE" w:rsidP="00BF3FF2">
      <w:pPr>
        <w:spacing w:after="0" w:line="240" w:lineRule="auto"/>
      </w:pPr>
      <w:r>
        <w:separator/>
      </w:r>
    </w:p>
  </w:endnote>
  <w:endnote w:type="continuationSeparator" w:id="0">
    <w:p w14:paraId="7137B511" w14:textId="77777777" w:rsidR="009D33AE" w:rsidRDefault="009D33AE" w:rsidP="00BF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CFDA" w14:textId="77777777" w:rsidR="00AF19F4" w:rsidRDefault="00AF19F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530FF" w14:textId="77777777" w:rsidR="001D3403" w:rsidRPr="001D3403" w:rsidRDefault="001D3403" w:rsidP="001D3403">
    <w:pPr>
      <w:suppressAutoHyphens/>
      <w:spacing w:after="0" w:line="240" w:lineRule="auto"/>
      <w:rPr>
        <w:rFonts w:ascii="Arial" w:eastAsia="Times New Roman" w:hAnsi="Arial" w:cs="Arial"/>
        <w:sz w:val="14"/>
        <w:szCs w:val="14"/>
        <w:lang w:eastAsia="zh-CN"/>
      </w:rPr>
    </w:pPr>
    <w:r w:rsidRPr="001D3403">
      <w:rPr>
        <w:rFonts w:ascii="Arial" w:eastAsia="Times New Roman" w:hAnsi="Arial" w:cs="Arial"/>
        <w:sz w:val="14"/>
        <w:szCs w:val="14"/>
        <w:lang w:eastAsia="zh-CN"/>
      </w:rPr>
      <w:t>Câmara Nacional de Modelos de Licitações e Contratos da Consultoria-Geral da União</w:t>
    </w:r>
  </w:p>
  <w:p w14:paraId="236582E0" w14:textId="0611CDB6" w:rsidR="001D3403" w:rsidRPr="001D3403" w:rsidRDefault="001D3403" w:rsidP="001D3403">
    <w:pPr>
      <w:suppressAutoHyphens/>
      <w:spacing w:after="0" w:line="240" w:lineRule="auto"/>
      <w:rPr>
        <w:rFonts w:ascii="Arial" w:eastAsia="Times New Roman" w:hAnsi="Arial" w:cs="Arial"/>
        <w:sz w:val="14"/>
        <w:szCs w:val="14"/>
        <w:lang w:eastAsia="zh-CN"/>
      </w:rPr>
    </w:pPr>
    <w:r w:rsidRPr="001D3403">
      <w:rPr>
        <w:rFonts w:ascii="Arial" w:eastAsia="Times New Roman" w:hAnsi="Arial" w:cs="Arial"/>
        <w:sz w:val="14"/>
        <w:szCs w:val="14"/>
        <w:lang w:eastAsia="zh-CN"/>
      </w:rPr>
      <w:t xml:space="preserve">Modelo de Termo de </w:t>
    </w:r>
    <w:r>
      <w:rPr>
        <w:rFonts w:ascii="Arial" w:eastAsia="Times New Roman" w:hAnsi="Arial" w:cs="Arial"/>
        <w:sz w:val="14"/>
        <w:szCs w:val="14"/>
        <w:lang w:eastAsia="zh-CN"/>
      </w:rPr>
      <w:t>Justificativas Técnicas Relevantes</w:t>
    </w:r>
    <w:r w:rsidRPr="001D3403">
      <w:rPr>
        <w:rFonts w:ascii="Arial" w:eastAsia="Times New Roman" w:hAnsi="Arial" w:cs="Arial"/>
        <w:sz w:val="14"/>
        <w:szCs w:val="14"/>
        <w:lang w:eastAsia="zh-CN"/>
      </w:rPr>
      <w:t xml:space="preserve"> – </w:t>
    </w:r>
    <w:r>
      <w:rPr>
        <w:rFonts w:ascii="Arial" w:eastAsia="Times New Roman" w:hAnsi="Arial" w:cs="Arial"/>
        <w:sz w:val="14"/>
        <w:szCs w:val="14"/>
        <w:lang w:eastAsia="zh-CN"/>
      </w:rPr>
      <w:t>Obras/</w:t>
    </w:r>
    <w:r w:rsidRPr="001D3403">
      <w:rPr>
        <w:rFonts w:ascii="Arial" w:eastAsia="Times New Roman" w:hAnsi="Arial" w:cs="Arial"/>
        <w:sz w:val="14"/>
        <w:szCs w:val="14"/>
        <w:lang w:eastAsia="zh-CN"/>
      </w:rPr>
      <w:t>Serviços de engenharia</w:t>
    </w:r>
  </w:p>
  <w:p w14:paraId="085A95DC" w14:textId="77777777" w:rsidR="001D3403" w:rsidRPr="001D3403" w:rsidRDefault="001D3403" w:rsidP="001D3403">
    <w:pPr>
      <w:suppressAutoHyphens/>
      <w:spacing w:after="0" w:line="240" w:lineRule="auto"/>
      <w:rPr>
        <w:rFonts w:ascii="Arial" w:eastAsia="Times New Roman" w:hAnsi="Arial" w:cs="Arial"/>
        <w:sz w:val="14"/>
        <w:szCs w:val="14"/>
        <w:lang w:eastAsia="zh-CN"/>
      </w:rPr>
    </w:pPr>
    <w:r w:rsidRPr="001D3403">
      <w:rPr>
        <w:rFonts w:ascii="Arial" w:eastAsia="Times New Roman" w:hAnsi="Arial" w:cs="Arial"/>
        <w:sz w:val="14"/>
        <w:szCs w:val="14"/>
        <w:lang w:eastAsia="zh-CN"/>
      </w:rPr>
      <w:t>Atualização: Setembro/2021</w:t>
    </w:r>
  </w:p>
  <w:p w14:paraId="2365B775" w14:textId="77777777" w:rsidR="00BF3FF2" w:rsidRDefault="00BF3FF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60D58" w14:textId="77777777" w:rsidR="00AF19F4" w:rsidRDefault="00AF19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44264" w14:textId="77777777" w:rsidR="009D33AE" w:rsidRDefault="009D33AE" w:rsidP="00BF3FF2">
      <w:pPr>
        <w:spacing w:after="0" w:line="240" w:lineRule="auto"/>
      </w:pPr>
      <w:r>
        <w:separator/>
      </w:r>
    </w:p>
  </w:footnote>
  <w:footnote w:type="continuationSeparator" w:id="0">
    <w:p w14:paraId="1508CE1F" w14:textId="77777777" w:rsidR="009D33AE" w:rsidRDefault="009D33AE" w:rsidP="00BF3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6F715" w14:textId="77777777" w:rsidR="00AF19F4" w:rsidRDefault="00AF19F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0219" w14:textId="77777777" w:rsidR="00AF19F4" w:rsidRDefault="00AF19F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54D8" w14:textId="77777777" w:rsidR="00AF19F4" w:rsidRDefault="00AF19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469"/>
    <w:multiLevelType w:val="hybridMultilevel"/>
    <w:tmpl w:val="C6287930"/>
    <w:lvl w:ilvl="0" w:tplc="6C08054E">
      <w:start w:val="1"/>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1" w15:restartNumberingAfterBreak="0">
    <w:nsid w:val="0A841E89"/>
    <w:multiLevelType w:val="hybridMultilevel"/>
    <w:tmpl w:val="FA8C90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546141"/>
    <w:multiLevelType w:val="hybridMultilevel"/>
    <w:tmpl w:val="FA8C90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536FD9"/>
    <w:multiLevelType w:val="hybridMultilevel"/>
    <w:tmpl w:val="A8D682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46790E"/>
    <w:multiLevelType w:val="hybridMultilevel"/>
    <w:tmpl w:val="FA8C90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56762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6D7C71"/>
    <w:multiLevelType w:val="hybridMultilevel"/>
    <w:tmpl w:val="FA8C90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1151AD"/>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13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7"/>
  </w:num>
  <w:num w:numId="7">
    <w:abstractNumId w:val="6"/>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C3"/>
    <w:rsid w:val="000006FB"/>
    <w:rsid w:val="00001F07"/>
    <w:rsid w:val="00031DF2"/>
    <w:rsid w:val="00040A9F"/>
    <w:rsid w:val="000522CE"/>
    <w:rsid w:val="00084DBE"/>
    <w:rsid w:val="000953DE"/>
    <w:rsid w:val="000A081A"/>
    <w:rsid w:val="000E1CAD"/>
    <w:rsid w:val="000E7606"/>
    <w:rsid w:val="001151BC"/>
    <w:rsid w:val="00164E60"/>
    <w:rsid w:val="001A0D92"/>
    <w:rsid w:val="001B2956"/>
    <w:rsid w:val="001C0A81"/>
    <w:rsid w:val="001C433E"/>
    <w:rsid w:val="001C575A"/>
    <w:rsid w:val="001D3403"/>
    <w:rsid w:val="001D3EF1"/>
    <w:rsid w:val="001F7233"/>
    <w:rsid w:val="00222F8F"/>
    <w:rsid w:val="00235F4D"/>
    <w:rsid w:val="00270334"/>
    <w:rsid w:val="00280FCD"/>
    <w:rsid w:val="002858D5"/>
    <w:rsid w:val="00285A01"/>
    <w:rsid w:val="002915D8"/>
    <w:rsid w:val="00297A1D"/>
    <w:rsid w:val="00297ABB"/>
    <w:rsid w:val="002A1140"/>
    <w:rsid w:val="002B2C01"/>
    <w:rsid w:val="002D0E20"/>
    <w:rsid w:val="00306D6B"/>
    <w:rsid w:val="00331A04"/>
    <w:rsid w:val="00332138"/>
    <w:rsid w:val="00343D1B"/>
    <w:rsid w:val="00361708"/>
    <w:rsid w:val="00361C55"/>
    <w:rsid w:val="00375318"/>
    <w:rsid w:val="00380330"/>
    <w:rsid w:val="003A6C3C"/>
    <w:rsid w:val="003E10D9"/>
    <w:rsid w:val="003F3598"/>
    <w:rsid w:val="0046140E"/>
    <w:rsid w:val="00482F44"/>
    <w:rsid w:val="004D38ED"/>
    <w:rsid w:val="004D78F1"/>
    <w:rsid w:val="004F1449"/>
    <w:rsid w:val="004F2719"/>
    <w:rsid w:val="00522368"/>
    <w:rsid w:val="00532232"/>
    <w:rsid w:val="005574FB"/>
    <w:rsid w:val="00562A0F"/>
    <w:rsid w:val="005631DD"/>
    <w:rsid w:val="00576A15"/>
    <w:rsid w:val="005872E5"/>
    <w:rsid w:val="00594C1C"/>
    <w:rsid w:val="005B2CE9"/>
    <w:rsid w:val="005B75E4"/>
    <w:rsid w:val="005C5B4A"/>
    <w:rsid w:val="005D6407"/>
    <w:rsid w:val="005D7E75"/>
    <w:rsid w:val="00622FF2"/>
    <w:rsid w:val="006376D1"/>
    <w:rsid w:val="006420D2"/>
    <w:rsid w:val="006656A3"/>
    <w:rsid w:val="006964EF"/>
    <w:rsid w:val="006B0B2D"/>
    <w:rsid w:val="006B4DBF"/>
    <w:rsid w:val="00702D6D"/>
    <w:rsid w:val="00727D41"/>
    <w:rsid w:val="007522DA"/>
    <w:rsid w:val="00774D26"/>
    <w:rsid w:val="007803B9"/>
    <w:rsid w:val="007D6997"/>
    <w:rsid w:val="007D7E25"/>
    <w:rsid w:val="007F5587"/>
    <w:rsid w:val="00807E90"/>
    <w:rsid w:val="00817FBF"/>
    <w:rsid w:val="00820DFD"/>
    <w:rsid w:val="00842D72"/>
    <w:rsid w:val="00844900"/>
    <w:rsid w:val="00861CD4"/>
    <w:rsid w:val="00864D51"/>
    <w:rsid w:val="008778EE"/>
    <w:rsid w:val="00880EE9"/>
    <w:rsid w:val="008875FC"/>
    <w:rsid w:val="00887F32"/>
    <w:rsid w:val="008C4B9D"/>
    <w:rsid w:val="008D472A"/>
    <w:rsid w:val="008E2EA2"/>
    <w:rsid w:val="008F133B"/>
    <w:rsid w:val="0090645F"/>
    <w:rsid w:val="0094122D"/>
    <w:rsid w:val="0095003C"/>
    <w:rsid w:val="00961402"/>
    <w:rsid w:val="00970D4A"/>
    <w:rsid w:val="009B1B87"/>
    <w:rsid w:val="009B2FBF"/>
    <w:rsid w:val="009D09D4"/>
    <w:rsid w:val="009D33AE"/>
    <w:rsid w:val="009D45A4"/>
    <w:rsid w:val="00A13074"/>
    <w:rsid w:val="00A23513"/>
    <w:rsid w:val="00A23B66"/>
    <w:rsid w:val="00A33DE9"/>
    <w:rsid w:val="00A4177A"/>
    <w:rsid w:val="00A61059"/>
    <w:rsid w:val="00A7052F"/>
    <w:rsid w:val="00A72F4A"/>
    <w:rsid w:val="00A82E89"/>
    <w:rsid w:val="00A964C0"/>
    <w:rsid w:val="00A97BDC"/>
    <w:rsid w:val="00AE0E7B"/>
    <w:rsid w:val="00AF06F9"/>
    <w:rsid w:val="00AF1503"/>
    <w:rsid w:val="00AF19F4"/>
    <w:rsid w:val="00AF5131"/>
    <w:rsid w:val="00B063F1"/>
    <w:rsid w:val="00B269C8"/>
    <w:rsid w:val="00B57926"/>
    <w:rsid w:val="00B615D9"/>
    <w:rsid w:val="00B660AA"/>
    <w:rsid w:val="00B77B67"/>
    <w:rsid w:val="00B81F10"/>
    <w:rsid w:val="00B85CD6"/>
    <w:rsid w:val="00B96A0D"/>
    <w:rsid w:val="00BC4D8D"/>
    <w:rsid w:val="00BD440B"/>
    <w:rsid w:val="00BF3FF2"/>
    <w:rsid w:val="00BF56AC"/>
    <w:rsid w:val="00C20DFC"/>
    <w:rsid w:val="00C30EC3"/>
    <w:rsid w:val="00C31E99"/>
    <w:rsid w:val="00C33B43"/>
    <w:rsid w:val="00C33F6C"/>
    <w:rsid w:val="00C820F2"/>
    <w:rsid w:val="00C86C32"/>
    <w:rsid w:val="00CA15C7"/>
    <w:rsid w:val="00CA5117"/>
    <w:rsid w:val="00CB24F4"/>
    <w:rsid w:val="00CB6889"/>
    <w:rsid w:val="00CB727C"/>
    <w:rsid w:val="00CC7AC4"/>
    <w:rsid w:val="00CE6DBD"/>
    <w:rsid w:val="00D11C01"/>
    <w:rsid w:val="00D12174"/>
    <w:rsid w:val="00D52878"/>
    <w:rsid w:val="00D64101"/>
    <w:rsid w:val="00D76027"/>
    <w:rsid w:val="00D973AE"/>
    <w:rsid w:val="00DA1480"/>
    <w:rsid w:val="00DB19CD"/>
    <w:rsid w:val="00DD1EB9"/>
    <w:rsid w:val="00DD4E47"/>
    <w:rsid w:val="00E7629B"/>
    <w:rsid w:val="00E819C0"/>
    <w:rsid w:val="00E86C45"/>
    <w:rsid w:val="00E95612"/>
    <w:rsid w:val="00E95810"/>
    <w:rsid w:val="00EC523F"/>
    <w:rsid w:val="00EE637A"/>
    <w:rsid w:val="00EF41D0"/>
    <w:rsid w:val="00F75326"/>
    <w:rsid w:val="00F77350"/>
    <w:rsid w:val="00F81FE5"/>
    <w:rsid w:val="00FD076B"/>
    <w:rsid w:val="00FD67D4"/>
    <w:rsid w:val="00FF1011"/>
    <w:rsid w:val="1D17E490"/>
    <w:rsid w:val="7E98A8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B75E6"/>
  <w15:chartTrackingRefBased/>
  <w15:docId w15:val="{D7288358-7F77-4DF5-ACE5-B858339A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11"/>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F133B"/>
    <w:pPr>
      <w:ind w:left="720"/>
      <w:contextualSpacing/>
    </w:pPr>
  </w:style>
  <w:style w:type="paragraph" w:customStyle="1" w:styleId="numerado">
    <w:name w:val="numerado"/>
    <w:basedOn w:val="Normal"/>
    <w:rsid w:val="00DD1EB9"/>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EB9"/>
    <w:pPr>
      <w:suppressAutoHyphens/>
      <w:spacing w:before="280" w:after="280" w:line="240" w:lineRule="auto"/>
    </w:pPr>
    <w:rPr>
      <w:rFonts w:ascii="Times New Roman" w:eastAsia="Times New Roman" w:hAnsi="Times New Roman"/>
      <w:sz w:val="24"/>
      <w:szCs w:val="24"/>
      <w:lang w:eastAsia="zh-CN"/>
    </w:rPr>
  </w:style>
  <w:style w:type="character" w:styleId="Forte">
    <w:name w:val="Strong"/>
    <w:uiPriority w:val="22"/>
    <w:qFormat/>
    <w:rsid w:val="00DD1EB9"/>
    <w:rPr>
      <w:b/>
      <w:bCs/>
    </w:rPr>
  </w:style>
  <w:style w:type="character" w:customStyle="1" w:styleId="scayt-misspell-word">
    <w:name w:val="scayt-misspell-word"/>
    <w:rsid w:val="00DD1EB9"/>
  </w:style>
  <w:style w:type="character" w:customStyle="1" w:styleId="Manoel">
    <w:name w:val="Manoel"/>
    <w:qFormat/>
    <w:rsid w:val="00DD1EB9"/>
    <w:rPr>
      <w:rFonts w:ascii="Arial" w:hAnsi="Arial" w:cs="Arial"/>
      <w:color w:val="7030A0"/>
      <w:sz w:val="20"/>
    </w:rPr>
  </w:style>
  <w:style w:type="character" w:styleId="Hyperlink">
    <w:name w:val="Hyperlink"/>
    <w:rsid w:val="00DD1EB9"/>
    <w:rPr>
      <w:color w:val="000080"/>
      <w:u w:val="single"/>
    </w:rPr>
  </w:style>
  <w:style w:type="character" w:styleId="nfase">
    <w:name w:val="Emphasis"/>
    <w:uiPriority w:val="20"/>
    <w:qFormat/>
    <w:rsid w:val="00DD1EB9"/>
    <w:rPr>
      <w:i/>
      <w:iCs/>
    </w:rPr>
  </w:style>
  <w:style w:type="paragraph" w:customStyle="1" w:styleId="Nivel2">
    <w:name w:val="Nivel 2"/>
    <w:qFormat/>
    <w:rsid w:val="00AF06F9"/>
    <w:pPr>
      <w:numPr>
        <w:ilvl w:val="1"/>
        <w:numId w:val="7"/>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AF06F9"/>
    <w:pPr>
      <w:numPr>
        <w:ilvl w:val="0"/>
      </w:numPr>
    </w:pPr>
    <w:rPr>
      <w:rFonts w:cs="Arial"/>
      <w:b/>
    </w:rPr>
  </w:style>
  <w:style w:type="paragraph" w:customStyle="1" w:styleId="Nivel3">
    <w:name w:val="Nivel 3"/>
    <w:basedOn w:val="Nivel2"/>
    <w:qFormat/>
    <w:rsid w:val="00AF06F9"/>
    <w:pPr>
      <w:numPr>
        <w:ilvl w:val="2"/>
      </w:numPr>
    </w:pPr>
    <w:rPr>
      <w:rFonts w:cs="Arial"/>
      <w:color w:val="000000"/>
    </w:rPr>
  </w:style>
  <w:style w:type="paragraph" w:customStyle="1" w:styleId="Nivel4">
    <w:name w:val="Nivel 4"/>
    <w:basedOn w:val="Nivel3"/>
    <w:link w:val="Nivel4Char"/>
    <w:qFormat/>
    <w:rsid w:val="00AF06F9"/>
    <w:pPr>
      <w:numPr>
        <w:ilvl w:val="3"/>
      </w:numPr>
    </w:pPr>
    <w:rPr>
      <w:color w:val="auto"/>
    </w:rPr>
  </w:style>
  <w:style w:type="paragraph" w:customStyle="1" w:styleId="Nivel5">
    <w:name w:val="Nivel 5"/>
    <w:basedOn w:val="Nivel4"/>
    <w:qFormat/>
    <w:rsid w:val="00AF06F9"/>
    <w:pPr>
      <w:numPr>
        <w:ilvl w:val="4"/>
      </w:numPr>
      <w:ind w:left="3600" w:hanging="360"/>
    </w:pPr>
  </w:style>
  <w:style w:type="character" w:customStyle="1" w:styleId="Nivel4Char">
    <w:name w:val="Nivel 4 Char"/>
    <w:basedOn w:val="Fontepargpadro"/>
    <w:link w:val="Nivel4"/>
    <w:rsid w:val="00AF06F9"/>
    <w:rPr>
      <w:rFonts w:ascii="Ecofont_Spranq_eco_Sans" w:eastAsia="Arial Unicode MS" w:hAnsi="Ecofont_Spranq_eco_Sans" w:cs="Arial"/>
    </w:rPr>
  </w:style>
  <w:style w:type="paragraph" w:customStyle="1" w:styleId="citaoLU">
    <w:name w:val="citação LU"/>
    <w:basedOn w:val="Normal"/>
    <w:link w:val="citaoLUChar"/>
    <w:qFormat/>
    <w:rsid w:val="00E7629B"/>
    <w:pPr>
      <w:spacing w:after="240" w:line="240" w:lineRule="auto"/>
      <w:ind w:left="708"/>
      <w:jc w:val="both"/>
    </w:pPr>
    <w:rPr>
      <w:rFonts w:ascii="Times New Roman" w:hAnsi="Times New Roman"/>
      <w:color w:val="000000" w:themeColor="text1"/>
      <w:sz w:val="20"/>
      <w:szCs w:val="20"/>
    </w:rPr>
  </w:style>
  <w:style w:type="character" w:customStyle="1" w:styleId="citaoLUChar">
    <w:name w:val="citação LU Char"/>
    <w:basedOn w:val="Fontepargpadro"/>
    <w:link w:val="citaoLU"/>
    <w:rsid w:val="00E7629B"/>
    <w:rPr>
      <w:rFonts w:ascii="Times New Roman" w:hAnsi="Times New Roman"/>
      <w:color w:val="000000" w:themeColor="text1"/>
      <w:lang w:eastAsia="en-US"/>
    </w:rPr>
  </w:style>
  <w:style w:type="character" w:customStyle="1" w:styleId="markedcontent">
    <w:name w:val="markedcontent"/>
    <w:basedOn w:val="Fontepargpadro"/>
    <w:rsid w:val="00FD67D4"/>
  </w:style>
  <w:style w:type="paragraph" w:styleId="Cabealho">
    <w:name w:val="header"/>
    <w:basedOn w:val="Normal"/>
    <w:link w:val="CabealhoChar"/>
    <w:uiPriority w:val="99"/>
    <w:unhideWhenUsed/>
    <w:rsid w:val="00BF3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3FF2"/>
    <w:rPr>
      <w:sz w:val="22"/>
      <w:szCs w:val="22"/>
      <w:lang w:eastAsia="en-US"/>
    </w:rPr>
  </w:style>
  <w:style w:type="paragraph" w:styleId="Rodap">
    <w:name w:val="footer"/>
    <w:basedOn w:val="Normal"/>
    <w:link w:val="RodapChar"/>
    <w:uiPriority w:val="99"/>
    <w:unhideWhenUsed/>
    <w:rsid w:val="00BF3FF2"/>
    <w:pPr>
      <w:tabs>
        <w:tab w:val="center" w:pos="4252"/>
        <w:tab w:val="right" w:pos="8504"/>
      </w:tabs>
      <w:spacing w:after="0" w:line="240" w:lineRule="auto"/>
    </w:pPr>
  </w:style>
  <w:style w:type="character" w:customStyle="1" w:styleId="RodapChar">
    <w:name w:val="Rodapé Char"/>
    <w:basedOn w:val="Fontepargpadro"/>
    <w:link w:val="Rodap"/>
    <w:uiPriority w:val="99"/>
    <w:rsid w:val="00BF3F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52483">
      <w:bodyDiv w:val="1"/>
      <w:marLeft w:val="0"/>
      <w:marRight w:val="0"/>
      <w:marTop w:val="0"/>
      <w:marBottom w:val="0"/>
      <w:divBdr>
        <w:top w:val="none" w:sz="0" w:space="0" w:color="auto"/>
        <w:left w:val="none" w:sz="0" w:space="0" w:color="auto"/>
        <w:bottom w:val="none" w:sz="0" w:space="0" w:color="auto"/>
        <w:right w:val="none" w:sz="0" w:space="0" w:color="auto"/>
      </w:divBdr>
    </w:div>
    <w:div w:id="190531026">
      <w:bodyDiv w:val="1"/>
      <w:marLeft w:val="0"/>
      <w:marRight w:val="0"/>
      <w:marTop w:val="0"/>
      <w:marBottom w:val="0"/>
      <w:divBdr>
        <w:top w:val="none" w:sz="0" w:space="0" w:color="auto"/>
        <w:left w:val="none" w:sz="0" w:space="0" w:color="auto"/>
        <w:bottom w:val="none" w:sz="0" w:space="0" w:color="auto"/>
        <w:right w:val="none" w:sz="0" w:space="0" w:color="auto"/>
      </w:divBdr>
    </w:div>
    <w:div w:id="258294157">
      <w:bodyDiv w:val="1"/>
      <w:marLeft w:val="0"/>
      <w:marRight w:val="0"/>
      <w:marTop w:val="0"/>
      <w:marBottom w:val="0"/>
      <w:divBdr>
        <w:top w:val="none" w:sz="0" w:space="0" w:color="auto"/>
        <w:left w:val="none" w:sz="0" w:space="0" w:color="auto"/>
        <w:bottom w:val="none" w:sz="0" w:space="0" w:color="auto"/>
        <w:right w:val="none" w:sz="0" w:space="0" w:color="auto"/>
      </w:divBdr>
    </w:div>
    <w:div w:id="336811640">
      <w:bodyDiv w:val="1"/>
      <w:marLeft w:val="0"/>
      <w:marRight w:val="0"/>
      <w:marTop w:val="0"/>
      <w:marBottom w:val="0"/>
      <w:divBdr>
        <w:top w:val="none" w:sz="0" w:space="0" w:color="auto"/>
        <w:left w:val="none" w:sz="0" w:space="0" w:color="auto"/>
        <w:bottom w:val="none" w:sz="0" w:space="0" w:color="auto"/>
        <w:right w:val="none" w:sz="0" w:space="0" w:color="auto"/>
      </w:divBdr>
      <w:divsChild>
        <w:div w:id="2101946145">
          <w:blockQuote w:val="1"/>
          <w:marLeft w:val="720"/>
          <w:marRight w:val="720"/>
          <w:marTop w:val="100"/>
          <w:marBottom w:val="100"/>
          <w:divBdr>
            <w:top w:val="none" w:sz="0" w:space="0" w:color="auto"/>
            <w:left w:val="none" w:sz="0" w:space="0" w:color="auto"/>
            <w:bottom w:val="none" w:sz="0" w:space="0" w:color="auto"/>
            <w:right w:val="none" w:sz="0" w:space="0" w:color="auto"/>
          </w:divBdr>
        </w:div>
        <w:div w:id="553852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71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62916559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23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506437">
      <w:bodyDiv w:val="1"/>
      <w:marLeft w:val="0"/>
      <w:marRight w:val="0"/>
      <w:marTop w:val="0"/>
      <w:marBottom w:val="0"/>
      <w:divBdr>
        <w:top w:val="none" w:sz="0" w:space="0" w:color="auto"/>
        <w:left w:val="none" w:sz="0" w:space="0" w:color="auto"/>
        <w:bottom w:val="none" w:sz="0" w:space="0" w:color="auto"/>
        <w:right w:val="none" w:sz="0" w:space="0" w:color="auto"/>
      </w:divBdr>
      <w:divsChild>
        <w:div w:id="342436107">
          <w:blockQuote w:val="1"/>
          <w:marLeft w:val="720"/>
          <w:marRight w:val="0"/>
          <w:marTop w:val="0"/>
          <w:marBottom w:val="48"/>
          <w:divBdr>
            <w:top w:val="none" w:sz="0" w:space="0" w:color="auto"/>
            <w:left w:val="none" w:sz="0" w:space="0" w:color="auto"/>
            <w:bottom w:val="none" w:sz="0" w:space="0" w:color="auto"/>
            <w:right w:val="none" w:sz="0" w:space="0" w:color="auto"/>
          </w:divBdr>
        </w:div>
        <w:div w:id="76684784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728919144">
      <w:bodyDiv w:val="1"/>
      <w:marLeft w:val="0"/>
      <w:marRight w:val="0"/>
      <w:marTop w:val="0"/>
      <w:marBottom w:val="0"/>
      <w:divBdr>
        <w:top w:val="none" w:sz="0" w:space="0" w:color="auto"/>
        <w:left w:val="none" w:sz="0" w:space="0" w:color="auto"/>
        <w:bottom w:val="none" w:sz="0" w:space="0" w:color="auto"/>
        <w:right w:val="none" w:sz="0" w:space="0" w:color="auto"/>
      </w:divBdr>
      <w:divsChild>
        <w:div w:id="172304729">
          <w:blockQuote w:val="1"/>
          <w:marLeft w:val="720"/>
          <w:marRight w:val="0"/>
          <w:marTop w:val="0"/>
          <w:marBottom w:val="48"/>
          <w:divBdr>
            <w:top w:val="none" w:sz="0" w:space="0" w:color="auto"/>
            <w:left w:val="none" w:sz="0" w:space="0" w:color="auto"/>
            <w:bottom w:val="none" w:sz="0" w:space="0" w:color="auto"/>
            <w:right w:val="none" w:sz="0" w:space="0" w:color="auto"/>
          </w:divBdr>
        </w:div>
        <w:div w:id="1104229701">
          <w:blockQuote w:val="1"/>
          <w:marLeft w:val="720"/>
          <w:marRight w:val="0"/>
          <w:marTop w:val="0"/>
          <w:marBottom w:val="48"/>
          <w:divBdr>
            <w:top w:val="none" w:sz="0" w:space="0" w:color="auto"/>
            <w:left w:val="none" w:sz="0" w:space="0" w:color="auto"/>
            <w:bottom w:val="none" w:sz="0" w:space="0" w:color="auto"/>
            <w:right w:val="none" w:sz="0" w:space="0" w:color="auto"/>
          </w:divBdr>
        </w:div>
        <w:div w:id="555430140">
          <w:blockQuote w:val="1"/>
          <w:marLeft w:val="720"/>
          <w:marRight w:val="0"/>
          <w:marTop w:val="0"/>
          <w:marBottom w:val="48"/>
          <w:divBdr>
            <w:top w:val="none" w:sz="0" w:space="0" w:color="auto"/>
            <w:left w:val="none" w:sz="0" w:space="0" w:color="auto"/>
            <w:bottom w:val="none" w:sz="0" w:space="0" w:color="auto"/>
            <w:right w:val="none" w:sz="0" w:space="0" w:color="auto"/>
          </w:divBdr>
        </w:div>
        <w:div w:id="1213544092">
          <w:blockQuote w:val="1"/>
          <w:marLeft w:val="720"/>
          <w:marRight w:val="0"/>
          <w:marTop w:val="0"/>
          <w:marBottom w:val="48"/>
          <w:divBdr>
            <w:top w:val="none" w:sz="0" w:space="0" w:color="auto"/>
            <w:left w:val="none" w:sz="0" w:space="0" w:color="auto"/>
            <w:bottom w:val="none" w:sz="0" w:space="0" w:color="auto"/>
            <w:right w:val="none" w:sz="0" w:space="0" w:color="auto"/>
          </w:divBdr>
        </w:div>
        <w:div w:id="205872116">
          <w:blockQuote w:val="1"/>
          <w:marLeft w:val="720"/>
          <w:marRight w:val="0"/>
          <w:marTop w:val="0"/>
          <w:marBottom w:val="48"/>
          <w:divBdr>
            <w:top w:val="none" w:sz="0" w:space="0" w:color="auto"/>
            <w:left w:val="none" w:sz="0" w:space="0" w:color="auto"/>
            <w:bottom w:val="none" w:sz="0" w:space="0" w:color="auto"/>
            <w:right w:val="none" w:sz="0" w:space="0" w:color="auto"/>
          </w:divBdr>
        </w:div>
        <w:div w:id="1028532708">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042290754">
      <w:bodyDiv w:val="1"/>
      <w:marLeft w:val="0"/>
      <w:marRight w:val="0"/>
      <w:marTop w:val="0"/>
      <w:marBottom w:val="0"/>
      <w:divBdr>
        <w:top w:val="none" w:sz="0" w:space="0" w:color="auto"/>
        <w:left w:val="none" w:sz="0" w:space="0" w:color="auto"/>
        <w:bottom w:val="none" w:sz="0" w:space="0" w:color="auto"/>
        <w:right w:val="none" w:sz="0" w:space="0" w:color="auto"/>
      </w:divBdr>
    </w:div>
    <w:div w:id="1120101767">
      <w:bodyDiv w:val="1"/>
      <w:marLeft w:val="0"/>
      <w:marRight w:val="0"/>
      <w:marTop w:val="0"/>
      <w:marBottom w:val="0"/>
      <w:divBdr>
        <w:top w:val="none" w:sz="0" w:space="0" w:color="auto"/>
        <w:left w:val="none" w:sz="0" w:space="0" w:color="auto"/>
        <w:bottom w:val="none" w:sz="0" w:space="0" w:color="auto"/>
        <w:right w:val="none" w:sz="0" w:space="0" w:color="auto"/>
      </w:divBdr>
    </w:div>
    <w:div w:id="1267543675">
      <w:bodyDiv w:val="1"/>
      <w:marLeft w:val="0"/>
      <w:marRight w:val="0"/>
      <w:marTop w:val="0"/>
      <w:marBottom w:val="0"/>
      <w:divBdr>
        <w:top w:val="none" w:sz="0" w:space="0" w:color="auto"/>
        <w:left w:val="none" w:sz="0" w:space="0" w:color="auto"/>
        <w:bottom w:val="none" w:sz="0" w:space="0" w:color="auto"/>
        <w:right w:val="none" w:sz="0" w:space="0" w:color="auto"/>
      </w:divBdr>
      <w:divsChild>
        <w:div w:id="74983769">
          <w:blockQuote w:val="1"/>
          <w:marLeft w:val="720"/>
          <w:marRight w:val="0"/>
          <w:marTop w:val="0"/>
          <w:marBottom w:val="48"/>
          <w:divBdr>
            <w:top w:val="none" w:sz="0" w:space="0" w:color="auto"/>
            <w:left w:val="none" w:sz="0" w:space="0" w:color="auto"/>
            <w:bottom w:val="none" w:sz="0" w:space="0" w:color="auto"/>
            <w:right w:val="none" w:sz="0" w:space="0" w:color="auto"/>
          </w:divBdr>
        </w:div>
        <w:div w:id="1186404067">
          <w:blockQuote w:val="1"/>
          <w:marLeft w:val="720"/>
          <w:marRight w:val="0"/>
          <w:marTop w:val="0"/>
          <w:marBottom w:val="48"/>
          <w:divBdr>
            <w:top w:val="none" w:sz="0" w:space="0" w:color="auto"/>
            <w:left w:val="none" w:sz="0" w:space="0" w:color="auto"/>
            <w:bottom w:val="none" w:sz="0" w:space="0" w:color="auto"/>
            <w:right w:val="none" w:sz="0" w:space="0" w:color="auto"/>
          </w:divBdr>
        </w:div>
        <w:div w:id="546261176">
          <w:blockQuote w:val="1"/>
          <w:marLeft w:val="720"/>
          <w:marRight w:val="0"/>
          <w:marTop w:val="0"/>
          <w:marBottom w:val="48"/>
          <w:divBdr>
            <w:top w:val="none" w:sz="0" w:space="0" w:color="auto"/>
            <w:left w:val="none" w:sz="0" w:space="0" w:color="auto"/>
            <w:bottom w:val="none" w:sz="0" w:space="0" w:color="auto"/>
            <w:right w:val="none" w:sz="0" w:space="0" w:color="auto"/>
          </w:divBdr>
        </w:div>
        <w:div w:id="1689062271">
          <w:blockQuote w:val="1"/>
          <w:marLeft w:val="720"/>
          <w:marRight w:val="0"/>
          <w:marTop w:val="0"/>
          <w:marBottom w:val="48"/>
          <w:divBdr>
            <w:top w:val="none" w:sz="0" w:space="0" w:color="auto"/>
            <w:left w:val="none" w:sz="0" w:space="0" w:color="auto"/>
            <w:bottom w:val="none" w:sz="0" w:space="0" w:color="auto"/>
            <w:right w:val="none" w:sz="0" w:space="0" w:color="auto"/>
          </w:divBdr>
        </w:div>
        <w:div w:id="44816452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278215077">
      <w:bodyDiv w:val="1"/>
      <w:marLeft w:val="0"/>
      <w:marRight w:val="0"/>
      <w:marTop w:val="0"/>
      <w:marBottom w:val="0"/>
      <w:divBdr>
        <w:top w:val="none" w:sz="0" w:space="0" w:color="auto"/>
        <w:left w:val="none" w:sz="0" w:space="0" w:color="auto"/>
        <w:bottom w:val="none" w:sz="0" w:space="0" w:color="auto"/>
        <w:right w:val="none" w:sz="0" w:space="0" w:color="auto"/>
      </w:divBdr>
      <w:divsChild>
        <w:div w:id="1775787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3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976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992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780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16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052950">
      <w:bodyDiv w:val="1"/>
      <w:marLeft w:val="0"/>
      <w:marRight w:val="0"/>
      <w:marTop w:val="0"/>
      <w:marBottom w:val="0"/>
      <w:divBdr>
        <w:top w:val="none" w:sz="0" w:space="0" w:color="auto"/>
        <w:left w:val="none" w:sz="0" w:space="0" w:color="auto"/>
        <w:bottom w:val="none" w:sz="0" w:space="0" w:color="auto"/>
        <w:right w:val="none" w:sz="0" w:space="0" w:color="auto"/>
      </w:divBdr>
    </w:div>
    <w:div w:id="1605456451">
      <w:bodyDiv w:val="1"/>
      <w:marLeft w:val="0"/>
      <w:marRight w:val="0"/>
      <w:marTop w:val="0"/>
      <w:marBottom w:val="0"/>
      <w:divBdr>
        <w:top w:val="none" w:sz="0" w:space="0" w:color="auto"/>
        <w:left w:val="none" w:sz="0" w:space="0" w:color="auto"/>
        <w:bottom w:val="none" w:sz="0" w:space="0" w:color="auto"/>
        <w:right w:val="none" w:sz="0" w:space="0" w:color="auto"/>
      </w:divBdr>
      <w:divsChild>
        <w:div w:id="21732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321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423038494">
          <w:blockQuote w:val="1"/>
          <w:marLeft w:val="720"/>
          <w:marRight w:val="720"/>
          <w:marTop w:val="100"/>
          <w:marBottom w:val="100"/>
          <w:divBdr>
            <w:top w:val="none" w:sz="0" w:space="0" w:color="auto"/>
            <w:left w:val="none" w:sz="0" w:space="0" w:color="auto"/>
            <w:bottom w:val="none" w:sz="0" w:space="0" w:color="auto"/>
            <w:right w:val="none" w:sz="0" w:space="0" w:color="auto"/>
          </w:divBdr>
        </w:div>
        <w:div w:id="265383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973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652442">
      <w:bodyDiv w:val="1"/>
      <w:marLeft w:val="0"/>
      <w:marRight w:val="0"/>
      <w:marTop w:val="0"/>
      <w:marBottom w:val="0"/>
      <w:divBdr>
        <w:top w:val="none" w:sz="0" w:space="0" w:color="auto"/>
        <w:left w:val="none" w:sz="0" w:space="0" w:color="auto"/>
        <w:bottom w:val="none" w:sz="0" w:space="0" w:color="auto"/>
        <w:right w:val="none" w:sz="0" w:space="0" w:color="auto"/>
      </w:divBdr>
      <w:divsChild>
        <w:div w:id="2080013505">
          <w:blockQuote w:val="1"/>
          <w:marLeft w:val="720"/>
          <w:marRight w:val="0"/>
          <w:marTop w:val="0"/>
          <w:marBottom w:val="48"/>
          <w:divBdr>
            <w:top w:val="none" w:sz="0" w:space="0" w:color="auto"/>
            <w:left w:val="none" w:sz="0" w:space="0" w:color="auto"/>
            <w:bottom w:val="none" w:sz="0" w:space="0" w:color="auto"/>
            <w:right w:val="none" w:sz="0" w:space="0" w:color="auto"/>
          </w:divBdr>
        </w:div>
        <w:div w:id="86876567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58725192">
      <w:bodyDiv w:val="1"/>
      <w:marLeft w:val="0"/>
      <w:marRight w:val="0"/>
      <w:marTop w:val="0"/>
      <w:marBottom w:val="0"/>
      <w:divBdr>
        <w:top w:val="none" w:sz="0" w:space="0" w:color="auto"/>
        <w:left w:val="none" w:sz="0" w:space="0" w:color="auto"/>
        <w:bottom w:val="none" w:sz="0" w:space="0" w:color="auto"/>
        <w:right w:val="none" w:sz="0" w:space="0" w:color="auto"/>
      </w:divBdr>
      <w:divsChild>
        <w:div w:id="1818767089">
          <w:blockQuote w:val="1"/>
          <w:marLeft w:val="720"/>
          <w:marRight w:val="0"/>
          <w:marTop w:val="0"/>
          <w:marBottom w:val="48"/>
          <w:divBdr>
            <w:top w:val="none" w:sz="0" w:space="0" w:color="auto"/>
            <w:left w:val="none" w:sz="0" w:space="0" w:color="auto"/>
            <w:bottom w:val="none" w:sz="0" w:space="0" w:color="auto"/>
            <w:right w:val="none" w:sz="0" w:space="0" w:color="auto"/>
          </w:divBdr>
        </w:div>
        <w:div w:id="1686980540">
          <w:blockQuote w:val="1"/>
          <w:marLeft w:val="720"/>
          <w:marRight w:val="0"/>
          <w:marTop w:val="0"/>
          <w:marBottom w:val="48"/>
          <w:divBdr>
            <w:top w:val="none" w:sz="0" w:space="0" w:color="auto"/>
            <w:left w:val="none" w:sz="0" w:space="0" w:color="auto"/>
            <w:bottom w:val="none" w:sz="0" w:space="0" w:color="auto"/>
            <w:right w:val="none" w:sz="0" w:space="0" w:color="auto"/>
          </w:divBdr>
        </w:div>
        <w:div w:id="374501715">
          <w:blockQuote w:val="1"/>
          <w:marLeft w:val="720"/>
          <w:marRight w:val="0"/>
          <w:marTop w:val="0"/>
          <w:marBottom w:val="48"/>
          <w:divBdr>
            <w:top w:val="none" w:sz="0" w:space="0" w:color="auto"/>
            <w:left w:val="none" w:sz="0" w:space="0" w:color="auto"/>
            <w:bottom w:val="none" w:sz="0" w:space="0" w:color="auto"/>
            <w:right w:val="none" w:sz="0" w:space="0" w:color="auto"/>
          </w:divBdr>
        </w:div>
        <w:div w:id="646738280">
          <w:blockQuote w:val="1"/>
          <w:marLeft w:val="720"/>
          <w:marRight w:val="0"/>
          <w:marTop w:val="0"/>
          <w:marBottom w:val="48"/>
          <w:divBdr>
            <w:top w:val="none" w:sz="0" w:space="0" w:color="auto"/>
            <w:left w:val="none" w:sz="0" w:space="0" w:color="auto"/>
            <w:bottom w:val="none" w:sz="0" w:space="0" w:color="auto"/>
            <w:right w:val="none" w:sz="0" w:space="0" w:color="auto"/>
          </w:divBdr>
        </w:div>
        <w:div w:id="1456366842">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45033969">
      <w:bodyDiv w:val="1"/>
      <w:marLeft w:val="0"/>
      <w:marRight w:val="0"/>
      <w:marTop w:val="0"/>
      <w:marBottom w:val="0"/>
      <w:divBdr>
        <w:top w:val="none" w:sz="0" w:space="0" w:color="auto"/>
        <w:left w:val="none" w:sz="0" w:space="0" w:color="auto"/>
        <w:bottom w:val="none" w:sz="0" w:space="0" w:color="auto"/>
        <w:right w:val="none" w:sz="0" w:space="0" w:color="auto"/>
      </w:divBdr>
    </w:div>
    <w:div w:id="1876506848">
      <w:bodyDiv w:val="1"/>
      <w:marLeft w:val="0"/>
      <w:marRight w:val="0"/>
      <w:marTop w:val="0"/>
      <w:marBottom w:val="0"/>
      <w:divBdr>
        <w:top w:val="none" w:sz="0" w:space="0" w:color="auto"/>
        <w:left w:val="none" w:sz="0" w:space="0" w:color="auto"/>
        <w:bottom w:val="none" w:sz="0" w:space="0" w:color="auto"/>
        <w:right w:val="none" w:sz="0" w:space="0" w:color="auto"/>
      </w:divBdr>
    </w:div>
    <w:div w:id="1937250174">
      <w:bodyDiv w:val="1"/>
      <w:marLeft w:val="0"/>
      <w:marRight w:val="0"/>
      <w:marTop w:val="0"/>
      <w:marBottom w:val="0"/>
      <w:divBdr>
        <w:top w:val="none" w:sz="0" w:space="0" w:color="auto"/>
        <w:left w:val="none" w:sz="0" w:space="0" w:color="auto"/>
        <w:bottom w:val="none" w:sz="0" w:space="0" w:color="auto"/>
        <w:right w:val="none" w:sz="0" w:space="0" w:color="auto"/>
      </w:divBdr>
      <w:divsChild>
        <w:div w:id="1350138739">
          <w:blockQuote w:val="1"/>
          <w:marLeft w:val="720"/>
          <w:marRight w:val="0"/>
          <w:marTop w:val="0"/>
          <w:marBottom w:val="48"/>
          <w:divBdr>
            <w:top w:val="none" w:sz="0" w:space="0" w:color="auto"/>
            <w:left w:val="none" w:sz="0" w:space="0" w:color="auto"/>
            <w:bottom w:val="none" w:sz="0" w:space="0" w:color="auto"/>
            <w:right w:val="none" w:sz="0" w:space="0" w:color="auto"/>
          </w:divBdr>
        </w:div>
        <w:div w:id="87972179">
          <w:blockQuote w:val="1"/>
          <w:marLeft w:val="720"/>
          <w:marRight w:val="0"/>
          <w:marTop w:val="0"/>
          <w:marBottom w:val="48"/>
          <w:divBdr>
            <w:top w:val="none" w:sz="0" w:space="0" w:color="auto"/>
            <w:left w:val="none" w:sz="0" w:space="0" w:color="auto"/>
            <w:bottom w:val="none" w:sz="0" w:space="0" w:color="auto"/>
            <w:right w:val="none" w:sz="0" w:space="0" w:color="auto"/>
          </w:divBdr>
        </w:div>
        <w:div w:id="1420324782">
          <w:blockQuote w:val="1"/>
          <w:marLeft w:val="720"/>
          <w:marRight w:val="0"/>
          <w:marTop w:val="0"/>
          <w:marBottom w:val="48"/>
          <w:divBdr>
            <w:top w:val="none" w:sz="0" w:space="0" w:color="auto"/>
            <w:left w:val="none" w:sz="0" w:space="0" w:color="auto"/>
            <w:bottom w:val="none" w:sz="0" w:space="0" w:color="auto"/>
            <w:right w:val="none" w:sz="0" w:space="0" w:color="auto"/>
          </w:divBdr>
        </w:div>
        <w:div w:id="2122532206">
          <w:blockQuote w:val="1"/>
          <w:marLeft w:val="720"/>
          <w:marRight w:val="0"/>
          <w:marTop w:val="0"/>
          <w:marBottom w:val="48"/>
          <w:divBdr>
            <w:top w:val="none" w:sz="0" w:space="0" w:color="auto"/>
            <w:left w:val="none" w:sz="0" w:space="0" w:color="auto"/>
            <w:bottom w:val="none" w:sz="0" w:space="0" w:color="auto"/>
            <w:right w:val="none" w:sz="0" w:space="0" w:color="auto"/>
          </w:divBdr>
        </w:div>
        <w:div w:id="886406246">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br/agu/pt-br/composicao/consultoria-geral-da-uniao-1/modelos-de-convenios-licitacoes-e-contratos/modelos-de-licitacoes-e-contratos/licitacoes-sustentavei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2.senado.leg.br/bdsf/handle/id/56274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EDBDA-C81B-4167-A547-3D00C941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D5AD0-AAC1-49AB-8F1E-66C4629DD1EB}">
  <ds:schemaRefs>
    <ds:schemaRef ds:uri="http://schemas.microsoft.com/sharepoint/v3/contenttype/forms"/>
  </ds:schemaRefs>
</ds:datastoreItem>
</file>

<file path=customXml/itemProps3.xml><?xml version="1.0" encoding="utf-8"?>
<ds:datastoreItem xmlns:ds="http://schemas.openxmlformats.org/officeDocument/2006/customXml" ds:itemID="{54171E4B-F61A-4D32-8475-2FE691DB35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40</Pages>
  <Words>20050</Words>
  <Characters>108275</Characters>
  <Application>Microsoft Office Word</Application>
  <DocSecurity>0</DocSecurity>
  <Lines>902</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Csipai</dc:creator>
  <cp:keywords/>
  <dc:description/>
  <cp:lastModifiedBy>Adriano Dutra Carrijo</cp:lastModifiedBy>
  <cp:revision>171</cp:revision>
  <dcterms:created xsi:type="dcterms:W3CDTF">2020-12-02T21:17:00Z</dcterms:created>
  <dcterms:modified xsi:type="dcterms:W3CDTF">2021-09-23T17:41:00Z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