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0F8F8854"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F2241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79E7630E"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6317F67C" w14:textId="77777777" w:rsidR="00DB206B" w:rsidRPr="00552315"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28D1CCD6" w14:textId="3E897CF2" w:rsidR="00DB206B" w:rsidRPr="00552315" w:rsidRDefault="008D07D3" w:rsidP="00DB206B">
      <w:pPr>
        <w:spacing w:after="120" w:line="276" w:lineRule="auto"/>
        <w:ind w:right="-15"/>
        <w:jc w:val="center"/>
        <w:rPr>
          <w:rFonts w:cs="Arial"/>
          <w:b/>
          <w:bCs/>
          <w:iCs/>
          <w:szCs w:val="20"/>
        </w:rPr>
      </w:pPr>
      <w:r w:rsidRPr="00552315">
        <w:rPr>
          <w:rFonts w:cs="Arial"/>
          <w:b/>
          <w:bCs/>
          <w:iCs/>
          <w:color w:val="000000"/>
          <w:szCs w:val="20"/>
        </w:rPr>
        <w:t xml:space="preserve"> </w:t>
      </w:r>
      <w:r w:rsidR="00DB206B" w:rsidRPr="00552315">
        <w:rPr>
          <w:rFonts w:cs="Arial"/>
          <w:b/>
          <w:bCs/>
          <w:iCs/>
          <w:color w:val="000000"/>
          <w:szCs w:val="20"/>
        </w:rPr>
        <w:t>(</w:t>
      </w:r>
      <w:r w:rsidRPr="00552315">
        <w:rPr>
          <w:rFonts w:cs="Arial"/>
          <w:b/>
          <w:bCs/>
          <w:iCs/>
          <w:szCs w:val="20"/>
        </w:rPr>
        <w:t>PRESTAÇÃO DE SERVIÇO</w:t>
      </w:r>
      <w:r w:rsidR="00ED08DD" w:rsidRPr="00552315">
        <w:rPr>
          <w:rFonts w:cs="Arial"/>
          <w:b/>
          <w:bCs/>
          <w:iCs/>
          <w:szCs w:val="20"/>
        </w:rPr>
        <w:t xml:space="preserve"> NÃO CONTINUADO</w:t>
      </w:r>
      <w:r w:rsidR="00DB206B" w:rsidRPr="00552315">
        <w:rPr>
          <w:rFonts w:cs="Arial"/>
          <w:b/>
          <w:bCs/>
          <w:iCs/>
          <w:szCs w:val="20"/>
        </w:rPr>
        <w:t>)</w:t>
      </w:r>
    </w:p>
    <w:p w14:paraId="26877B8F" w14:textId="77777777" w:rsidR="00F42254" w:rsidRDefault="00F42254" w:rsidP="00F42254">
      <w:pPr>
        <w:pStyle w:val="Citao"/>
        <w:rPr>
          <w:rFonts w:cs="Arial"/>
          <w:szCs w:val="20"/>
          <w:lang w:val="pt-BR"/>
        </w:rPr>
      </w:pPr>
      <w:r w:rsidRPr="00B2653B">
        <w:rPr>
          <w:rFonts w:cs="Arial"/>
          <w:b/>
          <w:szCs w:val="20"/>
          <w:highlight w:val="yellow"/>
          <w:lang w:val="pt-BR"/>
        </w:rPr>
        <w:t>Nota explicativa 1:</w:t>
      </w:r>
      <w:r w:rsidRPr="00B2653B">
        <w:rPr>
          <w:highlight w:val="yellow"/>
        </w:rPr>
        <w:t xml:space="preserve"> </w:t>
      </w:r>
      <w:r w:rsidRPr="00B2653B">
        <w:rPr>
          <w:highlight w:val="yellow"/>
          <w:lang w:val="pt-BR"/>
        </w:rPr>
        <w:t xml:space="preserve">O </w:t>
      </w:r>
      <w:r w:rsidRPr="00B2653B">
        <w:rPr>
          <w:rFonts w:cs="Arial"/>
          <w:szCs w:val="20"/>
          <w:highlight w:val="yellow"/>
        </w:rPr>
        <w:t>presente modelo de Termo de Referência</w:t>
      </w:r>
      <w:r w:rsidRPr="00B2653B">
        <w:rPr>
          <w:rFonts w:cs="Arial"/>
          <w:szCs w:val="20"/>
          <w:highlight w:val="yellow"/>
          <w:lang w:val="pt-BR"/>
        </w:rPr>
        <w:t xml:space="preserve"> se aplica aos procedimentos licitatórios regidos pelo regime de contratações públicas previsto na Lei n.º 10.520/2002, regulamentada pelo Decreto n.º 10.024/2019.</w:t>
      </w:r>
    </w:p>
    <w:p w14:paraId="336D2C4B" w14:textId="75049300" w:rsidR="00EC36BE" w:rsidRDefault="00F54881" w:rsidP="00650968">
      <w:pPr>
        <w:pStyle w:val="Citao"/>
        <w:rPr>
          <w:rFonts w:cs="Arial"/>
          <w:color w:val="auto"/>
          <w:szCs w:val="20"/>
          <w:lang w:val="pt-BR"/>
        </w:rPr>
      </w:pPr>
      <w:r w:rsidRPr="00552315">
        <w:rPr>
          <w:rFonts w:cs="Arial"/>
          <w:b/>
          <w:szCs w:val="20"/>
        </w:rPr>
        <w:t>Nota explicativa</w:t>
      </w:r>
      <w:r w:rsidR="00F42254">
        <w:rPr>
          <w:rFonts w:cs="Arial"/>
          <w:b/>
          <w:szCs w:val="20"/>
          <w:lang w:val="pt-BR"/>
        </w:rPr>
        <w:t xml:space="preserve"> 2</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78ABB6E1" w14:textId="6E93E11A" w:rsidR="00EC36BE" w:rsidRPr="00756ED3" w:rsidRDefault="00EC36BE" w:rsidP="00650968">
      <w:pPr>
        <w:pStyle w:val="Citao"/>
        <w:rPr>
          <w:rFonts w:cs="Arial"/>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Pr>
          <w:rFonts w:cs="Arial"/>
          <w:szCs w:val="20"/>
          <w:lang w:val="pt-BR"/>
        </w:rPr>
        <w:t>.</w:t>
      </w:r>
    </w:p>
    <w:p w14:paraId="18B17297" w14:textId="717E8A57" w:rsidR="00F54881" w:rsidRPr="00552315" w:rsidRDefault="00EC36BE" w:rsidP="00650968">
      <w:pPr>
        <w:pStyle w:val="Citao"/>
        <w:rPr>
          <w:rFonts w:cs="Arial"/>
          <w:szCs w:val="20"/>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p>
    <w:p w14:paraId="25FEDAD9" w14:textId="77777777" w:rsidR="00C031EC" w:rsidRPr="00552315" w:rsidRDefault="00C031EC" w:rsidP="00987810">
      <w:pPr>
        <w:spacing w:after="120" w:line="276" w:lineRule="auto"/>
        <w:ind w:right="-15"/>
        <w:jc w:val="center"/>
        <w:rPr>
          <w:rFonts w:cs="Arial"/>
          <w:bCs/>
          <w:iCs/>
          <w:szCs w:val="20"/>
          <w:lang w:val="x-none"/>
        </w:rPr>
      </w:pPr>
    </w:p>
    <w:p w14:paraId="21EDF4E6" w14:textId="75F2E616" w:rsidR="00987810" w:rsidRPr="00552315" w:rsidRDefault="00987810" w:rsidP="003C58CC">
      <w:pPr>
        <w:pStyle w:val="Citao"/>
        <w:tabs>
          <w:tab w:val="center" w:pos="4252"/>
          <w:tab w:val="left" w:pos="5823"/>
        </w:tabs>
        <w:spacing w:before="0"/>
        <w:rPr>
          <w:rFonts w:cs="Arial"/>
          <w:color w:val="auto"/>
          <w:szCs w:val="20"/>
          <w:lang w:val="pt-BR"/>
        </w:rPr>
      </w:pPr>
      <w:r w:rsidRPr="00552315">
        <w:rPr>
          <w:rFonts w:cs="Arial"/>
          <w:b/>
          <w:szCs w:val="20"/>
        </w:rPr>
        <w:t>Nota explicativa</w:t>
      </w:r>
      <w:r w:rsidRPr="00552315">
        <w:rPr>
          <w:rFonts w:cs="Arial"/>
          <w:szCs w:val="20"/>
        </w:rPr>
        <w:t xml:space="preserve">: </w:t>
      </w:r>
      <w:r w:rsidR="00345A4E" w:rsidRPr="00552315">
        <w:rPr>
          <w:rFonts w:cs="Arial"/>
          <w:color w:val="auto"/>
          <w:szCs w:val="20"/>
        </w:rPr>
        <w:t xml:space="preserve">Serviços não continuados </w:t>
      </w:r>
      <w:r w:rsidR="00345A4E" w:rsidRPr="00552315">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552315">
        <w:rPr>
          <w:rFonts w:eastAsia="Times New Roman" w:cs="Arial"/>
          <w:color w:val="auto"/>
          <w:szCs w:val="20"/>
          <w:lang w:val="pt-BR" w:eastAsia="pt-BR"/>
        </w:rPr>
        <w:t>s</w:t>
      </w:r>
      <w:r w:rsidR="00345A4E" w:rsidRPr="00552315">
        <w:rPr>
          <w:rFonts w:eastAsia="Times New Roman" w:cs="Arial"/>
          <w:color w:val="auto"/>
          <w:szCs w:val="20"/>
          <w:lang w:eastAsia="pt-BR"/>
        </w:rPr>
        <w:t xml:space="preserve"> financeiros.</w:t>
      </w:r>
      <w:r w:rsidR="00345A4E" w:rsidRPr="00552315">
        <w:rPr>
          <w:rFonts w:cs="Arial"/>
          <w:bCs/>
          <w:i w:val="0"/>
          <w:szCs w:val="20"/>
        </w:rPr>
        <w:t xml:space="preserve"> </w:t>
      </w:r>
      <w:r w:rsidR="00345A4E" w:rsidRPr="00552315">
        <w:rPr>
          <w:rFonts w:cs="Arial"/>
          <w:bCs/>
          <w:szCs w:val="20"/>
        </w:rPr>
        <w:t xml:space="preserve">O art. 16 da Instrução Normativa </w:t>
      </w:r>
      <w:r w:rsidR="00345A4E" w:rsidRPr="00552315">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552315">
        <w:rPr>
          <w:rFonts w:cs="Arial"/>
          <w:i w:val="0"/>
          <w:szCs w:val="20"/>
        </w:rPr>
        <w:t>.</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77777777"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552315" w:rsidRDefault="00DB206B" w:rsidP="000D390A">
      <w:pPr>
        <w:pStyle w:val="Nivel1"/>
        <w:rPr>
          <w:rFonts w:cs="Arial"/>
        </w:rPr>
      </w:pPr>
      <w:r w:rsidRPr="00552315">
        <w:rPr>
          <w:rFonts w:cs="Arial"/>
        </w:rPr>
        <w:t>DO OBJETO</w:t>
      </w:r>
    </w:p>
    <w:p w14:paraId="1655E21F" w14:textId="185DCD5B" w:rsidR="00DD3603" w:rsidRPr="00552315" w:rsidRDefault="00DB206B"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p>
    <w:p w14:paraId="26B485AC" w14:textId="77777777" w:rsidR="006977DF" w:rsidRPr="0009222E" w:rsidRDefault="006977DF" w:rsidP="0009222E">
      <w:pPr>
        <w:spacing w:before="120" w:after="120" w:line="276" w:lineRule="auto"/>
        <w:ind w:left="425"/>
        <w:jc w:val="both"/>
        <w:rPr>
          <w:rFonts w:cs="Arial"/>
          <w:i/>
          <w:color w:val="FF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312BB16D" w14:textId="77777777" w:rsidR="0009222E" w:rsidRDefault="0009222E" w:rsidP="0009222E">
      <w:pPr>
        <w:widowControl w:val="0"/>
        <w:suppressAutoHyphens/>
        <w:jc w:val="center"/>
        <w:rPr>
          <w:color w:val="FF0000"/>
          <w:u w:val="single"/>
        </w:rPr>
      </w:pPr>
    </w:p>
    <w:p w14:paraId="35DBEE2A" w14:textId="0E2E5C70" w:rsidR="006977DF" w:rsidRDefault="006977DF" w:rsidP="0009222E">
      <w:pPr>
        <w:widowControl w:val="0"/>
        <w:suppressAutoHyphens/>
        <w:rPr>
          <w:b/>
          <w:bCs/>
          <w:color w:val="FF0000"/>
          <w:u w:val="single"/>
        </w:rPr>
      </w:pPr>
      <w:r w:rsidRPr="0009222E">
        <w:rPr>
          <w:b/>
          <w:bCs/>
          <w:color w:val="FF0000"/>
          <w:u w:val="single"/>
        </w:rPr>
        <w:t>O</w:t>
      </w:r>
      <w:r w:rsidR="0009222E">
        <w:rPr>
          <w:b/>
          <w:bCs/>
          <w:color w:val="FF0000"/>
          <w:u w:val="single"/>
        </w:rPr>
        <w:t>U</w:t>
      </w:r>
    </w:p>
    <w:p w14:paraId="239CDA3B" w14:textId="77777777" w:rsidR="0009222E" w:rsidRPr="0009222E" w:rsidRDefault="0009222E" w:rsidP="0009222E">
      <w:pPr>
        <w:widowControl w:val="0"/>
        <w:suppressAutoHyphens/>
        <w:rPr>
          <w:b/>
          <w:bCs/>
          <w:color w:val="FF0000"/>
          <w:u w:val="single"/>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552315" w:rsidRDefault="006977DF">
            <w:pPr>
              <w:widowControl w:val="0"/>
              <w:suppressAutoHyphens/>
              <w:jc w:val="center"/>
              <w:rPr>
                <w:rFonts w:cs="Arial"/>
                <w:bCs/>
                <w:color w:val="FF0000"/>
                <w:szCs w:val="20"/>
              </w:rPr>
            </w:pPr>
            <w:r w:rsidRPr="00552315">
              <w:rPr>
                <w:rFonts w:cs="Arial"/>
                <w:bCs/>
                <w:color w:val="FF0000"/>
                <w:szCs w:val="20"/>
              </w:rPr>
              <w:t xml:space="preserve">Valor Unitário Máximo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ABE495D"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lastRenderedPageBreak/>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469EB4D6"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participante: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1E052102" w14:textId="07651D71" w:rsidR="00A82891" w:rsidRPr="00552315" w:rsidRDefault="00A82891" w:rsidP="00DB206B">
      <w:pPr>
        <w:autoSpaceDE w:val="0"/>
        <w:spacing w:after="120" w:line="276" w:lineRule="auto"/>
        <w:jc w:val="both"/>
        <w:rPr>
          <w:rFonts w:cs="Arial"/>
          <w:color w:val="000000"/>
          <w:szCs w:val="20"/>
        </w:rPr>
      </w:pPr>
    </w:p>
    <w:p w14:paraId="365A47B9" w14:textId="77777777" w:rsidR="00EC36BE" w:rsidRPr="00EE4B23" w:rsidRDefault="00EC36BE" w:rsidP="00EC36BE">
      <w:pPr>
        <w:pStyle w:val="SombreamentoMdio1-nfase31"/>
        <w:spacing w:before="0"/>
        <w:rPr>
          <w:rFonts w:ascii="Arial" w:hAnsi="Arial" w:cs="Arial"/>
          <w:szCs w:val="20"/>
        </w:rPr>
      </w:pPr>
      <w:r w:rsidRPr="00EE4B23">
        <w:rPr>
          <w:rFonts w:ascii="Arial" w:hAnsi="Arial" w:cs="Arial"/>
          <w:b/>
          <w:szCs w:val="20"/>
        </w:rPr>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3B4D97DD" w:rsidR="006945B7" w:rsidRPr="00552315" w:rsidRDefault="006945B7" w:rsidP="006945B7">
      <w:pPr>
        <w:pStyle w:val="SombreamentoMdio1-nfase31"/>
        <w:rPr>
          <w:rFonts w:ascii="Arial" w:hAnsi="Arial" w:cs="Arial"/>
          <w:szCs w:val="20"/>
        </w:rPr>
      </w:pPr>
      <w:r w:rsidRPr="00552315">
        <w:rPr>
          <w:rFonts w:ascii="Arial" w:hAnsi="Arial" w:cs="Arial"/>
          <w:b/>
          <w:szCs w:val="20"/>
        </w:rPr>
        <w:t>Nota Explicativa</w:t>
      </w:r>
      <w:r w:rsidR="00EC36BE">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gerenciador.</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552315">
        <w:rPr>
          <w:rFonts w:ascii="Arial" w:hAnsi="Arial" w:cs="Arial"/>
          <w:szCs w:val="20"/>
        </w:rPr>
        <w:t>e também</w:t>
      </w:r>
      <w:proofErr w:type="gramEnd"/>
      <w:r w:rsidRPr="00552315">
        <w:rPr>
          <w:rFonts w:ascii="Arial" w:hAnsi="Arial" w:cs="Arial"/>
          <w:szCs w:val="20"/>
        </w:rPr>
        <w:t xml:space="preserve"> ao conjunto dos órgãos.</w:t>
      </w:r>
    </w:p>
    <w:p w14:paraId="772CA70E"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4CE1C7F2" w:rsidR="006945B7"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CC063A9" w14:textId="0C806479" w:rsidR="00EC36BE" w:rsidRPr="00EC36BE" w:rsidRDefault="00EC36BE" w:rsidP="00B2653B">
      <w:pPr>
        <w:pStyle w:val="citao2"/>
        <w:pBdr>
          <w:bottom w:val="single" w:sz="4" w:space="0" w:color="1F497D"/>
        </w:pBdr>
      </w:pPr>
      <w:r w:rsidRPr="00B2653B">
        <w:rPr>
          <w:rFonts w:cs="Arial"/>
          <w:b/>
          <w:highlight w:val="yellow"/>
        </w:rPr>
        <w:lastRenderedPageBreak/>
        <w:t>Nota explicativa</w:t>
      </w:r>
      <w:r w:rsidRPr="00B2653B">
        <w:rPr>
          <w:rFonts w:cs="Arial"/>
          <w:highlight w:val="yellow"/>
        </w:rPr>
        <w:t xml:space="preserve">: Deverão ser observadas pela Administração as orientações expedidas pela Secretaria de Gestão do Ministério da Economia, constantes do endereço eletrônico </w:t>
      </w:r>
      <w:hyperlink r:id="rId12" w:history="1">
        <w:r w:rsidRPr="00B2653B">
          <w:rPr>
            <w:rStyle w:val="Hyperlink"/>
            <w:rFonts w:cs="Arial"/>
            <w:highlight w:val="yellow"/>
          </w:rPr>
          <w:t>https://www.gov.br//compras/pt-br/acesso-a-informacao/noticias</w:t>
        </w:r>
      </w:hyperlink>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52A707DB" w14:textId="77AA7084" w:rsidR="004614D1" w:rsidRPr="004614D1" w:rsidRDefault="00DD3603" w:rsidP="004614D1">
      <w:pPr>
        <w:numPr>
          <w:ilvl w:val="1"/>
          <w:numId w:val="1"/>
        </w:numPr>
        <w:spacing w:before="120" w:after="120" w:line="276" w:lineRule="auto"/>
        <w:jc w:val="both"/>
        <w:rPr>
          <w:rFonts w:cs="Arial"/>
          <w:i/>
          <w:color w:val="FF0000"/>
          <w:szCs w:val="20"/>
        </w:rPr>
      </w:pPr>
      <w:r w:rsidRPr="00CB19D4">
        <w:rPr>
          <w:rFonts w:cs="Arial"/>
          <w:szCs w:val="20"/>
        </w:rPr>
        <w:t xml:space="preserve">O contrato terá vigência pelo período de </w:t>
      </w:r>
      <w:r w:rsidRPr="00552315">
        <w:rPr>
          <w:rFonts w:cs="Arial"/>
          <w:color w:val="FF0000"/>
          <w:szCs w:val="20"/>
        </w:rPr>
        <w:t xml:space="preserve">____ (dias/meses), </w:t>
      </w:r>
      <w:r w:rsidR="00383116" w:rsidRPr="00CB19D4">
        <w:rPr>
          <w:rFonts w:cs="Arial"/>
          <w:szCs w:val="20"/>
        </w:rPr>
        <w:t xml:space="preserve">podendo ser </w:t>
      </w:r>
      <w:r w:rsidR="00E82BD5" w:rsidRPr="00CB19D4">
        <w:rPr>
          <w:rFonts w:cs="Arial"/>
          <w:szCs w:val="20"/>
        </w:rPr>
        <w:t>prorrogado, com base no artigo 57, §1º, da Lei n. 8.666/93.</w:t>
      </w:r>
    </w:p>
    <w:p w14:paraId="54894C7D"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b/>
          <w:color w:val="000000" w:themeColor="text1"/>
          <w:szCs w:val="20"/>
          <w:highlight w:val="yellow"/>
        </w:rPr>
        <w:t>Nota Explicativa 1:</w:t>
      </w:r>
      <w:r w:rsidRPr="00801F9B">
        <w:rPr>
          <w:rFonts w:ascii="Arial" w:eastAsia="Arial" w:hAnsi="Arial" w:cs="Arial"/>
          <w:color w:val="000000" w:themeColor="text1"/>
          <w:szCs w:val="20"/>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p>
    <w:p w14:paraId="32484CD3"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color w:val="000000" w:themeColor="text1"/>
          <w:szCs w:val="20"/>
          <w:highlight w:val="yellow"/>
        </w:rPr>
        <w:t>Essa vigência deve considerar os prazos envolvidos, da assinatura do contrato em diante, ou seja, os prazos para início dos trabalhos, de execução, de recebimento provisório e definitivo e alguma margem de segurança.</w:t>
      </w:r>
    </w:p>
    <w:p w14:paraId="1AB80655" w14:textId="77777777" w:rsidR="00F2241A" w:rsidRDefault="00F2241A" w:rsidP="00F2241A">
      <w:pPr>
        <w:pStyle w:val="SombreamentoMdio1-nfase31"/>
        <w:spacing w:before="0"/>
        <w:rPr>
          <w:rFonts w:ascii="Arial" w:eastAsia="Arial" w:hAnsi="Arial" w:cs="Arial"/>
          <w:color w:val="000000" w:themeColor="text1"/>
          <w:szCs w:val="20"/>
        </w:rPr>
      </w:pPr>
      <w:r w:rsidRPr="00801F9B">
        <w:rPr>
          <w:rFonts w:ascii="Arial" w:eastAsia="Arial" w:hAnsi="Arial" w:cs="Arial"/>
          <w:color w:val="000000" w:themeColor="text1"/>
          <w:szCs w:val="20"/>
          <w:highlight w:val="yellow"/>
        </w:rPr>
        <w:t>Orientação 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0E1EF428" w14:textId="77777777" w:rsidR="00F2241A" w:rsidRDefault="00F2241A" w:rsidP="00DD3603">
      <w:pPr>
        <w:pStyle w:val="SombreamentoMdio1-nfase31"/>
        <w:spacing w:before="0"/>
        <w:rPr>
          <w:rFonts w:ascii="Arial" w:hAnsi="Arial" w:cs="Arial"/>
          <w:b/>
          <w:bCs/>
          <w:szCs w:val="20"/>
        </w:rPr>
      </w:pPr>
    </w:p>
    <w:p w14:paraId="662EBAF9" w14:textId="0D837C79" w:rsidR="00DD3603" w:rsidRPr="00552315" w:rsidRDefault="00DD3603" w:rsidP="00DD3603">
      <w:pPr>
        <w:pStyle w:val="SombreamentoMdio1-nfase31"/>
        <w:spacing w:before="0"/>
        <w:rPr>
          <w:rFonts w:ascii="Arial" w:hAnsi="Arial" w:cs="Arial"/>
          <w:b/>
          <w:bCs/>
          <w:szCs w:val="20"/>
        </w:rPr>
      </w:pPr>
      <w:r w:rsidRPr="00552315">
        <w:rPr>
          <w:rFonts w:ascii="Arial" w:hAnsi="Arial" w:cs="Arial"/>
          <w:b/>
          <w:bCs/>
          <w:szCs w:val="20"/>
        </w:rPr>
        <w:t>Nota explicativa</w:t>
      </w:r>
      <w:r w:rsidR="00F2241A">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p>
    <w:p w14:paraId="29C7E189" w14:textId="77777777" w:rsidR="00DD3603" w:rsidRPr="00552315" w:rsidRDefault="00DD3603" w:rsidP="00DD3603">
      <w:pPr>
        <w:pStyle w:val="SombreamentoMdio1-nfase31"/>
        <w:spacing w:before="0"/>
        <w:rPr>
          <w:rFonts w:ascii="Arial" w:hAnsi="Arial" w:cs="Arial"/>
          <w:szCs w:val="20"/>
        </w:rPr>
      </w:pPr>
      <w:r w:rsidRPr="00552315">
        <w:rPr>
          <w:rFonts w:ascii="Arial" w:hAnsi="Arial" w:cs="Arial"/>
          <w:szCs w:val="20"/>
        </w:rPr>
        <w:t xml:space="preserve">A indicação da possibilidade ou não de prorrogação no TR é exigência expressa do art. 30, I da </w:t>
      </w:r>
      <w:r w:rsidRPr="00552315">
        <w:rPr>
          <w:rFonts w:ascii="Arial" w:hAnsi="Arial" w:cs="Arial"/>
          <w:color w:val="auto"/>
          <w:szCs w:val="20"/>
        </w:rPr>
        <w:t xml:space="preserve">IN 05/2017 –MP/SEGES e disposição </w:t>
      </w:r>
      <w:r w:rsidRPr="00552315">
        <w:rPr>
          <w:rFonts w:ascii="Arial" w:hAnsi="Arial" w:cs="Arial"/>
          <w:szCs w:val="20"/>
        </w:rPr>
        <w:t>2.1 “a.3”, de seu anexo V.</w:t>
      </w:r>
    </w:p>
    <w:p w14:paraId="74242101" w14:textId="2A7CC51F" w:rsidR="00DD3603" w:rsidRPr="00552315" w:rsidRDefault="00D17875" w:rsidP="00DD3603">
      <w:pPr>
        <w:pStyle w:val="SombreamentoMdio1-nfase31"/>
        <w:spacing w:before="0"/>
        <w:rPr>
          <w:rFonts w:ascii="Arial" w:hAnsi="Arial" w:cs="Arial"/>
          <w:szCs w:val="20"/>
        </w:rPr>
      </w:pPr>
      <w:r w:rsidRPr="00552315">
        <w:rPr>
          <w:rFonts w:ascii="Arial" w:hAnsi="Arial" w:cs="Arial"/>
          <w:szCs w:val="20"/>
        </w:rPr>
        <w:t>No</w:t>
      </w:r>
      <w:r w:rsidR="00DD3603" w:rsidRPr="00552315">
        <w:rPr>
          <w:rFonts w:ascii="Arial" w:hAnsi="Arial" w:cs="Arial"/>
          <w:szCs w:val="20"/>
        </w:rPr>
        <w:t>s contratos conhecidos como de escopo, em que o prazo de vigência indica a duração estimada para a execução da obra e do serviço</w:t>
      </w:r>
      <w:r w:rsidRPr="00552315">
        <w:rPr>
          <w:rFonts w:ascii="Arial" w:hAnsi="Arial" w:cs="Arial"/>
          <w:szCs w:val="20"/>
        </w:rPr>
        <w:t>,</w:t>
      </w:r>
      <w:r w:rsidR="00DD3603" w:rsidRPr="00552315">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552315" w:rsidRDefault="00DD3603" w:rsidP="00DB206B">
      <w:pPr>
        <w:autoSpaceDE w:val="0"/>
        <w:spacing w:after="120" w:line="276" w:lineRule="auto"/>
        <w:jc w:val="both"/>
        <w:rPr>
          <w:rFonts w:cs="Arial"/>
          <w:color w:val="000000"/>
          <w:szCs w:val="20"/>
        </w:rPr>
      </w:pPr>
    </w:p>
    <w:p w14:paraId="348DFC1E" w14:textId="77777777" w:rsidR="006945B7" w:rsidRPr="00552315" w:rsidRDefault="006945B7" w:rsidP="006945B7">
      <w:pPr>
        <w:pStyle w:val="Citao"/>
        <w:rPr>
          <w:rFonts w:cs="Arial"/>
          <w:szCs w:val="20"/>
        </w:rPr>
      </w:pPr>
      <w:r w:rsidRPr="00552315">
        <w:rPr>
          <w:rFonts w:cs="Arial"/>
          <w:b/>
          <w:szCs w:val="20"/>
        </w:rPr>
        <w:t xml:space="preserve">Consolidação do consumo encaminhado pelos órgãos e entidades participantes: </w:t>
      </w:r>
      <w:r w:rsidRPr="0055231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23D94AE5" w:rsidR="006945B7" w:rsidRPr="00552315" w:rsidRDefault="006945B7" w:rsidP="006945B7">
      <w:pPr>
        <w:pStyle w:val="Citao"/>
        <w:rPr>
          <w:rFonts w:cs="Arial"/>
          <w:szCs w:val="20"/>
        </w:rPr>
      </w:pPr>
      <w:r w:rsidRPr="0055231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6945B7">
      <w:pPr>
        <w:pStyle w:val="Citao"/>
        <w:rPr>
          <w:rFonts w:cs="Arial"/>
          <w:szCs w:val="20"/>
        </w:rPr>
      </w:pPr>
      <w:r w:rsidRPr="0055231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6945B7">
      <w:pPr>
        <w:pStyle w:val="Citao"/>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81881">
      <w:pPr>
        <w:pStyle w:val="Citao"/>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81881">
      <w:pPr>
        <w:pStyle w:val="Citao"/>
        <w:rPr>
          <w:rFonts w:eastAsia="Times New Roman" w:cs="Tahoma"/>
          <w:iCs w:val="0"/>
          <w:color w:val="auto"/>
        </w:rPr>
      </w:pPr>
      <w:r w:rsidRPr="00552315">
        <w:rPr>
          <w:rFonts w:eastAsia="Times New Roman" w:cs="Tahoma"/>
          <w:iCs w:val="0"/>
          <w:color w:val="auto"/>
        </w:rPr>
        <w:t xml:space="preserve">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w:t>
      </w:r>
      <w:r w:rsidRPr="00552315">
        <w:rPr>
          <w:rFonts w:eastAsia="Times New Roman" w:cs="Tahoma"/>
          <w:iCs w:val="0"/>
          <w:color w:val="auto"/>
        </w:rPr>
        <w:lastRenderedPageBreak/>
        <w:t>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5B56FB2" w14:textId="786F9257" w:rsidR="0021765D" w:rsidRDefault="00381881" w:rsidP="00DB206B">
      <w:pPr>
        <w:pStyle w:val="Citao"/>
        <w:rPr>
          <w:rFonts w:cs="Arial"/>
          <w:szCs w:val="20"/>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552315">
        <w:rPr>
          <w:rFonts w:eastAsia="Times New Roman" w:cs="Tahoma"/>
          <w:iCs w:val="0"/>
          <w:color w:val="auto"/>
          <w:lang w:val="pt-BR"/>
        </w:rPr>
        <w:t>E</w:t>
      </w:r>
      <w:proofErr w:type="spellStart"/>
      <w:r w:rsidRPr="00552315">
        <w:rPr>
          <w:rFonts w:eastAsia="Times New Roman" w:cs="Tahoma"/>
          <w:iCs w:val="0"/>
          <w:color w:val="auto"/>
        </w:rPr>
        <w:t>sse</w:t>
      </w:r>
      <w:proofErr w:type="spellEnd"/>
      <w:r w:rsidRPr="00552315">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1B9D1C1" w14:textId="77777777" w:rsidR="00170F3C" w:rsidRDefault="0021765D" w:rsidP="00A82891">
      <w:pPr>
        <w:pStyle w:val="Citao"/>
        <w:rPr>
          <w:rFonts w:cs="Arial"/>
          <w:color w:val="auto"/>
        </w:rPr>
      </w:pPr>
      <w:r w:rsidRPr="003D0669">
        <w:rPr>
          <w:rFonts w:cs="Arial"/>
          <w:b/>
          <w:color w:val="auto"/>
        </w:rPr>
        <w:t>Pesquisa Preços:</w:t>
      </w:r>
      <w:r w:rsidRPr="003D0669">
        <w:rPr>
          <w:rFonts w:cs="Arial"/>
          <w:color w:val="auto"/>
        </w:rPr>
        <w:t xml:space="preserve"> A IN </w:t>
      </w:r>
      <w:r>
        <w:rPr>
          <w:rFonts w:cs="Arial"/>
          <w:color w:val="auto"/>
          <w:lang w:val="pt-BR"/>
        </w:rPr>
        <w:t>SEGES/ME</w:t>
      </w:r>
      <w:r w:rsidRPr="003D0669">
        <w:rPr>
          <w:rFonts w:cs="Arial"/>
          <w:color w:val="auto"/>
        </w:rPr>
        <w:t xml:space="preserve"> n. </w:t>
      </w:r>
      <w:r>
        <w:rPr>
          <w:rFonts w:cs="Arial"/>
          <w:color w:val="auto"/>
          <w:lang w:val="pt-BR"/>
        </w:rPr>
        <w:t>73</w:t>
      </w:r>
      <w:r w:rsidRPr="003D0669">
        <w:rPr>
          <w:rFonts w:cs="Arial"/>
          <w:color w:val="auto"/>
        </w:rPr>
        <w:t xml:space="preserve">, de </w:t>
      </w:r>
      <w:r>
        <w:rPr>
          <w:rFonts w:cs="Arial"/>
          <w:color w:val="auto"/>
          <w:lang w:val="pt-BR"/>
        </w:rPr>
        <w:t>5 de agosto de 2020</w:t>
      </w:r>
      <w:r w:rsidRPr="003D0669">
        <w:rPr>
          <w:rFonts w:cs="Arial"/>
          <w:color w:val="auto"/>
        </w:rPr>
        <w:t>, dispõe sobre o procedimento administrativo destinado a realização de pesquisa de preços para a aquisição de bens e contratação de serviços em geral</w:t>
      </w:r>
    </w:p>
    <w:p w14:paraId="29DDB40A" w14:textId="7F8AFA86" w:rsidR="00A82891" w:rsidRPr="00552315" w:rsidRDefault="00A82891" w:rsidP="00A82891">
      <w:pPr>
        <w:pStyle w:val="Citao"/>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A82891">
      <w:pPr>
        <w:pStyle w:val="Citao"/>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552315" w:rsidRDefault="00A82891" w:rsidP="00A82891">
      <w:pPr>
        <w:pStyle w:val="Citao"/>
        <w:rPr>
          <w:rFonts w:cs="Arial"/>
          <w:color w:val="auto"/>
          <w:szCs w:val="20"/>
          <w:u w:val="single"/>
        </w:rPr>
      </w:pPr>
      <w:r w:rsidRPr="00552315">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552315" w:rsidRDefault="00A82891" w:rsidP="00A82891">
      <w:pPr>
        <w:pStyle w:val="Citao"/>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552315" w:rsidRDefault="00DB206B" w:rsidP="00DB206B">
      <w:pPr>
        <w:pStyle w:val="Citao"/>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553A31" w:rsidRPr="00552315">
        <w:rPr>
          <w:rStyle w:val="normalchar1"/>
          <w:sz w:val="20"/>
          <w:szCs w:val="20"/>
          <w:lang w:val="pt-BR"/>
        </w:rPr>
        <w:t xml:space="preserve"> </w:t>
      </w:r>
      <w:r w:rsidRPr="00552315">
        <w:rPr>
          <w:rStyle w:val="normalchar1"/>
          <w:sz w:val="20"/>
          <w:szCs w:val="20"/>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552315" w:rsidRDefault="00DB206B" w:rsidP="00143529">
      <w:pPr>
        <w:pStyle w:val="Citao"/>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 “</w:t>
      </w:r>
      <w:r w:rsidR="008000EB" w:rsidRPr="00552315">
        <w:rPr>
          <w:rFonts w:cs="Arial"/>
          <w:szCs w:val="20"/>
        </w:rPr>
        <w:t xml:space="preserve">deve ser evitado o parcelamento de serviços não especializados, a exemplo de 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29E06F4" w:rsidR="00553A31" w:rsidRPr="00552315" w:rsidRDefault="00553A31" w:rsidP="00553A31">
      <w:pPr>
        <w:pStyle w:val="Citao"/>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21765D">
        <w:rPr>
          <w:rFonts w:cs="Arial"/>
          <w:szCs w:val="20"/>
          <w:lang w:val="pt-BR"/>
        </w:rPr>
        <w:t xml:space="preserve"> </w:t>
      </w:r>
      <w:r w:rsidR="0021765D" w:rsidRPr="00552315">
        <w:rPr>
          <w:rFonts w:cs="Arial"/>
          <w:color w:val="auto"/>
          <w:szCs w:val="20"/>
        </w:rPr>
        <w:t xml:space="preserve">No caso de serviços, </w:t>
      </w:r>
      <w:r w:rsidR="0021765D">
        <w:rPr>
          <w:rFonts w:cs="Arial"/>
          <w:color w:val="auto"/>
          <w:szCs w:val="20"/>
          <w:lang w:val="pt-BR"/>
        </w:rPr>
        <w:t xml:space="preserve">eventual </w:t>
      </w:r>
      <w:r w:rsidR="0021765D" w:rsidRPr="00552315">
        <w:rPr>
          <w:rFonts w:cs="Arial"/>
          <w:color w:val="auto"/>
          <w:szCs w:val="20"/>
        </w:rPr>
        <w:t xml:space="preserve">divisão </w:t>
      </w:r>
      <w:r w:rsidR="0021765D">
        <w:rPr>
          <w:rFonts w:cs="Arial"/>
          <w:color w:val="auto"/>
          <w:szCs w:val="20"/>
          <w:lang w:val="pt-BR"/>
        </w:rPr>
        <w:t xml:space="preserve">em lotes </w:t>
      </w:r>
      <w:r w:rsidR="0021765D" w:rsidRPr="00552315">
        <w:rPr>
          <w:rFonts w:cs="Arial"/>
          <w:color w:val="auto"/>
          <w:szCs w:val="20"/>
        </w:rPr>
        <w:t>considerará a unidade de medida adotada para aferição dos produtos e resultados, e será observada a demanda específica de cada órgão ou entidade participante do certame</w:t>
      </w:r>
      <w:r w:rsidR="0021765D">
        <w:rPr>
          <w:rFonts w:cs="Arial"/>
          <w:color w:val="auto"/>
          <w:szCs w:val="20"/>
          <w:lang w:val="pt-BR"/>
        </w:rPr>
        <w:t>.</w:t>
      </w:r>
    </w:p>
    <w:p w14:paraId="2DB2E4C8" w14:textId="77777777" w:rsidR="005E40E0" w:rsidRDefault="005E40E0" w:rsidP="005E40E0">
      <w:pPr>
        <w:pStyle w:val="Citao"/>
        <w:rPr>
          <w:rFonts w:cs="Arial"/>
          <w:iCs w:val="0"/>
          <w:szCs w:val="20"/>
          <w:lang w:val="pt-BR"/>
        </w:rPr>
      </w:pPr>
      <w:r w:rsidRPr="00552315">
        <w:rPr>
          <w:rFonts w:cs="Arial"/>
          <w:b/>
          <w:iCs w:val="0"/>
          <w:szCs w:val="20"/>
        </w:rPr>
        <w:lastRenderedPageBreak/>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2FF8826" w14:textId="77777777" w:rsidR="005E40E0" w:rsidRDefault="005E40E0" w:rsidP="005E40E0">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6016FC2F" w14:textId="77777777" w:rsidR="005E40E0" w:rsidRDefault="005E40E0" w:rsidP="005E40E0">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6CD583DE" w14:textId="77777777" w:rsidR="005E40E0" w:rsidRPr="00093AF6" w:rsidRDefault="005E40E0" w:rsidP="005E40E0">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A5D2D25" w14:textId="1A11CD34" w:rsidR="001E65F6" w:rsidRPr="00AF7C0A" w:rsidRDefault="00143529" w:rsidP="000D390A">
      <w:pPr>
        <w:pStyle w:val="Nivel1"/>
        <w:rPr>
          <w:rFonts w:cs="Arial"/>
        </w:rPr>
      </w:pPr>
      <w:r w:rsidRPr="00552315">
        <w:rPr>
          <w:rFonts w:cs="Arial"/>
          <w:color w:val="auto"/>
        </w:rPr>
        <w:t xml:space="preserve"> </w:t>
      </w:r>
      <w:r w:rsidR="001E65F6" w:rsidRPr="00552315">
        <w:rPr>
          <w:rFonts w:cs="Arial"/>
        </w:rPr>
        <w:t xml:space="preserve">JUSTIFICATIVA E </w:t>
      </w:r>
      <w:r w:rsidR="001E65F6" w:rsidRPr="00AF7C0A">
        <w:rPr>
          <w:rFonts w:cs="Arial"/>
        </w:rPr>
        <w:t>OBJETIVO DA CONTRATAÇÃO</w:t>
      </w:r>
    </w:p>
    <w:p w14:paraId="03116431" w14:textId="041E048D" w:rsidR="00BA3A25" w:rsidRPr="00AF7C0A" w:rsidRDefault="00BA3A25" w:rsidP="00BA3A25">
      <w:pPr>
        <w:numPr>
          <w:ilvl w:val="1"/>
          <w:numId w:val="1"/>
        </w:numPr>
        <w:autoSpaceDE w:val="0"/>
        <w:spacing w:before="120" w:after="120" w:line="276" w:lineRule="auto"/>
        <w:jc w:val="both"/>
        <w:rPr>
          <w:rFonts w:cs="Arial"/>
          <w:color w:val="000000"/>
          <w:szCs w:val="20"/>
        </w:rPr>
      </w:pPr>
      <w:r w:rsidRPr="00AF7C0A">
        <w:t>A Justificativa e objetivo da contratação encontra</w:t>
      </w:r>
      <w:r w:rsidR="005E40E0">
        <w:t>m</w:t>
      </w:r>
      <w:r w:rsidRPr="00AF7C0A">
        <w:t>-se pormenorizad</w:t>
      </w:r>
      <w:r w:rsidR="005E40E0">
        <w:t>os</w:t>
      </w:r>
      <w:r w:rsidRPr="00AF7C0A">
        <w:t xml:space="preserve"> em Tópico específico dos Estudos Técnicos Preliminares, apêndice deste Termo de Referência.</w:t>
      </w:r>
    </w:p>
    <w:p w14:paraId="595CC1E6" w14:textId="77777777" w:rsidR="001E65F6" w:rsidRPr="00AF7C0A" w:rsidRDefault="001E65F6" w:rsidP="001E65F6">
      <w:pPr>
        <w:autoSpaceDE w:val="0"/>
        <w:spacing w:after="120" w:line="276" w:lineRule="auto"/>
        <w:ind w:left="432"/>
        <w:jc w:val="both"/>
        <w:rPr>
          <w:rFonts w:cs="Arial"/>
          <w:color w:val="000000"/>
          <w:szCs w:val="20"/>
        </w:rPr>
      </w:pPr>
    </w:p>
    <w:p w14:paraId="51EFCBC2" w14:textId="77777777" w:rsidR="0021765D" w:rsidRPr="00485453" w:rsidRDefault="0021765D" w:rsidP="0021765D">
      <w:pPr>
        <w:pStyle w:val="Citao"/>
        <w:rPr>
          <w:rFonts w:cs="Arial"/>
          <w:b/>
          <w:color w:val="auto"/>
          <w:szCs w:val="20"/>
          <w:lang w:val="pt-BR"/>
        </w:rPr>
      </w:pPr>
      <w:r w:rsidRPr="00E03769">
        <w:rPr>
          <w:rFonts w:cs="Arial"/>
          <w:b/>
          <w:bCs/>
          <w:highlight w:val="yellow"/>
        </w:rPr>
        <w:t>Nota Explicativa:</w:t>
      </w:r>
      <w:r w:rsidRPr="00E03769">
        <w:rPr>
          <w:rFonts w:cs="Arial"/>
          <w:highlight w:val="yellow"/>
        </w:rPr>
        <w:t xml:space="preserve"> Caso haja a necessidade de modificação da </w:t>
      </w:r>
      <w:r w:rsidRPr="00E03769">
        <w:rPr>
          <w:rFonts w:cs="Arial"/>
          <w:highlight w:val="yellow"/>
          <w:lang w:val="pt-BR"/>
        </w:rPr>
        <w:t>justificativa</w:t>
      </w:r>
      <w:r w:rsidRPr="00E03769">
        <w:rPr>
          <w:rFonts w:cs="Arial"/>
          <w:highlight w:val="yellow"/>
        </w:rPr>
        <w:t xml:space="preserve"> em relação à originalmente feita nos estudos técnicos preliminares, recomenda-se ajustar a redação acima.</w:t>
      </w:r>
    </w:p>
    <w:p w14:paraId="7768B61B" w14:textId="77777777" w:rsidR="0021765D" w:rsidRDefault="0021765D" w:rsidP="0021765D">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03078116" w14:textId="34C9EF0E" w:rsidR="0021765D" w:rsidRDefault="0021765D" w:rsidP="00D17875">
      <w:pPr>
        <w:pStyle w:val="Citao"/>
        <w:rPr>
          <w:rFonts w:cs="Arial"/>
          <w:b/>
          <w:color w:val="auto"/>
          <w:szCs w:val="20"/>
        </w:rPr>
      </w:pPr>
      <w:r w:rsidRPr="00552315">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552315">
        <w:rPr>
          <w:rFonts w:cs="Arial"/>
          <w:color w:val="auto"/>
          <w:szCs w:val="20"/>
          <w:lang w:val="pt-BR"/>
        </w:rPr>
        <w:t>objeto</w:t>
      </w:r>
      <w:r w:rsidRPr="00552315">
        <w:rPr>
          <w:rFonts w:cs="Arial"/>
          <w:color w:val="auto"/>
          <w:szCs w:val="20"/>
        </w:rPr>
        <w:t>, e, se for o caso, do quantitativo a ser adquirido.</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7777777" w:rsidR="00025A25" w:rsidRPr="003B34C1" w:rsidRDefault="00025A25" w:rsidP="00864E77">
      <w:pPr>
        <w:numPr>
          <w:ilvl w:val="1"/>
          <w:numId w:val="4"/>
        </w:numPr>
        <w:spacing w:before="120" w:after="120" w:line="276" w:lineRule="auto"/>
        <w:ind w:left="425" w:firstLine="0"/>
        <w:jc w:val="both"/>
      </w:pPr>
      <w:r w:rsidRPr="003B34C1">
        <w:t xml:space="preserve">A descrição da solução como um todo, encontra-se pormenorizada em Tópico específico </w:t>
      </w:r>
      <w:r w:rsidRPr="003B34C1">
        <w:rPr>
          <w:rFonts w:cs="Arial"/>
          <w:szCs w:val="20"/>
        </w:rPr>
        <w:t>dos</w:t>
      </w:r>
      <w:r w:rsidRPr="003B34C1">
        <w:t xml:space="preserve"> Estudos Técnicos Preliminares, apêndice deste Termo de Referência.</w:t>
      </w:r>
    </w:p>
    <w:p w14:paraId="46553C1F" w14:textId="57161C5F" w:rsidR="00025A25" w:rsidRPr="00756ED3"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21765D">
        <w:rPr>
          <w:rFonts w:cs="Arial"/>
          <w:lang w:val="pt-BR"/>
        </w:rPr>
        <w:t xml:space="preserve"> Registre-se que </w:t>
      </w:r>
      <w:r w:rsidR="0021765D" w:rsidRPr="00552315">
        <w:rPr>
          <w:rFonts w:cs="Arial"/>
          <w:szCs w:val="20"/>
          <w:lang w:val="pt-BR"/>
        </w:rPr>
        <w:t>o objeto d</w:t>
      </w:r>
      <w:proofErr w:type="spellStart"/>
      <w:r w:rsidR="0021765D" w:rsidRPr="00552315">
        <w:rPr>
          <w:rFonts w:cs="Arial"/>
          <w:szCs w:val="20"/>
        </w:rPr>
        <w:t>eve</w:t>
      </w:r>
      <w:proofErr w:type="spellEnd"/>
      <w:r w:rsidR="0021765D" w:rsidRPr="00552315">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r w:rsidR="0021765D">
        <w:rPr>
          <w:rFonts w:cs="Arial"/>
          <w:szCs w:val="20"/>
          <w:lang w:val="pt-BR"/>
        </w:rPr>
        <w:t xml:space="preserve"> </w:t>
      </w:r>
      <w:r w:rsidR="0021765D"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2238AF41" w:rsidR="0082594B" w:rsidRPr="00552315" w:rsidRDefault="0082594B" w:rsidP="003F2D40">
      <w:pPr>
        <w:numPr>
          <w:ilvl w:val="1"/>
          <w:numId w:val="1"/>
        </w:numPr>
        <w:spacing w:before="120" w:after="120" w:line="276" w:lineRule="auto"/>
        <w:ind w:left="425" w:firstLine="0"/>
        <w:jc w:val="both"/>
        <w:rPr>
          <w:rFonts w:cs="Arial"/>
          <w:iCs/>
          <w:szCs w:val="20"/>
        </w:rPr>
      </w:pPr>
      <w:r w:rsidRPr="00552315">
        <w:rPr>
          <w:rFonts w:cs="Arial"/>
          <w:iCs/>
          <w:szCs w:val="20"/>
        </w:rPr>
        <w:t xml:space="preserve">Trata-se de serviço comum, </w:t>
      </w:r>
      <w:r w:rsidR="00BA6F63" w:rsidRPr="00552315">
        <w:rPr>
          <w:rFonts w:cs="Arial"/>
          <w:iCs/>
          <w:szCs w:val="20"/>
        </w:rPr>
        <w:t>não continuado,</w:t>
      </w:r>
      <w:r w:rsidR="00875A25" w:rsidRPr="00552315">
        <w:rPr>
          <w:rFonts w:cs="Arial"/>
          <w:iCs/>
          <w:szCs w:val="20"/>
        </w:rPr>
        <w:t xml:space="preserve"> </w:t>
      </w:r>
      <w:r w:rsidRPr="00552315">
        <w:rPr>
          <w:rFonts w:cs="Arial"/>
          <w:iCs/>
          <w:szCs w:val="20"/>
        </w:rPr>
        <w:t>a ser contratado mediante licitação, na modalidade pregão, em sua forma eletrônica.</w:t>
      </w:r>
    </w:p>
    <w:p w14:paraId="73148403" w14:textId="540144C2" w:rsidR="005E40E0" w:rsidRDefault="00DB206B" w:rsidP="00DB206B">
      <w:pPr>
        <w:pStyle w:val="Citao"/>
        <w:rPr>
          <w:rFonts w:cs="Arial"/>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6C035A">
        <w:rPr>
          <w:rFonts w:cs="Arial"/>
          <w:b/>
          <w:szCs w:val="20"/>
          <w:lang w:val="pt-BR"/>
        </w:rPr>
        <w:t xml:space="preserve"> 1</w:t>
      </w:r>
      <w:r w:rsidRPr="00552315">
        <w:rPr>
          <w:rFonts w:cs="Arial"/>
          <w:szCs w:val="20"/>
        </w:rPr>
        <w:t xml:space="preserve">: deve a Administração definir se natureza do objeto a ser contratado é comum nos termos do parágrafo único, do art. 1°, da Lei 10.520, de 2002. </w:t>
      </w:r>
      <w:r w:rsidR="00143529" w:rsidRPr="00552315">
        <w:rPr>
          <w:rFonts w:cs="Arial"/>
          <w:szCs w:val="20"/>
        </w:rPr>
        <w:t xml:space="preserve">, c/c art. </w:t>
      </w:r>
      <w:r w:rsidR="00381881" w:rsidRPr="006C035A">
        <w:rPr>
          <w:rFonts w:cs="Arial"/>
          <w:szCs w:val="20"/>
        </w:rPr>
        <w:t>3</w:t>
      </w:r>
      <w:r w:rsidR="00143529" w:rsidRPr="00552315">
        <w:rPr>
          <w:rFonts w:cs="Arial"/>
          <w:szCs w:val="20"/>
        </w:rPr>
        <w:t>º</w:t>
      </w:r>
      <w:r w:rsidR="00381881" w:rsidRPr="006C035A">
        <w:rPr>
          <w:rFonts w:cs="Arial"/>
          <w:szCs w:val="20"/>
        </w:rPr>
        <w:t>, II</w:t>
      </w:r>
      <w:r w:rsidR="00143529" w:rsidRPr="00552315">
        <w:rPr>
          <w:rFonts w:cs="Arial"/>
          <w:szCs w:val="20"/>
        </w:rPr>
        <w:t xml:space="preserve"> do Decreto nº </w:t>
      </w:r>
      <w:r w:rsidR="00381881" w:rsidRPr="006C035A">
        <w:rPr>
          <w:rFonts w:cs="Arial"/>
          <w:szCs w:val="20"/>
        </w:rPr>
        <w:t>10.024/2019</w:t>
      </w:r>
      <w:r w:rsidR="00143529" w:rsidRPr="00552315">
        <w:rPr>
          <w:rFonts w:cs="Arial"/>
          <w:szCs w:val="20"/>
        </w:rPr>
        <w:t xml:space="preserve">.  Vide </w:t>
      </w:r>
      <w:proofErr w:type="spellStart"/>
      <w:r w:rsidR="0021765D" w:rsidRPr="006C035A">
        <w:rPr>
          <w:rFonts w:cs="Arial"/>
          <w:szCs w:val="20"/>
        </w:rPr>
        <w:t>arts</w:t>
      </w:r>
      <w:proofErr w:type="spellEnd"/>
      <w:r w:rsidR="0021765D" w:rsidRPr="006C035A">
        <w:rPr>
          <w:rFonts w:cs="Arial"/>
          <w:szCs w:val="20"/>
        </w:rPr>
        <w:t>. 14 a 17 da IN SEGES/MP nº 5/2017</w:t>
      </w:r>
      <w:r w:rsidR="00143529" w:rsidRPr="00552315">
        <w:rPr>
          <w:rFonts w:cs="Arial"/>
          <w:szCs w:val="20"/>
        </w:rPr>
        <w:t>.</w:t>
      </w:r>
    </w:p>
    <w:p w14:paraId="5F5274D8" w14:textId="324B802D" w:rsidR="00DB206B" w:rsidRPr="006C035A" w:rsidRDefault="005E40E0" w:rsidP="006C035A">
      <w:pPr>
        <w:pStyle w:val="Citao"/>
        <w:rPr>
          <w:rFonts w:cs="Arial"/>
          <w:szCs w:val="20"/>
        </w:rPr>
      </w:pPr>
      <w:r w:rsidRPr="006C035A">
        <w:rPr>
          <w:rFonts w:cs="Arial"/>
          <w:b/>
          <w:bCs/>
          <w:szCs w:val="20"/>
        </w:rPr>
        <w:t>Nota Explicativa 2:</w:t>
      </w:r>
      <w:r w:rsidRPr="006C035A">
        <w:rPr>
          <w:rFonts w:cs="Arial"/>
          <w:szCs w:val="20"/>
        </w:rPr>
        <w:t xml:space="preserve"> Orientação Normativa AGU nº 54/2014: Compete ao agente ou setor técnico da administração declarar que o objeto licitatório é de natureza comum para efeito de utilização da </w:t>
      </w:r>
      <w:r w:rsidRPr="006C035A">
        <w:rPr>
          <w:rFonts w:cs="Arial"/>
          <w:szCs w:val="20"/>
        </w:rPr>
        <w:lastRenderedPageBreak/>
        <w:t>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552315" w:rsidRDefault="0082594B" w:rsidP="0082594B">
      <w:pPr>
        <w:pStyle w:val="Nivel1"/>
        <w:rPr>
          <w:rFonts w:cs="Arial"/>
        </w:rPr>
      </w:pPr>
      <w:r w:rsidRPr="00552315">
        <w:rPr>
          <w:rFonts w:cs="Arial"/>
        </w:rPr>
        <w:t>REQUISITOS DA CONTRATAÇÃO</w:t>
      </w:r>
    </w:p>
    <w:p w14:paraId="5CE44D8D" w14:textId="77777777" w:rsidR="00D17875" w:rsidRPr="00552315" w:rsidRDefault="00D17875" w:rsidP="00D17875">
      <w:pPr>
        <w:suppressAutoHyphens/>
        <w:spacing w:after="120"/>
        <w:ind w:left="716"/>
        <w:jc w:val="both"/>
        <w:rPr>
          <w:rFonts w:cs="Arial"/>
          <w:szCs w:val="20"/>
        </w:rPr>
      </w:pPr>
    </w:p>
    <w:p w14:paraId="121BB9F4" w14:textId="77777777" w:rsidR="0082594B" w:rsidRPr="00552315" w:rsidRDefault="0082594B" w:rsidP="0082594B">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4CB98C73"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szCs w:val="20"/>
        </w:rPr>
        <w:t xml:space="preserve">... </w:t>
      </w:r>
      <w:r w:rsidRPr="00552315">
        <w:rPr>
          <w:rFonts w:cs="Arial"/>
          <w:i/>
          <w:iCs/>
          <w:color w:val="FF0000"/>
          <w:szCs w:val="20"/>
        </w:rPr>
        <w:t>(requisitos necessários para o atendimento da necessidade)</w:t>
      </w:r>
    </w:p>
    <w:p w14:paraId="4B0EDD80"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(duração inicial do contrato)</w:t>
      </w:r>
    </w:p>
    <w:p w14:paraId="14544F65"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(eventual necessidade de transição gradual com transferência de conhecimento, tecnologia e técnicas empregadas)</w:t>
      </w:r>
    </w:p>
    <w:p w14:paraId="6453A507" w14:textId="3949D5B1" w:rsidR="0082594B" w:rsidRPr="00552315" w:rsidRDefault="0082594B" w:rsidP="00553A31">
      <w:pPr>
        <w:numPr>
          <w:ilvl w:val="2"/>
          <w:numId w:val="1"/>
        </w:numPr>
        <w:suppressAutoHyphens/>
        <w:spacing w:after="120"/>
        <w:jc w:val="both"/>
        <w:rPr>
          <w:rFonts w:cs="Arial"/>
          <w:i/>
          <w:iCs/>
          <w:szCs w:val="20"/>
        </w:rPr>
      </w:pPr>
      <w:r w:rsidRPr="00552315">
        <w:rPr>
          <w:rFonts w:cs="Arial"/>
          <w:i/>
          <w:iCs/>
          <w:color w:val="FF0000"/>
          <w:szCs w:val="20"/>
        </w:rPr>
        <w:t>... (quadro com soluções de mercado)</w:t>
      </w:r>
    </w:p>
    <w:p w14:paraId="3B2F6A68" w14:textId="519E5019" w:rsidR="0021765D" w:rsidRPr="004614D1" w:rsidRDefault="0021765D" w:rsidP="004614D1">
      <w:pPr>
        <w:pStyle w:val="PargrafodaLista"/>
        <w:numPr>
          <w:ilvl w:val="1"/>
          <w:numId w:val="1"/>
        </w:numPr>
        <w:jc w:val="both"/>
        <w:rPr>
          <w:rFonts w:cs="Arial"/>
          <w:szCs w:val="20"/>
        </w:rPr>
      </w:pPr>
      <w:r w:rsidRPr="0021765D">
        <w:rPr>
          <w:rFonts w:cs="Arial"/>
          <w:szCs w:val="20"/>
        </w:rPr>
        <w:t xml:space="preserve"> </w:t>
      </w:r>
      <w:r>
        <w:rPr>
          <w:rFonts w:cs="Arial"/>
          <w:szCs w:val="20"/>
        </w:rPr>
        <w:t xml:space="preserve">Além dos pontos acima, </w:t>
      </w:r>
      <w:r w:rsidR="004614D1">
        <w:rPr>
          <w:rFonts w:cs="Arial"/>
          <w:szCs w:val="20"/>
        </w:rPr>
        <w:t>o adjudicatário deverá apresentar d</w:t>
      </w:r>
      <w:r w:rsidR="004614D1" w:rsidRPr="0034673D">
        <w:rPr>
          <w:rFonts w:cs="Arial"/>
          <w:szCs w:val="20"/>
        </w:rPr>
        <w:t>eclaração de que tem pleno conhecimento das condições necessárias para a prestação do serviço</w:t>
      </w:r>
      <w:r w:rsidR="004614D1">
        <w:rPr>
          <w:rFonts w:cs="Arial"/>
          <w:szCs w:val="20"/>
        </w:rPr>
        <w:t xml:space="preserve"> como requisito para celebração do contrato</w:t>
      </w:r>
      <w:r w:rsidRPr="004614D1">
        <w:rPr>
          <w:rFonts w:cs="Arial"/>
          <w:szCs w:val="20"/>
        </w:rPr>
        <w:t>.</w:t>
      </w:r>
    </w:p>
    <w:p w14:paraId="77EEE398" w14:textId="2511F837" w:rsidR="0082594B" w:rsidRPr="00552315" w:rsidRDefault="0082594B" w:rsidP="00756ED3">
      <w:pPr>
        <w:suppressAutoHyphens/>
        <w:spacing w:after="120"/>
        <w:ind w:left="716"/>
        <w:jc w:val="both"/>
        <w:rPr>
          <w:rFonts w:cs="Arial"/>
          <w:color w:val="000000" w:themeColor="text1"/>
          <w:szCs w:val="20"/>
        </w:rPr>
      </w:pPr>
    </w:p>
    <w:p w14:paraId="229E2732" w14:textId="77777777" w:rsidR="0082594B" w:rsidRPr="00552315" w:rsidRDefault="0082594B" w:rsidP="0082594B">
      <w:pPr>
        <w:numPr>
          <w:ilvl w:val="1"/>
          <w:numId w:val="1"/>
        </w:numPr>
        <w:suppressAutoHyphens/>
        <w:spacing w:after="120"/>
        <w:jc w:val="both"/>
        <w:rPr>
          <w:rFonts w:cs="Arial"/>
          <w:i/>
          <w:iCs/>
          <w:color w:val="FF0000"/>
          <w:szCs w:val="20"/>
        </w:rPr>
      </w:pPr>
      <w:r w:rsidRPr="00552315">
        <w:rPr>
          <w:rFonts w:cs="Arial"/>
          <w:i/>
          <w:iCs/>
          <w:color w:val="FF0000"/>
          <w:szCs w:val="20"/>
        </w:rPr>
        <w:t>A quantidade estimada de deslocamentos é de____. Há a necessidade de hospedagem, estimada em....</w:t>
      </w:r>
    </w:p>
    <w:p w14:paraId="7D7BF16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 xml:space="preserve">disposição 2.4.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4AD67771" w14:textId="57863683" w:rsidR="0021765D" w:rsidRPr="0077176B" w:rsidRDefault="0021765D" w:rsidP="0021765D">
      <w:pPr>
        <w:pStyle w:val="SombreamentoMdio1-nfase31"/>
        <w:spacing w:before="0"/>
        <w:rPr>
          <w:rFonts w:ascii="Arial" w:hAnsi="Arial" w:cs="Arial"/>
          <w:color w:val="auto"/>
          <w:szCs w:val="20"/>
        </w:rPr>
      </w:pPr>
      <w:r w:rsidRPr="00485453">
        <w:rPr>
          <w:rFonts w:ascii="Arial" w:hAnsi="Arial" w:cs="Arial"/>
          <w:b/>
          <w:bCs/>
          <w:color w:val="auto"/>
          <w:szCs w:val="20"/>
        </w:rPr>
        <w:t xml:space="preserve">Nota Explicativa </w:t>
      </w:r>
      <w:r w:rsidR="005E40E0">
        <w:rPr>
          <w:rFonts w:ascii="Arial" w:hAnsi="Arial" w:cs="Arial"/>
          <w:b/>
          <w:bCs/>
          <w:color w:val="auto"/>
          <w:szCs w:val="20"/>
        </w:rPr>
        <w:t>2</w:t>
      </w:r>
      <w:r w:rsidRPr="00485453">
        <w:rPr>
          <w:rFonts w:ascii="Arial" w:hAnsi="Arial" w:cs="Arial"/>
          <w:b/>
          <w:bCs/>
          <w:color w:val="auto"/>
          <w:szCs w:val="20"/>
        </w:rPr>
        <w:t>:</w:t>
      </w:r>
      <w:r w:rsidRPr="00485453">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5F452FD3" w:rsidR="0082594B" w:rsidRPr="00552315" w:rsidRDefault="0021765D" w:rsidP="0021765D">
      <w:pPr>
        <w:pStyle w:val="SombreamentoMdio1-nfase31"/>
        <w:spacing w:before="0"/>
        <w:rPr>
          <w:rFonts w:ascii="Arial" w:hAnsi="Arial" w:cs="Arial"/>
          <w:color w:val="auto"/>
          <w:szCs w:val="20"/>
        </w:rPr>
      </w:pPr>
      <w:r>
        <w:rPr>
          <w:rFonts w:ascii="Arial" w:hAnsi="Arial" w:cs="Arial"/>
          <w:b/>
          <w:bCs/>
          <w:color w:val="auto"/>
          <w:szCs w:val="20"/>
        </w:rPr>
        <w:t xml:space="preserve">Nota Explicativa </w:t>
      </w:r>
      <w:r w:rsidR="005E40E0">
        <w:rPr>
          <w:rFonts w:ascii="Arial" w:hAnsi="Arial" w:cs="Arial"/>
          <w:b/>
          <w:bCs/>
          <w:color w:val="auto"/>
          <w:szCs w:val="20"/>
        </w:rPr>
        <w:t>3</w:t>
      </w:r>
      <w:r>
        <w:rPr>
          <w:rFonts w:ascii="Arial" w:hAnsi="Arial" w:cs="Arial"/>
          <w:b/>
          <w:bCs/>
          <w:color w:val="auto"/>
          <w:szCs w:val="20"/>
        </w:rPr>
        <w:t xml:space="preserve">: </w:t>
      </w:r>
      <w:r w:rsidR="0082594B" w:rsidRPr="00552315">
        <w:rPr>
          <w:rFonts w:ascii="Arial" w:hAnsi="Arial" w:cs="Arial"/>
          <w:color w:val="auto"/>
          <w:szCs w:val="20"/>
        </w:rPr>
        <w:t xml:space="preserve">A letra “c”, trata do tema do conhecimento das condições necessárias para a prestação do serviço, cuja </w:t>
      </w:r>
      <w:r w:rsidR="0082594B" w:rsidRPr="00552315">
        <w:rPr>
          <w:rFonts w:ascii="Arial" w:hAnsi="Arial" w:cs="Arial"/>
          <w:b/>
          <w:bCs/>
          <w:color w:val="auto"/>
          <w:szCs w:val="20"/>
        </w:rPr>
        <w:t>declaração</w:t>
      </w:r>
      <w:r w:rsidR="0082594B" w:rsidRPr="00552315">
        <w:rPr>
          <w:rFonts w:ascii="Arial" w:hAnsi="Arial" w:cs="Arial"/>
          <w:color w:val="auto"/>
          <w:szCs w:val="20"/>
        </w:rPr>
        <w:t xml:space="preserve"> positiva nesse sentido </w:t>
      </w:r>
      <w:r w:rsidR="0082594B" w:rsidRPr="00552315">
        <w:rPr>
          <w:rFonts w:ascii="Arial" w:hAnsi="Arial" w:cs="Arial"/>
          <w:b/>
          <w:bCs/>
          <w:color w:val="auto"/>
          <w:szCs w:val="20"/>
        </w:rPr>
        <w:t>é um</w:t>
      </w:r>
      <w:r w:rsidR="0082594B" w:rsidRPr="00552315">
        <w:rPr>
          <w:rFonts w:ascii="Arial" w:hAnsi="Arial" w:cs="Arial"/>
          <w:color w:val="auto"/>
          <w:szCs w:val="20"/>
        </w:rPr>
        <w:t xml:space="preserve"> </w:t>
      </w:r>
      <w:r w:rsidR="0082594B" w:rsidRPr="00552315">
        <w:rPr>
          <w:rFonts w:ascii="Arial" w:hAnsi="Arial" w:cs="Arial"/>
          <w:b/>
          <w:bCs/>
          <w:color w:val="auto"/>
          <w:szCs w:val="20"/>
        </w:rPr>
        <w:t>requisito</w:t>
      </w:r>
      <w:r w:rsidR="0082594B" w:rsidRPr="00552315">
        <w:rPr>
          <w:rFonts w:ascii="Arial" w:hAnsi="Arial" w:cs="Arial"/>
          <w:color w:val="auto"/>
          <w:szCs w:val="20"/>
        </w:rPr>
        <w:t xml:space="preserve"> da contratação, estabelecido na disposição 2.4. do Anexo V da IN 05/2017 – SEGES/</w:t>
      </w:r>
      <w:r w:rsidR="003C58CC" w:rsidRPr="00552315">
        <w:rPr>
          <w:rFonts w:ascii="Arial" w:hAnsi="Arial" w:cs="Arial"/>
          <w:color w:val="auto"/>
          <w:szCs w:val="20"/>
        </w:rPr>
        <w:t>MP</w:t>
      </w:r>
      <w:r w:rsidR="0082594B" w:rsidRPr="00552315">
        <w:rPr>
          <w:rFonts w:ascii="Arial" w:hAnsi="Arial" w:cs="Arial"/>
          <w:szCs w:val="20"/>
        </w:rPr>
        <w:t xml:space="preserve">: </w:t>
      </w:r>
    </w:p>
    <w:p w14:paraId="21944A76" w14:textId="55100174"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Ou seja, a regra estabelecida é a de se exigir </w:t>
      </w:r>
      <w:r w:rsidR="004614D1" w:rsidRPr="0034673D">
        <w:rPr>
          <w:rFonts w:ascii="Arial" w:hAnsi="Arial" w:cs="Arial"/>
          <w:b/>
          <w:bCs/>
          <w:color w:val="auto"/>
          <w:szCs w:val="20"/>
        </w:rPr>
        <w:t>do adjudicatário que declare pleno conhecimento das condições necessárias, previamente à celebração do contrato</w:t>
      </w:r>
      <w:r w:rsidR="004614D1" w:rsidRPr="0034673D">
        <w:rPr>
          <w:rFonts w:ascii="Arial" w:hAnsi="Arial" w:cs="Arial"/>
          <w:color w:val="auto"/>
          <w:szCs w:val="20"/>
        </w:rPr>
        <w:t xml:space="preserve">. </w:t>
      </w:r>
      <w:r w:rsidRPr="00552315">
        <w:rPr>
          <w:rFonts w:ascii="Arial" w:hAnsi="Arial" w:cs="Arial"/>
          <w:color w:val="auto"/>
          <w:szCs w:val="20"/>
        </w:rPr>
        <w:t xml:space="preserve">Ainda sobre esse requisito, destacamos que a exigência </w:t>
      </w:r>
      <w:r w:rsidRPr="00552315">
        <w:rPr>
          <w:rFonts w:ascii="Arial" w:hAnsi="Arial" w:cs="Arial"/>
          <w:szCs w:val="20"/>
        </w:rPr>
        <w:t xml:space="preserve">do comparecimento” no local, ao invés da declaração, é medida excepcional, a ser estabelecida somente se imprescindível, e não for possível substituí-la pela divulgação de fotos, plantas </w:t>
      </w:r>
      <w:proofErr w:type="spellStart"/>
      <w:proofErr w:type="gramStart"/>
      <w:r w:rsidRPr="00552315">
        <w:rPr>
          <w:rFonts w:ascii="Arial" w:hAnsi="Arial" w:cs="Arial"/>
          <w:szCs w:val="20"/>
        </w:rPr>
        <w:t>etc</w:t>
      </w:r>
      <w:proofErr w:type="spellEnd"/>
      <w:r w:rsidR="004614D1">
        <w:rPr>
          <w:rFonts w:ascii="Arial" w:hAnsi="Arial" w:cs="Arial"/>
          <w:szCs w:val="20"/>
        </w:rPr>
        <w:t>,</w:t>
      </w:r>
      <w:r w:rsidRPr="00552315">
        <w:rPr>
          <w:rFonts w:ascii="Arial" w:hAnsi="Arial" w:cs="Arial"/>
          <w:color w:val="auto"/>
          <w:szCs w:val="20"/>
        </w:rPr>
        <w:t>,</w:t>
      </w:r>
      <w:proofErr w:type="gramEnd"/>
      <w:r w:rsidRPr="00552315">
        <w:rPr>
          <w:rFonts w:ascii="Arial" w:hAnsi="Arial" w:cs="Arial"/>
          <w:color w:val="auto"/>
          <w:szCs w:val="20"/>
        </w:rPr>
        <w:t xml:space="preserve"> presumivelmente para o fim de verificação e </w:t>
      </w:r>
      <w:r w:rsidRPr="00552315">
        <w:rPr>
          <w:rFonts w:ascii="Arial" w:hAnsi="Arial" w:cs="Arial"/>
          <w:szCs w:val="20"/>
        </w:rPr>
        <w:t xml:space="preserve">ajuste das providencias e prazos necessárias ao início do contrato. </w:t>
      </w:r>
      <w:r w:rsidRPr="00552315">
        <w:rPr>
          <w:rFonts w:ascii="Arial" w:hAnsi="Arial" w:cs="Arial"/>
          <w:color w:val="auto"/>
          <w:szCs w:val="20"/>
        </w:rPr>
        <w:t>Nessa hipótese, a redação da disposição 5.</w:t>
      </w:r>
      <w:r w:rsidR="006216CD">
        <w:rPr>
          <w:rFonts w:ascii="Arial" w:hAnsi="Arial" w:cs="Arial"/>
          <w:color w:val="auto"/>
          <w:szCs w:val="20"/>
        </w:rPr>
        <w:t>2</w:t>
      </w:r>
      <w:r w:rsidRPr="00552315">
        <w:rPr>
          <w:rFonts w:ascii="Arial" w:hAnsi="Arial" w:cs="Arial"/>
          <w:color w:val="auto"/>
          <w:szCs w:val="20"/>
        </w:rPr>
        <w:t xml:space="preserve"> acima deverá ser alterada, refletindo adequadamente a exigência.</w:t>
      </w:r>
    </w:p>
    <w:p w14:paraId="50F96550" w14:textId="1C3504F3" w:rsidR="0082594B" w:rsidRPr="00552315" w:rsidRDefault="0082594B" w:rsidP="0082594B">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Esta última é disciplinada no Anexo VII-A da IN 05/2017 – SEGES/</w:t>
      </w:r>
      <w:r w:rsidR="003C58CC" w:rsidRPr="00552315">
        <w:rPr>
          <w:rFonts w:ascii="Arial" w:hAnsi="Arial" w:cs="Arial"/>
          <w:szCs w:val="20"/>
        </w:rPr>
        <w:t>MP</w:t>
      </w:r>
      <w:r w:rsidRPr="00552315">
        <w:rPr>
          <w:rFonts w:ascii="Arial" w:hAnsi="Arial" w:cs="Arial"/>
          <w:szCs w:val="20"/>
        </w:rPr>
        <w:t xml:space="preserve">, intitulado “Diretrizes Gerais para Elaboração do Ato Convocatório”, e é dirigida a todos os licitantes. Trata-se de medida ainda mais excepcional, posto que mais restritiva à competitividade, e só deve ser adotada com justificativa técnica rigorosa, conforme exposto </w:t>
      </w:r>
      <w:r w:rsidR="006C035A">
        <w:rPr>
          <w:rFonts w:ascii="Arial" w:hAnsi="Arial" w:cs="Arial"/>
          <w:szCs w:val="20"/>
        </w:rPr>
        <w:t>no tópico da “Vistoria” adiante</w:t>
      </w:r>
      <w:r w:rsidRPr="00552315">
        <w:rPr>
          <w:rFonts w:ascii="Arial" w:hAnsi="Arial" w:cs="Arial"/>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lastRenderedPageBreak/>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1752382B" w:rsidR="0082594B" w:rsidRPr="0009222E" w:rsidRDefault="00F2241A" w:rsidP="00D17875">
            <w:pPr>
              <w:pStyle w:val="citao2"/>
              <w:rPr>
                <w:rFonts w:cs="Arial"/>
                <w:lang w:val="pt-BR"/>
              </w:rPr>
            </w:pPr>
            <w:r>
              <w:rPr>
                <w:rFonts w:cs="Arial"/>
                <w:lang w:val="pt-BR"/>
              </w:rPr>
              <w:t>Adjudicatário</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5525DE78" w14:textId="77777777" w:rsidR="0082594B" w:rsidRPr="00552315" w:rsidRDefault="0082594B" w:rsidP="0082594B">
      <w:pPr>
        <w:spacing w:after="120"/>
        <w:ind w:left="432"/>
        <w:jc w:val="both"/>
        <w:rPr>
          <w:rFonts w:cs="Arial"/>
          <w:b/>
          <w:szCs w:val="20"/>
        </w:rPr>
      </w:pPr>
    </w:p>
    <w:p w14:paraId="57BAB070" w14:textId="77777777" w:rsidR="006216CD" w:rsidRPr="00774B02" w:rsidRDefault="006216CD" w:rsidP="006216CD">
      <w:pPr>
        <w:pStyle w:val="Nivel1"/>
        <w:spacing w:after="120"/>
        <w:ind w:left="360"/>
        <w:rPr>
          <w:highlight w:val="yellow"/>
        </w:rPr>
      </w:pPr>
      <w:r w:rsidRPr="00774B02">
        <w:rPr>
          <w:highlight w:val="yellow"/>
        </w:rPr>
        <w:t>CRITÉRIOS DE SUSTENTABILIDADE</w:t>
      </w:r>
    </w:p>
    <w:p w14:paraId="300F911B" w14:textId="77777777" w:rsidR="006216CD" w:rsidRPr="00774B02" w:rsidRDefault="006216CD" w:rsidP="006E75DC">
      <w:pPr>
        <w:numPr>
          <w:ilvl w:val="1"/>
          <w:numId w:val="1"/>
        </w:numPr>
        <w:suppressAutoHyphens/>
        <w:spacing w:after="120"/>
        <w:jc w:val="both"/>
        <w:rPr>
          <w:b/>
          <w:bCs/>
          <w:i/>
          <w:iCs/>
          <w:color w:val="FF0000"/>
          <w:highlight w:val="yellow"/>
        </w:rPr>
      </w:pPr>
      <w:r w:rsidRPr="00774B02">
        <w:rPr>
          <w:bCs/>
          <w:i/>
          <w:iCs/>
          <w:color w:val="FF0000"/>
          <w:highlight w:val="yellow"/>
        </w:rPr>
        <w:t>Os critérios de sustentabilidade são aqueles previstos nas especificações do objeto e/ou obrigações da contratada e/ou no edital como requisito previsto em lei especial</w:t>
      </w:r>
    </w:p>
    <w:p w14:paraId="603E792C" w14:textId="77777777" w:rsidR="006216CD" w:rsidRPr="00774B02" w:rsidRDefault="006216CD" w:rsidP="006E75DC">
      <w:pPr>
        <w:suppressAutoHyphens/>
        <w:spacing w:after="120"/>
        <w:ind w:left="284"/>
        <w:jc w:val="both"/>
        <w:rPr>
          <w:b/>
          <w:bCs/>
          <w:i/>
          <w:iCs/>
          <w:color w:val="FF0000"/>
          <w:highlight w:val="yellow"/>
          <w:u w:val="single"/>
        </w:rPr>
      </w:pPr>
      <w:r w:rsidRPr="00774B02">
        <w:rPr>
          <w:b/>
          <w:bCs/>
          <w:i/>
          <w:iCs/>
          <w:color w:val="FF0000"/>
          <w:highlight w:val="yellow"/>
          <w:u w:val="single"/>
        </w:rPr>
        <w:t>Ou</w:t>
      </w:r>
    </w:p>
    <w:p w14:paraId="57BB67F2" w14:textId="3D433FA2" w:rsidR="006216CD" w:rsidRPr="00774B02" w:rsidRDefault="006216CD" w:rsidP="006E75DC">
      <w:pPr>
        <w:numPr>
          <w:ilvl w:val="1"/>
          <w:numId w:val="16"/>
        </w:numPr>
        <w:suppressAutoHyphens/>
        <w:spacing w:after="120"/>
        <w:jc w:val="both"/>
        <w:rPr>
          <w:b/>
          <w:bCs/>
          <w:i/>
          <w:iCs/>
          <w:color w:val="FF0000"/>
          <w:highlight w:val="yellow"/>
        </w:rPr>
      </w:pPr>
      <w:r w:rsidRPr="00774B02">
        <w:rPr>
          <w:bCs/>
          <w:i/>
          <w:iCs/>
          <w:color w:val="FF0000"/>
          <w:highlight w:val="yellow"/>
        </w:rPr>
        <w:t>Não incidem critérios de sustentabilidade na presente licitação, conforme justificativa abaixo/anexo: (...)</w:t>
      </w:r>
    </w:p>
    <w:p w14:paraId="4B8F9C62" w14:textId="77777777" w:rsidR="006216CD" w:rsidRPr="00774B02" w:rsidRDefault="006216CD" w:rsidP="006216CD">
      <w:pPr>
        <w:jc w:val="both"/>
        <w:rPr>
          <w:highlight w:val="yellow"/>
        </w:rPr>
      </w:pPr>
    </w:p>
    <w:p w14:paraId="5F6F43E6" w14:textId="77777777"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1</w:t>
      </w:r>
      <w:r w:rsidRPr="00774B02">
        <w:rPr>
          <w:rFonts w:cs="Arial"/>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A8CC8C3" w14:textId="77777777"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2</w:t>
      </w:r>
      <w:r w:rsidRPr="00774B02">
        <w:rPr>
          <w:rFonts w:cs="Arial"/>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774B02">
        <w:rPr>
          <w:rFonts w:cs="Arial"/>
          <w:highlight w:val="yellow"/>
        </w:rPr>
        <w:t>ns</w:t>
      </w:r>
      <w:proofErr w:type="spellEnd"/>
      <w:r w:rsidRPr="00774B02">
        <w:rPr>
          <w:rFonts w:cs="Arial"/>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774B02">
        <w:rPr>
          <w:rFonts w:cs="Arial"/>
          <w:highlight w:val="yellow"/>
        </w:rPr>
        <w:t>retrofit</w:t>
      </w:r>
      <w:proofErr w:type="spellEnd"/>
      <w:r w:rsidRPr="00774B02">
        <w:rPr>
          <w:rFonts w:cs="Arial"/>
          <w:highlight w:val="yellow"/>
        </w:rPr>
        <w:t>), bem como os atos normativos editados pelos órgãos de proteção ao meio ambiente.</w:t>
      </w:r>
    </w:p>
    <w:p w14:paraId="15FEC47F" w14:textId="390B924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Uma vez exigido qualquer requisito ambiental na especificação do objeto, deve ser prevista a forma objetiva de comprovação </w:t>
      </w:r>
      <w:r w:rsidR="006C035A" w:rsidRPr="00774B02">
        <w:rPr>
          <w:rFonts w:cs="Arial"/>
          <w:highlight w:val="yellow"/>
          <w:lang w:val="pt-BR"/>
        </w:rPr>
        <w:t>(</w:t>
      </w:r>
      <w:r w:rsidRPr="00774B02">
        <w:rPr>
          <w:rFonts w:cs="Arial"/>
          <w:highlight w:val="yellow"/>
        </w:rPr>
        <w:t xml:space="preserve">§§ 1º e 2º do art. 5º da Instrução Normativa nº 01/2010 e art. 8º do Decreto nº 7.746/2012). É preciso saber quais critérios de sustentabilidade devem ser incluídos nas peças </w:t>
      </w:r>
      <w:proofErr w:type="spellStart"/>
      <w:r w:rsidRPr="00774B02">
        <w:rPr>
          <w:rFonts w:cs="Arial"/>
          <w:highlight w:val="yellow"/>
        </w:rPr>
        <w:t>editalícias</w:t>
      </w:r>
      <w:proofErr w:type="spellEnd"/>
      <w:r w:rsidRPr="00774B02">
        <w:rPr>
          <w:rFonts w:cs="Arial"/>
          <w:highlight w:val="yellow"/>
        </w:rPr>
        <w:t>, como fazer essas exigências e de que forma as pretendidas contratadas devem comprovar o cumprimento desses critérios de sustentabilidade exigidos pela Administração.</w:t>
      </w:r>
    </w:p>
    <w:p w14:paraId="69C505F0" w14:textId="7777777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 Para tanto, indicamos a consulta </w:t>
      </w:r>
      <w:r w:rsidRPr="00774B02">
        <w:rPr>
          <w:rFonts w:cs="Arial"/>
          <w:highlight w:val="yellow"/>
          <w:lang w:val="pt-BR"/>
        </w:rPr>
        <w:t>ao</w:t>
      </w:r>
      <w:r w:rsidRPr="00774B02">
        <w:rPr>
          <w:rFonts w:cs="Arial"/>
          <w:highlight w:val="yellow"/>
        </w:rPr>
        <w:t xml:space="preserve">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4681C52B" w14:textId="7777777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Recomendamos, igualmente, consulta ao Catálogo de Materiais Sustentáveis (CATMAT Sustentável). </w:t>
      </w:r>
    </w:p>
    <w:p w14:paraId="38D82971" w14:textId="516777A0" w:rsidR="006216CD" w:rsidRPr="00756ED3" w:rsidRDefault="006216CD" w:rsidP="00756ED3">
      <w:pPr>
        <w:pStyle w:val="Citao"/>
        <w:pBdr>
          <w:left w:val="single" w:sz="4" w:space="0" w:color="1F497D"/>
        </w:pBdr>
        <w:rPr>
          <w:rFonts w:cs="Arial"/>
        </w:rPr>
      </w:pPr>
      <w:r w:rsidRPr="00774B02">
        <w:rPr>
          <w:rFonts w:cs="Arial"/>
          <w:highlight w:val="yellow"/>
        </w:rPr>
        <w:t xml:space="preserve">Recomendamos, por fim, consulta prévia ao site governamental </w:t>
      </w:r>
      <w:hyperlink r:id="rId13" w:history="1">
        <w:r w:rsidRPr="00774B02">
          <w:rPr>
            <w:rStyle w:val="Hyperlink"/>
            <w:rFonts w:cs="Arial"/>
            <w:highlight w:val="yellow"/>
          </w:rPr>
          <w:t>https://reuse.gov.br/</w:t>
        </w:r>
      </w:hyperlink>
      <w:r w:rsidRPr="00774B02">
        <w:rPr>
          <w:rFonts w:cs="Arial"/>
          <w:highlight w:val="yellow"/>
        </w:rPr>
        <w:t xml:space="preserve">, solução desenvolvida pelo Ministério da Economia, que oferta bens móveis e serviços para a administração </w:t>
      </w:r>
      <w:r w:rsidRPr="00774B02">
        <w:rPr>
          <w:rFonts w:cs="Arial"/>
          <w:highlight w:val="yellow"/>
        </w:rPr>
        <w:lastRenderedPageBreak/>
        <w:t>pública, disponibilizados pelos próprios órgãos de governo ou oferecidos por particulares de forma não onerosa, otimizando a gestão do recurso público com consumo consciente e sustentável.</w:t>
      </w:r>
    </w:p>
    <w:p w14:paraId="55DA9180" w14:textId="18F7256B" w:rsidR="0082594B" w:rsidRPr="004E641A" w:rsidRDefault="003D389C" w:rsidP="000D390A">
      <w:pPr>
        <w:pStyle w:val="Nivel1"/>
        <w:rPr>
          <w:rFonts w:cs="Arial"/>
        </w:rPr>
      </w:pPr>
      <w:r w:rsidRPr="00552315">
        <w:rPr>
          <w:rFonts w:cs="Arial"/>
          <w:bCs/>
          <w:color w:val="FF0000"/>
        </w:rPr>
        <w:t>VISTORIA PARA A LICITAÇÃO</w:t>
      </w:r>
    </w:p>
    <w:p w14:paraId="5C634998" w14:textId="77777777" w:rsidR="004E641A" w:rsidRPr="00552315" w:rsidRDefault="004E641A" w:rsidP="004E641A">
      <w:pPr>
        <w:pStyle w:val="Nivel1"/>
        <w:numPr>
          <w:ilvl w:val="0"/>
          <w:numId w:val="0"/>
        </w:numPr>
        <w:rPr>
          <w:rFonts w:cs="Arial"/>
        </w:rPr>
      </w:pPr>
    </w:p>
    <w:p w14:paraId="06DB5B1E" w14:textId="381E7C28" w:rsidR="003D389C" w:rsidRPr="004E641A" w:rsidRDefault="003D389C" w:rsidP="004E641A">
      <w:pPr>
        <w:numPr>
          <w:ilvl w:val="1"/>
          <w:numId w:val="1"/>
        </w:numPr>
        <w:suppressAutoHyphens/>
        <w:spacing w:after="120"/>
        <w:jc w:val="both"/>
        <w:rPr>
          <w:rFonts w:cs="Arial"/>
          <w:b/>
          <w:i/>
          <w:iCs/>
        </w:rPr>
      </w:pPr>
      <w:r w:rsidRPr="004E641A">
        <w:rPr>
          <w:rFonts w:cs="Arial"/>
          <w:i/>
          <w:iCs/>
          <w:color w:val="FF0000"/>
        </w:rPr>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4E641A">
        <w:rPr>
          <w:rFonts w:cs="Arial"/>
          <w:i/>
          <w:iCs/>
          <w:color w:val="FF0000"/>
        </w:rPr>
        <w:t>.....</w:t>
      </w:r>
      <w:proofErr w:type="gramEnd"/>
      <w:r w:rsidRPr="004E641A">
        <w:rPr>
          <w:rFonts w:cs="Arial"/>
          <w:i/>
          <w:iCs/>
          <w:color w:val="FF0000"/>
        </w:rPr>
        <w:t xml:space="preserve"> horas às ...... horas</w:t>
      </w:r>
      <w:r w:rsidR="00553A31" w:rsidRPr="004E641A">
        <w:rPr>
          <w:rFonts w:cs="Arial"/>
          <w:i/>
          <w:iCs/>
          <w:color w:val="FF0000"/>
        </w:rPr>
        <w:t>.</w:t>
      </w:r>
    </w:p>
    <w:p w14:paraId="374065B2" w14:textId="457CEEBB"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 xml:space="preserve">opção pela exigência ou não de vistoria é discricionária, devendo ser analisada com vistas ao objeto licitatório. </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6214B527" w:rsidR="003D389C" w:rsidRPr="00552315" w:rsidRDefault="003D389C" w:rsidP="003D389C">
      <w:pPr>
        <w:pStyle w:val="Citao"/>
        <w:rPr>
          <w:rFonts w:cs="Arial"/>
          <w:szCs w:val="20"/>
          <w:lang w:eastAsia="pt-BR"/>
        </w:rPr>
      </w:pPr>
      <w:r w:rsidRPr="00552315">
        <w:rPr>
          <w:rFonts w:cs="Arial"/>
          <w:szCs w:val="20"/>
          <w:lang w:eastAsia="pt-BR"/>
        </w:rPr>
        <w:t>Por isso, já</w:t>
      </w:r>
      <w:r w:rsidR="006216CD">
        <w:rPr>
          <w:rFonts w:cs="Arial"/>
          <w:szCs w:val="20"/>
          <w:lang w:val="pt-BR" w:eastAsia="pt-BR"/>
        </w:rPr>
        <w:t xml:space="preserve"> se</w:t>
      </w:r>
      <w:r w:rsidRPr="00552315">
        <w:rPr>
          <w:rFonts w:cs="Arial"/>
          <w:szCs w:val="20"/>
          <w:lang w:eastAsia="pt-BR"/>
        </w:rPr>
        <w:t xml:space="preserve"> 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48419560" w:rsidR="003D389C" w:rsidRPr="00552315" w:rsidRDefault="003D389C" w:rsidP="003D389C">
      <w:pPr>
        <w:pStyle w:val="Citao"/>
        <w:rPr>
          <w:rFonts w:cs="Arial"/>
          <w:szCs w:val="20"/>
          <w:lang w:eastAsia="pt-BR"/>
        </w:rPr>
      </w:pPr>
      <w:r w:rsidRPr="00552315">
        <w:rPr>
          <w:rFonts w:cs="Arial"/>
          <w:szCs w:val="20"/>
          <w:lang w:eastAsia="pt-BR"/>
        </w:rPr>
        <w:t xml:space="preserve">Reiteramos que a </w:t>
      </w:r>
      <w:r w:rsidR="00F2241A">
        <w:rPr>
          <w:rFonts w:cs="Arial"/>
          <w:szCs w:val="20"/>
          <w:lang w:val="pt-BR" w:eastAsia="pt-BR"/>
        </w:rPr>
        <w:t>previsão</w:t>
      </w:r>
      <w:r w:rsidR="00F2241A"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4C40B1E4" w:rsidR="003D389C" w:rsidRPr="006C035A" w:rsidRDefault="003D389C" w:rsidP="003D389C">
      <w:pPr>
        <w:pStyle w:val="Citao"/>
        <w:rPr>
          <w:rFonts w:cs="Arial"/>
          <w:szCs w:val="20"/>
          <w:lang w:val="pt-BR"/>
        </w:rPr>
      </w:pPr>
      <w:r w:rsidRPr="00552315">
        <w:rPr>
          <w:rFonts w:cs="Arial"/>
          <w:szCs w:val="20"/>
        </w:rPr>
        <w:t xml:space="preserve">Por fim, como já ressaltado, não se deve confundir essa </w:t>
      </w:r>
      <w:r w:rsidR="00F2241A">
        <w:rPr>
          <w:rFonts w:cs="Arial"/>
          <w:szCs w:val="20"/>
          <w:lang w:val="pt-BR"/>
        </w:rPr>
        <w:t>previsão</w:t>
      </w:r>
      <w:r w:rsidR="00F2241A" w:rsidRPr="00552315">
        <w:rPr>
          <w:rFonts w:cs="Arial"/>
          <w:szCs w:val="20"/>
        </w:rPr>
        <w:t xml:space="preserve"> </w:t>
      </w:r>
      <w:r w:rsidRPr="00552315">
        <w:rPr>
          <w:rFonts w:cs="Arial"/>
          <w:szCs w:val="20"/>
        </w:rPr>
        <w:t xml:space="preserve">de vistoria para a licitação com a exigência de declaração de pleno conhecimento das condições necessárias para a prestação dos serviços, conforme abordado na Nota Explicativa </w:t>
      </w:r>
      <w:r w:rsidR="006C035A">
        <w:rPr>
          <w:rFonts w:cs="Arial"/>
          <w:szCs w:val="20"/>
          <w:lang w:val="pt-BR"/>
        </w:rPr>
        <w:t>constante do tópico dos “Requisitos da Contratação” acima.</w:t>
      </w:r>
    </w:p>
    <w:p w14:paraId="66C22069" w14:textId="6B77F5FB" w:rsidR="003D389C" w:rsidRPr="00552315" w:rsidRDefault="003D389C" w:rsidP="004E641A">
      <w:pPr>
        <w:numPr>
          <w:ilvl w:val="1"/>
          <w:numId w:val="1"/>
        </w:numPr>
        <w:suppressAutoHyphens/>
        <w:spacing w:after="120"/>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7F6CC390" w:rsidR="003D389C" w:rsidRPr="00552315" w:rsidRDefault="003D389C" w:rsidP="003D389C">
      <w:pPr>
        <w:pStyle w:val="PargrafodaLista"/>
        <w:numPr>
          <w:ilvl w:val="2"/>
          <w:numId w:val="1"/>
        </w:numPr>
        <w:spacing w:before="120" w:after="120" w:line="276" w:lineRule="auto"/>
        <w:jc w:val="both"/>
        <w:rPr>
          <w:rFonts w:cs="Arial"/>
          <w:i/>
          <w:color w:val="FF0000"/>
          <w:szCs w:val="20"/>
        </w:rPr>
      </w:pPr>
      <w:r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4E603F14"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lastRenderedPageBreak/>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09222E">
      <w:pPr>
        <w:suppressAutoHyphens/>
        <w:spacing w:after="120" w:line="276" w:lineRule="auto"/>
        <w:ind w:left="716"/>
        <w:jc w:val="both"/>
        <w:rPr>
          <w:rFonts w:cs="Arial"/>
          <w:szCs w:val="20"/>
        </w:rPr>
      </w:pPr>
    </w:p>
    <w:p w14:paraId="11CC0130" w14:textId="2DA5FC32" w:rsidR="007B7E1C" w:rsidRPr="00756ED3" w:rsidRDefault="007B7E1C" w:rsidP="0009222E">
      <w:pPr>
        <w:numPr>
          <w:ilvl w:val="1"/>
          <w:numId w:val="1"/>
        </w:numPr>
        <w:suppressAutoHyphens/>
        <w:spacing w:after="120" w:line="276" w:lineRule="auto"/>
        <w:jc w:val="both"/>
        <w:rPr>
          <w:rFonts w:cs="Arial"/>
          <w:color w:val="FF0000"/>
          <w:szCs w:val="20"/>
        </w:rPr>
      </w:pPr>
      <w:r w:rsidRPr="00756ED3">
        <w:rPr>
          <w:rFonts w:cs="Arial"/>
          <w:color w:val="FF0000"/>
          <w:szCs w:val="20"/>
        </w:rPr>
        <w:t>A execução do objeto seguirá a seguinte dinâmica:</w:t>
      </w:r>
    </w:p>
    <w:p w14:paraId="5A564D60" w14:textId="77777777" w:rsidR="007B7E1C" w:rsidRPr="00756ED3" w:rsidRDefault="007B7E1C"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793299AF" w14:textId="77777777" w:rsidR="00D17875" w:rsidRPr="00756ED3" w:rsidRDefault="00D17875"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379CB364" w14:textId="1059871D" w:rsidR="00D17875" w:rsidRDefault="00D17875" w:rsidP="0009222E">
      <w:pPr>
        <w:suppressAutoHyphens/>
        <w:spacing w:after="120" w:line="276" w:lineRule="auto"/>
        <w:ind w:left="1922"/>
        <w:jc w:val="both"/>
        <w:rPr>
          <w:rFonts w:cs="Arial"/>
          <w:color w:val="FF0000"/>
          <w:szCs w:val="20"/>
        </w:rPr>
      </w:pPr>
      <w:r w:rsidRPr="00756ED3">
        <w:rPr>
          <w:rFonts w:cs="Arial"/>
          <w:color w:val="FF0000"/>
          <w:szCs w:val="20"/>
        </w:rPr>
        <w:t>[...]</w:t>
      </w:r>
    </w:p>
    <w:p w14:paraId="6BF5DD3B" w14:textId="77777777" w:rsidR="00B34F26" w:rsidRPr="00756ED3" w:rsidRDefault="00B34F26" w:rsidP="0009222E">
      <w:pPr>
        <w:suppressAutoHyphens/>
        <w:spacing w:after="120" w:line="276" w:lineRule="auto"/>
        <w:jc w:val="both"/>
        <w:rPr>
          <w:rFonts w:cs="Arial"/>
          <w:color w:val="FF0000"/>
          <w:szCs w:val="20"/>
        </w:rPr>
      </w:pPr>
    </w:p>
    <w:p w14:paraId="4EE4000D" w14:textId="77777777" w:rsidR="00F2241A" w:rsidRPr="0009222E" w:rsidRDefault="00F2241A" w:rsidP="0009222E">
      <w:pPr>
        <w:pStyle w:val="PargrafodaLista"/>
        <w:numPr>
          <w:ilvl w:val="1"/>
          <w:numId w:val="1"/>
        </w:numPr>
        <w:spacing w:line="276" w:lineRule="auto"/>
        <w:jc w:val="both"/>
        <w:rPr>
          <w:i/>
          <w:color w:val="FF0000"/>
        </w:rPr>
      </w:pPr>
      <w:r w:rsidRPr="0009222E">
        <w:rPr>
          <w:i/>
          <w:color w:val="FF0000"/>
        </w:rPr>
        <w:t xml:space="preserve">O prazo de execução dos serviços será de ........... (indicar o </w:t>
      </w:r>
      <w:proofErr w:type="gramStart"/>
      <w:r w:rsidRPr="0009222E">
        <w:rPr>
          <w:i/>
          <w:color w:val="FF0000"/>
        </w:rPr>
        <w:t>período de tempo</w:t>
      </w:r>
      <w:proofErr w:type="gramEnd"/>
      <w:r w:rsidRPr="0009222E">
        <w:rPr>
          <w:i/>
          <w:color w:val="FF0000"/>
        </w:rPr>
        <w:t xml:space="preserve"> previsto para a conclusão dos serviços), com início ................................. (indicar a data ou evento para o início dos serviços), e seguirá o seguinte cronograma:</w:t>
      </w:r>
    </w:p>
    <w:p w14:paraId="1BE2BF4D"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64D1B8E0"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5CAE434A" w14:textId="77777777" w:rsidR="00F2241A" w:rsidRPr="00552315" w:rsidRDefault="00F2241A" w:rsidP="00F2241A">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552315">
        <w:rPr>
          <w:rFonts w:cs="Arial"/>
          <w:b/>
          <w:i/>
          <w:iCs/>
          <w:szCs w:val="20"/>
        </w:rPr>
        <w:t>Nota explicativa</w:t>
      </w:r>
      <w:r w:rsidRPr="00552315">
        <w:rPr>
          <w:rFonts w:cs="Arial"/>
          <w:i/>
          <w:iCs/>
          <w:szCs w:val="20"/>
        </w:rPr>
        <w:t>: Esta última redação é sugerida para a hipótese de haver cronograma físico-financeiro para a execução dos serviços.</w:t>
      </w:r>
    </w:p>
    <w:p w14:paraId="24584686" w14:textId="77777777" w:rsidR="00F2241A" w:rsidRPr="00552315" w:rsidRDefault="00F2241A" w:rsidP="00F2241A">
      <w:pPr>
        <w:rPr>
          <w:rFonts w:cs="Arial"/>
          <w:szCs w:val="20"/>
        </w:rPr>
      </w:pPr>
    </w:p>
    <w:p w14:paraId="699657F2" w14:textId="77777777" w:rsidR="00F2241A" w:rsidRPr="00552315" w:rsidRDefault="00F2241A" w:rsidP="00F2241A">
      <w:pPr>
        <w:rPr>
          <w:rFonts w:cs="Arial"/>
          <w:szCs w:val="20"/>
        </w:rPr>
      </w:pPr>
    </w:p>
    <w:p w14:paraId="47B8D3E1" w14:textId="77777777" w:rsidR="00F2241A" w:rsidRPr="00552315" w:rsidRDefault="00F2241A" w:rsidP="00F2241A">
      <w:pPr>
        <w:pStyle w:val="Citao"/>
        <w:rPr>
          <w:rFonts w:cs="Arial"/>
          <w:color w:val="auto"/>
          <w:szCs w:val="20"/>
        </w:rPr>
      </w:pPr>
      <w:r w:rsidRPr="00552315">
        <w:rPr>
          <w:rFonts w:cs="Arial"/>
          <w:b/>
          <w:color w:val="auto"/>
          <w:szCs w:val="20"/>
        </w:rPr>
        <w:t>Nota Explicativa</w:t>
      </w:r>
      <w:r w:rsidRPr="00552315">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18A526F9" w14:textId="77777777" w:rsidR="00F2241A" w:rsidRPr="00552315" w:rsidRDefault="00F2241A" w:rsidP="00F2241A">
      <w:pPr>
        <w:pStyle w:val="Citao"/>
        <w:rPr>
          <w:rFonts w:cs="Arial"/>
          <w:color w:val="auto"/>
          <w:szCs w:val="20"/>
          <w:lang w:val="pt-BR"/>
        </w:rPr>
      </w:pPr>
      <w:r w:rsidRPr="00552315">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552315">
        <w:rPr>
          <w:rFonts w:cs="Arial"/>
          <w:color w:val="auto"/>
          <w:szCs w:val="20"/>
          <w:lang w:val="pt-BR"/>
        </w:rPr>
        <w:t>.</w:t>
      </w:r>
    </w:p>
    <w:p w14:paraId="12D4D5D5" w14:textId="77777777" w:rsidR="00F2241A" w:rsidRPr="00552315" w:rsidRDefault="00F2241A" w:rsidP="00F2241A">
      <w:pPr>
        <w:pStyle w:val="Citao"/>
        <w:rPr>
          <w:rFonts w:cs="Arial"/>
          <w:color w:val="auto"/>
          <w:szCs w:val="20"/>
          <w:u w:val="single"/>
          <w:lang w:val="pt-BR"/>
        </w:rPr>
      </w:pPr>
      <w:r w:rsidRPr="00552315">
        <w:rPr>
          <w:rFonts w:cs="Arial"/>
          <w:color w:val="auto"/>
          <w:szCs w:val="20"/>
          <w:u w:val="single"/>
          <w:lang w:val="pt-BR"/>
        </w:rPr>
        <w:t xml:space="preserve">Sendo o </w:t>
      </w:r>
      <w:r w:rsidRPr="00552315">
        <w:rPr>
          <w:rFonts w:cs="Arial"/>
          <w:color w:val="auto"/>
          <w:szCs w:val="20"/>
          <w:u w:val="single"/>
        </w:rPr>
        <w:t xml:space="preserve">prazo de execução o tempo que a contratada tem para executar o objeto, deve, </w:t>
      </w:r>
      <w:r w:rsidRPr="00552315">
        <w:rPr>
          <w:rFonts w:cs="Arial"/>
          <w:color w:val="auto"/>
          <w:szCs w:val="20"/>
          <w:u w:val="single"/>
          <w:lang w:val="pt-BR"/>
        </w:rPr>
        <w:t>necessariamente</w:t>
      </w:r>
      <w:r w:rsidRPr="00552315">
        <w:rPr>
          <w:rFonts w:cs="Arial"/>
          <w:color w:val="auto"/>
          <w:szCs w:val="20"/>
          <w:u w:val="single"/>
        </w:rPr>
        <w:t>, estar abrangido no prazo de vigência. Assim, não poder</w:t>
      </w:r>
      <w:r w:rsidRPr="00552315">
        <w:rPr>
          <w:rFonts w:cs="Arial"/>
          <w:color w:val="auto"/>
          <w:szCs w:val="20"/>
          <w:u w:val="single"/>
          <w:lang w:val="pt-BR"/>
        </w:rPr>
        <w:t xml:space="preserve">á </w:t>
      </w:r>
      <w:r w:rsidRPr="00552315">
        <w:rPr>
          <w:rFonts w:cs="Arial"/>
          <w:color w:val="auto"/>
          <w:szCs w:val="20"/>
          <w:u w:val="single"/>
        </w:rPr>
        <w:t xml:space="preserve">ser previsto para a execução termo inicial anterior ao </w:t>
      </w:r>
      <w:r w:rsidRPr="00552315">
        <w:rPr>
          <w:rFonts w:cs="Arial"/>
          <w:color w:val="auto"/>
          <w:szCs w:val="20"/>
          <w:u w:val="single"/>
          <w:lang w:val="pt-BR"/>
        </w:rPr>
        <w:t xml:space="preserve">termo de </w:t>
      </w:r>
      <w:r w:rsidRPr="00552315">
        <w:rPr>
          <w:rFonts w:cs="Arial"/>
          <w:color w:val="auto"/>
          <w:szCs w:val="20"/>
          <w:u w:val="single"/>
        </w:rPr>
        <w:t>início da vigência contratual, nem tampouco prazo superior ao prazo de vigência estabelecido no edital e no contrato (registrando-se ser recomend</w:t>
      </w:r>
      <w:r w:rsidRPr="00552315">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552315">
        <w:rPr>
          <w:rFonts w:cs="Arial"/>
          <w:color w:val="auto"/>
          <w:szCs w:val="20"/>
          <w:lang w:val="pt-BR"/>
        </w:rPr>
        <w:t>).</w:t>
      </w:r>
    </w:p>
    <w:p w14:paraId="708956D7" w14:textId="79AF9F06" w:rsidR="00F2241A" w:rsidRPr="00552315" w:rsidRDefault="00F2241A" w:rsidP="0009222E">
      <w:pPr>
        <w:pStyle w:val="Citao"/>
        <w:rPr>
          <w:rFonts w:cs="Arial"/>
          <w:color w:val="00B050"/>
          <w:szCs w:val="20"/>
        </w:rPr>
      </w:pPr>
      <w:r w:rsidRPr="00552315">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494DAC2F" w14:textId="3758B51C" w:rsidR="00563005" w:rsidRPr="00552315" w:rsidRDefault="00563005" w:rsidP="00D17875">
      <w:pPr>
        <w:pStyle w:val="PargrafodaLista"/>
        <w:ind w:left="716"/>
        <w:jc w:val="both"/>
        <w:rPr>
          <w:rFonts w:cs="Arial"/>
          <w:bCs/>
          <w:szCs w:val="20"/>
        </w:rPr>
      </w:pPr>
    </w:p>
    <w:p w14:paraId="144CEF84" w14:textId="4094DFD5" w:rsidR="00C56E4D" w:rsidRPr="00C56E4D" w:rsidRDefault="00822758" w:rsidP="0052077C">
      <w:pPr>
        <w:pStyle w:val="Citao"/>
        <w:rPr>
          <w:rFonts w:cs="Arial"/>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216CD">
        <w:rPr>
          <w:rFonts w:cs="Arial"/>
          <w:color w:val="auto"/>
          <w:szCs w:val="20"/>
          <w:lang w:val="pt-BR"/>
        </w:rPr>
        <w:t xml:space="preserve"> Por essa razão, recomenda-se a leitura do Anexo X da referida Instrução Normativa, em especial o item 2.5 antes de se elaborar este item</w:t>
      </w:r>
      <w:r w:rsidR="0052077C">
        <w:rPr>
          <w:rFonts w:cs="Arial"/>
          <w:color w:val="auto"/>
          <w:szCs w:val="20"/>
          <w:lang w:val="pt-BR"/>
        </w:rPr>
        <w:t xml:space="preserve">. </w:t>
      </w:r>
      <w:r w:rsidRPr="00552315">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66AD8A21" w14:textId="77777777" w:rsidR="007B7E1C" w:rsidRPr="0052077C" w:rsidRDefault="007B7E1C" w:rsidP="00756ED3">
      <w:pPr>
        <w:keepNext/>
        <w:keepLines/>
        <w:spacing w:before="120" w:after="120" w:line="276" w:lineRule="auto"/>
        <w:jc w:val="both"/>
        <w:outlineLvl w:val="0"/>
        <w:rPr>
          <w:rFonts w:eastAsiaTheme="majorEastAsia" w:cs="Arial"/>
          <w:b/>
          <w:bCs/>
          <w:i/>
          <w:iCs/>
          <w:vanish/>
          <w:color w:val="000000"/>
          <w:szCs w:val="20"/>
        </w:rPr>
      </w:pPr>
    </w:p>
    <w:p w14:paraId="08710AA4" w14:textId="77777777" w:rsidR="00822758" w:rsidRPr="0052077C" w:rsidRDefault="00822758" w:rsidP="000D390A">
      <w:pPr>
        <w:pStyle w:val="Nivel1"/>
        <w:rPr>
          <w:rFonts w:cs="Arial"/>
          <w:i/>
          <w:iCs/>
          <w:color w:val="FF0000"/>
        </w:rPr>
      </w:pPr>
      <w:bookmarkStart w:id="0" w:name="_Hlk528056197"/>
      <w:r w:rsidRPr="0052077C">
        <w:rPr>
          <w:rFonts w:cs="Arial"/>
          <w:i/>
          <w:iCs/>
          <w:color w:val="FF0000"/>
        </w:rPr>
        <w:t>MATERIAIS A SEREM DISPONIBILIZADOS</w:t>
      </w:r>
    </w:p>
    <w:p w14:paraId="73B1DD83" w14:textId="77777777" w:rsidR="00822758" w:rsidRPr="0052077C" w:rsidRDefault="00822758" w:rsidP="00EE198A">
      <w:pPr>
        <w:numPr>
          <w:ilvl w:val="1"/>
          <w:numId w:val="1"/>
        </w:numPr>
        <w:spacing w:before="120" w:after="120" w:line="276" w:lineRule="auto"/>
        <w:ind w:left="425" w:firstLine="0"/>
        <w:jc w:val="both"/>
        <w:rPr>
          <w:rFonts w:cs="Arial"/>
          <w:bCs/>
          <w:i/>
          <w:iCs/>
          <w:color w:val="FF0000"/>
          <w:szCs w:val="20"/>
        </w:rPr>
      </w:pPr>
      <w:r w:rsidRPr="0052077C">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6AA2BB4"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95B79A5" w14:textId="636CA09A"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2556A64E" w14:textId="375100D7" w:rsidR="00822758" w:rsidRPr="00552315"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bookmarkEnd w:id="0"/>
    <w:p w14:paraId="56C13C95" w14:textId="2BBBB87B" w:rsidR="006216CD" w:rsidRPr="0052077C" w:rsidRDefault="006216CD" w:rsidP="000D390A">
      <w:pPr>
        <w:pStyle w:val="Nivel1"/>
        <w:rPr>
          <w:rFonts w:cs="Arial"/>
          <w:i/>
          <w:iCs/>
        </w:rPr>
      </w:pPr>
      <w:r w:rsidRPr="0052077C">
        <w:rPr>
          <w:rFonts w:cs="Arial"/>
          <w:i/>
          <w:iCs/>
          <w:color w:val="FF0000"/>
        </w:rPr>
        <w:t>INFORMAÇÕES</w:t>
      </w:r>
      <w:r w:rsidRPr="0052077C">
        <w:rPr>
          <w:i/>
          <w:iCs/>
        </w:rPr>
        <w:t xml:space="preserve"> </w:t>
      </w:r>
      <w:r w:rsidRPr="0052077C">
        <w:rPr>
          <w:i/>
          <w:iCs/>
          <w:color w:val="FF0000"/>
        </w:rPr>
        <w:t>RELEVANTES PARA O DIMENSIONAMENTO DA PROPOSTA</w:t>
      </w:r>
    </w:p>
    <w:p w14:paraId="5759BCD8" w14:textId="77777777" w:rsidR="006216CD" w:rsidRPr="0052077C" w:rsidRDefault="006216CD" w:rsidP="006216CD">
      <w:pPr>
        <w:numPr>
          <w:ilvl w:val="1"/>
          <w:numId w:val="1"/>
        </w:numPr>
        <w:spacing w:before="120" w:after="120" w:line="276" w:lineRule="auto"/>
        <w:ind w:left="425" w:firstLine="0"/>
        <w:jc w:val="both"/>
        <w:rPr>
          <w:rFonts w:cs="Arial"/>
          <w:bCs/>
          <w:i/>
          <w:iCs/>
          <w:color w:val="FF0000"/>
          <w:szCs w:val="20"/>
        </w:rPr>
      </w:pPr>
      <w:r w:rsidRPr="0052077C">
        <w:rPr>
          <w:rFonts w:cs="Arial"/>
          <w:i/>
          <w:iCs/>
          <w:color w:val="FF0000"/>
        </w:rPr>
        <w:t xml:space="preserve">10.1. </w:t>
      </w:r>
      <w:r w:rsidRPr="0052077C">
        <w:rPr>
          <w:rFonts w:cs="Arial"/>
          <w:bCs/>
          <w:i/>
          <w:iCs/>
          <w:color w:val="FF0000"/>
          <w:szCs w:val="20"/>
        </w:rPr>
        <w:t>A demanda do órgão tem como base as seguintes características:</w:t>
      </w:r>
    </w:p>
    <w:p w14:paraId="28AE82BD"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49DA5617"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8258A7E"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etc.</w:t>
      </w:r>
    </w:p>
    <w:p w14:paraId="5BA10E04" w14:textId="6083FFE3" w:rsidR="006216CD" w:rsidRDefault="006216CD">
      <w:pPr>
        <w:pStyle w:val="Citao"/>
        <w:rPr>
          <w:rFonts w:cs="Arial"/>
          <w:lang w:val="pt-BR"/>
        </w:rPr>
      </w:pPr>
      <w:r w:rsidRPr="003D0669">
        <w:rPr>
          <w:rFonts w:cs="Arial"/>
          <w:b/>
          <w:lang w:val="pt-BR"/>
        </w:rPr>
        <w:t>Nota explicativa:</w:t>
      </w:r>
      <w:r w:rsidRPr="003D0669">
        <w:rPr>
          <w:rFonts w:cs="Arial"/>
          <w:lang w:val="pt-BR"/>
        </w:rPr>
        <w:t xml:space="preserve"> Vale lembrar</w:t>
      </w:r>
      <w:r w:rsidR="0067252F">
        <w:rPr>
          <w:rFonts w:cs="Arial"/>
          <w:lang w:val="pt-BR"/>
        </w:rPr>
        <w:t xml:space="preserve"> que</w:t>
      </w:r>
      <w:r w:rsidRPr="003D0669">
        <w:rPr>
          <w:rFonts w:cs="Arial"/>
          <w:lang w:val="pt-BR"/>
        </w:rPr>
        <w:t xml:space="preserve"> sem o conhecimento preciso das particularidades e das necessidades do órgão, a licitante terá dificuldade para dimensionar perfeitamente sua proposta, o que poderá acarretar sérios problemas futuros na execução contratual.</w:t>
      </w:r>
    </w:p>
    <w:p w14:paraId="01554741" w14:textId="0196E993" w:rsidR="00DB206B"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66202BB5" w14:textId="77777777" w:rsidR="00C56E4D" w:rsidRPr="007B18C5" w:rsidRDefault="00C56E4D" w:rsidP="00756ED3">
      <w:pPr>
        <w:pStyle w:val="citao2"/>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17F7370D"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xercer o acompanhamento e a fiscalização dos serviços, por servidor </w:t>
      </w:r>
      <w:r w:rsidR="0067252F">
        <w:rPr>
          <w:rFonts w:cs="Arial"/>
          <w:color w:val="000000"/>
          <w:szCs w:val="20"/>
        </w:rPr>
        <w:t xml:space="preserve">ou comissão </w:t>
      </w:r>
      <w:r w:rsidR="00DB206B" w:rsidRPr="00552315">
        <w:rPr>
          <w:rFonts w:cs="Arial"/>
          <w:color w:val="000000"/>
          <w:szCs w:val="20"/>
        </w:rPr>
        <w:t>especialmente designado</w:t>
      </w:r>
      <w:r w:rsidR="0067252F">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lastRenderedPageBreak/>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552315"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xml:space="preserve">, entre outros documentos, projetos, "as </w:t>
      </w:r>
      <w:proofErr w:type="spellStart"/>
      <w:r w:rsidRPr="00552315">
        <w:rPr>
          <w:rFonts w:cs="Arial"/>
          <w:i/>
          <w:color w:val="FF0000"/>
          <w:szCs w:val="20"/>
        </w:rPr>
        <w:t>built</w:t>
      </w:r>
      <w:proofErr w:type="spellEnd"/>
      <w:r w:rsidRPr="00552315">
        <w:rPr>
          <w:rFonts w:cs="Arial"/>
          <w:i/>
          <w:color w:val="FF0000"/>
          <w:szCs w:val="20"/>
        </w:rPr>
        <w:t>", especificações técnicas, orçamentos, termos de recebimento, contratos e aditamentos, relatórios de inspeções técnicas após o recebimento do serviço e notificações expedidas;</w:t>
      </w:r>
    </w:p>
    <w:p w14:paraId="354A99F4" w14:textId="77777777" w:rsidR="00C56E4D" w:rsidRPr="00756ED3" w:rsidRDefault="00C56E4D" w:rsidP="00C56E4D">
      <w:pPr>
        <w:numPr>
          <w:ilvl w:val="1"/>
          <w:numId w:val="1"/>
        </w:numPr>
        <w:spacing w:before="120" w:after="120" w:line="276" w:lineRule="auto"/>
        <w:ind w:firstLine="0"/>
        <w:jc w:val="both"/>
        <w:rPr>
          <w:rFonts w:cs="Arial"/>
          <w:i/>
          <w:szCs w:val="20"/>
        </w:rPr>
      </w:pPr>
      <w:r w:rsidRPr="00756ED3">
        <w:rPr>
          <w:rFonts w:cs="Arial"/>
          <w:szCs w:val="20"/>
        </w:rPr>
        <w:t>Fiscalizar o cumprimento dos requisitos legais, quando a contratada houver se beneficiado da preferência estabelecida pelo art. 3º, § 5º, da Lei nº 8.666, de 1993.</w:t>
      </w:r>
    </w:p>
    <w:p w14:paraId="0A0106D4" w14:textId="77777777" w:rsidR="00C56E4D" w:rsidRPr="00756ED3" w:rsidRDefault="00C56E4D" w:rsidP="00C56E4D">
      <w:pPr>
        <w:numPr>
          <w:ilvl w:val="1"/>
          <w:numId w:val="1"/>
        </w:numPr>
        <w:spacing w:before="120" w:after="120" w:line="276" w:lineRule="auto"/>
        <w:ind w:left="425" w:firstLine="0"/>
        <w:jc w:val="both"/>
        <w:rPr>
          <w:rFonts w:cs="Arial"/>
          <w:szCs w:val="20"/>
        </w:rPr>
      </w:pPr>
      <w:r w:rsidRPr="00756ED3">
        <w:rPr>
          <w:rFonts w:cs="Arial"/>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418962AE"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6216CD">
        <w:rPr>
          <w:rFonts w:eastAsia="Times New Roman" w:cs="Arial"/>
          <w:iCs w:val="0"/>
          <w:szCs w:val="20"/>
          <w:lang w:val="pt-BR" w:eastAsia="pt-BR"/>
        </w:rPr>
        <w:t>.</w:t>
      </w:r>
      <w:r w:rsidR="00C61B57" w:rsidRPr="00552315">
        <w:rPr>
          <w:rFonts w:eastAsia="Times New Roman" w:cs="Arial"/>
          <w:iCs w:val="0"/>
          <w:szCs w:val="20"/>
          <w:lang w:val="pt-BR" w:eastAsia="pt-BR"/>
        </w:rPr>
        <w:t xml:space="preserve"> </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w:t>
      </w:r>
      <w:r w:rsidR="00F37721" w:rsidRPr="00552315">
        <w:rPr>
          <w:rFonts w:cs="Arial"/>
          <w:color w:val="000000"/>
          <w:szCs w:val="20"/>
        </w:rPr>
        <w:lastRenderedPageBreak/>
        <w:t xml:space="preserve">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56DC07BC" w:rsidR="00647983" w:rsidRPr="0052420E" w:rsidRDefault="00647983" w:rsidP="00EE198A">
      <w:pPr>
        <w:numPr>
          <w:ilvl w:val="1"/>
          <w:numId w:val="1"/>
        </w:numPr>
        <w:spacing w:before="120" w:after="120" w:line="276" w:lineRule="auto"/>
        <w:ind w:left="425" w:firstLine="0"/>
        <w:jc w:val="both"/>
        <w:rPr>
          <w:rFonts w:cs="Arial"/>
          <w:iCs/>
          <w:szCs w:val="20"/>
        </w:rPr>
      </w:pPr>
      <w:r w:rsidRPr="0052420E">
        <w:rPr>
          <w:rFonts w:cs="Arial"/>
          <w:iCs/>
          <w:szCs w:val="20"/>
        </w:rPr>
        <w:t xml:space="preserve">Quando não for possível a verificação da regularidade no Sistema de Cadastro de Fornecedores – </w:t>
      </w:r>
      <w:r w:rsidR="003C58CC" w:rsidRPr="0052420E">
        <w:rPr>
          <w:rFonts w:cs="Arial"/>
          <w:iCs/>
          <w:szCs w:val="20"/>
        </w:rPr>
        <w:t>SICAF</w:t>
      </w:r>
      <w:r w:rsidRPr="0052420E">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sidR="00C56E4D" w:rsidRPr="0052420E">
        <w:rPr>
          <w:rFonts w:cs="Arial"/>
          <w:iCs/>
          <w:szCs w:val="20"/>
        </w:rPr>
        <w:t xml:space="preserve">Municipal ou Distrital </w:t>
      </w:r>
      <w:r w:rsidRPr="0052420E">
        <w:rPr>
          <w:rFonts w:cs="Arial"/>
          <w:iCs/>
          <w:szCs w:val="20"/>
        </w:rPr>
        <w:t>do domicílio ou sede do contratado; 4) Certidão de Regularidade do FGTS – CRF; e 5) Certidão Negativa de Débitos Trabalhistas – CNDT</w:t>
      </w:r>
      <w:r w:rsidR="000D04A9" w:rsidRPr="0052420E">
        <w:rPr>
          <w:rFonts w:cs="Arial"/>
          <w:iCs/>
          <w:szCs w:val="20"/>
        </w:rPr>
        <w:t>, conforme alínea "c" do item 10.2 do Anexo VIII-B da IN SEGES/</w:t>
      </w:r>
      <w:r w:rsidR="003C58CC" w:rsidRPr="0052420E">
        <w:rPr>
          <w:rFonts w:cs="Arial"/>
          <w:iCs/>
          <w:szCs w:val="20"/>
        </w:rPr>
        <w:t>MP</w:t>
      </w:r>
      <w:r w:rsidR="000D04A9" w:rsidRPr="0052420E">
        <w:rPr>
          <w:rFonts w:cs="Arial"/>
          <w:iCs/>
          <w:szCs w:val="20"/>
        </w:rPr>
        <w:t xml:space="preserve"> n. 5/2017</w:t>
      </w:r>
      <w:r w:rsidRPr="0052420E">
        <w:rPr>
          <w:rFonts w:cs="Arial"/>
          <w:iCs/>
          <w:szCs w:val="20"/>
        </w:rPr>
        <w:t>;</w:t>
      </w:r>
    </w:p>
    <w:p w14:paraId="0101894F" w14:textId="45A88DE8" w:rsidR="00B65FAD" w:rsidRDefault="00B65FAD" w:rsidP="00B65FAD">
      <w:pPr>
        <w:pStyle w:val="Citao"/>
        <w:pBdr>
          <w:bottom w:val="single" w:sz="4" w:space="0" w:color="1F497D"/>
        </w:pBdr>
        <w:rPr>
          <w:rFonts w:eastAsia="Times New Roman" w:cs="Arial"/>
          <w:iCs w:val="0"/>
          <w:color w:val="auto"/>
          <w:szCs w:val="20"/>
          <w:lang w:val="pt-BR" w:eastAsia="pt-BR"/>
        </w:rPr>
      </w:pPr>
      <w:r w:rsidRPr="00552315">
        <w:rPr>
          <w:rFonts w:cs="Arial"/>
          <w:b/>
          <w:szCs w:val="20"/>
        </w:rPr>
        <w:t>Nota Explicativa</w:t>
      </w:r>
      <w:r>
        <w:rPr>
          <w:rFonts w:cs="Arial"/>
          <w:b/>
          <w:szCs w:val="20"/>
          <w:lang w:val="pt-BR"/>
        </w:rPr>
        <w:t xml:space="preserve"> 1</w:t>
      </w:r>
      <w:r w:rsidRPr="00552315">
        <w:rPr>
          <w:rFonts w:cs="Arial"/>
          <w:b/>
          <w:szCs w:val="20"/>
        </w:rPr>
        <w:t>:</w:t>
      </w:r>
      <w:r w:rsidRPr="00552315">
        <w:rPr>
          <w:rFonts w:cs="Arial"/>
          <w:szCs w:val="20"/>
        </w:rPr>
        <w:t xml:space="preserve"> </w:t>
      </w:r>
      <w:r w:rsidRPr="00552315">
        <w:rPr>
          <w:rFonts w:eastAsia="Times New Roman" w:cs="Arial"/>
          <w:iCs w:val="0"/>
          <w:color w:val="auto"/>
          <w:szCs w:val="20"/>
          <w:lang w:val="pt-BR" w:eastAsia="pt-BR"/>
        </w:rPr>
        <w:t>Ajustar de modo que seja exigida regularidade apenas quanto aos tributos incidentes sobre o objeto contratual.</w:t>
      </w:r>
    </w:p>
    <w:p w14:paraId="32FD4ECD" w14:textId="77777777" w:rsidR="00B65FAD" w:rsidRPr="00DF028E" w:rsidRDefault="00B65FAD" w:rsidP="00B65FAD">
      <w:pPr>
        <w:pStyle w:val="Citao"/>
        <w:pBdr>
          <w:bottom w:val="single" w:sz="4" w:space="0" w:color="1F497D"/>
        </w:pBdr>
        <w:rPr>
          <w:rFonts w:cs="Arial"/>
          <w:szCs w:val="20"/>
          <w:highlight w:val="yellow"/>
        </w:rPr>
      </w:pPr>
      <w:r w:rsidRPr="00DF028E">
        <w:rPr>
          <w:rFonts w:cs="Arial"/>
          <w:b/>
          <w:szCs w:val="20"/>
          <w:highlight w:val="yellow"/>
        </w:rPr>
        <w:t>Nota explicativa 2</w:t>
      </w:r>
      <w:r w:rsidRPr="00DF028E">
        <w:rPr>
          <w:rFonts w:cs="Arial"/>
          <w:szCs w:val="20"/>
          <w:highlight w:val="yellow"/>
        </w:rPr>
        <w:t xml:space="preserve">: O artigo 193 do CTN preceitua que a prova da quitação de todos os tributos devidos dar-se-á no âmbito da Fazenda Pública interessada. </w:t>
      </w:r>
      <w:r w:rsidRPr="00DF028E">
        <w:rPr>
          <w:rFonts w:cs="Arial"/>
          <w:szCs w:val="20"/>
          <w:highlight w:val="yellow"/>
          <w:lang w:val="pt-BR"/>
        </w:rPr>
        <w:t>Portanto, a</w:t>
      </w:r>
      <w:r w:rsidRPr="00DF028E">
        <w:rPr>
          <w:rFonts w:cs="Arial"/>
          <w:szCs w:val="20"/>
          <w:highlight w:val="yellow"/>
        </w:rPr>
        <w:t xml:space="preserve"> comprovação de inscrição no cadastro de contribuinte e regularidade fiscal correspondente considerará a natureza da atividade objeto da licitação.</w:t>
      </w:r>
    </w:p>
    <w:p w14:paraId="3AC4E3AB" w14:textId="77777777" w:rsidR="00B65FAD" w:rsidRPr="00DF028E" w:rsidRDefault="00B65FAD" w:rsidP="00B65FAD">
      <w:pPr>
        <w:pStyle w:val="Citao"/>
        <w:pBdr>
          <w:bottom w:val="single" w:sz="4" w:space="0" w:color="1F497D"/>
        </w:pBdr>
        <w:rPr>
          <w:rFonts w:cs="Arial"/>
          <w:szCs w:val="20"/>
          <w:highlight w:val="yellow"/>
          <w:lang w:val="pt-BR"/>
        </w:rPr>
      </w:pPr>
      <w:r w:rsidRPr="00DF028E">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2E5EEA41" w14:textId="77777777" w:rsidR="00B65FAD" w:rsidRPr="00552315" w:rsidRDefault="00B65FAD" w:rsidP="00B65FAD">
      <w:pPr>
        <w:pStyle w:val="Citao"/>
        <w:pBdr>
          <w:bottom w:val="single" w:sz="4" w:space="0" w:color="1F497D"/>
        </w:pBdr>
        <w:rPr>
          <w:rFonts w:cs="Arial"/>
          <w:color w:val="auto"/>
          <w:szCs w:val="20"/>
          <w:lang w:val="pt-BR"/>
        </w:rPr>
      </w:pPr>
      <w:r w:rsidRPr="00DF028E">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sidRPr="00552315">
        <w:rPr>
          <w:rFonts w:eastAsia="Times New Roman" w:cs="Arial"/>
          <w:iCs w:val="0"/>
          <w:color w:val="auto"/>
          <w:szCs w:val="20"/>
          <w:lang w:val="pt-BR" w:eastAsia="pt-BR"/>
        </w:rPr>
        <w:t xml:space="preserve"> </w:t>
      </w:r>
    </w:p>
    <w:p w14:paraId="6A8095C6" w14:textId="1E34778C" w:rsidR="003C4698" w:rsidRPr="0052420E" w:rsidRDefault="00A340C0" w:rsidP="00D02303">
      <w:pPr>
        <w:numPr>
          <w:ilvl w:val="1"/>
          <w:numId w:val="1"/>
        </w:numPr>
        <w:spacing w:before="120" w:after="120" w:line="276" w:lineRule="auto"/>
        <w:ind w:left="425" w:firstLine="0"/>
        <w:jc w:val="both"/>
        <w:rPr>
          <w:rFonts w:cs="Arial"/>
          <w:iCs/>
          <w:szCs w:val="20"/>
          <w:lang w:eastAsia="en-US"/>
        </w:rPr>
      </w:pPr>
      <w:r w:rsidRPr="0052420E">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52C9576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C82944">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552315" w:rsidRDefault="002329EE" w:rsidP="002329EE">
      <w:pPr>
        <w:pStyle w:val="Citao"/>
        <w:rPr>
          <w:rFonts w:cs="Arial"/>
          <w:color w:val="auto"/>
          <w:szCs w:val="20"/>
          <w:lang w:val="pt-BR"/>
        </w:rPr>
      </w:pPr>
      <w:r w:rsidRPr="00552315">
        <w:rPr>
          <w:rFonts w:cs="Arial"/>
          <w:b/>
          <w:color w:val="auto"/>
          <w:szCs w:val="20"/>
          <w:lang w:val="pt-BR"/>
        </w:rPr>
        <w:t xml:space="preserve">Nota explicativa: </w:t>
      </w:r>
      <w:r w:rsidRPr="00552315">
        <w:rPr>
          <w:rFonts w:cs="Arial"/>
          <w:color w:val="auto"/>
          <w:szCs w:val="20"/>
        </w:rPr>
        <w:t xml:space="preserve">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w:t>
      </w:r>
      <w:r w:rsidRPr="00552315">
        <w:rPr>
          <w:rFonts w:cs="Arial"/>
          <w:color w:val="auto"/>
          <w:szCs w:val="20"/>
        </w:rPr>
        <w:lastRenderedPageBreak/>
        <w:t>inclusive, a capacitação dos técnicos da contratante ou da nova empresa que continuará a execução dos serviços.</w:t>
      </w:r>
    </w:p>
    <w:p w14:paraId="483CC36B" w14:textId="21888A35" w:rsidR="006F426A" w:rsidRDefault="006F426A" w:rsidP="0087676D">
      <w:pPr>
        <w:spacing w:before="120" w:after="120" w:line="276" w:lineRule="auto"/>
        <w:ind w:left="425"/>
        <w:jc w:val="both"/>
        <w:rPr>
          <w:rFonts w:cs="Arial"/>
          <w:color w:val="000000"/>
          <w:szCs w:val="20"/>
        </w:rPr>
      </w:pPr>
    </w:p>
    <w:p w14:paraId="5B71B075" w14:textId="77777777" w:rsidR="00F2241A" w:rsidRPr="00AA49CF" w:rsidRDefault="00F2241A" w:rsidP="00F2241A">
      <w:pPr>
        <w:pStyle w:val="Citao"/>
        <w:rPr>
          <w:rFonts w:cs="Arial"/>
          <w:i w:val="0"/>
          <w:iCs w:val="0"/>
          <w:szCs w:val="20"/>
        </w:rPr>
      </w:pPr>
      <w:r w:rsidRPr="00DF028E">
        <w:rPr>
          <w:rFonts w:cs="Arial"/>
          <w:b/>
          <w:color w:val="auto"/>
          <w:szCs w:val="20"/>
          <w:highlight w:val="yellow"/>
        </w:rPr>
        <w:t>Nota Explicativa:</w:t>
      </w:r>
      <w:r w:rsidRPr="00DF028E">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Pr="00DF028E">
        <w:rPr>
          <w:rFonts w:cs="Arial"/>
          <w:color w:val="auto"/>
          <w:szCs w:val="20"/>
          <w:highlight w:val="yellow"/>
          <w:lang w:val="pt-BR"/>
        </w:rPr>
        <w:t>s</w:t>
      </w:r>
      <w:r w:rsidRPr="00DF028E">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EF86CC6" w14:textId="77777777" w:rsidR="00F2241A" w:rsidRPr="00552315" w:rsidRDefault="00F2241A" w:rsidP="0087676D">
      <w:pPr>
        <w:spacing w:before="120" w:after="120" w:line="276" w:lineRule="auto"/>
        <w:ind w:left="425"/>
        <w:jc w:val="both"/>
        <w:rPr>
          <w:rFonts w:cs="Arial"/>
          <w:color w:val="000000"/>
          <w:szCs w:val="20"/>
        </w:rPr>
      </w:pPr>
    </w:p>
    <w:p w14:paraId="79AA541F" w14:textId="77777777" w:rsidR="00014743" w:rsidRPr="00552315" w:rsidRDefault="00014743" w:rsidP="00014743">
      <w:pPr>
        <w:pStyle w:val="Citao"/>
        <w:rPr>
          <w:rFonts w:cs="Arial"/>
          <w:szCs w:val="20"/>
        </w:rPr>
      </w:pPr>
      <w:r w:rsidRPr="00552315">
        <w:rPr>
          <w:rFonts w:cs="Arial"/>
          <w:b/>
          <w:szCs w:val="20"/>
        </w:rPr>
        <w:t>Nota explicativa</w:t>
      </w:r>
      <w:r>
        <w:rPr>
          <w:rFonts w:cs="Arial"/>
          <w:b/>
          <w:szCs w:val="20"/>
          <w:lang w:val="pt-BR"/>
        </w:rPr>
        <w:t xml:space="preserve"> 1</w:t>
      </w:r>
      <w:r w:rsidRPr="00552315">
        <w:rPr>
          <w:rFonts w:cs="Arial"/>
          <w:b/>
          <w:szCs w:val="20"/>
        </w:rPr>
        <w:t>:</w:t>
      </w:r>
      <w:r>
        <w:rPr>
          <w:rFonts w:cs="Arial"/>
          <w:szCs w:val="20"/>
          <w:lang w:val="pt-BR"/>
        </w:rPr>
        <w:t xml:space="preserve"> </w:t>
      </w:r>
      <w:r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p>
    <w:p w14:paraId="4B6EAF14" w14:textId="77777777" w:rsidR="006216CD" w:rsidRPr="00485453" w:rsidRDefault="006216CD" w:rsidP="006216CD">
      <w:pPr>
        <w:pStyle w:val="Citao"/>
        <w:rPr>
          <w:rFonts w:cs="Arial"/>
          <w:lang w:val="pt-BR"/>
        </w:rPr>
      </w:pPr>
      <w:r w:rsidRPr="00485453">
        <w:rPr>
          <w:rFonts w:cs="Arial"/>
          <w:b/>
        </w:rPr>
        <w:t xml:space="preserve">Nota Explicativa </w:t>
      </w:r>
      <w:r w:rsidRPr="00485453">
        <w:rPr>
          <w:rFonts w:cs="Arial"/>
          <w:b/>
          <w:lang w:val="pt-BR"/>
        </w:rPr>
        <w:t>2</w:t>
      </w:r>
      <w:r w:rsidRPr="00485453">
        <w:rPr>
          <w:rFonts w:cs="Arial"/>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w:t>
      </w:r>
      <w:r w:rsidRPr="00485453">
        <w:rPr>
          <w:rFonts w:cs="Arial"/>
          <w:lang w:val="pt-BR"/>
        </w:rPr>
        <w:t xml:space="preserve">Em existindo, deve ser incluída nas obrigações desta cláusula. </w:t>
      </w:r>
      <w:r w:rsidRPr="00485453">
        <w:rPr>
          <w:rFonts w:cs="Arial"/>
        </w:rPr>
        <w:t xml:space="preserve">Para tanto, consulte-se o Guia Nacional de Contratações Sustentáveis </w:t>
      </w:r>
      <w:r w:rsidRPr="00F937D1">
        <w:rPr>
          <w:rFonts w:cs="Arial"/>
          <w:lang w:val="pt-BR"/>
        </w:rPr>
        <w:t>da Advocacia-Geral da União.</w:t>
      </w:r>
    </w:p>
    <w:p w14:paraId="009E13EA" w14:textId="77777777" w:rsidR="006216CD" w:rsidRPr="000927C2" w:rsidRDefault="006216CD" w:rsidP="00756ED3"/>
    <w:p w14:paraId="7E36C99E" w14:textId="77777777"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077B456C" w14:textId="5E9CB444" w:rsidR="00C56E4D" w:rsidRPr="00D46479" w:rsidRDefault="00E014B9" w:rsidP="00C56E4D">
      <w:pPr>
        <w:pStyle w:val="SombreamentoMdio1-nfase31"/>
        <w:rPr>
          <w:rFonts w:ascii="Arial" w:hAnsi="Arial" w:cs="Arial"/>
          <w:szCs w:val="20"/>
          <w:highlight w:val="yellow"/>
          <w:lang w:val="x-none" w:eastAsia="en-US"/>
        </w:rPr>
      </w:pPr>
      <w:r w:rsidRPr="00D46479">
        <w:rPr>
          <w:rFonts w:ascii="Arial" w:hAnsi="Arial" w:cs="Arial"/>
          <w:szCs w:val="20"/>
          <w:highlight w:val="yellow"/>
          <w:lang w:val="x-none" w:eastAsia="en-US"/>
        </w:rPr>
        <w:t>À Administração contratante cabe, exercitando a previsão do edital, autorizar a subcontratação.</w:t>
      </w:r>
      <w:r w:rsidR="00C56E4D" w:rsidRPr="00D46479">
        <w:rPr>
          <w:rFonts w:ascii="Arial" w:hAnsi="Arial" w:cs="Arial"/>
          <w:szCs w:val="20"/>
          <w:highlight w:val="yellow"/>
          <w:lang w:eastAsia="en-US"/>
        </w:rPr>
        <w:t>,</w:t>
      </w:r>
      <w:r w:rsidRPr="00D46479">
        <w:rPr>
          <w:rFonts w:ascii="Arial" w:hAnsi="Arial" w:cs="Arial"/>
          <w:szCs w:val="20"/>
          <w:highlight w:val="yellow"/>
          <w:lang w:val="x-none" w:eastAsia="en-US"/>
        </w:rPr>
        <w:t xml:space="preserve"> </w:t>
      </w:r>
      <w:r w:rsidR="00C56E4D" w:rsidRPr="00D46479">
        <w:rPr>
          <w:rFonts w:ascii="Arial" w:hAnsi="Arial" w:cs="Arial"/>
          <w:szCs w:val="20"/>
          <w:highlight w:val="yellow"/>
          <w:lang w:val="x-none" w:eastAsia="en-US"/>
        </w:rPr>
        <w:t xml:space="preserve">mediante ato motivado, </w:t>
      </w:r>
      <w:r w:rsidR="00C56E4D" w:rsidRPr="00D46479">
        <w:rPr>
          <w:rFonts w:ascii="Arial" w:hAnsi="Arial" w:cs="Arial"/>
          <w:szCs w:val="20"/>
          <w:highlight w:val="yellow"/>
          <w:lang w:eastAsia="en-US"/>
        </w:rPr>
        <w:t>comprovando</w:t>
      </w:r>
      <w:r w:rsidR="00C56E4D" w:rsidRPr="00D46479">
        <w:rPr>
          <w:rFonts w:ascii="Arial" w:hAnsi="Arial" w:cs="Arial"/>
          <w:szCs w:val="20"/>
          <w:highlight w:val="yellow"/>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50FE9449" w14:textId="3CBC706A" w:rsidR="00E014B9" w:rsidRPr="00552315" w:rsidRDefault="00C56E4D" w:rsidP="00E014B9">
      <w:pPr>
        <w:pStyle w:val="SombreamentoMdio1-nfase31"/>
        <w:rPr>
          <w:rFonts w:ascii="Arial" w:hAnsi="Arial" w:cs="Arial"/>
          <w:szCs w:val="20"/>
          <w:lang w:val="x-none" w:eastAsia="en-US"/>
        </w:rPr>
      </w:pPr>
      <w:r w:rsidRPr="00D46479">
        <w:rPr>
          <w:rFonts w:ascii="Arial" w:hAnsi="Arial" w:cs="Arial"/>
          <w:szCs w:val="20"/>
          <w:highlight w:val="yellow"/>
          <w:lang w:eastAsia="en-US"/>
        </w:rPr>
        <w:t xml:space="preserve">Registre-se que, conforme Acórdão TCU 2679/2018-Plenário, “os serviços cuja comprovação for exigida por atestados para fins de habilitação não podem ser subcontratados”. </w:t>
      </w:r>
      <w:r w:rsidR="00E014B9" w:rsidRPr="00D46479">
        <w:rPr>
          <w:rFonts w:ascii="Arial" w:hAnsi="Arial" w:cs="Arial"/>
          <w:szCs w:val="20"/>
          <w:highlight w:val="yellow"/>
          <w:lang w:val="x-none" w:eastAsia="en-US"/>
        </w:rPr>
        <w:t>A redação que segue é meramente ilustrativa e contempla a vedação à subcontratação, assim como a subcontratação parcial do objeto.</w:t>
      </w:r>
      <w:r w:rsidR="00E014B9" w:rsidRPr="00552315">
        <w:rPr>
          <w:rFonts w:ascii="Arial" w:hAnsi="Arial" w:cs="Arial"/>
          <w:szCs w:val="20"/>
          <w:lang w:val="x-none" w:eastAsia="en-US"/>
        </w:rPr>
        <w:t xml:space="preserve">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552315" w:rsidRDefault="00E014B9" w:rsidP="00E014B9">
      <w:pPr>
        <w:tabs>
          <w:tab w:val="left" w:pos="0"/>
        </w:tabs>
        <w:spacing w:before="120" w:after="120" w:line="276" w:lineRule="auto"/>
        <w:ind w:left="425"/>
        <w:jc w:val="both"/>
        <w:rPr>
          <w:rFonts w:cs="Arial"/>
          <w:i/>
          <w:color w:val="FF0000"/>
          <w:szCs w:val="20"/>
        </w:rPr>
      </w:pPr>
      <w:r w:rsidRPr="00552315">
        <w:rPr>
          <w:rFonts w:cs="Arial"/>
          <w:i/>
          <w:color w:val="FF0000"/>
          <w:szCs w:val="20"/>
        </w:rPr>
        <w:t>Ou</w:t>
      </w:r>
    </w:p>
    <w:p w14:paraId="1EFEA0CE"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8C33DC3"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075139F"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4589F667"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7B882E8"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E881E86"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154FABB9" w14:textId="6C82BC8B" w:rsidR="00E014B9" w:rsidRPr="00552315" w:rsidRDefault="00E014B9" w:rsidP="00F2241A">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proofErr w:type="gramStart"/>
      <w:r w:rsidRPr="00552315">
        <w:rPr>
          <w:rFonts w:cs="Arial"/>
          <w:i/>
          <w:color w:val="FF0000"/>
          <w:szCs w:val="20"/>
        </w:rPr>
        <w:t>%(</w:t>
      </w:r>
      <w:proofErr w:type="gramEnd"/>
      <w:r w:rsidRPr="00552315">
        <w:rPr>
          <w:rFonts w:cs="Arial"/>
          <w:i/>
          <w:color w:val="FF0000"/>
          <w:szCs w:val="20"/>
        </w:rPr>
        <w:t>..... por cento) do valor total do contrato, nas seguintes condições:</w:t>
      </w:r>
    </w:p>
    <w:p w14:paraId="2C7BA6CF" w14:textId="243178F0"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216CD" w:rsidRPr="00D46479">
        <w:rPr>
          <w:rFonts w:cs="Arial"/>
          <w:i/>
          <w:color w:val="FF0000"/>
          <w:szCs w:val="20"/>
          <w:highlight w:val="yellow"/>
        </w:rPr>
        <w:t>subcontratação</w:t>
      </w:r>
      <w:r w:rsidRPr="00552315">
        <w:rPr>
          <w:rFonts w:cs="Arial"/>
          <w:i/>
          <w:color w:val="FF0000"/>
          <w:szCs w:val="20"/>
        </w:rPr>
        <w:t xml:space="preserve"> completa ou da parcela principal da obrigação</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 xml:space="preserve">Caso admitida, o edital deve estabelecer com detalhamento seus limites e condições, inclusive especificando quais parcelas do objeto poderão ser subcontratadas. É importante verificar que são vedadas (i) a exigência no </w:t>
      </w:r>
      <w:r w:rsidRPr="00552315">
        <w:rPr>
          <w:rFonts w:cs="Arial"/>
          <w:szCs w:val="20"/>
        </w:rPr>
        <w:lastRenderedPageBreak/>
        <w:t>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77777777"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552315">
        <w:rPr>
          <w:rFonts w:cs="Arial"/>
          <w:i/>
          <w:iCs/>
          <w:color w:val="FF0000"/>
          <w:szCs w:val="20"/>
        </w:rPr>
        <w:t>.....</w:t>
      </w:r>
      <w:proofErr w:type="gramEnd"/>
      <w:r w:rsidRPr="00552315">
        <w:rPr>
          <w:rFonts w:cs="Arial"/>
          <w:i/>
          <w:iCs/>
          <w:color w:val="FF0000"/>
          <w:szCs w:val="20"/>
        </w:rPr>
        <w:t xml:space="preserve"> , atendidas as disposições dos subitens acima, bem como as seguintes regras:</w:t>
      </w:r>
    </w:p>
    <w:p w14:paraId="3CE0BCFA"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as microempresas e as empresas de pequeno porte a serem subcontratadas deverão ser indicadas e qualificadas pelos licitantes no momento da apresentação das </w:t>
      </w:r>
      <w:proofErr w:type="gramStart"/>
      <w:r w:rsidRPr="00552315">
        <w:rPr>
          <w:rFonts w:cs="Arial"/>
          <w:i/>
          <w:color w:val="FF0000"/>
          <w:szCs w:val="20"/>
        </w:rPr>
        <w:t>propostas</w:t>
      </w:r>
      <w:r w:rsidRPr="00552315">
        <w:rPr>
          <w:rFonts w:cs="Arial"/>
          <w:b/>
          <w:i/>
          <w:color w:val="FF0000"/>
          <w:szCs w:val="20"/>
        </w:rPr>
        <w:t xml:space="preserve">,  </w:t>
      </w:r>
      <w:r w:rsidRPr="00552315">
        <w:rPr>
          <w:rFonts w:cs="Arial"/>
          <w:i/>
          <w:color w:val="FF0000"/>
          <w:szCs w:val="20"/>
        </w:rPr>
        <w:t>com</w:t>
      </w:r>
      <w:proofErr w:type="gramEnd"/>
      <w:r w:rsidRPr="00552315">
        <w:rPr>
          <w:rFonts w:cs="Arial"/>
          <w:i/>
          <w:color w:val="FF0000"/>
          <w:szCs w:val="20"/>
        </w:rPr>
        <w:t xml:space="preserve">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DC47E51" w14:textId="77777777" w:rsidR="002A5539" w:rsidRPr="00E15E2B" w:rsidRDefault="002A5539" w:rsidP="002A5539">
      <w:pPr>
        <w:pStyle w:val="PargrafodaLista"/>
        <w:numPr>
          <w:ilvl w:val="2"/>
          <w:numId w:val="5"/>
        </w:numPr>
        <w:rPr>
          <w:rFonts w:cs="Arial"/>
          <w:i/>
          <w:color w:val="FF0000"/>
          <w:szCs w:val="20"/>
          <w:highlight w:val="yellow"/>
        </w:rPr>
      </w:pPr>
      <w:r w:rsidRPr="00E15E2B">
        <w:rPr>
          <w:rFonts w:cs="Arial"/>
          <w:i/>
          <w:color w:val="FF0000"/>
          <w:szCs w:val="20"/>
          <w:highlight w:val="yellow"/>
        </w:rPr>
        <w:lastRenderedPageBreak/>
        <w:t>a empresa contratada será responsável pela padronização, pela compatibilidade, pelo gerenciamento centralizado e pela qualidade da subcontratação.</w:t>
      </w:r>
    </w:p>
    <w:p w14:paraId="6ADC29DB" w14:textId="462236E6"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4"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66CBC248"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 Não se admite a exigência de subcontratação para o fornecimento de bens, exceto quando estiver vinculado à prestação de serviços acessórios. </w:t>
      </w:r>
    </w:p>
    <w:p w14:paraId="5C831402" w14:textId="6C17D00D"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p>
    <w:p w14:paraId="46C77E25" w14:textId="77777777" w:rsidR="006E4E0E" w:rsidRPr="00A4383C" w:rsidRDefault="006E4E0E" w:rsidP="006E4E0E">
      <w:pPr>
        <w:numPr>
          <w:ilvl w:val="2"/>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São vedadas:</w:t>
      </w:r>
    </w:p>
    <w:p w14:paraId="6E3F1CF7"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das parcelas de maior relevância técnica, assim definidas:</w:t>
      </w:r>
    </w:p>
    <w:p w14:paraId="06473388"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7490AF5C"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6DA45D25"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5596570A"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e empresas de pequeno porte que estejam participando da licitação; e</w:t>
      </w:r>
    </w:p>
    <w:p w14:paraId="03960B8E"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ou empresas de pequeno porte que tenham um ou mais sócios em comum com a empresa contratante.</w:t>
      </w:r>
    </w:p>
    <w:p w14:paraId="68956819" w14:textId="77777777" w:rsidR="006E4E0E" w:rsidRPr="00552315" w:rsidRDefault="006E4E0E" w:rsidP="006E4E0E">
      <w:pPr>
        <w:spacing w:before="120" w:after="120" w:line="276" w:lineRule="auto"/>
        <w:jc w:val="both"/>
        <w:rPr>
          <w:rFonts w:cs="Arial"/>
          <w:i/>
          <w:color w:val="FF0000"/>
          <w:szCs w:val="20"/>
        </w:rPr>
      </w:pP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552315" w:rsidRDefault="00052D53" w:rsidP="008B0C2F">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5FEE67A2" w14:textId="02F321A3" w:rsidR="006E4E0E" w:rsidRPr="006E4E0E" w:rsidRDefault="006E4E0E" w:rsidP="006E4E0E">
      <w:pPr>
        <w:pStyle w:val="SombreamentoMdio1-nfase31"/>
        <w:rPr>
          <w:rFonts w:ascii="Arial" w:hAnsi="Arial" w:cs="Arial"/>
          <w:szCs w:val="20"/>
          <w:lang w:eastAsia="en-US"/>
        </w:rPr>
      </w:pPr>
      <w:r w:rsidRPr="006E4E0E">
        <w:rPr>
          <w:rFonts w:ascii="Arial" w:hAnsi="Arial" w:cs="Arial"/>
          <w:b/>
          <w:bCs/>
          <w:szCs w:val="20"/>
          <w:lang w:eastAsia="en-US"/>
        </w:rPr>
        <w:t>Nota Explicativa 1:</w:t>
      </w:r>
      <w:r w:rsidRPr="006E4E0E">
        <w:rPr>
          <w:rFonts w:ascii="Arial" w:hAnsi="Arial" w:cs="Arial"/>
          <w:szCs w:val="20"/>
          <w:lang w:eastAsia="en-US"/>
        </w:rPr>
        <w:t xml:space="preserve">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E4E0E">
        <w:rPr>
          <w:rFonts w:ascii="Arial" w:hAnsi="Arial" w:cs="Arial"/>
          <w:szCs w:val="20"/>
          <w:lang w:eastAsia="en-US"/>
        </w:rPr>
        <w:t>arts</w:t>
      </w:r>
      <w:proofErr w:type="spellEnd"/>
      <w:r w:rsidRPr="006E4E0E">
        <w:rPr>
          <w:rFonts w:ascii="Arial" w:hAnsi="Arial" w:cs="Arial"/>
          <w:szCs w:val="20"/>
          <w:lang w:eastAsia="en-US"/>
        </w:rPr>
        <w:t>. 67 e 73 da Lei nº 8.666, de 1993.</w:t>
      </w:r>
    </w:p>
    <w:p w14:paraId="4EB2A6FC" w14:textId="66F12024" w:rsidR="0066759F" w:rsidRPr="00552315"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6E4E0E">
        <w:rPr>
          <w:rFonts w:ascii="Arial" w:hAnsi="Arial" w:cs="Arial"/>
          <w:b/>
          <w:bCs/>
          <w:szCs w:val="20"/>
        </w:rPr>
        <w:t xml:space="preserve"> 2</w:t>
      </w:r>
      <w:r w:rsidRPr="00552315">
        <w:rPr>
          <w:rFonts w:ascii="Arial" w:hAnsi="Arial" w:cs="Arial"/>
          <w:szCs w:val="20"/>
        </w:rPr>
        <w:t>: Deve amoldar-se às peculiaridades do serviço. Os itens a seguir apresentados são ilustrativos.</w:t>
      </w:r>
      <w:r w:rsidRPr="00552315">
        <w:rPr>
          <w:rFonts w:ascii="Arial" w:hAnsi="Arial" w:cs="Arial"/>
          <w:color w:val="FF28DB"/>
          <w:szCs w:val="20"/>
        </w:rPr>
        <w:t xml:space="preserve"> </w:t>
      </w:r>
    </w:p>
    <w:p w14:paraId="36BCEA0A"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lastRenderedPageBreak/>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552315">
        <w:rPr>
          <w:rFonts w:cs="Arial"/>
          <w:szCs w:val="20"/>
          <w:lang w:eastAsia="en-US"/>
        </w:rPr>
        <w:t>dos mesmos</w:t>
      </w:r>
      <w:proofErr w:type="gramEnd"/>
      <w:r w:rsidRPr="00552315">
        <w:rPr>
          <w:rFonts w:cs="Arial"/>
          <w:szCs w:val="20"/>
          <w:lang w:eastAsia="en-US"/>
        </w:rPr>
        <w:t>,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224DE4A5" w:rsidR="00222D2F"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39029D6" w14:textId="77777777" w:rsidR="006216CD" w:rsidRPr="00552315" w:rsidRDefault="006216CD" w:rsidP="006216CD">
      <w:pPr>
        <w:numPr>
          <w:ilvl w:val="1"/>
          <w:numId w:val="1"/>
        </w:numPr>
        <w:spacing w:before="120" w:after="120" w:line="276" w:lineRule="auto"/>
        <w:ind w:left="425" w:firstLine="0"/>
        <w:jc w:val="both"/>
        <w:rPr>
          <w:rFonts w:cs="Arial"/>
          <w:szCs w:val="20"/>
          <w:lang w:eastAsia="en-US"/>
        </w:rPr>
      </w:pPr>
      <w:r>
        <w:rPr>
          <w:rFonts w:cs="Arial"/>
          <w:szCs w:val="20"/>
          <w:lang w:eastAsia="en-US"/>
        </w:rPr>
        <w:t>A fiscalização técnica dos contratos avaliará constantemente a execução do objeto.</w:t>
      </w:r>
    </w:p>
    <w:p w14:paraId="31AC2724" w14:textId="17081039"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03B9B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6E4E0E">
        <w:rPr>
          <w:rFonts w:cs="Arial"/>
          <w:szCs w:val="20"/>
        </w:rPr>
        <w:t>neste Termo de Referência</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lastRenderedPageBreak/>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1BBCC8D3" w14:textId="784CD065"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DF2E5C">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40A146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761C3656" w14:textId="77777777" w:rsidR="00DF2E5C" w:rsidRPr="00693542" w:rsidRDefault="00DF2E5C" w:rsidP="00DF2E5C">
      <w:pPr>
        <w:pStyle w:val="Nivel1"/>
        <w:ind w:left="644"/>
        <w:rPr>
          <w:rFonts w:cs="Arial"/>
          <w:highlight w:val="yellow"/>
          <w:lang w:eastAsia="en-US"/>
        </w:rPr>
      </w:pPr>
      <w:r w:rsidRPr="00693542">
        <w:rPr>
          <w:rFonts w:cs="Arial"/>
          <w:highlight w:val="yellow"/>
          <w:lang w:eastAsia="en-US"/>
        </w:rPr>
        <w:t>DOS CRITÉRIOS DE AFERIÇÃO E MEDIÇÃO PARA FATURAMENTO</w:t>
      </w:r>
    </w:p>
    <w:p w14:paraId="335D75E8" w14:textId="77777777" w:rsidR="00DF2E5C" w:rsidRPr="00693542" w:rsidRDefault="00DF2E5C" w:rsidP="00DF2E5C">
      <w:pPr>
        <w:numPr>
          <w:ilvl w:val="1"/>
          <w:numId w:val="1"/>
        </w:numPr>
        <w:spacing w:before="120" w:after="120" w:line="276" w:lineRule="auto"/>
        <w:ind w:left="425" w:firstLine="0"/>
        <w:jc w:val="both"/>
        <w:rPr>
          <w:rFonts w:cs="Arial"/>
          <w:szCs w:val="20"/>
          <w:highlight w:val="yellow"/>
        </w:rPr>
      </w:pPr>
      <w:r w:rsidRPr="00693542">
        <w:rPr>
          <w:rFonts w:cs="Arial"/>
          <w:szCs w:val="20"/>
          <w:highlight w:val="yellow"/>
        </w:rPr>
        <w:t xml:space="preserve">A avaliação da execução do objeto utilizará </w:t>
      </w:r>
      <w:r w:rsidRPr="00693542">
        <w:rPr>
          <w:rFonts w:cs="Arial"/>
          <w:i/>
          <w:color w:val="FF0000"/>
          <w:szCs w:val="20"/>
          <w:highlight w:val="yellow"/>
        </w:rPr>
        <w:t xml:space="preserve">o Instrumento de </w:t>
      </w:r>
      <w:r w:rsidRPr="00693542">
        <w:rPr>
          <w:rFonts w:cs="Arial"/>
          <w:i/>
          <w:color w:val="FF0000"/>
          <w:szCs w:val="20"/>
          <w:highlight w:val="yellow"/>
          <w:lang w:eastAsia="en-US"/>
        </w:rPr>
        <w:t>Medição</w:t>
      </w:r>
      <w:r w:rsidRPr="00693542">
        <w:rPr>
          <w:rFonts w:cs="Arial"/>
          <w:i/>
          <w:color w:val="FF0000"/>
          <w:szCs w:val="20"/>
          <w:highlight w:val="yellow"/>
        </w:rPr>
        <w:t xml:space="preserve"> de Resultado (IMR), conforme modelo previsto no Anexo XXX, </w:t>
      </w:r>
      <w:r w:rsidRPr="00693542">
        <w:rPr>
          <w:rFonts w:cs="Arial"/>
          <w:b/>
          <w:bCs/>
          <w:i/>
          <w:color w:val="FF0000"/>
          <w:szCs w:val="20"/>
          <w:highlight w:val="yellow"/>
          <w:u w:val="single"/>
        </w:rPr>
        <w:t>OU</w:t>
      </w:r>
      <w:r w:rsidRPr="00693542">
        <w:rPr>
          <w:rFonts w:cs="Arial"/>
          <w:i/>
          <w:color w:val="FF0000"/>
          <w:szCs w:val="20"/>
          <w:highlight w:val="yellow"/>
        </w:rPr>
        <w:t xml:space="preserve"> outro instrumento substituto para aferição da qualidade da prestação dos serviços </w:t>
      </w:r>
      <w:r w:rsidRPr="00693542">
        <w:rPr>
          <w:rFonts w:cs="Arial"/>
          <w:b/>
          <w:bCs/>
          <w:i/>
          <w:color w:val="FF0000"/>
          <w:szCs w:val="20"/>
          <w:highlight w:val="yellow"/>
          <w:u w:val="single"/>
        </w:rPr>
        <w:t xml:space="preserve">OU </w:t>
      </w:r>
      <w:r w:rsidRPr="00693542">
        <w:rPr>
          <w:rFonts w:cs="Arial"/>
          <w:i/>
          <w:color w:val="FF0000"/>
          <w:szCs w:val="20"/>
          <w:highlight w:val="yellow"/>
          <w:u w:val="single"/>
        </w:rPr>
        <w:t>o disposto neste item</w:t>
      </w:r>
      <w:r w:rsidRPr="00693542">
        <w:rPr>
          <w:rFonts w:cs="Arial"/>
          <w:szCs w:val="20"/>
          <w:highlight w:val="yellow"/>
        </w:rPr>
        <w:t>, devendo haver o redimensionamento no pagamento com base nos indicadores estabelecidos, sempre que a CONTRATADA:</w:t>
      </w:r>
    </w:p>
    <w:p w14:paraId="23811814"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a) não produzir os resultados, deixar de executar, ou não executar com a qualidade mínima exigida as atividades contratadas; ou</w:t>
      </w:r>
    </w:p>
    <w:p w14:paraId="2A858618"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b) deixar de utilizar materiais e recursos humanos exigidos para a execução do serviço, ou utilizá-los com qualidade ou quantidade inferior à demandada.</w:t>
      </w:r>
    </w:p>
    <w:p w14:paraId="5F75FD7D" w14:textId="77777777" w:rsidR="00DF2E5C" w:rsidRPr="00693542" w:rsidRDefault="00DF2E5C" w:rsidP="00DF2E5C">
      <w:pPr>
        <w:numPr>
          <w:ilvl w:val="2"/>
          <w:numId w:val="1"/>
        </w:numPr>
        <w:spacing w:before="120" w:after="120" w:line="276" w:lineRule="auto"/>
        <w:jc w:val="both"/>
        <w:rPr>
          <w:rFonts w:cs="Arial"/>
          <w:i/>
          <w:color w:val="FF0000"/>
          <w:szCs w:val="20"/>
          <w:highlight w:val="yellow"/>
        </w:rPr>
      </w:pPr>
      <w:r w:rsidRPr="00693542">
        <w:rPr>
          <w:rFonts w:cs="Arial"/>
          <w:i/>
          <w:color w:val="FF0000"/>
          <w:szCs w:val="20"/>
          <w:highlight w:val="yellow"/>
        </w:rPr>
        <w:t xml:space="preserve">A </w:t>
      </w:r>
      <w:r w:rsidRPr="00693542">
        <w:rPr>
          <w:rFonts w:cs="Arial"/>
          <w:i/>
          <w:color w:val="FF0000"/>
          <w:szCs w:val="20"/>
          <w:highlight w:val="yellow"/>
          <w:lang w:eastAsia="en-US"/>
        </w:rPr>
        <w:t>utilização</w:t>
      </w:r>
      <w:r w:rsidRPr="00693542">
        <w:rPr>
          <w:rFonts w:cs="Arial"/>
          <w:i/>
          <w:color w:val="FF0000"/>
          <w:szCs w:val="20"/>
          <w:highlight w:val="yellow"/>
        </w:rPr>
        <w:t xml:space="preserve"> do IMR não impede a aplicação concomitante de outros mecanismos para a avaliação da prestação dos serviços.</w:t>
      </w:r>
    </w:p>
    <w:p w14:paraId="4C8A9C25" w14:textId="77777777" w:rsidR="00DF2E5C" w:rsidRPr="00693542" w:rsidRDefault="00DF2E5C" w:rsidP="00DF2E5C">
      <w:pPr>
        <w:pStyle w:val="SombreamentoMdio1-nfase31"/>
        <w:rPr>
          <w:rFonts w:ascii="Arial" w:hAnsi="Arial" w:cs="Arial"/>
          <w:i w:val="0"/>
          <w:iCs w:val="0"/>
          <w:color w:val="auto"/>
          <w:szCs w:val="20"/>
          <w:highlight w:val="yellow"/>
        </w:rPr>
      </w:pPr>
      <w:r w:rsidRPr="00693542">
        <w:rPr>
          <w:rFonts w:ascii="Arial" w:hAnsi="Arial" w:cs="Arial"/>
          <w:b/>
          <w:bCs/>
          <w:szCs w:val="20"/>
          <w:highlight w:val="yellow"/>
        </w:rPr>
        <w:t>Nota Explicativa</w:t>
      </w:r>
      <w:r w:rsidRPr="00693542">
        <w:rPr>
          <w:rFonts w:ascii="Arial" w:hAnsi="Arial" w:cs="Arial"/>
          <w:szCs w:val="20"/>
          <w:highlight w:val="yellow"/>
        </w:rPr>
        <w:t>: A</w:t>
      </w:r>
      <w:r w:rsidRPr="00693542">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93542">
        <w:rPr>
          <w:rFonts w:ascii="Arial" w:hAnsi="Arial" w:cs="Arial"/>
          <w:i w:val="0"/>
          <w:color w:val="auto"/>
          <w:szCs w:val="20"/>
          <w:highlight w:val="yellow"/>
        </w:rPr>
        <w:t>consequentemente</w:t>
      </w:r>
      <w:r w:rsidRPr="00693542">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7C951B51" w14:textId="77777777" w:rsidR="00DF2E5C" w:rsidRPr="00693542" w:rsidRDefault="00DF2E5C" w:rsidP="00DF2E5C">
      <w:pPr>
        <w:pStyle w:val="SombreamentoMdio1-nfase31"/>
        <w:rPr>
          <w:rFonts w:ascii="Arial" w:hAnsi="Arial" w:cs="Arial"/>
          <w:szCs w:val="20"/>
          <w:highlight w:val="yellow"/>
        </w:rPr>
      </w:pPr>
      <w:r w:rsidRPr="00693542">
        <w:rPr>
          <w:rFonts w:ascii="Arial" w:hAnsi="Arial" w:cs="Arial"/>
          <w:b/>
          <w:iCs w:val="0"/>
          <w:color w:val="auto"/>
          <w:szCs w:val="20"/>
          <w:highlight w:val="yellow"/>
        </w:rPr>
        <w:t>Nota Explicativa 2:</w:t>
      </w:r>
      <w:r w:rsidRPr="00693542">
        <w:rPr>
          <w:rFonts w:ascii="Arial" w:hAnsi="Arial" w:cs="Arial"/>
          <w:iCs w:val="0"/>
          <w:color w:val="auto"/>
          <w:szCs w:val="20"/>
          <w:highlight w:val="yellow"/>
        </w:rPr>
        <w:t xml:space="preserve"> Caso o órgão não tenha elaborado o IMR, deverá suprimir os trechos em itálico que fazem referência a ele.</w:t>
      </w:r>
    </w:p>
    <w:p w14:paraId="7F45F77F" w14:textId="77777777" w:rsidR="00DF2E5C" w:rsidRPr="00693542" w:rsidRDefault="00DF2E5C" w:rsidP="00DF2E5C">
      <w:pPr>
        <w:numPr>
          <w:ilvl w:val="1"/>
          <w:numId w:val="1"/>
        </w:numPr>
        <w:spacing w:before="120" w:after="120" w:line="276" w:lineRule="auto"/>
        <w:ind w:left="425" w:firstLine="0"/>
        <w:jc w:val="both"/>
        <w:rPr>
          <w:rFonts w:cs="Arial"/>
          <w:i/>
          <w:iCs/>
          <w:color w:val="FF0000"/>
          <w:highlight w:val="yellow"/>
          <w:lang w:eastAsia="en-US"/>
        </w:rPr>
      </w:pPr>
      <w:r w:rsidRPr="00693542">
        <w:rPr>
          <w:rFonts w:cs="Arial"/>
          <w:i/>
          <w:iCs/>
          <w:color w:val="FF0000"/>
          <w:highlight w:val="yellow"/>
          <w:lang w:eastAsia="en-US"/>
        </w:rPr>
        <w:t>A aferição da execução contratual para fins de pagamento considerará os seguintes critérios:</w:t>
      </w:r>
    </w:p>
    <w:p w14:paraId="3A34B3C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12E0CD4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552EFDCB"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lastRenderedPageBreak/>
        <w:t xml:space="preserve">.... </w:t>
      </w:r>
    </w:p>
    <w:p w14:paraId="06CB4405" w14:textId="77777777" w:rsidR="00DF2E5C" w:rsidRPr="00693542" w:rsidRDefault="00DF2E5C" w:rsidP="00DF2E5C">
      <w:pPr>
        <w:pStyle w:val="Citao"/>
        <w:pBdr>
          <w:bottom w:val="single" w:sz="4" w:space="0" w:color="1F497D"/>
        </w:pBdr>
        <w:rPr>
          <w:rFonts w:cs="Arial"/>
          <w:szCs w:val="20"/>
          <w:highlight w:val="yellow"/>
        </w:rPr>
      </w:pPr>
      <w:r w:rsidRPr="00693542">
        <w:rPr>
          <w:rFonts w:cs="Arial"/>
          <w:b/>
          <w:bCs/>
          <w:szCs w:val="20"/>
          <w:highlight w:val="yellow"/>
          <w:lang w:val="pt-BR"/>
        </w:rPr>
        <w:t>Nota Explicativa:</w:t>
      </w:r>
      <w:r w:rsidRPr="00693542">
        <w:rPr>
          <w:rFonts w:cs="Arial"/>
          <w:szCs w:val="20"/>
          <w:highlight w:val="yellow"/>
          <w:lang w:val="pt-BR"/>
        </w:rPr>
        <w:t xml:space="preserve"> O subitem 2.6, alínea “d” do Anexo V da Instrução Normativa nº 5/2017 trata de critérios de medição e pagamento a serem considerados na formulação desse item, de modo que se recomenda a leitura do referido normativo. </w:t>
      </w:r>
    </w:p>
    <w:p w14:paraId="3EFD1D2D"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 xml:space="preserve">Questões a serem vistas são: </w:t>
      </w:r>
    </w:p>
    <w:p w14:paraId="0F552B61"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a) unidade de medida para faturamento e mensuração do resultado;</w:t>
      </w:r>
    </w:p>
    <w:p w14:paraId="516DEE85"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b) produtividade de referência ou critérios de qualidade para a execução contratual;</w:t>
      </w:r>
    </w:p>
    <w:p w14:paraId="01644CB2" w14:textId="5C66C770" w:rsidR="00DF2E5C" w:rsidRPr="00693542" w:rsidRDefault="00DF2E5C" w:rsidP="00DF2E5C">
      <w:pPr>
        <w:pStyle w:val="Citao"/>
        <w:pBdr>
          <w:bottom w:val="single" w:sz="4" w:space="0" w:color="1F497D"/>
        </w:pBdr>
        <w:rPr>
          <w:rFonts w:cs="Arial"/>
          <w:szCs w:val="20"/>
          <w:highlight w:val="yellow"/>
          <w:lang w:val="pt-BR"/>
        </w:rPr>
      </w:pPr>
      <w:r w:rsidRPr="00693542">
        <w:rPr>
          <w:rFonts w:cs="Arial"/>
          <w:szCs w:val="20"/>
          <w:highlight w:val="yellow"/>
          <w:lang w:val="pt-BR"/>
        </w:rPr>
        <w:t>c) indicadores mínimos de desempenho para aceitação do serviço ou eventual glosa;</w:t>
      </w:r>
    </w:p>
    <w:p w14:paraId="6DFDF877" w14:textId="4331D2D5" w:rsidR="00840D7E" w:rsidRPr="00693542" w:rsidRDefault="00840D7E" w:rsidP="00840D7E">
      <w:pPr>
        <w:rPr>
          <w:highlight w:val="yellow"/>
          <w:lang w:eastAsia="en-US"/>
        </w:rPr>
      </w:pPr>
    </w:p>
    <w:p w14:paraId="597F14D7" w14:textId="77777777" w:rsidR="00840D7E" w:rsidRPr="00693542" w:rsidRDefault="00840D7E" w:rsidP="00840D7E">
      <w:pPr>
        <w:numPr>
          <w:ilvl w:val="1"/>
          <w:numId w:val="1"/>
        </w:numPr>
        <w:spacing w:before="120" w:after="120" w:line="276" w:lineRule="auto"/>
        <w:ind w:left="425" w:firstLine="0"/>
        <w:jc w:val="both"/>
        <w:rPr>
          <w:rFonts w:cs="Arial"/>
          <w:color w:val="000000"/>
          <w:szCs w:val="20"/>
          <w:highlight w:val="yellow"/>
        </w:rPr>
      </w:pPr>
      <w:r w:rsidRPr="00693542">
        <w:rPr>
          <w:rFonts w:cs="Arial"/>
          <w:color w:val="00000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7B4F5EC8"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não produziu os resultados acordados;</w:t>
      </w:r>
    </w:p>
    <w:p w14:paraId="2EF42754"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executar as atividades contratadas, ou não as executou com a qualidade mínima exigida;</w:t>
      </w:r>
    </w:p>
    <w:p w14:paraId="679580FA"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utilizar os materiais e recursos humanos exigidos para a execução do serviço, ou utilizou-os com qualidade ou quantidade inferior à demandada.</w:t>
      </w:r>
    </w:p>
    <w:p w14:paraId="6D81F140" w14:textId="77777777" w:rsidR="00840D7E" w:rsidRPr="00D071E7" w:rsidRDefault="00840D7E" w:rsidP="00840D7E">
      <w:pPr>
        <w:pStyle w:val="Citao"/>
      </w:pPr>
      <w:r w:rsidRPr="00693542">
        <w:rPr>
          <w:rFonts w:cs="Arial"/>
          <w:b/>
          <w:bCs/>
          <w:szCs w:val="20"/>
          <w:highlight w:val="yellow"/>
        </w:rPr>
        <w:t>Nota Explicativa</w:t>
      </w:r>
      <w:r w:rsidRPr="00693542">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9721AE8" w14:textId="77777777" w:rsidR="00840D7E" w:rsidRPr="00840D7E" w:rsidRDefault="00840D7E" w:rsidP="00840D7E">
      <w:pPr>
        <w:rPr>
          <w:lang w:val="x-none" w:eastAsia="en-US"/>
        </w:rPr>
      </w:pPr>
    </w:p>
    <w:p w14:paraId="6CA3D928" w14:textId="21925AB6"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708C544D" w:rsidR="002004CF" w:rsidRPr="00756ED3"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3EACD3CB" w14:textId="77777777" w:rsidR="00CC1710" w:rsidRPr="00552315" w:rsidRDefault="00CC1710" w:rsidP="00756ED3">
      <w:pPr>
        <w:pStyle w:val="citao2"/>
      </w:pPr>
      <w:r w:rsidRPr="003D0669">
        <w:rPr>
          <w:b/>
        </w:rPr>
        <w:t>Nota explicativa:</w:t>
      </w:r>
      <w:r w:rsidRPr="003D0669">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w:t>
      </w:r>
      <w:r w:rsidRPr="00552315">
        <w:rPr>
          <w:rFonts w:cs="Arial"/>
          <w:szCs w:val="20"/>
        </w:rPr>
        <w:lastRenderedPageBreak/>
        <w:t>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78870D36"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6809B281"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lastRenderedPageBreak/>
        <w:t>Comunicar a empresa para que emita a Nota Fiscal ou Fatura, com o valor exato dimensionado pela fiscalização</w:t>
      </w:r>
      <w:r w:rsidR="00A97425" w:rsidRPr="0009222E">
        <w:rPr>
          <w:rFonts w:cs="Arial"/>
          <w:i/>
          <w:color w:val="FF0000"/>
          <w:szCs w:val="20"/>
          <w:lang w:eastAsia="en-US"/>
        </w:rPr>
        <w:t>, com base no Instrumento de Medição de Resultado (IMR), ou instrumento substituto</w:t>
      </w:r>
      <w:r w:rsidRPr="00552315">
        <w:rPr>
          <w:rFonts w:cs="Arial"/>
          <w:color w:val="000000"/>
          <w:szCs w:val="20"/>
          <w:lang w:eastAsia="en-US"/>
        </w:rPr>
        <w:t xml:space="preserve">. </w:t>
      </w:r>
    </w:p>
    <w:p w14:paraId="2E918701" w14:textId="15CED981" w:rsidR="00DF2E5C" w:rsidRPr="00756ED3" w:rsidRDefault="00DF2E5C" w:rsidP="00761D03">
      <w:pPr>
        <w:pStyle w:val="Citao"/>
        <w:rPr>
          <w:rFonts w:cs="Arial"/>
          <w:b/>
          <w:bCs/>
          <w:szCs w:val="20"/>
          <w:lang w:val="pt-BR"/>
        </w:rPr>
      </w:pPr>
      <w:r>
        <w:rPr>
          <w:rFonts w:cs="Arial"/>
          <w:b/>
          <w:bCs/>
          <w:szCs w:val="20"/>
          <w:lang w:val="pt-BR"/>
        </w:rPr>
        <w:t>Nota Explicativa 1:</w:t>
      </w:r>
      <w:r w:rsidRPr="00F45CFD">
        <w:rPr>
          <w:rFonts w:cs="Arial"/>
          <w:szCs w:val="20"/>
          <w:lang w:val="pt-BR"/>
        </w:rPr>
        <w:t xml:space="preserve"> Caso exista algum instrumento para medição dos resultados, deve ser especificado.</w:t>
      </w:r>
    </w:p>
    <w:p w14:paraId="32467E2E" w14:textId="17806400" w:rsidR="00761D03" w:rsidRPr="00552315" w:rsidRDefault="00761D03" w:rsidP="00761D03">
      <w:pPr>
        <w:pStyle w:val="Citao"/>
        <w:rPr>
          <w:rFonts w:cs="Arial"/>
          <w:szCs w:val="20"/>
        </w:rPr>
      </w:pPr>
      <w:r w:rsidRPr="00552315">
        <w:rPr>
          <w:rFonts w:cs="Arial"/>
          <w:b/>
          <w:bCs/>
          <w:szCs w:val="20"/>
        </w:rPr>
        <w:t>Nota Explicativa</w:t>
      </w:r>
      <w:r w:rsidR="00DF2E5C">
        <w:rPr>
          <w:rFonts w:cs="Arial"/>
          <w:b/>
          <w:bCs/>
          <w:szCs w:val="20"/>
          <w:lang w:val="pt-BR"/>
        </w:rPr>
        <w:t xml:space="preserve"> 2</w:t>
      </w:r>
      <w:r w:rsidRPr="00552315">
        <w:rPr>
          <w:rFonts w:cs="Arial"/>
          <w:b/>
          <w:bCs/>
          <w:szCs w:val="20"/>
        </w:rPr>
        <w:t xml:space="preserve">: </w:t>
      </w:r>
      <w:r w:rsidRPr="00552315">
        <w:rPr>
          <w:rFonts w:cs="Arial"/>
          <w:szCs w:val="20"/>
        </w:rPr>
        <w:t xml:space="preserve">A IN </w:t>
      </w:r>
      <w:r w:rsidR="00DF2E5C"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2BDF3A42" w:rsidR="00761D03" w:rsidRPr="00552315" w:rsidRDefault="00761D03" w:rsidP="00761D03">
      <w:pPr>
        <w:pStyle w:val="Citao"/>
        <w:rPr>
          <w:rFonts w:cs="Arial"/>
          <w:szCs w:val="20"/>
        </w:rPr>
      </w:pPr>
      <w:r w:rsidRPr="00552315">
        <w:rPr>
          <w:rFonts w:cs="Arial"/>
          <w:szCs w:val="20"/>
        </w:rPr>
        <w:t>Por essa razão, sugere</w:t>
      </w:r>
      <w:r w:rsidR="00CC1710">
        <w:rPr>
          <w:rFonts w:cs="Arial"/>
          <w:szCs w:val="20"/>
          <w:lang w:val="pt-BR"/>
        </w:rPr>
        <w:t>m-se</w:t>
      </w:r>
      <w:r w:rsidRPr="00552315">
        <w:rPr>
          <w:rFonts w:cs="Arial"/>
          <w:szCs w:val="20"/>
        </w:rPr>
        <w:t xml:space="preserve"> os prazos de dez dias para recebimento provisório e de dez dias para recebimento definitivo para esses serviços, facultando-se ao órgão dispor de forma diferente. </w:t>
      </w:r>
    </w:p>
    <w:p w14:paraId="55A34C88" w14:textId="606C2E40"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015411F9" w14:textId="51A105FC" w:rsidR="00DF2E5C" w:rsidRPr="00BA04F0" w:rsidRDefault="00DF2E5C" w:rsidP="00680543">
      <w:pPr>
        <w:numPr>
          <w:ilvl w:val="1"/>
          <w:numId w:val="1"/>
        </w:numPr>
        <w:spacing w:before="120" w:after="120" w:line="276" w:lineRule="auto"/>
        <w:ind w:left="425" w:firstLine="0"/>
        <w:jc w:val="both"/>
        <w:rPr>
          <w:rFonts w:cs="Arial"/>
          <w:szCs w:val="20"/>
          <w:highlight w:val="yellow"/>
        </w:rPr>
      </w:pPr>
      <w:r w:rsidRPr="00BA04F0">
        <w:rPr>
          <w:rFonts w:cs="Arial"/>
          <w:szCs w:val="20"/>
          <w:highlight w:val="yellow"/>
        </w:rPr>
        <w:t>O recebimento da última etapa da execução equivale ao recebimento do objeto como um todo, e será realizado da seguinte forma:</w:t>
      </w:r>
    </w:p>
    <w:p w14:paraId="5536E6F9"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17.5.1. provisoriamente, pelo responsável por seu acompanhamento e fiscalização, mediante termo circunstanciado, assinado pelas partes em até 15 (quinze) dias da comunicação escrita do contratado;</w:t>
      </w:r>
    </w:p>
    <w:p w14:paraId="409E7496" w14:textId="7CFB714F"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17.5.2.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45EF659F"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 xml:space="preserve">17.5.3. O prazo para recebimento definitivo será de </w:t>
      </w:r>
      <w:proofErr w:type="spellStart"/>
      <w:r w:rsidRPr="00BA04F0">
        <w:rPr>
          <w:rFonts w:cs="Arial"/>
          <w:i/>
          <w:iCs/>
          <w:color w:val="FF0000"/>
          <w:szCs w:val="20"/>
          <w:highlight w:val="yellow"/>
        </w:rPr>
        <w:t>xxxx</w:t>
      </w:r>
      <w:proofErr w:type="spellEnd"/>
      <w:r w:rsidRPr="00BA04F0">
        <w:rPr>
          <w:rFonts w:cs="Arial"/>
          <w:i/>
          <w:iCs/>
          <w:color w:val="FF0000"/>
          <w:szCs w:val="20"/>
          <w:highlight w:val="yellow"/>
        </w:rPr>
        <w:t xml:space="preserve"> ....</w:t>
      </w:r>
      <w:r w:rsidRPr="00BA04F0">
        <w:rPr>
          <w:rFonts w:cs="Arial"/>
          <w:color w:val="FF0000"/>
          <w:szCs w:val="20"/>
          <w:highlight w:val="yellow"/>
        </w:rPr>
        <w:t xml:space="preserve"> </w:t>
      </w:r>
      <w:r w:rsidRPr="00BA04F0">
        <w:rPr>
          <w:rFonts w:cs="Arial"/>
          <w:szCs w:val="20"/>
          <w:highlight w:val="yellow"/>
        </w:rPr>
        <w:t>dias.</w:t>
      </w:r>
    </w:p>
    <w:p w14:paraId="122FE2F8" w14:textId="1935F472"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17.5.4. Na hipótese de a verificação a que se refere o subitem anterior não ser procedida dentro do prazo fixado, reputar-se-á como realizada, consumando-se o recebimento definitivo no dia do esgotamento.</w:t>
      </w:r>
    </w:p>
    <w:p w14:paraId="3258470E" w14:textId="77777777" w:rsidR="00F45CFD" w:rsidRDefault="00DF2E5C" w:rsidP="00F45CFD">
      <w:pPr>
        <w:pStyle w:val="Citao"/>
        <w:rPr>
          <w:rFonts w:cs="Arial"/>
          <w:szCs w:val="20"/>
        </w:rPr>
      </w:pPr>
      <w:r w:rsidRPr="00BA04F0">
        <w:rPr>
          <w:rFonts w:cs="Arial"/>
          <w:b/>
          <w:iCs w:val="0"/>
          <w:szCs w:val="20"/>
          <w:highlight w:val="yellow"/>
        </w:rPr>
        <w:t xml:space="preserve">Nota Explicativa: </w:t>
      </w:r>
      <w:r w:rsidRPr="00BA04F0">
        <w:rPr>
          <w:rFonts w:cs="Arial"/>
          <w:szCs w:val="20"/>
          <w:highlight w:val="yellow"/>
        </w:rPr>
        <w:t>O prazo de recebimento definitivo não poderá ser superior a 90 (noventa) dias, salvo em casos excepcionais, devidamente justificados e previstos no edital. (art. 73, §3º, Lei 8.666/93).</w:t>
      </w:r>
    </w:p>
    <w:p w14:paraId="2DAAE3DB" w14:textId="085EA7CE" w:rsidR="001C7174" w:rsidRPr="00F2241A" w:rsidRDefault="00C55B69" w:rsidP="00F45CFD">
      <w:pPr>
        <w:numPr>
          <w:ilvl w:val="1"/>
          <w:numId w:val="1"/>
        </w:numPr>
        <w:spacing w:before="120" w:after="120" w:line="276" w:lineRule="auto"/>
        <w:ind w:left="425" w:firstLine="0"/>
        <w:jc w:val="both"/>
        <w:rPr>
          <w:rFonts w:cs="Arial"/>
          <w:szCs w:val="20"/>
        </w:rPr>
      </w:pPr>
      <w:r w:rsidRPr="00F2241A">
        <w:rPr>
          <w:rFonts w:cs="Arial"/>
          <w:szCs w:val="20"/>
        </w:rPr>
        <w:t>O recebimento provisório ou definitivo do objeto não exclui a responsabilidade da Contratada pelos prejuízos resultantes da incorreta execução do contrato</w:t>
      </w:r>
      <w:r w:rsidR="00851E2F" w:rsidRPr="00F2241A">
        <w:rPr>
          <w:rFonts w:cs="Arial"/>
          <w:szCs w:val="20"/>
        </w:rPr>
        <w:t>, ou, em qualquer época, das garantias concedidas e das responsabilidades assumidas em contrato e por força das disposições legais em vigor (Lei n° 10.406, de 2002)</w:t>
      </w:r>
      <w:r w:rsidRPr="00F2241A">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3206B007" w14:textId="77777777" w:rsidR="00840D7E" w:rsidRPr="00552315" w:rsidRDefault="00840D7E" w:rsidP="00840D7E">
      <w:pPr>
        <w:numPr>
          <w:ilvl w:val="1"/>
          <w:numId w:val="1"/>
        </w:numPr>
        <w:spacing w:before="120" w:after="120" w:line="276" w:lineRule="auto"/>
        <w:ind w:left="425" w:firstLine="0"/>
        <w:jc w:val="both"/>
        <w:rPr>
          <w:rFonts w:cs="Arial"/>
          <w:szCs w:val="20"/>
        </w:rPr>
      </w:pPr>
      <w:r w:rsidRPr="00552315">
        <w:rPr>
          <w:rFonts w:cs="Arial"/>
          <w:iCs/>
          <w:szCs w:val="20"/>
        </w:rPr>
        <w:t>A emissão da Nota Fiscal/Fatura será precedida do recebimento definitivo do serviço, conforme este Termo de Referência</w:t>
      </w:r>
    </w:p>
    <w:p w14:paraId="4A594FC1" w14:textId="77777777" w:rsidR="00DB53E7" w:rsidRPr="00BE18B7" w:rsidRDefault="00DB53E7" w:rsidP="00DB53E7">
      <w:pPr>
        <w:numPr>
          <w:ilvl w:val="1"/>
          <w:numId w:val="1"/>
        </w:numPr>
        <w:spacing w:before="120" w:after="120" w:line="276" w:lineRule="auto"/>
        <w:ind w:left="425" w:firstLine="0"/>
        <w:jc w:val="both"/>
        <w:rPr>
          <w:rFonts w:cs="Arial"/>
          <w:szCs w:val="20"/>
          <w:highlight w:val="yellow"/>
        </w:rPr>
      </w:pPr>
      <w:r w:rsidRPr="00BE18B7">
        <w:rPr>
          <w:rFonts w:cs="Arial"/>
          <w:szCs w:val="20"/>
          <w:highlight w:val="yellow"/>
        </w:rPr>
        <w:t xml:space="preserve">Quando houver glosa parcial dos serviços, a contratante deverá comunicar a empresa para que emita a nota </w:t>
      </w:r>
      <w:r w:rsidRPr="00BE18B7">
        <w:rPr>
          <w:rFonts w:cs="Arial"/>
          <w:iCs/>
          <w:szCs w:val="20"/>
          <w:highlight w:val="yellow"/>
        </w:rPr>
        <w:t>fiscal</w:t>
      </w:r>
      <w:r w:rsidRPr="00BE18B7">
        <w:rPr>
          <w:rFonts w:cs="Arial"/>
          <w:szCs w:val="20"/>
          <w:highlight w:val="yellow"/>
        </w:rPr>
        <w:t xml:space="preserve"> ou fatura com o valor exato dimensionado. </w:t>
      </w:r>
    </w:p>
    <w:p w14:paraId="1AAD6903" w14:textId="0540F1CD" w:rsidR="0085196B" w:rsidRPr="00F45CFD"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proofErr w:type="gramStart"/>
      <w:r w:rsidRPr="00552315">
        <w:rPr>
          <w:rFonts w:eastAsia="Arial" w:cs="Arial"/>
          <w:color w:val="000000" w:themeColor="text1"/>
          <w:szCs w:val="20"/>
        </w:rPr>
        <w:t>.....</w:t>
      </w:r>
      <w:proofErr w:type="gramEnd"/>
      <w:r w:rsidRPr="00552315">
        <w:rPr>
          <w:rFonts w:eastAsia="Arial" w:cs="Arial"/>
          <w:color w:val="000000" w:themeColor="text1"/>
          <w:szCs w:val="20"/>
        </w:rPr>
        <w:t xml:space="preserve"> (....) </w:t>
      </w:r>
      <w:r w:rsidRPr="00552315">
        <w:rPr>
          <w:rFonts w:cs="Arial"/>
          <w:color w:val="000000" w:themeColor="text1"/>
          <w:szCs w:val="20"/>
        </w:rPr>
        <w:t xml:space="preserve">dias, contados do recebimento da Nota Fiscal/Fatura. </w:t>
      </w:r>
    </w:p>
    <w:p w14:paraId="2BE63559" w14:textId="77777777" w:rsidR="00F45CFD" w:rsidRPr="00552315" w:rsidRDefault="00F45CFD" w:rsidP="00F45CFD">
      <w:pPr>
        <w:pStyle w:val="Citao"/>
      </w:pPr>
      <w:r w:rsidRPr="00552315">
        <w:rPr>
          <w:b/>
          <w:bCs/>
        </w:rPr>
        <w:t>Nota Explicativa</w:t>
      </w:r>
      <w:r w:rsidRPr="00552315">
        <w:t>: Atentar para o prazo máximo de 30 dias para pagamento, conforme disposto no artigo 40, XIV, “a”, da Lei 8.666, de 1993.</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C58CC" w:rsidRPr="00552315">
        <w:rPr>
          <w:rFonts w:cs="Arial"/>
          <w:szCs w:val="20"/>
          <w:lang w:eastAsia="en-US"/>
        </w:rPr>
        <w:t>SICAF</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52315">
        <w:rPr>
          <w:rFonts w:cs="Arial"/>
          <w:szCs w:val="20"/>
          <w:lang w:eastAsia="en-US"/>
        </w:rPr>
        <w:t>MP</w:t>
      </w:r>
      <w:r w:rsidRPr="00552315">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59228B59" w:rsidR="0085196B" w:rsidRPr="00582B8E" w:rsidRDefault="0085196B" w:rsidP="00680050">
      <w:pPr>
        <w:numPr>
          <w:ilvl w:val="1"/>
          <w:numId w:val="1"/>
        </w:numPr>
        <w:spacing w:before="120" w:after="120" w:line="276" w:lineRule="auto"/>
        <w:ind w:left="425" w:firstLine="0"/>
        <w:jc w:val="both"/>
        <w:rPr>
          <w:rFonts w:cs="Arial"/>
          <w:szCs w:val="20"/>
          <w:highlight w:val="yellow"/>
          <w:lang w:eastAsia="en-US"/>
        </w:rPr>
      </w:pPr>
      <w:r w:rsidRPr="00552315">
        <w:rPr>
          <w:rFonts w:cs="Arial"/>
          <w:szCs w:val="20"/>
          <w:lang w:eastAsia="en-US"/>
        </w:rPr>
        <w:t xml:space="preserve">  </w:t>
      </w:r>
      <w:r w:rsidR="00D520D2" w:rsidRPr="00582B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582B8E">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lastRenderedPageBreak/>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9B5EC3">
      <w:pPr>
        <w:pStyle w:val="Nivel1"/>
        <w:numPr>
          <w:ilvl w:val="0"/>
          <w:numId w:val="3"/>
        </w:numPr>
        <w:rPr>
          <w:rFonts w:cs="Arial"/>
          <w:color w:val="auto"/>
        </w:rPr>
      </w:pPr>
      <w:r w:rsidRPr="00813C37">
        <w:rPr>
          <w:rFonts w:cs="Arial"/>
          <w:color w:val="auto"/>
        </w:rPr>
        <w:t>REAJUSTE</w:t>
      </w:r>
    </w:p>
    <w:p w14:paraId="5AB8518F" w14:textId="77777777" w:rsidR="00F70F2B" w:rsidRPr="00813C37" w:rsidRDefault="00F70F2B" w:rsidP="00F70F2B">
      <w:pPr>
        <w:pStyle w:val="citao2"/>
        <w:rPr>
          <w:rFonts w:cs="Arial"/>
        </w:rPr>
      </w:pPr>
      <w:r w:rsidRPr="00813C37">
        <w:rPr>
          <w:rFonts w:cs="Arial"/>
          <w:b/>
        </w:rPr>
        <w:t>Nota Explicativa:</w:t>
      </w:r>
      <w:r w:rsidRPr="00813C37">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813C37">
        <w:rPr>
          <w:rFonts w:cs="Arial"/>
        </w:rPr>
        <w:t>Nardes</w:t>
      </w:r>
      <w:proofErr w:type="spellEnd"/>
      <w:r w:rsidRPr="00813C37">
        <w:rPr>
          <w:rFonts w:cs="Arial"/>
        </w:rPr>
        <w:t>, Data da sessão: 07/08/2018), ratificou o entendimento da Corte acerca do assunto, invocando, para tanto, o Acórdão nº 2205/2016-TCU-Plenário, no qual restou assim assentado:</w:t>
      </w:r>
    </w:p>
    <w:p w14:paraId="4C45A8B1" w14:textId="51D9ED8B" w:rsidR="00F70F2B" w:rsidRPr="0009222E" w:rsidRDefault="00F70F2B" w:rsidP="00F70F2B">
      <w:pPr>
        <w:pStyle w:val="citao2"/>
        <w:rPr>
          <w:rFonts w:cs="Arial"/>
          <w:color w:val="auto"/>
        </w:rPr>
      </w:pPr>
      <w:r w:rsidRPr="00813C37">
        <w:rPr>
          <w:rFonts w:cs="Arial"/>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w:t>
      </w:r>
      <w:r w:rsidRPr="0009222E">
        <w:rPr>
          <w:rFonts w:cs="Arial"/>
          <w:color w:val="auto"/>
        </w:rPr>
        <w:t>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FCB3098" w14:textId="77777777" w:rsidR="00791199" w:rsidRPr="00924C39" w:rsidRDefault="00791199" w:rsidP="00791199">
      <w:pPr>
        <w:pStyle w:val="citao2"/>
        <w:rPr>
          <w:rFonts w:cs="Arial"/>
          <w:color w:val="auto"/>
          <w:highlight w:val="yellow"/>
        </w:rPr>
      </w:pPr>
      <w:r w:rsidRPr="00924C39">
        <w:rPr>
          <w:rFonts w:cs="Arial"/>
          <w:b/>
          <w:color w:val="auto"/>
          <w:highlight w:val="yellow"/>
          <w:lang w:val="pt-BR"/>
        </w:rPr>
        <w:t xml:space="preserve">Nota Explicativa 2: </w:t>
      </w:r>
      <w:r w:rsidRPr="00924C39">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924C39">
        <w:rPr>
          <w:rFonts w:cs="Arial"/>
          <w:color w:val="auto"/>
          <w:highlight w:val="yellow"/>
        </w:rPr>
        <w:t>editalícia</w:t>
      </w:r>
      <w:proofErr w:type="spellEnd"/>
      <w:r w:rsidRPr="00924C39">
        <w:rPr>
          <w:rFonts w:cs="Arial"/>
          <w:color w:val="auto"/>
          <w:highlight w:val="yellow"/>
        </w:rPr>
        <w:t xml:space="preserve"> em sentido contrário, </w:t>
      </w:r>
      <w:r w:rsidRPr="00924C39">
        <w:rPr>
          <w:rFonts w:cs="Arial"/>
          <w:color w:val="auto"/>
          <w:highlight w:val="yellow"/>
          <w:u w:val="single"/>
        </w:rPr>
        <w:t>o reajuste em sentido estrito</w:t>
      </w:r>
      <w:r w:rsidRPr="00924C39">
        <w:rPr>
          <w:rFonts w:cs="Arial"/>
          <w:color w:val="auto"/>
          <w:highlight w:val="yellow"/>
        </w:rPr>
        <w:t xml:space="preserve"> de que cuida o art. 61 da IN nº 5, de 2017, </w:t>
      </w:r>
      <w:r w:rsidRPr="00924C39">
        <w:rPr>
          <w:rFonts w:cs="Arial"/>
          <w:color w:val="auto"/>
          <w:highlight w:val="yellow"/>
          <w:u w:val="single"/>
        </w:rPr>
        <w:t xml:space="preserve">deve ser aplicado </w:t>
      </w:r>
      <w:proofErr w:type="spellStart"/>
      <w:r w:rsidRPr="00924C39">
        <w:rPr>
          <w:rFonts w:cs="Arial"/>
          <w:color w:val="auto"/>
          <w:highlight w:val="yellow"/>
          <w:u w:val="single"/>
        </w:rPr>
        <w:t>ex</w:t>
      </w:r>
      <w:proofErr w:type="spellEnd"/>
      <w:r w:rsidRPr="00924C39">
        <w:rPr>
          <w:rFonts w:cs="Arial"/>
          <w:color w:val="auto"/>
          <w:highlight w:val="yellow"/>
          <w:u w:val="single"/>
        </w:rPr>
        <w:t xml:space="preserve"> </w:t>
      </w:r>
      <w:proofErr w:type="spellStart"/>
      <w:r w:rsidRPr="00924C39">
        <w:rPr>
          <w:rFonts w:cs="Arial"/>
          <w:color w:val="auto"/>
          <w:highlight w:val="yellow"/>
          <w:u w:val="single"/>
        </w:rPr>
        <w:t>officio</w:t>
      </w:r>
      <w:proofErr w:type="spellEnd"/>
      <w:r w:rsidRPr="00924C39">
        <w:rPr>
          <w:rFonts w:cs="Arial"/>
          <w:color w:val="auto"/>
          <w:highlight w:val="yellow"/>
          <w:u w:val="single"/>
        </w:rPr>
        <w:t xml:space="preserve"> pela Administração, independentemente de solicitação do contratado</w:t>
      </w:r>
      <w:r w:rsidRPr="00924C39">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307ABDAC" w14:textId="61143180" w:rsidR="00791199" w:rsidRPr="0009222E" w:rsidRDefault="00791199" w:rsidP="00791199">
      <w:pPr>
        <w:pStyle w:val="citao2"/>
        <w:rPr>
          <w:rFonts w:cs="Arial"/>
          <w:color w:val="auto"/>
        </w:rPr>
      </w:pPr>
      <w:r w:rsidRPr="00924C39">
        <w:rPr>
          <w:rFonts w:cs="Arial"/>
          <w:b/>
          <w:color w:val="auto"/>
          <w:highlight w:val="yellow"/>
          <w:lang w:val="pt-BR"/>
        </w:rPr>
        <w:t xml:space="preserve">Nota Explicativa 3: </w:t>
      </w:r>
      <w:r w:rsidRPr="00924C39">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68D2F082"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Os preços </w:t>
      </w:r>
      <w:r w:rsidR="00791199" w:rsidRPr="00924C39">
        <w:rPr>
          <w:rFonts w:cs="Arial"/>
          <w:szCs w:val="20"/>
          <w:highlight w:val="yellow"/>
        </w:rPr>
        <w:t>inicialmente contratados</w:t>
      </w:r>
      <w:r w:rsidR="00791199" w:rsidRPr="00F2241A">
        <w:rPr>
          <w:rFonts w:cs="Arial"/>
          <w:szCs w:val="20"/>
        </w:rPr>
        <w:t xml:space="preserve"> </w:t>
      </w:r>
      <w:r w:rsidRPr="00F2241A">
        <w:rPr>
          <w:rFonts w:cs="Arial"/>
          <w:szCs w:val="20"/>
        </w:rPr>
        <w:t>são fixos e irreajustáveis no prazo de um ano contado da data limite para a apresentação das propostas.</w:t>
      </w:r>
    </w:p>
    <w:p w14:paraId="5BEA06F5" w14:textId="77777777" w:rsidR="00791199" w:rsidRPr="00924C39" w:rsidRDefault="00791199" w:rsidP="00791199">
      <w:pPr>
        <w:pStyle w:val="PargrafodaLista"/>
        <w:numPr>
          <w:ilvl w:val="1"/>
          <w:numId w:val="3"/>
        </w:numPr>
        <w:spacing w:before="120" w:after="120" w:line="276" w:lineRule="auto"/>
        <w:jc w:val="both"/>
        <w:rPr>
          <w:rFonts w:cs="Arial"/>
          <w:szCs w:val="20"/>
          <w:highlight w:val="yellow"/>
        </w:rPr>
      </w:pPr>
      <w:r w:rsidRPr="00924C39">
        <w:rPr>
          <w:rFonts w:cs="Arial"/>
          <w:szCs w:val="20"/>
          <w:highlight w:val="yellow"/>
        </w:rPr>
        <w:t xml:space="preserve">Após o interregno de um ano, e independentemente de pedido da CONTRATADA, os preços iniciais serão reajustados, mediante a aplicação, pela CONTRATANTE, do índice ___________ </w:t>
      </w:r>
      <w:r w:rsidRPr="00924C39">
        <w:rPr>
          <w:rFonts w:cs="Arial"/>
          <w:i/>
          <w:iCs/>
          <w:color w:val="FF0000"/>
          <w:szCs w:val="20"/>
          <w:highlight w:val="yellow"/>
        </w:rPr>
        <w:t>(indicar o índice a ser adotado)</w:t>
      </w:r>
      <w:r w:rsidRPr="00924C39">
        <w:rPr>
          <w:rFonts w:cs="Arial"/>
          <w:i/>
          <w:iCs/>
          <w:szCs w:val="20"/>
          <w:highlight w:val="yellow"/>
        </w:rPr>
        <w:t>,</w:t>
      </w:r>
      <w:r w:rsidRPr="00924C39">
        <w:rPr>
          <w:rFonts w:cs="Arial"/>
          <w:szCs w:val="20"/>
          <w:highlight w:val="yellow"/>
        </w:rPr>
        <w:t xml:space="preserve"> exclusivamente para as obrigações iniciadas e concluídas após a ocorrência da anualidade, com base na seguinte fórmula (art. 5º do Decreto n.º 1.054, de 1994): </w:t>
      </w:r>
    </w:p>
    <w:p w14:paraId="3C19CFA1"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 xml:space="preserve">R = V (I – </w:t>
      </w:r>
      <w:proofErr w:type="spellStart"/>
      <w:r w:rsidRPr="00924C39">
        <w:rPr>
          <w:rFonts w:cs="Arial"/>
          <w:szCs w:val="20"/>
          <w:highlight w:val="yellow"/>
        </w:rPr>
        <w:t>Iº</w:t>
      </w:r>
      <w:proofErr w:type="spellEnd"/>
      <w:r w:rsidRPr="00924C39">
        <w:rPr>
          <w:rFonts w:cs="Arial"/>
          <w:szCs w:val="20"/>
          <w:highlight w:val="yellow"/>
        </w:rPr>
        <w:t xml:space="preserve">) / </w:t>
      </w:r>
      <w:proofErr w:type="spellStart"/>
      <w:r w:rsidRPr="00924C39">
        <w:rPr>
          <w:rFonts w:cs="Arial"/>
          <w:szCs w:val="20"/>
          <w:highlight w:val="yellow"/>
        </w:rPr>
        <w:t>Iº</w:t>
      </w:r>
      <w:proofErr w:type="spellEnd"/>
      <w:r w:rsidRPr="00924C39">
        <w:rPr>
          <w:rFonts w:cs="Arial"/>
          <w:szCs w:val="20"/>
          <w:highlight w:val="yellow"/>
        </w:rPr>
        <w:t>, onde:</w:t>
      </w:r>
    </w:p>
    <w:p w14:paraId="453F192C"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R = Valor do reajuste procurado;</w:t>
      </w:r>
    </w:p>
    <w:p w14:paraId="20B583FA"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V = Valor contratual a ser reajustado;</w:t>
      </w:r>
    </w:p>
    <w:p w14:paraId="6E94E33C" w14:textId="77777777" w:rsidR="00791199" w:rsidRPr="00924C39" w:rsidRDefault="00791199" w:rsidP="00791199">
      <w:pPr>
        <w:spacing w:before="120" w:after="120" w:line="276" w:lineRule="auto"/>
        <w:ind w:left="1418"/>
        <w:jc w:val="both"/>
        <w:rPr>
          <w:rFonts w:cs="Arial"/>
          <w:szCs w:val="20"/>
          <w:highlight w:val="yellow"/>
        </w:rPr>
      </w:pPr>
      <w:proofErr w:type="spellStart"/>
      <w:r w:rsidRPr="00924C39">
        <w:rPr>
          <w:rFonts w:cs="Arial"/>
          <w:szCs w:val="20"/>
          <w:highlight w:val="yellow"/>
        </w:rPr>
        <w:t>Iº</w:t>
      </w:r>
      <w:proofErr w:type="spellEnd"/>
      <w:r w:rsidRPr="00924C39">
        <w:rPr>
          <w:rFonts w:cs="Arial"/>
          <w:szCs w:val="20"/>
          <w:highlight w:val="yellow"/>
        </w:rPr>
        <w:t xml:space="preserve"> = índice inicial - refere-se ao índice de custos ou de preços correspondente à data fixada para entrega da proposta na licitação;</w:t>
      </w:r>
    </w:p>
    <w:p w14:paraId="7F6189A2" w14:textId="068DF174" w:rsidR="00791199" w:rsidRPr="0009222E" w:rsidRDefault="00791199" w:rsidP="00756ED3">
      <w:pPr>
        <w:spacing w:before="120" w:after="120" w:line="276" w:lineRule="auto"/>
        <w:ind w:left="1418"/>
        <w:jc w:val="both"/>
        <w:rPr>
          <w:rFonts w:cs="Arial"/>
          <w:szCs w:val="20"/>
        </w:rPr>
      </w:pPr>
      <w:r w:rsidRPr="00924C39">
        <w:rPr>
          <w:rFonts w:cs="Arial"/>
          <w:szCs w:val="20"/>
          <w:highlight w:val="yellow"/>
        </w:rPr>
        <w:t>I = Índice relativo ao mês do reajustamento;</w:t>
      </w:r>
    </w:p>
    <w:p w14:paraId="76EFA576" w14:textId="77777777" w:rsidR="00E84D9B" w:rsidRPr="0009222E" w:rsidRDefault="00E84D9B" w:rsidP="00E84D9B">
      <w:pPr>
        <w:pStyle w:val="citao2"/>
        <w:rPr>
          <w:rFonts w:cs="Arial"/>
          <w:color w:val="auto"/>
        </w:rPr>
      </w:pPr>
      <w:r w:rsidRPr="0009222E">
        <w:rPr>
          <w:rFonts w:cs="Arial"/>
          <w:b/>
          <w:color w:val="auto"/>
        </w:rPr>
        <w:t>Nota Explicativa</w:t>
      </w:r>
      <w:r w:rsidRPr="0009222E">
        <w:rPr>
          <w:rFonts w:cs="Arial"/>
          <w:color w:val="auto"/>
        </w:rPr>
        <w:t xml:space="preserve">: A Administração deverá atentar para que o índice utilizado seja o indicador mais próximo da efetiva variação dos preços dos bens a serem fornecidos, “...o qual deverá ser </w:t>
      </w:r>
      <w:r w:rsidRPr="0009222E">
        <w:rPr>
          <w:rFonts w:cs="Arial"/>
          <w:color w:val="auto"/>
        </w:rPr>
        <w:lastRenderedPageBreak/>
        <w:t>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09222E" w:rsidRDefault="00E84D9B" w:rsidP="00E84D9B">
      <w:pPr>
        <w:pStyle w:val="citao2"/>
        <w:rPr>
          <w:rFonts w:cs="Arial"/>
          <w:color w:val="auto"/>
        </w:rPr>
      </w:pPr>
      <w:r w:rsidRPr="0009222E">
        <w:rPr>
          <w:rFonts w:cs="Arial"/>
          <w:b/>
          <w:color w:val="auto"/>
        </w:rPr>
        <w:t xml:space="preserve">Nota Explicativa 2: </w:t>
      </w:r>
      <w:r w:rsidR="00ED79E7" w:rsidRPr="0009222E">
        <w:rPr>
          <w:rFonts w:cs="Arial"/>
          <w:color w:val="auto"/>
        </w:rPr>
        <w:t xml:space="preserve">Caso o serviço </w:t>
      </w:r>
      <w:r w:rsidRPr="0009222E">
        <w:rPr>
          <w:rFonts w:cs="Arial"/>
          <w:color w:val="auto"/>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Nos reajustes subsequentes ao primeiro, o interregno mínimo de um ano será contado a partir dos efeitos financeiros do último reajuste.</w:t>
      </w:r>
    </w:p>
    <w:p w14:paraId="53EF7E0E" w14:textId="2E0BD3B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Nas aferições finais, o índice utilizado para reajuste será, obrigatoriamente, o definitivo.</w:t>
      </w:r>
    </w:p>
    <w:p w14:paraId="616C0454"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O reajuste será realizado por apostilamento.</w:t>
      </w:r>
    </w:p>
    <w:p w14:paraId="2250D020" w14:textId="77777777" w:rsidR="00E84D9B" w:rsidRPr="00552315" w:rsidRDefault="00E84D9B" w:rsidP="00864E77">
      <w:pPr>
        <w:pStyle w:val="Nivel1"/>
        <w:numPr>
          <w:ilvl w:val="0"/>
          <w:numId w:val="3"/>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799ABEBD" w:rsidR="00E84D9B" w:rsidRPr="00552315" w:rsidRDefault="00E84D9B" w:rsidP="0009222E">
      <w:pPr>
        <w:pStyle w:val="PargrafodaLista"/>
        <w:numPr>
          <w:ilvl w:val="1"/>
          <w:numId w:val="3"/>
        </w:numPr>
        <w:spacing w:before="120" w:after="120" w:line="276" w:lineRule="auto"/>
        <w:jc w:val="both"/>
        <w:rPr>
          <w:rFonts w:cs="Arial"/>
          <w:i/>
          <w:color w:val="FF0000"/>
          <w:szCs w:val="20"/>
        </w:rPr>
      </w:pPr>
      <w:r w:rsidRPr="00552315">
        <w:rPr>
          <w:rFonts w:cs="Arial"/>
          <w:i/>
          <w:color w:val="FF0000"/>
          <w:szCs w:val="20"/>
        </w:rPr>
        <w:t xml:space="preserve">Não </w:t>
      </w:r>
      <w:r w:rsidRPr="00F2241A">
        <w:rPr>
          <w:rFonts w:cs="Arial"/>
          <w:i/>
          <w:color w:val="FF0000"/>
          <w:szCs w:val="20"/>
        </w:rPr>
        <w:t xml:space="preserve">haverá exigência de </w:t>
      </w:r>
      <w:r w:rsidRPr="00552315">
        <w:rPr>
          <w:rFonts w:cs="Arial"/>
          <w:i/>
          <w:color w:val="FF0000"/>
          <w:szCs w:val="20"/>
        </w:rPr>
        <w:t>garantia contratual da execução, pelas razões abaixo justificadas:</w:t>
      </w:r>
    </w:p>
    <w:p w14:paraId="5CA8D59E" w14:textId="48450B23" w:rsidR="00E84D9B" w:rsidRPr="00552315" w:rsidRDefault="00B33566" w:rsidP="00756ED3">
      <w:pPr>
        <w:pStyle w:val="PargrafodaLista"/>
        <w:spacing w:before="120" w:after="120" w:line="276" w:lineRule="auto"/>
        <w:ind w:left="1570"/>
        <w:jc w:val="both"/>
        <w:rPr>
          <w:rFonts w:cs="Arial"/>
          <w:i/>
          <w:color w:val="FF0000"/>
          <w:szCs w:val="20"/>
        </w:rPr>
      </w:pPr>
      <w:r>
        <w:rPr>
          <w:rFonts w:cs="Arial"/>
          <w:i/>
          <w:color w:val="FF0000"/>
          <w:szCs w:val="20"/>
        </w:rPr>
        <w:t>.</w:t>
      </w:r>
      <w:r w:rsidR="00E84D9B" w:rsidRPr="00552315">
        <w:rPr>
          <w:rFonts w:cs="Arial"/>
          <w:i/>
          <w:color w:val="FF0000"/>
          <w:szCs w:val="20"/>
        </w:rPr>
        <w:t>..</w:t>
      </w: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16D3F95F" w14:textId="77777777" w:rsidR="00E84D9B" w:rsidRPr="00552315" w:rsidRDefault="00E84D9B" w:rsidP="00E84D9B">
      <w:pPr>
        <w:pStyle w:val="Citao"/>
        <w:spacing w:line="276" w:lineRule="auto"/>
        <w:rPr>
          <w:rFonts w:cs="Arial"/>
          <w:color w:val="auto"/>
          <w:szCs w:val="20"/>
        </w:rPr>
      </w:pPr>
      <w:r w:rsidRPr="00552315">
        <w:rPr>
          <w:rFonts w:cs="Arial"/>
          <w:color w:val="auto"/>
          <w:szCs w:val="20"/>
        </w:rPr>
        <w:t xml:space="preserve">Entretanto, a garantia é obrigatória para os contratos que envolvam a execução de serviços continuados com dedicação exclusiva de mão de obra, nos termos do art. </w:t>
      </w:r>
      <w:r w:rsidRPr="00552315">
        <w:rPr>
          <w:rFonts w:cs="Arial"/>
          <w:color w:val="auto"/>
          <w:szCs w:val="20"/>
          <w:lang w:val="pt-BR"/>
        </w:rPr>
        <w:t>7</w:t>
      </w:r>
      <w:r w:rsidRPr="00552315">
        <w:rPr>
          <w:rFonts w:cs="Arial"/>
          <w:color w:val="auto"/>
          <w:szCs w:val="20"/>
        </w:rPr>
        <w:t>º,</w:t>
      </w:r>
      <w:r w:rsidRPr="00552315">
        <w:rPr>
          <w:rFonts w:cs="Arial"/>
          <w:color w:val="auto"/>
          <w:szCs w:val="20"/>
          <w:lang w:val="pt-BR"/>
        </w:rPr>
        <w:t xml:space="preserve"> VI</w:t>
      </w:r>
      <w:r w:rsidRPr="00552315">
        <w:rPr>
          <w:rFonts w:cs="Arial"/>
          <w:color w:val="auto"/>
          <w:szCs w:val="20"/>
        </w:rPr>
        <w:t xml:space="preserve"> </w:t>
      </w:r>
      <w:r w:rsidRPr="00552315">
        <w:rPr>
          <w:rFonts w:cs="Arial"/>
          <w:color w:val="auto"/>
          <w:szCs w:val="20"/>
          <w:lang w:val="pt-BR"/>
        </w:rPr>
        <w:t>do Decreto nº 9.507, de 2018</w:t>
      </w:r>
      <w:r w:rsidRPr="00552315">
        <w:rPr>
          <w:rFonts w:cs="Arial"/>
          <w:color w:val="auto"/>
          <w:szCs w:val="20"/>
        </w:rPr>
        <w:t>, e do item 3 do Anexo VII-F da Instrução Normativa SEGES/MP n.º 05/2017.</w:t>
      </w: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45B98389"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59ECE2A8"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39CDD045"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63AAF076" w14:textId="4B058348" w:rsidR="00E84D9B" w:rsidRPr="00756ED3" w:rsidRDefault="00370B7B" w:rsidP="00756ED3">
      <w:pPr>
        <w:pStyle w:val="PargrafodaLista"/>
        <w:numPr>
          <w:ilvl w:val="1"/>
          <w:numId w:val="8"/>
        </w:numPr>
        <w:spacing w:before="120" w:after="120" w:line="276" w:lineRule="auto"/>
        <w:contextualSpacing w:val="0"/>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756ED3">
        <w:rPr>
          <w:rFonts w:eastAsia="Calibri" w:cs="Arial"/>
          <w:i/>
          <w:color w:val="FF0000"/>
          <w:szCs w:val="20"/>
          <w:lang w:eastAsia="en-US"/>
        </w:rPr>
        <w:t xml:space="preserve">. </w:t>
      </w:r>
    </w:p>
    <w:p w14:paraId="2FD7C1D9"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89A77E" w14:textId="3EE8D49F"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r w:rsidRPr="00552315">
        <w:rPr>
          <w:rFonts w:cs="Arial"/>
          <w:b/>
          <w:color w:val="auto"/>
          <w:szCs w:val="20"/>
        </w:rPr>
        <w:t>Nota Explicativa</w:t>
      </w:r>
      <w:r w:rsidRPr="00552315">
        <w:rPr>
          <w:rFonts w:cs="Arial"/>
          <w:color w:val="auto"/>
          <w:szCs w:val="20"/>
        </w:rPr>
        <w:t xml:space="preserve">: O art. </w:t>
      </w:r>
      <w:r w:rsidRPr="00552315">
        <w:rPr>
          <w:rFonts w:cs="Arial"/>
          <w:color w:val="auto"/>
          <w:szCs w:val="20"/>
          <w:lang w:val="pt-BR"/>
        </w:rPr>
        <w:t>8</w:t>
      </w:r>
      <w:r w:rsidRPr="00552315">
        <w:rPr>
          <w:rFonts w:cs="Arial"/>
          <w:color w:val="auto"/>
          <w:szCs w:val="20"/>
        </w:rPr>
        <w:t>º,</w:t>
      </w:r>
      <w:r w:rsidRPr="00552315">
        <w:rPr>
          <w:rFonts w:cs="Arial"/>
          <w:color w:val="auto"/>
          <w:szCs w:val="20"/>
          <w:lang w:val="pt-BR"/>
        </w:rPr>
        <w:t xml:space="preserve"> VI do Decreto nº 9.507, de 2018</w:t>
      </w:r>
      <w:r w:rsidRPr="00552315">
        <w:rPr>
          <w:rFonts w:cs="Arial"/>
          <w:color w:val="auto"/>
          <w:szCs w:val="20"/>
        </w:rPr>
        <w:t xml:space="preserve"> exige a prestação de garantia, inclusive para pagamento de obrigações de natureza trabalhista, previdenciária e para com o FGTS, em valor </w:t>
      </w:r>
      <w:r w:rsidRPr="00552315">
        <w:rPr>
          <w:rFonts w:cs="Arial"/>
          <w:color w:val="auto"/>
          <w:szCs w:val="20"/>
        </w:rPr>
        <w:lastRenderedPageBreak/>
        <w:t xml:space="preserve">correspondente a cinco por cento do valor </w:t>
      </w:r>
      <w:r w:rsidR="00F2241A">
        <w:rPr>
          <w:rFonts w:cs="Arial"/>
          <w:color w:val="auto"/>
          <w:szCs w:val="20"/>
          <w:lang w:val="pt-BR"/>
        </w:rPr>
        <w:t>contratual</w:t>
      </w:r>
      <w:r w:rsidRPr="00552315">
        <w:rPr>
          <w:rFonts w:cs="Arial"/>
          <w:color w:val="auto"/>
          <w:szCs w:val="20"/>
        </w:rPr>
        <w:t>, com prazo de validade de até noventa dias após o encerramento do contrato</w:t>
      </w:r>
      <w:r w:rsidRPr="00552315">
        <w:rPr>
          <w:rFonts w:cs="Arial"/>
          <w:color w:val="auto"/>
          <w:szCs w:val="20"/>
          <w:lang w:val="pt-BR"/>
        </w:rPr>
        <w:t>.</w:t>
      </w:r>
    </w:p>
    <w:p w14:paraId="17EB3B75"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garantia em dinheiro deverá ser efetuada em favor da Contratante, em conta específica na Caixa Econômica Federal, com correção monetária.</w:t>
      </w:r>
    </w:p>
    <w:p w14:paraId="0524F795" w14:textId="08BFD56A"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B17904">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552315">
        <w:rPr>
          <w:rFonts w:cs="Arial"/>
          <w:bCs/>
          <w:i/>
          <w:iCs/>
          <w:color w:val="FF0000"/>
          <w:szCs w:val="20"/>
        </w:rPr>
        <w:t>Anexo  VII</w:t>
      </w:r>
      <w:proofErr w:type="gramEnd"/>
      <w:r w:rsidRPr="00552315">
        <w:rPr>
          <w:rFonts w:cs="Arial"/>
          <w:bCs/>
          <w:i/>
          <w:iCs/>
          <w:color w:val="FF0000"/>
          <w:szCs w:val="20"/>
        </w:rPr>
        <w:t>-F da IN SEGES/</w:t>
      </w:r>
      <w:r w:rsidR="003C58CC" w:rsidRPr="00552315">
        <w:rPr>
          <w:rFonts w:cs="Arial"/>
          <w:bCs/>
          <w:i/>
          <w:iCs/>
          <w:color w:val="FF0000"/>
          <w:szCs w:val="20"/>
        </w:rPr>
        <w:t>MP</w:t>
      </w:r>
      <w:r w:rsidRPr="00552315">
        <w:rPr>
          <w:rFonts w:cs="Arial"/>
          <w:bCs/>
          <w:i/>
          <w:iCs/>
          <w:color w:val="FF0000"/>
          <w:szCs w:val="20"/>
        </w:rPr>
        <w:t xml:space="preserve"> n. 05/2017. </w:t>
      </w:r>
    </w:p>
    <w:p w14:paraId="54B2B8A0"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eastAsia="Calibri" w:cs="Arial"/>
          <w:i/>
          <w:color w:val="FF0000"/>
          <w:szCs w:val="20"/>
          <w:lang w:eastAsia="en-US"/>
        </w:rPr>
        <w:t xml:space="preserve">O garantidor não é parte para figurar em processo administrativo instaurado pela </w:t>
      </w:r>
      <w:r w:rsidRPr="00552315">
        <w:rPr>
          <w:rFonts w:cs="Arial"/>
          <w:i/>
          <w:color w:val="FF0000"/>
          <w:szCs w:val="20"/>
        </w:rPr>
        <w:t xml:space="preserve">contratante com o objetivo de apurar prejuízos e/ou aplicar sanções à contratada. </w:t>
      </w:r>
    </w:p>
    <w:p w14:paraId="6761A2E5" w14:textId="77777777" w:rsidR="00E84D9B" w:rsidRPr="00552315" w:rsidRDefault="00E84D9B" w:rsidP="00864E77">
      <w:pPr>
        <w:numPr>
          <w:ilvl w:val="1"/>
          <w:numId w:val="8"/>
        </w:numPr>
        <w:spacing w:before="120" w:after="120" w:line="276" w:lineRule="auto"/>
        <w:ind w:left="425" w:firstLine="0"/>
        <w:jc w:val="both"/>
        <w:rPr>
          <w:rFonts w:eastAsia="Calibri" w:cs="Arial"/>
          <w:i/>
          <w:color w:val="FF0000"/>
          <w:szCs w:val="20"/>
          <w:lang w:eastAsia="en-US"/>
        </w:rPr>
      </w:pPr>
      <w:r w:rsidRPr="00552315">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552315" w:rsidRDefault="00E84D9B" w:rsidP="00E84D9B">
      <w:pPr>
        <w:spacing w:before="120" w:after="120" w:line="276" w:lineRule="auto"/>
        <w:jc w:val="both"/>
        <w:rPr>
          <w:rFonts w:cs="Arial"/>
          <w:szCs w:val="20"/>
        </w:rPr>
      </w:pPr>
    </w:p>
    <w:p w14:paraId="261AB173" w14:textId="32803F3D" w:rsidR="00DB206B" w:rsidRPr="00552315" w:rsidRDefault="00DB206B" w:rsidP="00864E77">
      <w:pPr>
        <w:pStyle w:val="Nivel1"/>
        <w:numPr>
          <w:ilvl w:val="0"/>
          <w:numId w:val="3"/>
        </w:numPr>
        <w:rPr>
          <w:rFonts w:cs="Arial"/>
        </w:rPr>
      </w:pPr>
      <w:r w:rsidRPr="00552315">
        <w:rPr>
          <w:rFonts w:cs="Arial"/>
        </w:rPr>
        <w:lastRenderedPageBreak/>
        <w:t>DAS SANÇÕES ADMINISTRATIVAS</w:t>
      </w:r>
    </w:p>
    <w:p w14:paraId="21957F61"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Comete infração administrativa nos termos da Lei nº 10.520, de 2002, a CONTRATADA que:</w:t>
      </w:r>
    </w:p>
    <w:p w14:paraId="7F4482DA"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falhar na execução do contrato, pela inexecução, total ou parcial, de quaisquer das obrigações assumidas na contratação;</w:t>
      </w:r>
    </w:p>
    <w:p w14:paraId="025CE481"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ensejar o retardamento da execução do objeto;</w:t>
      </w:r>
    </w:p>
    <w:p w14:paraId="40B6CD5B"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fraudar na execução do contrato;</w:t>
      </w:r>
    </w:p>
    <w:p w14:paraId="3FF0E125"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comportar-se de modo inidôneo; ou</w:t>
      </w:r>
    </w:p>
    <w:p w14:paraId="16FA250E"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cometer fraude fiscal.</w:t>
      </w:r>
    </w:p>
    <w:p w14:paraId="156C510C"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 xml:space="preserve">Pela inexecução </w:t>
      </w:r>
      <w:r w:rsidRPr="00255983">
        <w:rPr>
          <w:rFonts w:cs="Arial"/>
          <w:szCs w:val="20"/>
          <w:u w:val="single"/>
        </w:rPr>
        <w:t>total ou parcial</w:t>
      </w:r>
      <w:r w:rsidRPr="00255983">
        <w:rPr>
          <w:rFonts w:cs="Arial"/>
          <w:szCs w:val="20"/>
        </w:rPr>
        <w:t xml:space="preserve"> do objeto deste contrato, a Administração pode aplicar à CONTRATADA as seguintes sanções:</w:t>
      </w:r>
    </w:p>
    <w:p w14:paraId="776DED5B"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Advertência por escrito</w:t>
      </w:r>
      <w:r w:rsidRPr="00255983">
        <w:rPr>
          <w:rFonts w:cs="Arial"/>
          <w:szCs w:val="20"/>
        </w:rPr>
        <w:t>, quando do não cumprimento de quaisquer das obrigações contratuais consideradas faltas leves, assim entendidas aquelas que não acarretam prejuízos significativos para o serviço contratado;</w:t>
      </w:r>
    </w:p>
    <w:p w14:paraId="4F37BE82"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Multa de</w:t>
      </w:r>
      <w:r w:rsidRPr="00255983">
        <w:rPr>
          <w:rFonts w:cs="Arial"/>
          <w:szCs w:val="20"/>
        </w:rPr>
        <w:t xml:space="preserve">: </w:t>
      </w:r>
    </w:p>
    <w:p w14:paraId="28946435"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0,1% (um décimo por cento) até 0,2% (dois décimos por cento) por dia sobre o valor adjudicado em caso de atraso na execução dos serviços, limitada a incidência a </w:t>
      </w:r>
      <w:r w:rsidRPr="00255983">
        <w:rPr>
          <w:rFonts w:cs="Arial"/>
          <w:color w:val="FF0000"/>
          <w:szCs w:val="20"/>
        </w:rPr>
        <w:t>15</w:t>
      </w:r>
      <w:r w:rsidRPr="00255983">
        <w:rPr>
          <w:rFonts w:cs="Arial"/>
          <w:szCs w:val="20"/>
        </w:rPr>
        <w:t xml:space="preserve"> (</w:t>
      </w:r>
      <w:r w:rsidRPr="00255983">
        <w:rPr>
          <w:rFonts w:cs="Arial"/>
          <w:color w:val="FF0000"/>
          <w:szCs w:val="20"/>
        </w:rPr>
        <w:t>quinze</w:t>
      </w:r>
      <w:r w:rsidRPr="00255983">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FD51D11"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10% (dez por cento) sobre o valor adjudicado, em caso de atraso na execução do objeto, por período superior ao previsto no subitem acima, ou de inexecução parcial da obrigação assumida;</w:t>
      </w:r>
    </w:p>
    <w:p w14:paraId="0DC910E3"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15% (quinze por cento) sobre o valor adjudicado, em caso de inexecução total da obrigação assumida;</w:t>
      </w:r>
    </w:p>
    <w:p w14:paraId="759983AB"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0,2% a 3,2% por dia sobre o valor mensal do contrato, conforme detalhamento constante das </w:t>
      </w:r>
      <w:r w:rsidRPr="00255983">
        <w:rPr>
          <w:rFonts w:cs="Arial"/>
          <w:b/>
          <w:bCs/>
          <w:szCs w:val="20"/>
        </w:rPr>
        <w:t>tabelas 1 e 2</w:t>
      </w:r>
      <w:r w:rsidRPr="00255983">
        <w:rPr>
          <w:rFonts w:cs="Arial"/>
          <w:szCs w:val="20"/>
        </w:rPr>
        <w:t>, abaixo; e</w:t>
      </w:r>
    </w:p>
    <w:p w14:paraId="1D5D2199" w14:textId="77777777" w:rsidR="00255983" w:rsidRPr="00255983" w:rsidRDefault="00255983" w:rsidP="00255983">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shd w:val="clear" w:color="auto" w:fill="FFFFCC"/>
          <w:lang w:eastAsia="en-US"/>
        </w:rPr>
      </w:pPr>
      <w:r w:rsidRPr="00255983">
        <w:rPr>
          <w:rFonts w:cs="Arial"/>
          <w:b/>
          <w:bCs/>
          <w:i/>
          <w:iCs/>
          <w:szCs w:val="20"/>
          <w:shd w:val="clear" w:color="auto" w:fill="FFFFCC"/>
          <w:lang w:eastAsia="en-US"/>
        </w:rPr>
        <w:t>Nota explicativa:</w:t>
      </w:r>
      <w:r w:rsidRPr="00255983">
        <w:rPr>
          <w:rFonts w:cs="Arial"/>
          <w:i/>
          <w:iCs/>
          <w:szCs w:val="20"/>
          <w:shd w:val="clear" w:color="auto" w:fill="FFFFCC"/>
          <w:lang w:eastAsia="en-US"/>
        </w:rPr>
        <w:t xml:space="preserve"> Os patamares estabelecidos nos itens acima poderão ser alterados a critério da autoridade. </w:t>
      </w:r>
    </w:p>
    <w:p w14:paraId="18DEA268"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0092F9F"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as penalidades de multa decorrentes de fatos diversos serão consideradas independentes entre si.</w:t>
      </w:r>
    </w:p>
    <w:p w14:paraId="6B74B74F"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Suspensão de licitar e impedimento de contratar com o órgão, entidade ou unidade administrativa pela </w:t>
      </w:r>
      <w:r w:rsidRPr="00255983">
        <w:rPr>
          <w:rFonts w:cs="Arial"/>
          <w:bCs/>
          <w:szCs w:val="20"/>
        </w:rPr>
        <w:t>qual</w:t>
      </w:r>
      <w:r w:rsidRPr="00255983">
        <w:rPr>
          <w:rFonts w:cs="Arial"/>
          <w:szCs w:val="20"/>
        </w:rPr>
        <w:t xml:space="preserve"> a Administração Pública opera e atua concretamente, pelo prazo de até dois anos;</w:t>
      </w:r>
    </w:p>
    <w:p w14:paraId="77A935A7" w14:textId="77777777" w:rsidR="00255983" w:rsidRPr="00255983" w:rsidRDefault="00255983" w:rsidP="00255983">
      <w:pPr>
        <w:ind w:left="720"/>
        <w:jc w:val="both"/>
        <w:rPr>
          <w:rFonts w:cs="Arial"/>
          <w:szCs w:val="20"/>
        </w:rPr>
      </w:pPr>
    </w:p>
    <w:p w14:paraId="317C2D7F" w14:textId="77777777" w:rsidR="00255983" w:rsidRPr="00255983" w:rsidRDefault="00255983" w:rsidP="00255983">
      <w:pPr>
        <w:numPr>
          <w:ilvl w:val="2"/>
          <w:numId w:val="18"/>
        </w:numPr>
        <w:contextualSpacing/>
        <w:jc w:val="both"/>
        <w:rPr>
          <w:rFonts w:cs="Arial"/>
          <w:szCs w:val="20"/>
        </w:rPr>
      </w:pPr>
      <w:r w:rsidRPr="00255983">
        <w:rPr>
          <w:rFonts w:cs="Arial"/>
          <w:szCs w:val="20"/>
        </w:rPr>
        <w:t>Sanção de impedimento de licitar e contratar com órgãos e entidades da União, com o consequente descredenciamento no SICAF pelo prazo de até cinco anos.</w:t>
      </w:r>
    </w:p>
    <w:p w14:paraId="03EA3549" w14:textId="77777777" w:rsidR="00255983" w:rsidRPr="00255983" w:rsidRDefault="00255983" w:rsidP="00255983">
      <w:pPr>
        <w:jc w:val="both"/>
        <w:rPr>
          <w:rFonts w:cs="Arial"/>
          <w:szCs w:val="20"/>
        </w:rPr>
      </w:pPr>
    </w:p>
    <w:p w14:paraId="4B0AE452"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Declaração de inidoneidade para licitar ou contratar com a Administração Pública, enquanto perdurarem os motivos determinantes da punição ou até que seja promovida a </w:t>
      </w:r>
      <w:r w:rsidRPr="00255983">
        <w:rPr>
          <w:rFonts w:cs="Arial"/>
          <w:szCs w:val="20"/>
        </w:rPr>
        <w:lastRenderedPageBreak/>
        <w:t xml:space="preserve">reabilitação perante a própria autoridade que aplicou a penalidade, que será concedida sempre que a Contratada ressarcir a Contratante pelos prejuízos causados; </w:t>
      </w:r>
    </w:p>
    <w:p w14:paraId="7BE5FD78"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 Sanção de impedimento de licitar e contratar prevista no subitem “</w:t>
      </w:r>
      <w:proofErr w:type="spellStart"/>
      <w:r w:rsidRPr="00255983">
        <w:rPr>
          <w:rFonts w:cs="Arial"/>
          <w:szCs w:val="20"/>
        </w:rPr>
        <w:t>iv</w:t>
      </w:r>
      <w:proofErr w:type="spellEnd"/>
      <w:r w:rsidRPr="00255983">
        <w:rPr>
          <w:rFonts w:cs="Arial"/>
          <w:szCs w:val="20"/>
        </w:rPr>
        <w:t>” também é aplicável em quaisquer das hipóteses previstas como infração administrativa neste Termo de Referência.</w:t>
      </w:r>
    </w:p>
    <w:p w14:paraId="4139E313"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As sanções previstas nos subitens “i”, “</w:t>
      </w:r>
      <w:proofErr w:type="spellStart"/>
      <w:r w:rsidRPr="00255983">
        <w:rPr>
          <w:rFonts w:cs="Arial"/>
          <w:szCs w:val="20"/>
        </w:rPr>
        <w:t>iii</w:t>
      </w:r>
      <w:proofErr w:type="spellEnd"/>
      <w:r w:rsidRPr="00255983">
        <w:rPr>
          <w:rFonts w:cs="Arial"/>
          <w:szCs w:val="20"/>
        </w:rPr>
        <w:t>”, “</w:t>
      </w:r>
      <w:proofErr w:type="spellStart"/>
      <w:r w:rsidRPr="00255983">
        <w:rPr>
          <w:rFonts w:cs="Arial"/>
          <w:szCs w:val="20"/>
        </w:rPr>
        <w:t>iv</w:t>
      </w:r>
      <w:proofErr w:type="spellEnd"/>
      <w:r w:rsidRPr="00255983">
        <w:rPr>
          <w:rFonts w:cs="Arial"/>
          <w:szCs w:val="20"/>
        </w:rPr>
        <w:t>” e “v” poderão ser aplicadas à CONTRATADA juntamente com as de multa, descontando-a dos pagamentos a serem efetuados.</w:t>
      </w:r>
    </w:p>
    <w:p w14:paraId="1FBAAE06" w14:textId="54056562"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 xml:space="preserve">Permitir situação que crie a possibilidade de causar dano físico, lesão corporal ou </w:t>
            </w:r>
            <w:proofErr w:type="spellStart"/>
            <w:r w:rsidRPr="00552315">
              <w:rPr>
                <w:rFonts w:cs="Arial"/>
                <w:szCs w:val="20"/>
              </w:rPr>
              <w:t>conseqüências</w:t>
            </w:r>
            <w:proofErr w:type="spellEnd"/>
            <w:r w:rsidRPr="00552315">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7793C2E3" w14:textId="118C86BD"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7AA87AD8" w14:textId="77777777"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864E77">
      <w:pPr>
        <w:numPr>
          <w:ilvl w:val="1"/>
          <w:numId w:val="3"/>
        </w:numPr>
        <w:spacing w:before="120" w:after="120" w:line="276" w:lineRule="auto"/>
        <w:ind w:right="-30"/>
        <w:jc w:val="both"/>
      </w:pPr>
      <w:r w:rsidRPr="00552315">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552315" w:rsidRDefault="00D7051D" w:rsidP="00864E77">
      <w:pPr>
        <w:numPr>
          <w:ilvl w:val="2"/>
          <w:numId w:val="3"/>
        </w:numPr>
        <w:spacing w:before="120" w:after="120" w:line="276" w:lineRule="auto"/>
        <w:ind w:right="-30"/>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864E77">
      <w:pPr>
        <w:numPr>
          <w:ilvl w:val="1"/>
          <w:numId w:val="3"/>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7EB8EDE9" w14:textId="77777777" w:rsidR="00D7051D" w:rsidRPr="00552315" w:rsidRDefault="00D7051D" w:rsidP="00864E77">
      <w:pPr>
        <w:numPr>
          <w:ilvl w:val="1"/>
          <w:numId w:val="3"/>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penalidades serão obrigatoriamente registradas no </w:t>
      </w:r>
      <w:r w:rsidR="003C58CC" w:rsidRPr="00552315">
        <w:rPr>
          <w:rFonts w:cs="Arial"/>
          <w:szCs w:val="20"/>
        </w:rPr>
        <w:t>SICAF</w:t>
      </w:r>
      <w:r w:rsidRPr="00552315">
        <w:rPr>
          <w:rFonts w:cs="Arial"/>
          <w:szCs w:val="20"/>
        </w:rPr>
        <w:t>.</w:t>
      </w:r>
    </w:p>
    <w:p w14:paraId="40385EBD" w14:textId="671A45C1" w:rsidR="006E3DF1" w:rsidRPr="00552315" w:rsidRDefault="006E3DF1" w:rsidP="006E3DF1">
      <w:pPr>
        <w:pStyle w:val="citao2"/>
        <w:pBdr>
          <w:bottom w:val="single" w:sz="4" w:space="0" w:color="1F497D"/>
        </w:pBdr>
        <w:rPr>
          <w:rFonts w:cs="Arial"/>
          <w:lang w:val="pt-BR"/>
        </w:rPr>
      </w:pPr>
      <w:r w:rsidRPr="00552315">
        <w:rPr>
          <w:rFonts w:cs="Arial"/>
          <w:b/>
        </w:rPr>
        <w:t>Nota explicativa</w:t>
      </w:r>
      <w:r w:rsidRPr="00552315">
        <w:rPr>
          <w:rFonts w:cs="Arial"/>
        </w:rPr>
        <w:t xml:space="preserve">: </w:t>
      </w:r>
      <w:r w:rsidRPr="00552315">
        <w:rPr>
          <w:rFonts w:cs="Arial"/>
          <w:lang w:val="pt-BR"/>
        </w:rPr>
        <w:t>No que se refere à multa, observar o disposto no Anexo V, item 2.6, alínea j.3  da  IN SEGES/</w:t>
      </w:r>
      <w:r w:rsidR="003C58CC" w:rsidRPr="00552315">
        <w:rPr>
          <w:rFonts w:cs="Arial"/>
          <w:lang w:val="pt-BR"/>
        </w:rPr>
        <w:t>MP</w:t>
      </w:r>
      <w:r w:rsidRPr="00552315">
        <w:rPr>
          <w:rFonts w:cs="Arial"/>
          <w:lang w:val="pt-BR"/>
        </w:rPr>
        <w:t xml:space="preserve"> n. 5/2017. </w:t>
      </w:r>
    </w:p>
    <w:p w14:paraId="7E38F131" w14:textId="77777777" w:rsidR="00680050" w:rsidRPr="00552315" w:rsidRDefault="00680050" w:rsidP="00680050">
      <w:pPr>
        <w:spacing w:before="120" w:after="120" w:line="276" w:lineRule="auto"/>
        <w:jc w:val="both"/>
        <w:rPr>
          <w:rFonts w:cs="Arial"/>
          <w:i/>
          <w:szCs w:val="20"/>
        </w:rPr>
      </w:pPr>
    </w:p>
    <w:p w14:paraId="2FE86A47" w14:textId="4F3BB31F"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CRITÉRIOS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EBC4A13" w14:textId="49AEE1C9" w:rsidR="00E84E5B" w:rsidRPr="007E1925" w:rsidRDefault="009439A2" w:rsidP="007E1925">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r w:rsidR="007E1925">
        <w:rPr>
          <w:rFonts w:ascii="Arial" w:hAnsi="Arial" w:cs="Arial"/>
          <w:sz w:val="20"/>
          <w:szCs w:val="20"/>
        </w:rPr>
        <w:t xml:space="preserve"> </w:t>
      </w:r>
      <w:r w:rsidR="00E84E5B" w:rsidRPr="007E1925">
        <w:rPr>
          <w:rFonts w:ascii="Arial" w:hAnsi="Arial" w:cs="Arial"/>
          <w:sz w:val="20"/>
          <w:szCs w:val="20"/>
        </w:rPr>
        <w:t>Importante ressaltar que as previsões do Edital devem ser absolutamente coincidentes com as do Termo de Referência,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3A2246C1"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econômic</w:t>
      </w:r>
      <w:r w:rsidR="00370B7B">
        <w:rPr>
          <w:rFonts w:cs="Arial"/>
          <w:szCs w:val="20"/>
        </w:rPr>
        <w:t>o-financeira</w:t>
      </w:r>
      <w:r w:rsidRPr="00552315">
        <w:rPr>
          <w:rFonts w:cs="Arial"/>
          <w:szCs w:val="20"/>
        </w:rPr>
        <w:t xml:space="preserve"> a serem atendidos pelo fornecedor estão previstos no edital.</w:t>
      </w:r>
    </w:p>
    <w:p w14:paraId="4BA10D9F" w14:textId="26FB6424" w:rsidR="009439A2"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técnica a serem atendidos pelo fornecedor serão:</w:t>
      </w:r>
    </w:p>
    <w:p w14:paraId="7168EA85" w14:textId="55E14796" w:rsidR="00791199" w:rsidRPr="00D55BD0" w:rsidRDefault="00791199" w:rsidP="00791199">
      <w:pPr>
        <w:pStyle w:val="Citao"/>
        <w:spacing w:before="240" w:after="240" w:line="276" w:lineRule="auto"/>
        <w:rPr>
          <w:rFonts w:cs="Arial"/>
          <w:szCs w:val="20"/>
          <w:highlight w:val="yellow"/>
        </w:rPr>
      </w:pPr>
      <w:r w:rsidRPr="00D55BD0">
        <w:rPr>
          <w:rFonts w:cs="Arial"/>
          <w:b/>
          <w:szCs w:val="20"/>
          <w:highlight w:val="yellow"/>
        </w:rPr>
        <w:lastRenderedPageBreak/>
        <w:t>Nota Explicativa:</w:t>
      </w:r>
      <w:r w:rsidRPr="00D55BD0">
        <w:rPr>
          <w:rFonts w:cs="Arial"/>
          <w:szCs w:val="20"/>
          <w:highlight w:val="yellow"/>
        </w:rPr>
        <w:t xml:space="preserve"> A documentação relativa à qualificação técnica do licitante </w:t>
      </w:r>
      <w:r w:rsidRPr="00D55BD0">
        <w:rPr>
          <w:rFonts w:cs="Arial"/>
          <w:szCs w:val="20"/>
          <w:highlight w:val="yellow"/>
          <w:lang w:val="pt-BR"/>
        </w:rPr>
        <w:t>poderá</w:t>
      </w:r>
      <w:r w:rsidRPr="00D55BD0">
        <w:rPr>
          <w:rFonts w:cs="Arial"/>
          <w:szCs w:val="20"/>
          <w:highlight w:val="yellow"/>
        </w:rPr>
        <w:t xml:space="preserve"> constar em dispositivo específico, quando a situação demandada a exigir. </w:t>
      </w:r>
      <w:r w:rsidRPr="00D55BD0">
        <w:rPr>
          <w:rFonts w:cs="Arial"/>
          <w:szCs w:val="20"/>
          <w:highlight w:val="yellow"/>
          <w:lang w:val="pt-BR"/>
        </w:rPr>
        <w:t>As</w:t>
      </w:r>
      <w:r w:rsidRPr="00D55BD0">
        <w:rPr>
          <w:rFonts w:cs="Arial"/>
          <w:szCs w:val="20"/>
          <w:highlight w:val="yellow"/>
        </w:rPr>
        <w:t xml:space="preserve"> exigências </w:t>
      </w:r>
      <w:r w:rsidRPr="00D55BD0">
        <w:rPr>
          <w:rFonts w:cs="Arial"/>
          <w:szCs w:val="20"/>
          <w:highlight w:val="yellow"/>
          <w:lang w:val="pt-BR"/>
        </w:rPr>
        <w:t>podem restringir</w:t>
      </w:r>
      <w:r w:rsidRPr="00D55BD0">
        <w:rPr>
          <w:rFonts w:cs="Arial"/>
          <w:szCs w:val="20"/>
          <w:highlight w:val="yellow"/>
        </w:rPr>
        <w:t>-se a alguns itens específicos d</w:t>
      </w:r>
      <w:r w:rsidRPr="00D55BD0">
        <w:rPr>
          <w:rFonts w:cs="Arial"/>
          <w:szCs w:val="20"/>
          <w:highlight w:val="yellow"/>
          <w:lang w:val="pt-BR"/>
        </w:rPr>
        <w:t xml:space="preserve">a contratação de forma </w:t>
      </w:r>
      <w:r w:rsidRPr="00D55BD0">
        <w:rPr>
          <w:rFonts w:cs="Arial"/>
          <w:szCs w:val="20"/>
          <w:highlight w:val="yellow"/>
        </w:rPr>
        <w:t xml:space="preserve">justificada no processo licitatório. Nos termos do art. 30, II, da Lei nº 8.666/93, é obrigatório o estabelecimento de parâmetros mínimos objetivos (quantitativo, prazo, etc.) assim como é importante salientar </w:t>
      </w:r>
      <w:r w:rsidR="00F2241A" w:rsidRPr="00D55BD0">
        <w:rPr>
          <w:rFonts w:cs="Arial"/>
          <w:szCs w:val="20"/>
          <w:highlight w:val="yellow"/>
          <w:lang w:val="pt-BR"/>
        </w:rPr>
        <w:t>que</w:t>
      </w:r>
      <w:r w:rsidRPr="00D55BD0">
        <w:rPr>
          <w:rFonts w:cs="Arial"/>
          <w:szCs w:val="20"/>
          <w:highlight w:val="yellow"/>
        </w:rPr>
        <w:t xml:space="preserve"> somente em casos excepcionais pode ser exigido quantitativo superior a 50% do item licitado. (Acórdão 361/2017- TCU Plenário): </w:t>
      </w:r>
    </w:p>
    <w:p w14:paraId="60F9F34A" w14:textId="77777777" w:rsidR="00791199" w:rsidRPr="00D55BD0" w:rsidRDefault="00791199" w:rsidP="00791199">
      <w:pPr>
        <w:numPr>
          <w:ilvl w:val="2"/>
          <w:numId w:val="3"/>
        </w:numPr>
        <w:spacing w:before="120" w:after="120" w:line="276" w:lineRule="auto"/>
        <w:jc w:val="both"/>
        <w:rPr>
          <w:color w:val="FF0000"/>
          <w:highlight w:val="yellow"/>
        </w:rPr>
      </w:pPr>
      <w:r w:rsidRPr="00D55BD0">
        <w:rPr>
          <w:color w:val="FF0000"/>
          <w:highlight w:val="yellow"/>
        </w:rPr>
        <w:t xml:space="preserve">Registro ou inscrição </w:t>
      </w:r>
      <w:r w:rsidRPr="00D55BD0">
        <w:rPr>
          <w:rFonts w:cs="Arial"/>
          <w:color w:val="000000"/>
          <w:szCs w:val="20"/>
          <w:highlight w:val="yellow"/>
        </w:rPr>
        <w:t>da</w:t>
      </w:r>
      <w:r w:rsidRPr="00D55BD0">
        <w:rPr>
          <w:color w:val="FF0000"/>
          <w:highlight w:val="yellow"/>
        </w:rPr>
        <w:t xml:space="preserve"> empresa licitante na entidade profissional </w:t>
      </w:r>
      <w:r w:rsidRPr="00D55BD0">
        <w:rPr>
          <w:rFonts w:cs="Arial"/>
          <w:color w:val="FF0000"/>
          <w:szCs w:val="20"/>
          <w:highlight w:val="yellow"/>
        </w:rPr>
        <w:t>.........(escrever por extenso, se o caso)</w:t>
      </w:r>
      <w:r w:rsidRPr="00D55BD0">
        <w:rPr>
          <w:color w:val="FF0000"/>
          <w:highlight w:val="yellow"/>
        </w:rPr>
        <w:t>, em plena validade;</w:t>
      </w:r>
    </w:p>
    <w:p w14:paraId="6FF74B33"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D55BD0">
        <w:rPr>
          <w:rFonts w:cs="Arial"/>
          <w:szCs w:val="20"/>
          <w:highlight w:val="yellow"/>
          <w:lang w:val="pt-BR"/>
        </w:rPr>
        <w:t xml:space="preserve"> dispositivo</w:t>
      </w:r>
      <w:r w:rsidRPr="00D55BD0">
        <w:rPr>
          <w:rFonts w:cs="Arial"/>
          <w:szCs w:val="20"/>
          <w:highlight w:val="yellow"/>
        </w:rPr>
        <w:t xml:space="preserve">. </w:t>
      </w:r>
    </w:p>
    <w:p w14:paraId="7D0CE440" w14:textId="77777777" w:rsidR="00791199" w:rsidRPr="00D55BD0" w:rsidRDefault="00791199" w:rsidP="00791199">
      <w:pPr>
        <w:pStyle w:val="Citao"/>
        <w:spacing w:line="276" w:lineRule="auto"/>
        <w:rPr>
          <w:rFonts w:cs="Arial"/>
          <w:bCs/>
          <w:szCs w:val="20"/>
          <w:highlight w:val="yellow"/>
        </w:rPr>
      </w:pPr>
      <w:r w:rsidRPr="00D55BD0">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D55BD0">
        <w:rPr>
          <w:rFonts w:cs="Arial"/>
          <w:szCs w:val="20"/>
          <w:highlight w:val="yellow"/>
          <w:lang w:val="pt-BR"/>
        </w:rPr>
        <w:t xml:space="preserve"> </w:t>
      </w:r>
      <w:r w:rsidRPr="00D55BD0">
        <w:rPr>
          <w:rFonts w:cs="Arial"/>
          <w:szCs w:val="20"/>
          <w:highlight w:val="yellow"/>
        </w:rPr>
        <w:t>Nessas situações, o referido subitem deve ser excluído.</w:t>
      </w:r>
    </w:p>
    <w:p w14:paraId="729D6DD9" w14:textId="77777777" w:rsidR="00791199" w:rsidRPr="00D55BD0" w:rsidRDefault="00791199" w:rsidP="00791199">
      <w:pPr>
        <w:pStyle w:val="PargrafodaLista"/>
        <w:numPr>
          <w:ilvl w:val="2"/>
          <w:numId w:val="3"/>
        </w:numPr>
        <w:spacing w:before="120" w:after="120" w:line="276" w:lineRule="auto"/>
        <w:jc w:val="both"/>
        <w:rPr>
          <w:rFonts w:cs="Arial"/>
          <w:bCs/>
          <w:color w:val="000000"/>
          <w:szCs w:val="20"/>
          <w:highlight w:val="yellow"/>
        </w:rPr>
      </w:pPr>
      <w:bookmarkStart w:id="1" w:name="_Hlk519176340"/>
      <w:r w:rsidRPr="00D55BD0">
        <w:rPr>
          <w:rFonts w:cs="Arial"/>
          <w:color w:val="000000"/>
          <w:szCs w:val="20"/>
          <w:highlight w:val="yellow"/>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C8C0EC0" w14:textId="77777777" w:rsidR="00791199" w:rsidRPr="00D55BD0" w:rsidRDefault="00791199" w:rsidP="00791199">
      <w:pPr>
        <w:numPr>
          <w:ilvl w:val="3"/>
          <w:numId w:val="3"/>
        </w:numPr>
        <w:tabs>
          <w:tab w:val="left" w:pos="1440"/>
        </w:tabs>
        <w:autoSpaceDE w:val="0"/>
        <w:snapToGrid w:val="0"/>
        <w:spacing w:before="120" w:after="120" w:line="276" w:lineRule="auto"/>
        <w:jc w:val="both"/>
        <w:rPr>
          <w:rFonts w:cs="Arial"/>
          <w:bCs/>
          <w:color w:val="000000"/>
          <w:szCs w:val="20"/>
          <w:highlight w:val="yellow"/>
        </w:rPr>
      </w:pPr>
      <w:r w:rsidRPr="00D55BD0">
        <w:rPr>
          <w:rFonts w:cs="Arial"/>
          <w:color w:val="000000"/>
          <w:szCs w:val="20"/>
          <w:highlight w:val="yellow"/>
        </w:rPr>
        <w:t>Para fins da comprovação de que trata este subitem, os atestados deverão dizer respeito a serviços executados com as seguintes características mínimas:</w:t>
      </w:r>
    </w:p>
    <w:p w14:paraId="441EAB66" w14:textId="77777777" w:rsidR="00791199" w:rsidRPr="00D55BD0" w:rsidRDefault="00791199" w:rsidP="00791199">
      <w:pPr>
        <w:pStyle w:val="PargrafodaLista"/>
        <w:numPr>
          <w:ilvl w:val="4"/>
          <w:numId w:val="3"/>
        </w:numPr>
        <w:jc w:val="both"/>
        <w:rPr>
          <w:rFonts w:cs="Arial"/>
          <w:color w:val="FF0000"/>
          <w:szCs w:val="20"/>
          <w:highlight w:val="yellow"/>
        </w:rPr>
      </w:pPr>
      <w:r w:rsidRPr="00D55BD0">
        <w:rPr>
          <w:rFonts w:cs="Arial"/>
          <w:color w:val="FF0000"/>
          <w:szCs w:val="20"/>
          <w:highlight w:val="yellow"/>
        </w:rPr>
        <w:t>Deverá haver a comprovação da experiência mínima de</w:t>
      </w:r>
      <w:proofErr w:type="gramStart"/>
      <w:r w:rsidRPr="00D55BD0">
        <w:rPr>
          <w:rFonts w:cs="Arial"/>
          <w:color w:val="FF0000"/>
          <w:szCs w:val="20"/>
          <w:highlight w:val="yellow"/>
        </w:rPr>
        <w:t>.....</w:t>
      </w:r>
      <w:proofErr w:type="gramEnd"/>
      <w:r w:rsidRPr="00D55BD0">
        <w:rPr>
          <w:rFonts w:cs="Arial"/>
          <w:color w:val="FF0000"/>
          <w:szCs w:val="20"/>
          <w:highlight w:val="yellow"/>
        </w:rPr>
        <w:t xml:space="preserve"> anos na prestação dos serviços, sendo aceito o somatório de atestados de períodos diferentes, não havendo obrigatoriedade de os ......  anos serem ininterruptos, conforme item 10.7.1 do Anexo VII-A da IN SEGES/MPDG n. 5/2017.</w:t>
      </w:r>
    </w:p>
    <w:p w14:paraId="67A2451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57425A4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278F23FA"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3963E5CB" w14:textId="77777777" w:rsidR="00791199" w:rsidRPr="00D55BD0" w:rsidRDefault="00791199" w:rsidP="00791199">
      <w:pPr>
        <w:tabs>
          <w:tab w:val="left" w:pos="1440"/>
        </w:tabs>
        <w:autoSpaceDE w:val="0"/>
        <w:snapToGrid w:val="0"/>
        <w:spacing w:before="120" w:after="120" w:line="276" w:lineRule="auto"/>
        <w:jc w:val="both"/>
        <w:rPr>
          <w:rFonts w:cs="Arial"/>
          <w:color w:val="000000"/>
          <w:szCs w:val="20"/>
          <w:highlight w:val="yellow"/>
        </w:rPr>
      </w:pPr>
    </w:p>
    <w:p w14:paraId="48736A85"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1: </w:t>
      </w:r>
      <w:r w:rsidRPr="00D55BD0">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0ECA5EFD"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04AACE41"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2: </w:t>
      </w:r>
      <w:r w:rsidRPr="00D55BD0">
        <w:rPr>
          <w:rFonts w:cs="Arial"/>
          <w:szCs w:val="20"/>
          <w:highlight w:val="yellow"/>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27B74BE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Ainda assim, deve a Administração verificar a necessidade do estabelecimento de tal previsão, considerando, em especial, o tempo esperado de execução contratual</w:t>
      </w:r>
      <w:r w:rsidRPr="00D55BD0">
        <w:rPr>
          <w:rFonts w:cs="Arial"/>
          <w:szCs w:val="20"/>
          <w:highlight w:val="yellow"/>
          <w:lang w:val="pt-BR"/>
        </w:rPr>
        <w:t>, conforme Acórdão TCU 2870/2018-Plenário</w:t>
      </w:r>
      <w:r w:rsidRPr="00D55BD0">
        <w:rPr>
          <w:rFonts w:cs="Arial"/>
          <w:szCs w:val="20"/>
          <w:highlight w:val="yellow"/>
        </w:rPr>
        <w:t xml:space="preserve">. </w:t>
      </w:r>
    </w:p>
    <w:p w14:paraId="3DE706C0" w14:textId="77777777" w:rsidR="00791199" w:rsidRPr="00D55BD0" w:rsidRDefault="00791199" w:rsidP="00791199">
      <w:pPr>
        <w:pStyle w:val="Citao"/>
        <w:spacing w:line="276" w:lineRule="auto"/>
        <w:rPr>
          <w:rFonts w:cs="Arial"/>
          <w:b/>
          <w:szCs w:val="20"/>
          <w:highlight w:val="yellow"/>
        </w:rPr>
      </w:pPr>
      <w:r w:rsidRPr="00D55BD0">
        <w:rPr>
          <w:rFonts w:cs="Arial"/>
          <w:b/>
          <w:szCs w:val="20"/>
          <w:highlight w:val="yellow"/>
        </w:rPr>
        <w:t xml:space="preserve">Nota explicativa </w:t>
      </w:r>
      <w:r w:rsidRPr="00D55BD0">
        <w:rPr>
          <w:rFonts w:cs="Arial"/>
          <w:b/>
          <w:szCs w:val="20"/>
          <w:highlight w:val="yellow"/>
          <w:lang w:val="pt-BR"/>
        </w:rPr>
        <w:t>3</w:t>
      </w:r>
      <w:r w:rsidRPr="00D55BD0">
        <w:rPr>
          <w:rFonts w:cs="Arial"/>
          <w:szCs w:val="20"/>
          <w:highlight w:val="yellow"/>
        </w:rPr>
        <w:t xml:space="preserve">: Nos serviços em que seja necessário exigir alguma qualificação profissional específica, será possível, justificadamente, exigir a capacitação técnico-profissional, nos termos do art. </w:t>
      </w:r>
      <w:r w:rsidRPr="00D55BD0">
        <w:rPr>
          <w:rFonts w:cs="Arial"/>
          <w:szCs w:val="20"/>
          <w:highlight w:val="yellow"/>
        </w:rPr>
        <w:lastRenderedPageBreak/>
        <w:t xml:space="preserve">30, §1º, I da Lei n. 8.666/93 (como é feito nos serviços de engenharia, por exemplo). </w:t>
      </w:r>
      <w:r w:rsidRPr="00D55BD0">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D55BD0">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2FAD1EF"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w:t>
      </w:r>
      <w:r w:rsidRPr="00D55BD0">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4B54A407"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i.        Para o (profissional XXXX): serviços de XXXX;</w:t>
      </w:r>
    </w:p>
    <w:p w14:paraId="09257118" w14:textId="77777777" w:rsidR="00791199" w:rsidRPr="00D55BD0" w:rsidRDefault="00791199" w:rsidP="00791199">
      <w:pPr>
        <w:pStyle w:val="Citao"/>
        <w:spacing w:line="276" w:lineRule="auto"/>
        <w:rPr>
          <w:rFonts w:cs="Arial"/>
          <w:i w:val="0"/>
          <w:szCs w:val="20"/>
          <w:highlight w:val="yellow"/>
        </w:rPr>
      </w:pPr>
      <w:proofErr w:type="spellStart"/>
      <w:r w:rsidRPr="00D55BD0">
        <w:rPr>
          <w:rFonts w:cs="Arial"/>
          <w:i w:val="0"/>
          <w:szCs w:val="20"/>
          <w:highlight w:val="yellow"/>
        </w:rPr>
        <w:t>ii</w:t>
      </w:r>
      <w:proofErr w:type="spellEnd"/>
      <w:r w:rsidRPr="00D55BD0">
        <w:rPr>
          <w:rFonts w:cs="Arial"/>
          <w:i w:val="0"/>
          <w:szCs w:val="20"/>
          <w:highlight w:val="yellow"/>
        </w:rPr>
        <w:t>.        Para o (profissional XXXX): serviços de XXXX;</w:t>
      </w:r>
    </w:p>
    <w:p w14:paraId="7C70634E"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 xml:space="preserve">etc.    </w:t>
      </w:r>
    </w:p>
    <w:p w14:paraId="7E9EB360"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*.*.1.</w:t>
      </w:r>
      <w:r w:rsidRPr="00D55BD0">
        <w:rPr>
          <w:rFonts w:cs="Arial"/>
          <w:i w:val="0"/>
          <w:szCs w:val="20"/>
          <w:highlight w:val="yellow"/>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9545673"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*.*.2</w:t>
      </w:r>
      <w:r w:rsidRPr="00D55BD0">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9CA1A30" w14:textId="77777777" w:rsidR="00691D23" w:rsidRPr="00D55BD0" w:rsidRDefault="00691D23" w:rsidP="00691D23">
      <w:pPr>
        <w:pStyle w:val="Citao"/>
        <w:spacing w:line="276" w:lineRule="auto"/>
        <w:rPr>
          <w:highlight w:val="yellow"/>
        </w:rPr>
      </w:pPr>
      <w:r w:rsidRPr="00D55BD0">
        <w:rPr>
          <w:highlight w:val="yellow"/>
          <w:lang w:val="pt-BR"/>
        </w:rPr>
        <w:t xml:space="preserve">Nesse mesmo sentido, vide a </w:t>
      </w:r>
      <w:r w:rsidRPr="00D55BD0">
        <w:rPr>
          <w:highlight w:val="yellow"/>
        </w:rPr>
        <w:t>S</w:t>
      </w:r>
      <w:r w:rsidRPr="00D55BD0">
        <w:rPr>
          <w:highlight w:val="yellow"/>
          <w:lang w:val="pt-BR"/>
        </w:rPr>
        <w:t>úmula n</w:t>
      </w:r>
      <w:r w:rsidRPr="00D55BD0">
        <w:rPr>
          <w:highlight w:val="yellow"/>
        </w:rPr>
        <w:t>º 263/2011</w:t>
      </w:r>
      <w:r w:rsidRPr="00D55BD0">
        <w:rPr>
          <w:highlight w:val="yellow"/>
          <w:lang w:val="pt-BR"/>
        </w:rPr>
        <w:t xml:space="preserve"> do TCU:</w:t>
      </w:r>
      <w:r w:rsidRPr="00D55BD0">
        <w:rPr>
          <w:highlight w:val="yellow"/>
        </w:rPr>
        <w:t xml:space="preserve"> </w:t>
      </w:r>
      <w:r w:rsidRPr="00D55BD0">
        <w:rPr>
          <w:highlight w:val="yellow"/>
          <w:lang w:val="pt-BR"/>
        </w:rPr>
        <w:t>“</w:t>
      </w:r>
      <w:r w:rsidRPr="00D55BD0">
        <w:rPr>
          <w:highlight w:val="yellow"/>
        </w:rPr>
        <w:t xml:space="preserve">Para a comprovação da </w:t>
      </w:r>
      <w:r w:rsidRPr="00D55BD0">
        <w:rPr>
          <w:b/>
          <w:highlight w:val="yellow"/>
        </w:rPr>
        <w:t>capacidade técnico-operacional</w:t>
      </w:r>
      <w:r w:rsidRPr="00D55BD0">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D55BD0">
        <w:rPr>
          <w:highlight w:val="yellow"/>
          <w:lang w:val="pt-BR"/>
        </w:rPr>
        <w:t>.”</w:t>
      </w:r>
    </w:p>
    <w:p w14:paraId="484B1B18"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b/>
          <w:szCs w:val="20"/>
          <w:highlight w:val="yellow"/>
          <w:lang w:val="pt-BR"/>
        </w:rPr>
        <w:t xml:space="preserve"> 4</w:t>
      </w:r>
      <w:r w:rsidRPr="00D55BD0">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045B42C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9F93767" w14:textId="77777777" w:rsidR="00791199" w:rsidRPr="00D55BD0" w:rsidRDefault="00791199" w:rsidP="00791199">
      <w:pPr>
        <w:rPr>
          <w:highlight w:val="yellow"/>
        </w:rPr>
      </w:pPr>
    </w:p>
    <w:p w14:paraId="28CF3EA4" w14:textId="77777777" w:rsidR="00791199" w:rsidRPr="00D55BD0" w:rsidRDefault="00791199" w:rsidP="00791199">
      <w:pPr>
        <w:numPr>
          <w:ilvl w:val="3"/>
          <w:numId w:val="3"/>
        </w:numPr>
        <w:spacing w:before="120" w:after="120" w:line="276" w:lineRule="auto"/>
        <w:jc w:val="both"/>
        <w:rPr>
          <w:rFonts w:cs="Arial"/>
          <w:color w:val="000000"/>
          <w:szCs w:val="20"/>
          <w:highlight w:val="yellow"/>
        </w:rPr>
      </w:pPr>
      <w:bookmarkStart w:id="2" w:name="_Hlk519177818"/>
      <w:bookmarkEnd w:id="1"/>
      <w:r w:rsidRPr="00D55BD0">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31A2D359" w14:textId="77777777"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2"/>
    <w:p w14:paraId="4E92D8E5" w14:textId="77777777"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lastRenderedPageBreak/>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3" w:name="_Hlk519177062"/>
      <w:r w:rsidRPr="00D55BD0">
        <w:rPr>
          <w:rFonts w:cs="Arial"/>
          <w:i/>
          <w:color w:val="FF0000"/>
          <w:szCs w:val="20"/>
          <w:highlight w:val="yellow"/>
        </w:rPr>
        <w:t>nos termos do item 10.9 do Anexo VII-A da IN SEGES/MP n. 5/2017.</w:t>
      </w:r>
    </w:p>
    <w:bookmarkEnd w:id="3"/>
    <w:p w14:paraId="7297A1AE" w14:textId="77777777" w:rsidR="00791199" w:rsidRPr="00D55BD0" w:rsidRDefault="00791199" w:rsidP="00791199">
      <w:pPr>
        <w:numPr>
          <w:ilvl w:val="3"/>
          <w:numId w:val="3"/>
        </w:numPr>
        <w:spacing w:before="120" w:after="120" w:line="276" w:lineRule="auto"/>
        <w:jc w:val="both"/>
        <w:rPr>
          <w:rFonts w:cs="Arial"/>
          <w:color w:val="000000"/>
          <w:szCs w:val="20"/>
          <w:highlight w:val="yellow"/>
        </w:rPr>
      </w:pPr>
      <w:r w:rsidRPr="00D55BD0">
        <w:rPr>
          <w:rFonts w:cs="Arial"/>
          <w:color w:val="000000"/>
          <w:szCs w:val="20"/>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EBC071C" w14:textId="57CF5090" w:rsidR="00791199" w:rsidRPr="00D55BD0" w:rsidRDefault="00791199" w:rsidP="00791199">
      <w:pPr>
        <w:numPr>
          <w:ilvl w:val="2"/>
          <w:numId w:val="3"/>
        </w:numPr>
        <w:spacing w:before="120" w:after="120" w:line="276" w:lineRule="auto"/>
        <w:jc w:val="both"/>
        <w:rPr>
          <w:rFonts w:cs="Arial"/>
          <w:bCs/>
          <w:i/>
          <w:color w:val="FF0000"/>
          <w:szCs w:val="20"/>
          <w:highlight w:val="yellow"/>
        </w:rPr>
      </w:pPr>
      <w:r w:rsidRPr="00D55BD0">
        <w:rPr>
          <w:color w:val="FF0000"/>
          <w:highlight w:val="yellow"/>
        </w:rPr>
        <w:t>Prova</w:t>
      </w:r>
      <w:r w:rsidRPr="00D55BD0">
        <w:rPr>
          <w:rFonts w:cs="Arial"/>
          <w:bCs/>
          <w:i/>
          <w:color w:val="FF0000"/>
          <w:szCs w:val="20"/>
          <w:highlight w:val="yellow"/>
        </w:rPr>
        <w:t xml:space="preserve"> de atendimento aos requisitos ........, previstos na lei ............:</w:t>
      </w:r>
    </w:p>
    <w:p w14:paraId="5E697B96"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xml:space="preserve"> Em havendo legislação especial incidente sobre a matéria, que preveja requisitos de qualificação técnica específicos, estes podem ser mencionados neste item do Edital.</w:t>
      </w:r>
    </w:p>
    <w:p w14:paraId="0FB70F19" w14:textId="77777777" w:rsidR="00791199" w:rsidRPr="00D55BD0" w:rsidRDefault="00791199" w:rsidP="00791199">
      <w:pPr>
        <w:numPr>
          <w:ilvl w:val="2"/>
          <w:numId w:val="3"/>
        </w:numPr>
        <w:spacing w:before="120" w:after="120" w:line="276" w:lineRule="auto"/>
        <w:jc w:val="both"/>
        <w:rPr>
          <w:rFonts w:cs="Arial"/>
          <w:bCs/>
          <w:i/>
          <w:color w:val="FF0000"/>
          <w:szCs w:val="20"/>
          <w:highlight w:val="yellow"/>
        </w:rPr>
      </w:pPr>
      <w:bookmarkStart w:id="4" w:name="_Hlk518983267"/>
      <w:r w:rsidRPr="00D55BD0">
        <w:rPr>
          <w:rFonts w:cs="Arial"/>
          <w:bCs/>
          <w:i/>
          <w:color w:val="FF0000"/>
          <w:szCs w:val="20"/>
          <w:highlight w:val="yellow"/>
        </w:rPr>
        <w:t xml:space="preserve">As </w:t>
      </w:r>
      <w:r w:rsidRPr="00D55BD0">
        <w:rPr>
          <w:color w:val="FF0000"/>
          <w:highlight w:val="yellow"/>
        </w:rPr>
        <w:t>empresas</w:t>
      </w:r>
      <w:r w:rsidRPr="00D55BD0">
        <w:rPr>
          <w:rFonts w:cs="Arial"/>
          <w:bCs/>
          <w:i/>
          <w:color w:val="FF0000"/>
          <w:szCs w:val="20"/>
          <w:highlight w:val="yellow"/>
        </w:rPr>
        <w:t>, cadastradas ou não no SICAF, deverão apresentar atestado de vistoria assinado pelo servidor responsável</w:t>
      </w:r>
    </w:p>
    <w:p w14:paraId="7CCAF13E" w14:textId="77777777" w:rsidR="00791199" w:rsidRPr="00D55BD0" w:rsidRDefault="00791199" w:rsidP="00791199">
      <w:pPr>
        <w:numPr>
          <w:ilvl w:val="3"/>
          <w:numId w:val="3"/>
        </w:numPr>
        <w:spacing w:before="120" w:after="120" w:line="276" w:lineRule="auto"/>
        <w:jc w:val="both"/>
        <w:rPr>
          <w:rFonts w:cs="Arial"/>
          <w:bCs/>
          <w:i/>
          <w:color w:val="FF0000"/>
          <w:szCs w:val="20"/>
          <w:highlight w:val="yellow"/>
        </w:rPr>
      </w:pPr>
      <w:r w:rsidRPr="00D55BD0">
        <w:rPr>
          <w:rFonts w:cs="Arial"/>
          <w:bCs/>
          <w:i/>
          <w:color w:val="FF0000"/>
          <w:szCs w:val="2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4"/>
    <w:p w14:paraId="1095DC73" w14:textId="77777777" w:rsidR="00791199" w:rsidRPr="00C11F38" w:rsidRDefault="00791199" w:rsidP="00791199">
      <w:pPr>
        <w:pStyle w:val="Citao"/>
        <w:pBdr>
          <w:bottom w:val="single" w:sz="4" w:space="0" w:color="1F497D"/>
        </w:pBdr>
        <w:spacing w:line="276" w:lineRule="auto"/>
      </w:pPr>
      <w:r w:rsidRPr="00D55BD0">
        <w:rPr>
          <w:b/>
          <w:bCs/>
          <w:highlight w:val="yellow"/>
        </w:rPr>
        <w:t>Nota explicativa</w:t>
      </w:r>
      <w:r w:rsidRPr="00D55BD0">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153D72C7" w14:textId="77777777" w:rsidR="00791199" w:rsidRPr="00756ED3" w:rsidRDefault="00791199" w:rsidP="00756ED3">
      <w:pPr>
        <w:spacing w:before="120" w:after="120" w:line="276" w:lineRule="auto"/>
        <w:ind w:left="792" w:right="-30"/>
        <w:jc w:val="both"/>
        <w:rPr>
          <w:rFonts w:cs="Arial"/>
          <w:szCs w:val="20"/>
          <w:lang w:val="x-none"/>
        </w:rPr>
      </w:pPr>
    </w:p>
    <w:p w14:paraId="02AA2D85" w14:textId="77777777" w:rsidR="004C0D14" w:rsidRPr="00552315" w:rsidRDefault="004C0D14" w:rsidP="00864E77">
      <w:pPr>
        <w:numPr>
          <w:ilvl w:val="1"/>
          <w:numId w:val="3"/>
        </w:numPr>
        <w:spacing w:before="120" w:after="120" w:line="276" w:lineRule="auto"/>
        <w:ind w:right="-30"/>
        <w:jc w:val="both"/>
        <w:rPr>
          <w:i/>
          <w:color w:val="FF0000"/>
          <w:szCs w:val="20"/>
        </w:rPr>
      </w:pPr>
      <w:r w:rsidRPr="00552315">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4C0D14">
      <w:pPr>
        <w:spacing w:before="120" w:after="120" w:line="276" w:lineRule="auto"/>
        <w:ind w:right="-30"/>
        <w:jc w:val="both"/>
        <w:rPr>
          <w:b/>
          <w:i/>
          <w:color w:val="FF0000"/>
          <w:szCs w:val="20"/>
          <w:u w:val="single"/>
        </w:rPr>
      </w:pPr>
      <w:r w:rsidRPr="00552315">
        <w:rPr>
          <w:b/>
          <w:i/>
          <w:color w:val="FF0000"/>
          <w:szCs w:val="20"/>
          <w:u w:val="single"/>
        </w:rPr>
        <w:t>OU</w:t>
      </w:r>
    </w:p>
    <w:p w14:paraId="0691FDA6"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3FF78BB9"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5478F57D" w14:textId="29BC82ED" w:rsidR="006C05F6" w:rsidRPr="00552315" w:rsidRDefault="006C05F6" w:rsidP="006C179B">
      <w:pPr>
        <w:numPr>
          <w:ilvl w:val="1"/>
          <w:numId w:val="19"/>
        </w:numPr>
        <w:spacing w:before="120" w:after="120" w:line="276" w:lineRule="auto"/>
        <w:ind w:right="-30"/>
        <w:jc w:val="both"/>
        <w:rPr>
          <w:rFonts w:cs="Arial"/>
          <w:i/>
          <w:color w:val="FF0000"/>
          <w:szCs w:val="20"/>
        </w:rPr>
      </w:pPr>
      <w:r w:rsidRPr="00552315">
        <w:rPr>
          <w:i/>
          <w:color w:val="FF0000"/>
          <w:szCs w:val="20"/>
        </w:rPr>
        <w:t>Os</w:t>
      </w:r>
      <w:r w:rsidRPr="00552315">
        <w:rPr>
          <w:rFonts w:cs="Arial"/>
          <w:i/>
          <w:color w:val="FF0000"/>
          <w:szCs w:val="20"/>
        </w:rPr>
        <w:t xml:space="preserve"> critérios de aceitabilidade de preços serão:</w:t>
      </w:r>
    </w:p>
    <w:p w14:paraId="3F6E9DF8" w14:textId="77777777" w:rsidR="006C05F6" w:rsidRPr="00552315" w:rsidRDefault="006C05F6" w:rsidP="006C179B">
      <w:pPr>
        <w:numPr>
          <w:ilvl w:val="2"/>
          <w:numId w:val="19"/>
        </w:numPr>
        <w:spacing w:before="120" w:after="120" w:line="276" w:lineRule="auto"/>
        <w:ind w:right="-30"/>
        <w:jc w:val="both"/>
        <w:rPr>
          <w:i/>
          <w:color w:val="FF0000"/>
          <w:szCs w:val="20"/>
        </w:rPr>
      </w:pPr>
      <w:r w:rsidRPr="00552315">
        <w:rPr>
          <w:rFonts w:cs="Arial"/>
          <w:i/>
          <w:color w:val="FF0000"/>
          <w:szCs w:val="20"/>
        </w:rPr>
        <w:t>Valor Global: R$xxx,000 (</w:t>
      </w:r>
      <w:r w:rsidRPr="00552315">
        <w:rPr>
          <w:i/>
          <w:color w:val="FF0000"/>
          <w:szCs w:val="20"/>
        </w:rPr>
        <w:t>indicar por extenso)</w:t>
      </w:r>
    </w:p>
    <w:p w14:paraId="11AEF99B" w14:textId="77777777" w:rsidR="006C05F6" w:rsidRPr="00552315" w:rsidRDefault="006C05F6" w:rsidP="006C179B">
      <w:pPr>
        <w:numPr>
          <w:ilvl w:val="2"/>
          <w:numId w:val="19"/>
        </w:numPr>
        <w:spacing w:before="120" w:after="120" w:line="276" w:lineRule="auto"/>
        <w:ind w:right="-30"/>
        <w:jc w:val="both"/>
        <w:rPr>
          <w:rFonts w:cs="Arial"/>
          <w:i/>
          <w:color w:val="FF0000"/>
          <w:szCs w:val="20"/>
        </w:rPr>
      </w:pPr>
      <w:r w:rsidRPr="00552315">
        <w:rPr>
          <w:i/>
          <w:color w:val="FF0000"/>
          <w:szCs w:val="20"/>
        </w:rPr>
        <w:t>Valores unitários: conforme planilha de</w:t>
      </w:r>
      <w:r w:rsidRPr="00552315">
        <w:rPr>
          <w:rFonts w:cs="Arial"/>
          <w:i/>
          <w:color w:val="FF0000"/>
          <w:szCs w:val="20"/>
        </w:rPr>
        <w:t xml:space="preserve"> composição de preços anexa ao edital.</w:t>
      </w:r>
    </w:p>
    <w:p w14:paraId="1CC7A3A7" w14:textId="77777777" w:rsidR="004C0D14" w:rsidRPr="00552315" w:rsidRDefault="004C0D14" w:rsidP="004C0D14">
      <w:pPr>
        <w:spacing w:before="120" w:after="120" w:line="276" w:lineRule="auto"/>
        <w:ind w:right="-30"/>
        <w:jc w:val="both"/>
        <w:rPr>
          <w:color w:val="FF0000"/>
          <w:szCs w:val="20"/>
        </w:rPr>
      </w:pP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7DE91174" w14:textId="77777777" w:rsidR="004C0D14" w:rsidRPr="00552315" w:rsidRDefault="004C0D14" w:rsidP="004C0D14">
      <w:pPr>
        <w:spacing w:before="120" w:after="120" w:line="276" w:lineRule="auto"/>
        <w:ind w:right="-30"/>
        <w:jc w:val="both"/>
        <w:rPr>
          <w:rFonts w:cs="Arial"/>
          <w:b/>
          <w:bCs/>
          <w:szCs w:val="20"/>
        </w:rPr>
      </w:pPr>
    </w:p>
    <w:p w14:paraId="4D9E6CBE"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O critério de julgamento da proposta é o menor preço global.</w:t>
      </w:r>
    </w:p>
    <w:p w14:paraId="51BE9E26"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71A68919" w14:textId="77777777" w:rsidR="009439A2" w:rsidRPr="00552315" w:rsidRDefault="009439A2" w:rsidP="009439A2">
      <w:pPr>
        <w:spacing w:after="120" w:line="276" w:lineRule="auto"/>
        <w:ind w:left="432" w:right="-17"/>
        <w:jc w:val="both"/>
        <w:rPr>
          <w:rFonts w:cs="Arial"/>
          <w:b/>
          <w:szCs w:val="20"/>
          <w:lang w:val="x-none"/>
        </w:rPr>
      </w:pPr>
    </w:p>
    <w:p w14:paraId="1CE667AA" w14:textId="7777777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ESTIMATIVA DE PREÇOS E PREÇOS REFERENCIAIS.</w:t>
      </w:r>
    </w:p>
    <w:p w14:paraId="72123324" w14:textId="7C7089AC" w:rsidR="00381881" w:rsidRPr="00552315" w:rsidRDefault="00381881" w:rsidP="006C179B">
      <w:pPr>
        <w:numPr>
          <w:ilvl w:val="1"/>
          <w:numId w:val="3"/>
        </w:numPr>
        <w:spacing w:before="120" w:after="120" w:line="276" w:lineRule="auto"/>
        <w:ind w:right="-30"/>
        <w:jc w:val="both"/>
        <w:rPr>
          <w:i/>
          <w:color w:val="FF0000"/>
        </w:rPr>
      </w:pPr>
      <w:r w:rsidRPr="00552315">
        <w:rPr>
          <w:i/>
          <w:color w:val="FF0000"/>
        </w:rPr>
        <w:lastRenderedPageBreak/>
        <w:t>O custo estimado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6C179B">
      <w:pPr>
        <w:numPr>
          <w:ilvl w:val="1"/>
          <w:numId w:val="21"/>
        </w:numPr>
        <w:spacing w:before="120" w:after="120" w:line="276" w:lineRule="auto"/>
        <w:ind w:right="-30"/>
        <w:jc w:val="both"/>
        <w:rPr>
          <w:i/>
          <w:color w:val="FF0000"/>
        </w:rPr>
      </w:pPr>
      <w:r w:rsidRPr="00552315">
        <w:rPr>
          <w:i/>
          <w:color w:val="FF0000"/>
        </w:rPr>
        <w:t>O custo estimado da contratação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6C179B">
      <w:pPr>
        <w:numPr>
          <w:ilvl w:val="1"/>
          <w:numId w:val="22"/>
        </w:numPr>
        <w:spacing w:before="120" w:after="120" w:line="276" w:lineRule="auto"/>
        <w:ind w:right="-30"/>
        <w:jc w:val="both"/>
        <w:rPr>
          <w:i/>
          <w:color w:val="FF0000"/>
        </w:rPr>
      </w:pPr>
      <w:r w:rsidRPr="00552315">
        <w:rPr>
          <w:i/>
          <w:color w:val="FF0000"/>
        </w:rPr>
        <w:t xml:space="preserve">O (valor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552315">
        <w:rPr>
          <w:rFonts w:ascii="Arial" w:hAnsi="Arial" w:cs="Arial"/>
          <w:color w:val="auto"/>
          <w:sz w:val="20"/>
          <w:szCs w:val="20"/>
        </w:rPr>
        <w:t xml:space="preserve">Estimativa </w:t>
      </w:r>
      <w:proofErr w:type="spellStart"/>
      <w:r w:rsidRPr="00552315">
        <w:rPr>
          <w:rFonts w:ascii="Arial" w:hAnsi="Arial" w:cs="Arial"/>
          <w:color w:val="auto"/>
          <w:sz w:val="20"/>
          <w:szCs w:val="20"/>
        </w:rPr>
        <w:t>etc</w:t>
      </w:r>
      <w:proofErr w:type="spellEnd"/>
      <w:proofErr w:type="gramEnd"/>
      <w:r w:rsidRPr="0055231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552315">
        <w:rPr>
          <w:rFonts w:ascii="Arial" w:hAnsi="Arial" w:cs="Arial"/>
          <w:color w:val="auto"/>
          <w:sz w:val="20"/>
          <w:szCs w:val="20"/>
        </w:rPr>
        <w:t>art</w:t>
      </w:r>
      <w:proofErr w:type="spellEnd"/>
      <w:r w:rsidRPr="00552315">
        <w:rPr>
          <w:rFonts w:ascii="Arial" w:hAnsi="Arial" w:cs="Arial"/>
          <w:color w:val="auto"/>
          <w:sz w:val="20"/>
          <w:szCs w:val="20"/>
        </w:rPr>
        <w:t>; 15, §3º do Decreto nº 10.024/19.</w:t>
      </w:r>
    </w:p>
    <w:p w14:paraId="73BEBB3F" w14:textId="77777777" w:rsidR="009439A2" w:rsidRPr="00552315" w:rsidRDefault="009439A2" w:rsidP="009439A2">
      <w:pPr>
        <w:spacing w:after="120" w:line="276" w:lineRule="auto"/>
        <w:ind w:left="432" w:right="-17"/>
        <w:jc w:val="both"/>
        <w:rPr>
          <w:rFonts w:cs="Arial"/>
          <w:b/>
          <w:szCs w:val="20"/>
          <w:lang w:val="x-none"/>
        </w:rPr>
      </w:pPr>
    </w:p>
    <w:p w14:paraId="772259B8" w14:textId="70B327C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DOS RECURSOS ORÇAMENTÁRIOS.</w:t>
      </w:r>
    </w:p>
    <w:p w14:paraId="6D543A55"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34EB934"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Gestão/Unidade: (preencher conforme indicado na Declaração Orçamentária);</w:t>
      </w:r>
    </w:p>
    <w:p w14:paraId="0E23D024"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 xml:space="preserve">Fonte de Recursos: (preencher conforme indicado na Declaração Orçamentária); </w:t>
      </w:r>
    </w:p>
    <w:p w14:paraId="0EF4BD2A"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Programa de Trabalho: (preencher conforme indicado na Declaração Orçamentária);</w:t>
      </w:r>
    </w:p>
    <w:p w14:paraId="5E099DB1"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Elemento de Despesa: (preencher conforme indicado na Declaração Orçamentária);</w:t>
      </w:r>
    </w:p>
    <w:p w14:paraId="31F37A4D"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Plano Interno: (preencher conforme indicado na Declaração Orçamentária);</w:t>
      </w:r>
    </w:p>
    <w:p w14:paraId="64A79E22"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Nota de Empenho: (preencher com o número da nota de empenho).</w:t>
      </w:r>
    </w:p>
    <w:p w14:paraId="0D6A671B" w14:textId="77777777" w:rsidR="0063692F" w:rsidRPr="00DE6AB6" w:rsidRDefault="0063692F" w:rsidP="0063692F">
      <w:pPr>
        <w:spacing w:before="120" w:after="120"/>
        <w:jc w:val="center"/>
        <w:rPr>
          <w:b/>
          <w:bCs/>
          <w:i/>
          <w:iCs/>
          <w:caps/>
          <w:color w:val="FF0000"/>
          <w:highlight w:val="yellow"/>
          <w:u w:val="single"/>
        </w:rPr>
      </w:pPr>
      <w:r w:rsidRPr="00DE6AB6">
        <w:rPr>
          <w:b/>
          <w:bCs/>
          <w:i/>
          <w:iCs/>
          <w:caps/>
          <w:color w:val="FF0000"/>
          <w:highlight w:val="yellow"/>
          <w:u w:val="single"/>
        </w:rPr>
        <w:t>OU</w:t>
      </w:r>
    </w:p>
    <w:p w14:paraId="460227BD"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 indicação da dotação orçamentária fica postergada para o momento da assinatura do contrato ou instrumento equivalente.</w:t>
      </w:r>
    </w:p>
    <w:p w14:paraId="5BBB4896" w14:textId="77777777" w:rsidR="0063692F" w:rsidRPr="00C6645C" w:rsidRDefault="0063692F" w:rsidP="0063692F">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 xml:space="preserve">ma de Registro de Preços – SRP, cfr. </w:t>
      </w:r>
      <w:r w:rsidRPr="00C6645C">
        <w:rPr>
          <w:rFonts w:eastAsia="Calibri" w:cs="Arial"/>
          <w:bCs/>
          <w:i/>
          <w:iCs/>
          <w:color w:val="000000"/>
          <w:szCs w:val="20"/>
          <w:lang w:eastAsia="en-US"/>
        </w:rPr>
        <w:t>Orientação Normativa AGU nº, de 1º de abril de 2009</w:t>
      </w:r>
      <w:r>
        <w:rPr>
          <w:rFonts w:eastAsia="Calibri" w:cs="Arial"/>
          <w:bCs/>
          <w:i/>
          <w:iCs/>
          <w:color w:val="000000"/>
          <w:szCs w:val="20"/>
          <w:lang w:eastAsia="en-US"/>
        </w:rPr>
        <w:t xml:space="preserve"> (</w:t>
      </w:r>
      <w:r w:rsidRPr="00C6645C">
        <w:rPr>
          <w:rFonts w:eastAsia="Calibri" w:cs="Arial"/>
          <w:bCs/>
          <w:i/>
          <w:iCs/>
          <w:color w:val="000000"/>
          <w:szCs w:val="20"/>
          <w:lang w:eastAsia="en-US"/>
        </w:rPr>
        <w:t xml:space="preserve">“Na Licitação para Registro de Preços, 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48BE14FB" w:rsidR="00677F21" w:rsidRPr="00552315" w:rsidRDefault="00677F21" w:rsidP="00677F21">
      <w:pPr>
        <w:spacing w:after="360"/>
        <w:ind w:left="360"/>
        <w:rPr>
          <w:rFonts w:cs="Arial"/>
          <w:szCs w:val="20"/>
        </w:rPr>
      </w:pPr>
      <w:r w:rsidRPr="00552315">
        <w:rPr>
          <w:rFonts w:cs="Arial"/>
          <w:szCs w:val="20"/>
        </w:rPr>
        <w:t>_________________________________</w:t>
      </w:r>
    </w:p>
    <w:p w14:paraId="48FA20D7" w14:textId="6AE231B0" w:rsidR="00677F21" w:rsidRPr="00552315" w:rsidRDefault="00677F21" w:rsidP="005526C2">
      <w:pPr>
        <w:spacing w:after="360"/>
        <w:ind w:left="360"/>
        <w:rPr>
          <w:rFonts w:cs="Arial"/>
          <w:szCs w:val="20"/>
        </w:rPr>
      </w:pPr>
      <w:r w:rsidRPr="00552315">
        <w:rPr>
          <w:rFonts w:cs="Arial"/>
          <w:szCs w:val="20"/>
        </w:rPr>
        <w:t>Identificação e assinatura do servidor (ou equipe) responsável</w:t>
      </w:r>
    </w:p>
    <w:p w14:paraId="746F1334" w14:textId="633A3A76" w:rsidR="00A22DCF"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2BBEE37C" w14:textId="67123B9B" w:rsidR="003663AD" w:rsidRDefault="003663AD" w:rsidP="003663AD">
      <w:pPr>
        <w:spacing w:after="360"/>
        <w:ind w:left="360"/>
        <w:rPr>
          <w:rFonts w:cs="Arial"/>
          <w:b/>
        </w:rPr>
      </w:pPr>
      <w:r>
        <w:rPr>
          <w:rFonts w:cs="Arial"/>
          <w:b/>
        </w:rPr>
        <w:t>Anexos:</w:t>
      </w:r>
    </w:p>
    <w:p w14:paraId="5529D0FB" w14:textId="77777777" w:rsidR="003663AD" w:rsidRPr="00324238" w:rsidRDefault="003663AD" w:rsidP="003663AD">
      <w:pPr>
        <w:ind w:left="360"/>
        <w:rPr>
          <w:rFonts w:cs="Arial"/>
        </w:rPr>
      </w:pPr>
      <w:r w:rsidRPr="00324238">
        <w:rPr>
          <w:rFonts w:cs="Arial"/>
        </w:rPr>
        <w:t>I – Estudo Técnico Preliminar</w:t>
      </w:r>
    </w:p>
    <w:p w14:paraId="4BE1AD37" w14:textId="3F9C9A13" w:rsidR="003663AD" w:rsidRPr="00600BAE" w:rsidRDefault="003663AD" w:rsidP="0009222E">
      <w:pPr>
        <w:ind w:left="360"/>
        <w:rPr>
          <w:rFonts w:cs="Arial"/>
        </w:rPr>
      </w:pPr>
      <w:r w:rsidRPr="00324238">
        <w:rPr>
          <w:rFonts w:cs="Arial"/>
          <w:i/>
          <w:color w:val="FF0000"/>
        </w:rPr>
        <w:t>II - ...</w:t>
      </w:r>
    </w:p>
    <w:sectPr w:rsidR="003663AD" w:rsidRPr="00600BAE" w:rsidSect="00AC2E1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FCFE" w14:textId="77777777" w:rsidR="006F1224" w:rsidRDefault="006F1224">
      <w:r>
        <w:separator/>
      </w:r>
    </w:p>
  </w:endnote>
  <w:endnote w:type="continuationSeparator" w:id="0">
    <w:p w14:paraId="38547123" w14:textId="77777777" w:rsidR="006F1224" w:rsidRDefault="006F1224">
      <w:r>
        <w:continuationSeparator/>
      </w:r>
    </w:p>
  </w:endnote>
  <w:endnote w:type="continuationNotice" w:id="1">
    <w:p w14:paraId="7E04CC87" w14:textId="77777777" w:rsidR="006F1224" w:rsidRDefault="006F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F0DD" w14:textId="77777777" w:rsidR="00C04E58" w:rsidRDefault="00C04E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170F3C" w:rsidRPr="000D390A" w:rsidRDefault="00170F3C"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170F3C" w:rsidRPr="00025B38" w:rsidRDefault="00170F3C"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52BBDED" w:rsidR="00170F3C" w:rsidRDefault="00170F3C"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21B2D27D" w14:textId="25EBC84B" w:rsidR="00170F3C" w:rsidRPr="00DB64EF" w:rsidRDefault="00C04E58" w:rsidP="00C04E58">
    <w:pPr>
      <w:pStyle w:val="Rodap"/>
      <w:rPr>
        <w:sz w:val="12"/>
        <w:szCs w:val="12"/>
      </w:rPr>
    </w:pPr>
    <w:r>
      <w:rPr>
        <w:sz w:val="12"/>
        <w:szCs w:val="12"/>
      </w:rPr>
      <w:t xml:space="preserve">Atualização: </w:t>
    </w:r>
    <w:proofErr w:type="gramStart"/>
    <w:r>
      <w:rPr>
        <w:sz w:val="12"/>
        <w:szCs w:val="12"/>
      </w:rPr>
      <w:t>Julho</w:t>
    </w:r>
    <w:proofErr w:type="gramEnd"/>
    <w:r>
      <w:rPr>
        <w:sz w:val="12"/>
        <w:szCs w:val="12"/>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5B3" w14:textId="77777777" w:rsidR="00C04E58" w:rsidRDefault="00C04E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CAA8" w14:textId="77777777" w:rsidR="006F1224" w:rsidRDefault="006F1224">
      <w:r>
        <w:separator/>
      </w:r>
    </w:p>
  </w:footnote>
  <w:footnote w:type="continuationSeparator" w:id="0">
    <w:p w14:paraId="00FF61DC" w14:textId="77777777" w:rsidR="006F1224" w:rsidRDefault="006F1224">
      <w:r>
        <w:continuationSeparator/>
      </w:r>
    </w:p>
  </w:footnote>
  <w:footnote w:type="continuationNotice" w:id="1">
    <w:p w14:paraId="730D500C" w14:textId="77777777" w:rsidR="006F1224" w:rsidRDefault="006F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9B91" w14:textId="77777777" w:rsidR="00C04E58" w:rsidRDefault="00C04E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9DE" w14:textId="77777777" w:rsidR="00C04E58" w:rsidRDefault="00C04E5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5BE" w14:textId="77777777" w:rsidR="00C04E58" w:rsidRDefault="00C04E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AB40EA"/>
    <w:multiLevelType w:val="multilevel"/>
    <w:tmpl w:val="05DE91F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D42334"/>
    <w:multiLevelType w:val="multilevel"/>
    <w:tmpl w:val="5E72B9C4"/>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CCD49176"/>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E2468D"/>
    <w:multiLevelType w:val="multilevel"/>
    <w:tmpl w:val="B5B6A9B2"/>
    <w:lvl w:ilvl="0">
      <w:start w:val="2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1100930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BF40A2"/>
    <w:multiLevelType w:val="multilevel"/>
    <w:tmpl w:val="84C87AC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6"/>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2"/>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4E"/>
    <w:rsid w:val="0000236D"/>
    <w:rsid w:val="00003298"/>
    <w:rsid w:val="00003EEC"/>
    <w:rsid w:val="00006925"/>
    <w:rsid w:val="00010AC1"/>
    <w:rsid w:val="00014743"/>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47F21"/>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22E"/>
    <w:rsid w:val="00092759"/>
    <w:rsid w:val="000927C2"/>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2173"/>
    <w:rsid w:val="00133136"/>
    <w:rsid w:val="0013348D"/>
    <w:rsid w:val="001377C7"/>
    <w:rsid w:val="00137C32"/>
    <w:rsid w:val="0014004B"/>
    <w:rsid w:val="00141FF0"/>
    <w:rsid w:val="00142B03"/>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67EEB"/>
    <w:rsid w:val="00170CE1"/>
    <w:rsid w:val="00170F3C"/>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1765D"/>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983"/>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5539"/>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648"/>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63AD"/>
    <w:rsid w:val="003678D6"/>
    <w:rsid w:val="00367EF6"/>
    <w:rsid w:val="00370B7B"/>
    <w:rsid w:val="00372E24"/>
    <w:rsid w:val="00373F2A"/>
    <w:rsid w:val="003779A2"/>
    <w:rsid w:val="0038050C"/>
    <w:rsid w:val="00380639"/>
    <w:rsid w:val="0038139C"/>
    <w:rsid w:val="00381881"/>
    <w:rsid w:val="003823C5"/>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34C1"/>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2D40"/>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14D1"/>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641A"/>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077C"/>
    <w:rsid w:val="00521443"/>
    <w:rsid w:val="0052351D"/>
    <w:rsid w:val="00523C55"/>
    <w:rsid w:val="00523F32"/>
    <w:rsid w:val="0052420E"/>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1C04"/>
    <w:rsid w:val="0056213B"/>
    <w:rsid w:val="00562176"/>
    <w:rsid w:val="00562F82"/>
    <w:rsid w:val="00563005"/>
    <w:rsid w:val="00564913"/>
    <w:rsid w:val="00571F84"/>
    <w:rsid w:val="00572024"/>
    <w:rsid w:val="00572193"/>
    <w:rsid w:val="00574A11"/>
    <w:rsid w:val="0057592D"/>
    <w:rsid w:val="005777A4"/>
    <w:rsid w:val="00577C4E"/>
    <w:rsid w:val="00577D7C"/>
    <w:rsid w:val="005800D8"/>
    <w:rsid w:val="005814C9"/>
    <w:rsid w:val="0058214A"/>
    <w:rsid w:val="00582B8E"/>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40E0"/>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18BA"/>
    <w:rsid w:val="006171A9"/>
    <w:rsid w:val="0061787F"/>
    <w:rsid w:val="00620A05"/>
    <w:rsid w:val="006216CD"/>
    <w:rsid w:val="00622D7E"/>
    <w:rsid w:val="00623436"/>
    <w:rsid w:val="00625472"/>
    <w:rsid w:val="00634991"/>
    <w:rsid w:val="00636016"/>
    <w:rsid w:val="0063692F"/>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252F"/>
    <w:rsid w:val="00674964"/>
    <w:rsid w:val="00675B48"/>
    <w:rsid w:val="0067632D"/>
    <w:rsid w:val="00677F21"/>
    <w:rsid w:val="00680050"/>
    <w:rsid w:val="00680543"/>
    <w:rsid w:val="006808C7"/>
    <w:rsid w:val="00680B7E"/>
    <w:rsid w:val="00683124"/>
    <w:rsid w:val="00683B94"/>
    <w:rsid w:val="00683E3C"/>
    <w:rsid w:val="006865F8"/>
    <w:rsid w:val="00686692"/>
    <w:rsid w:val="00691D23"/>
    <w:rsid w:val="00693033"/>
    <w:rsid w:val="00693321"/>
    <w:rsid w:val="00693542"/>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35A"/>
    <w:rsid w:val="006C05F6"/>
    <w:rsid w:val="006C179B"/>
    <w:rsid w:val="006C17A0"/>
    <w:rsid w:val="006C3869"/>
    <w:rsid w:val="006C4B1C"/>
    <w:rsid w:val="006C5F00"/>
    <w:rsid w:val="006D2502"/>
    <w:rsid w:val="006D27E3"/>
    <w:rsid w:val="006D4135"/>
    <w:rsid w:val="006D579B"/>
    <w:rsid w:val="006E0653"/>
    <w:rsid w:val="006E09F2"/>
    <w:rsid w:val="006E2BF6"/>
    <w:rsid w:val="006E3DF1"/>
    <w:rsid w:val="006E4855"/>
    <w:rsid w:val="006E4E0E"/>
    <w:rsid w:val="006E5515"/>
    <w:rsid w:val="006E721C"/>
    <w:rsid w:val="006E75DC"/>
    <w:rsid w:val="006E7ADF"/>
    <w:rsid w:val="006F1224"/>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ED3"/>
    <w:rsid w:val="00756F76"/>
    <w:rsid w:val="00761D03"/>
    <w:rsid w:val="00762644"/>
    <w:rsid w:val="007656F9"/>
    <w:rsid w:val="00766C4B"/>
    <w:rsid w:val="007679B9"/>
    <w:rsid w:val="007701A1"/>
    <w:rsid w:val="00773BCC"/>
    <w:rsid w:val="00774B02"/>
    <w:rsid w:val="00776488"/>
    <w:rsid w:val="00776572"/>
    <w:rsid w:val="0077738D"/>
    <w:rsid w:val="007774C2"/>
    <w:rsid w:val="00784F62"/>
    <w:rsid w:val="00787D28"/>
    <w:rsid w:val="0079000C"/>
    <w:rsid w:val="00790D93"/>
    <w:rsid w:val="00791199"/>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1925"/>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1F9B"/>
    <w:rsid w:val="0080329B"/>
    <w:rsid w:val="00803805"/>
    <w:rsid w:val="008042AA"/>
    <w:rsid w:val="0080582D"/>
    <w:rsid w:val="0080756C"/>
    <w:rsid w:val="008128E0"/>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0D7E"/>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0128"/>
    <w:rsid w:val="008926EA"/>
    <w:rsid w:val="008930F8"/>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4C39"/>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673C"/>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1D10"/>
    <w:rsid w:val="009B518B"/>
    <w:rsid w:val="009B5EC3"/>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383C"/>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97425"/>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34F"/>
    <w:rsid w:val="00B03CB0"/>
    <w:rsid w:val="00B041A9"/>
    <w:rsid w:val="00B0465E"/>
    <w:rsid w:val="00B1218F"/>
    <w:rsid w:val="00B13262"/>
    <w:rsid w:val="00B14561"/>
    <w:rsid w:val="00B14C20"/>
    <w:rsid w:val="00B16238"/>
    <w:rsid w:val="00B17904"/>
    <w:rsid w:val="00B17973"/>
    <w:rsid w:val="00B20CFB"/>
    <w:rsid w:val="00B222EE"/>
    <w:rsid w:val="00B236EC"/>
    <w:rsid w:val="00B23F8B"/>
    <w:rsid w:val="00B2653B"/>
    <w:rsid w:val="00B27724"/>
    <w:rsid w:val="00B30F3D"/>
    <w:rsid w:val="00B31092"/>
    <w:rsid w:val="00B33566"/>
    <w:rsid w:val="00B34F26"/>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FAD"/>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04F0"/>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8B7"/>
    <w:rsid w:val="00BE1DEB"/>
    <w:rsid w:val="00BF0E8E"/>
    <w:rsid w:val="00BF0F7C"/>
    <w:rsid w:val="00BF16E5"/>
    <w:rsid w:val="00BF1A7F"/>
    <w:rsid w:val="00BF2319"/>
    <w:rsid w:val="00C00F37"/>
    <w:rsid w:val="00C02B1A"/>
    <w:rsid w:val="00C031EC"/>
    <w:rsid w:val="00C03F51"/>
    <w:rsid w:val="00C048C7"/>
    <w:rsid w:val="00C04993"/>
    <w:rsid w:val="00C04DD3"/>
    <w:rsid w:val="00C04E58"/>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6E4D"/>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2944"/>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9D4"/>
    <w:rsid w:val="00CB1D8D"/>
    <w:rsid w:val="00CB4667"/>
    <w:rsid w:val="00CB4E3C"/>
    <w:rsid w:val="00CB766B"/>
    <w:rsid w:val="00CC0061"/>
    <w:rsid w:val="00CC0706"/>
    <w:rsid w:val="00CC1710"/>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6479"/>
    <w:rsid w:val="00D473D8"/>
    <w:rsid w:val="00D47E0A"/>
    <w:rsid w:val="00D5130A"/>
    <w:rsid w:val="00D51769"/>
    <w:rsid w:val="00D520D2"/>
    <w:rsid w:val="00D522D8"/>
    <w:rsid w:val="00D52359"/>
    <w:rsid w:val="00D5458D"/>
    <w:rsid w:val="00D5491C"/>
    <w:rsid w:val="00D554E8"/>
    <w:rsid w:val="00D55BD0"/>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53E7"/>
    <w:rsid w:val="00DB64EF"/>
    <w:rsid w:val="00DC23E5"/>
    <w:rsid w:val="00DC3F8A"/>
    <w:rsid w:val="00DC79CF"/>
    <w:rsid w:val="00DD19B0"/>
    <w:rsid w:val="00DD2144"/>
    <w:rsid w:val="00DD3355"/>
    <w:rsid w:val="00DD3603"/>
    <w:rsid w:val="00DD46E9"/>
    <w:rsid w:val="00DE0D00"/>
    <w:rsid w:val="00DE16CD"/>
    <w:rsid w:val="00DE6492"/>
    <w:rsid w:val="00DE6AB6"/>
    <w:rsid w:val="00DE7625"/>
    <w:rsid w:val="00DF028E"/>
    <w:rsid w:val="00DF09DA"/>
    <w:rsid w:val="00DF0DC5"/>
    <w:rsid w:val="00DF1914"/>
    <w:rsid w:val="00DF280B"/>
    <w:rsid w:val="00DF28A7"/>
    <w:rsid w:val="00DF28B7"/>
    <w:rsid w:val="00DF2E5C"/>
    <w:rsid w:val="00DF56A1"/>
    <w:rsid w:val="00DF68C0"/>
    <w:rsid w:val="00DF6CD5"/>
    <w:rsid w:val="00DF7F5A"/>
    <w:rsid w:val="00E00FFD"/>
    <w:rsid w:val="00E014B9"/>
    <w:rsid w:val="00E01993"/>
    <w:rsid w:val="00E03769"/>
    <w:rsid w:val="00E04C02"/>
    <w:rsid w:val="00E053B2"/>
    <w:rsid w:val="00E0626F"/>
    <w:rsid w:val="00E06E93"/>
    <w:rsid w:val="00E07FDD"/>
    <w:rsid w:val="00E139D5"/>
    <w:rsid w:val="00E14CA5"/>
    <w:rsid w:val="00E152DF"/>
    <w:rsid w:val="00E15E2B"/>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4E5B"/>
    <w:rsid w:val="00E85E3E"/>
    <w:rsid w:val="00E86C3D"/>
    <w:rsid w:val="00E872A7"/>
    <w:rsid w:val="00E94E26"/>
    <w:rsid w:val="00E956A8"/>
    <w:rsid w:val="00E963AD"/>
    <w:rsid w:val="00E96685"/>
    <w:rsid w:val="00E96FC4"/>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36BE"/>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41A"/>
    <w:rsid w:val="00F22750"/>
    <w:rsid w:val="00F227D0"/>
    <w:rsid w:val="00F227E8"/>
    <w:rsid w:val="00F23CA1"/>
    <w:rsid w:val="00F2401A"/>
    <w:rsid w:val="00F25596"/>
    <w:rsid w:val="00F25E34"/>
    <w:rsid w:val="00F2646F"/>
    <w:rsid w:val="00F27277"/>
    <w:rsid w:val="00F27E65"/>
    <w:rsid w:val="00F34722"/>
    <w:rsid w:val="00F37721"/>
    <w:rsid w:val="00F405C9"/>
    <w:rsid w:val="00F40A19"/>
    <w:rsid w:val="00F414CD"/>
    <w:rsid w:val="00F414F8"/>
    <w:rsid w:val="00F42254"/>
    <w:rsid w:val="00F446BE"/>
    <w:rsid w:val="00F44FA1"/>
    <w:rsid w:val="00F45CFD"/>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67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76068195">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5790880">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0E6FB793-2C3D-4CB1-8C15-F3AEF630321E}">
  <ds:schemaRefs>
    <ds:schemaRef ds:uri="http://schemas.openxmlformats.org/officeDocument/2006/bibliography"/>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108</TotalTime>
  <Pages>35</Pages>
  <Words>17930</Words>
  <Characters>96826</Characters>
  <Application>Microsoft Office Word</Application>
  <DocSecurity>0</DocSecurity>
  <Lines>806</Lines>
  <Paragraphs>229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57</cp:revision>
  <cp:lastPrinted>2017-09-20T11:39:00Z</cp:lastPrinted>
  <dcterms:created xsi:type="dcterms:W3CDTF">2021-04-06T18:57:00Z</dcterms:created>
  <dcterms:modified xsi:type="dcterms:W3CDTF">2022-04-13T11:24:00Z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