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45A" w:rsidRPr="004A62C2" w:rsidRDefault="00C165B9" w:rsidP="006A7348">
      <w:pPr>
        <w:spacing w:after="0"/>
        <w:jc w:val="center"/>
        <w:rPr>
          <w:b/>
          <w:i/>
          <w:sz w:val="28"/>
        </w:rPr>
      </w:pPr>
      <w:r w:rsidRPr="004A62C2">
        <w:rPr>
          <w:b/>
          <w:i/>
          <w:sz w:val="28"/>
        </w:rPr>
        <w:t xml:space="preserve">Sanidade de Animais Aquáticos </w:t>
      </w:r>
    </w:p>
    <w:p w:rsidR="007847D0" w:rsidRDefault="007847D0" w:rsidP="006A7348">
      <w:pPr>
        <w:spacing w:after="0"/>
        <w:jc w:val="center"/>
        <w:rPr>
          <w:b/>
        </w:rPr>
      </w:pPr>
      <w:r w:rsidRPr="004A62C2">
        <w:rPr>
          <w:b/>
        </w:rPr>
        <w:t>Principais normas</w:t>
      </w:r>
    </w:p>
    <w:p w:rsidR="006A7348" w:rsidRPr="004A62C2" w:rsidRDefault="006A7348" w:rsidP="006A7348">
      <w:pPr>
        <w:spacing w:after="0"/>
        <w:jc w:val="center"/>
        <w:rPr>
          <w:b/>
        </w:rPr>
      </w:pPr>
    </w:p>
    <w:tbl>
      <w:tblPr>
        <w:tblStyle w:val="Tabelacomgrade"/>
        <w:tblW w:w="9837" w:type="dxa"/>
        <w:jc w:val="center"/>
        <w:tblLayout w:type="fixed"/>
        <w:tblLook w:val="04A0" w:firstRow="1" w:lastRow="0" w:firstColumn="1" w:lastColumn="0" w:noHBand="0" w:noVBand="1"/>
      </w:tblPr>
      <w:tblGrid>
        <w:gridCol w:w="3542"/>
        <w:gridCol w:w="6295"/>
      </w:tblGrid>
      <w:tr w:rsidR="00A11AB6" w:rsidRPr="00464F6C" w:rsidTr="00984ABA">
        <w:trPr>
          <w:trHeight w:val="421"/>
          <w:jc w:val="center"/>
        </w:trPr>
        <w:tc>
          <w:tcPr>
            <w:tcW w:w="3542" w:type="dxa"/>
            <w:shd w:val="clear" w:color="auto" w:fill="BDD6EE" w:themeFill="accent1" w:themeFillTint="66"/>
            <w:vAlign w:val="center"/>
            <w:hideMark/>
          </w:tcPr>
          <w:p w:rsidR="00A11AB6" w:rsidRPr="00464F6C" w:rsidRDefault="00A11AB6" w:rsidP="00525731">
            <w:pPr>
              <w:jc w:val="center"/>
              <w:rPr>
                <w:b/>
                <w:bCs/>
              </w:rPr>
            </w:pPr>
            <w:r>
              <w:rPr>
                <w:b/>
                <w:bCs/>
              </w:rPr>
              <w:t>Norma</w:t>
            </w:r>
          </w:p>
        </w:tc>
        <w:tc>
          <w:tcPr>
            <w:tcW w:w="6295" w:type="dxa"/>
            <w:shd w:val="clear" w:color="auto" w:fill="BDD6EE" w:themeFill="accent1" w:themeFillTint="66"/>
            <w:vAlign w:val="center"/>
            <w:hideMark/>
          </w:tcPr>
          <w:p w:rsidR="00A11AB6" w:rsidRPr="00464F6C" w:rsidRDefault="00A11AB6" w:rsidP="00525731">
            <w:pPr>
              <w:jc w:val="center"/>
              <w:rPr>
                <w:b/>
                <w:bCs/>
              </w:rPr>
            </w:pPr>
            <w:r>
              <w:rPr>
                <w:b/>
                <w:bCs/>
              </w:rPr>
              <w:t>Resumo</w:t>
            </w:r>
          </w:p>
        </w:tc>
      </w:tr>
      <w:tr w:rsidR="004F742C" w:rsidRPr="00464F6C" w:rsidTr="00984ABA">
        <w:trPr>
          <w:trHeight w:val="591"/>
          <w:jc w:val="center"/>
        </w:trPr>
        <w:tc>
          <w:tcPr>
            <w:tcW w:w="3542" w:type="dxa"/>
            <w:vAlign w:val="center"/>
          </w:tcPr>
          <w:p w:rsidR="004F742C" w:rsidRPr="00C70F74" w:rsidRDefault="00EA2F35" w:rsidP="00525731">
            <w:pPr>
              <w:autoSpaceDE w:val="0"/>
              <w:autoSpaceDN w:val="0"/>
              <w:adjustRightInd w:val="0"/>
              <w:rPr>
                <w:rFonts w:ascii="Calibri" w:hAnsi="Calibri" w:cs="Arial"/>
                <w:b/>
                <w:bCs/>
                <w:sz w:val="20"/>
              </w:rPr>
            </w:pPr>
            <w:r w:rsidRPr="00EA2F35">
              <w:rPr>
                <w:rFonts w:ascii="Calibri" w:hAnsi="Calibri" w:cs="Arial"/>
                <w:b/>
                <w:bCs/>
                <w:sz w:val="20"/>
              </w:rPr>
              <w:t>Portaria MAPA nº 48, de 24 de maio de 2016</w:t>
            </w:r>
          </w:p>
        </w:tc>
        <w:tc>
          <w:tcPr>
            <w:tcW w:w="6295" w:type="dxa"/>
            <w:vAlign w:val="center"/>
          </w:tcPr>
          <w:p w:rsidR="004F742C" w:rsidRDefault="00EA2F35" w:rsidP="00400E4D">
            <w:pPr>
              <w:autoSpaceDE w:val="0"/>
              <w:autoSpaceDN w:val="0"/>
              <w:adjustRightInd w:val="0"/>
              <w:rPr>
                <w:rFonts w:ascii="Calibri" w:hAnsi="Calibri" w:cs="Arial"/>
                <w:bCs/>
                <w:sz w:val="20"/>
              </w:rPr>
            </w:pPr>
            <w:r>
              <w:rPr>
                <w:rFonts w:ascii="Calibri" w:hAnsi="Calibri" w:cs="Arial"/>
                <w:bCs/>
                <w:sz w:val="20"/>
              </w:rPr>
              <w:t>A</w:t>
            </w:r>
            <w:r w:rsidRPr="00EA2F35">
              <w:rPr>
                <w:rFonts w:ascii="Calibri" w:hAnsi="Calibri" w:cs="Arial"/>
                <w:bCs/>
                <w:sz w:val="20"/>
              </w:rPr>
              <w:t>ltera o Art. 2º da Portaria MPA nº 204, de 28 de junho de 2012</w:t>
            </w:r>
            <w:r w:rsidR="009A4072">
              <w:rPr>
                <w:rFonts w:ascii="Calibri" w:hAnsi="Calibri" w:cs="Arial"/>
                <w:bCs/>
                <w:sz w:val="20"/>
              </w:rPr>
              <w:t xml:space="preserve">, </w:t>
            </w:r>
            <w:r w:rsidR="009A4072" w:rsidRPr="009A4072">
              <w:rPr>
                <w:rFonts w:ascii="Calibri" w:hAnsi="Calibri" w:cs="Arial"/>
                <w:bCs/>
                <w:sz w:val="20"/>
              </w:rPr>
              <w:t>modificando a periodicidade mínima de coleta de amostras de moluscos e de água marinha para o PNCMB</w:t>
            </w:r>
            <w:r w:rsidR="00226496">
              <w:rPr>
                <w:rFonts w:ascii="Calibri" w:hAnsi="Calibri" w:cs="Arial"/>
                <w:bCs/>
                <w:sz w:val="20"/>
              </w:rPr>
              <w:t xml:space="preserve"> -</w:t>
            </w:r>
            <w:r w:rsidR="00226496">
              <w:t xml:space="preserve"> </w:t>
            </w:r>
            <w:r w:rsidR="00226496" w:rsidRPr="00226496">
              <w:rPr>
                <w:rFonts w:ascii="Calibri" w:hAnsi="Calibri" w:cs="Arial"/>
                <w:bCs/>
                <w:sz w:val="20"/>
              </w:rPr>
              <w:t>Programa Nacional de Controle Higiênico- Sanitário de Moluscos Bivalves</w:t>
            </w:r>
          </w:p>
        </w:tc>
      </w:tr>
      <w:tr w:rsidR="00A11AB6" w:rsidRPr="00464F6C" w:rsidTr="00984ABA">
        <w:trPr>
          <w:trHeight w:val="591"/>
          <w:jc w:val="center"/>
        </w:trPr>
        <w:tc>
          <w:tcPr>
            <w:tcW w:w="3542" w:type="dxa"/>
            <w:vAlign w:val="center"/>
          </w:tcPr>
          <w:p w:rsidR="00A11AB6" w:rsidRPr="00C70F74" w:rsidRDefault="00A11AB6" w:rsidP="00525731">
            <w:pPr>
              <w:autoSpaceDE w:val="0"/>
              <w:autoSpaceDN w:val="0"/>
              <w:adjustRightInd w:val="0"/>
              <w:rPr>
                <w:rFonts w:ascii="Calibri" w:hAnsi="Calibri" w:cs="Arial"/>
                <w:b/>
                <w:bCs/>
                <w:sz w:val="20"/>
              </w:rPr>
            </w:pPr>
            <w:r w:rsidRPr="00C70F74">
              <w:rPr>
                <w:rFonts w:ascii="Calibri" w:hAnsi="Calibri" w:cs="Arial"/>
                <w:b/>
                <w:bCs/>
                <w:sz w:val="20"/>
              </w:rPr>
              <w:t>Instrução Normativa MPA nº 10, de 24 de setembro de 2015</w:t>
            </w:r>
          </w:p>
        </w:tc>
        <w:tc>
          <w:tcPr>
            <w:tcW w:w="6295" w:type="dxa"/>
            <w:vAlign w:val="center"/>
          </w:tcPr>
          <w:p w:rsidR="00A11AB6" w:rsidRPr="009F2F0F" w:rsidRDefault="00A11AB6" w:rsidP="00400E4D">
            <w:pPr>
              <w:autoSpaceDE w:val="0"/>
              <w:autoSpaceDN w:val="0"/>
              <w:adjustRightInd w:val="0"/>
              <w:rPr>
                <w:rFonts w:ascii="Calibri" w:hAnsi="Calibri" w:cs="Arial"/>
                <w:bCs/>
                <w:sz w:val="20"/>
              </w:rPr>
            </w:pPr>
            <w:r>
              <w:rPr>
                <w:rFonts w:ascii="Calibri" w:hAnsi="Calibri" w:cs="Arial"/>
                <w:bCs/>
                <w:sz w:val="20"/>
              </w:rPr>
              <w:t>A</w:t>
            </w:r>
            <w:r w:rsidRPr="00400E4D">
              <w:rPr>
                <w:rFonts w:ascii="Calibri" w:hAnsi="Calibri" w:cs="Arial"/>
                <w:bCs/>
                <w:sz w:val="20"/>
              </w:rPr>
              <w:t xml:space="preserve">ltera o </w:t>
            </w:r>
            <w:r w:rsidR="009A4072">
              <w:rPr>
                <w:rFonts w:ascii="Calibri" w:hAnsi="Calibri" w:cs="Arial"/>
                <w:bCs/>
                <w:sz w:val="20"/>
              </w:rPr>
              <w:t>Art.</w:t>
            </w:r>
            <w:r w:rsidRPr="00400E4D">
              <w:rPr>
                <w:rFonts w:ascii="Calibri" w:hAnsi="Calibri" w:cs="Arial"/>
                <w:bCs/>
                <w:sz w:val="20"/>
              </w:rPr>
              <w:t xml:space="preserve"> 109</w:t>
            </w:r>
            <w:r w:rsidR="009A4072">
              <w:rPr>
                <w:rFonts w:ascii="Calibri" w:hAnsi="Calibri" w:cs="Arial"/>
                <w:bCs/>
                <w:sz w:val="20"/>
              </w:rPr>
              <w:t>º</w:t>
            </w:r>
            <w:r w:rsidRPr="00400E4D">
              <w:rPr>
                <w:rFonts w:ascii="Calibri" w:hAnsi="Calibri" w:cs="Arial"/>
                <w:bCs/>
                <w:sz w:val="20"/>
              </w:rPr>
              <w:t xml:space="preserve"> da Instrução Normativa MPA n°4, de 4 de fevereiro de 2015</w:t>
            </w:r>
            <w:r w:rsidR="009A4072">
              <w:rPr>
                <w:rFonts w:ascii="Calibri" w:hAnsi="Calibri" w:cs="Arial"/>
                <w:bCs/>
                <w:sz w:val="20"/>
              </w:rPr>
              <w:t xml:space="preserve">, </w:t>
            </w:r>
            <w:r w:rsidR="009A4072" w:rsidRPr="009A4072">
              <w:rPr>
                <w:rFonts w:ascii="Calibri" w:hAnsi="Calibri" w:cs="Arial"/>
                <w:bCs/>
                <w:sz w:val="20"/>
              </w:rPr>
              <w:t>modificando a data de vigência desta IN para 22 de setembro de 2017, e revoga a IN MPA nº 9, de 25 de agostos de 2015</w:t>
            </w:r>
          </w:p>
        </w:tc>
      </w:tr>
      <w:tr w:rsidR="00A11AB6" w:rsidRPr="00464F6C" w:rsidTr="00984ABA">
        <w:trPr>
          <w:trHeight w:val="736"/>
          <w:jc w:val="center"/>
        </w:trPr>
        <w:tc>
          <w:tcPr>
            <w:tcW w:w="3542" w:type="dxa"/>
            <w:vAlign w:val="center"/>
          </w:tcPr>
          <w:p w:rsidR="00A11AB6" w:rsidRPr="009F2F0F" w:rsidRDefault="00A11AB6" w:rsidP="00525731">
            <w:pPr>
              <w:rPr>
                <w:rFonts w:ascii="Calibri" w:hAnsi="Calibri" w:cs="Arial"/>
                <w:b/>
                <w:sz w:val="20"/>
              </w:rPr>
            </w:pPr>
            <w:r w:rsidRPr="00C70F74">
              <w:rPr>
                <w:rFonts w:ascii="Calibri" w:hAnsi="Calibri" w:cs="Arial"/>
                <w:b/>
                <w:bCs/>
                <w:sz w:val="20"/>
              </w:rPr>
              <w:t>Portaria MPA nº 20, de 4 de fevereiro de 2015</w:t>
            </w:r>
          </w:p>
        </w:tc>
        <w:tc>
          <w:tcPr>
            <w:tcW w:w="6295" w:type="dxa"/>
            <w:vAlign w:val="center"/>
          </w:tcPr>
          <w:p w:rsidR="00A11AB6" w:rsidRPr="009F2F0F" w:rsidRDefault="00A11AB6" w:rsidP="00301163">
            <w:pPr>
              <w:autoSpaceDE w:val="0"/>
              <w:autoSpaceDN w:val="0"/>
              <w:adjustRightInd w:val="0"/>
              <w:rPr>
                <w:rFonts w:ascii="Calibri" w:hAnsi="Calibri" w:cs="Arial"/>
                <w:bCs/>
                <w:sz w:val="20"/>
              </w:rPr>
            </w:pPr>
            <w:r>
              <w:rPr>
                <w:rFonts w:ascii="Calibri" w:hAnsi="Calibri" w:cs="Arial"/>
                <w:bCs/>
                <w:sz w:val="20"/>
              </w:rPr>
              <w:t>D</w:t>
            </w:r>
            <w:r w:rsidRPr="00301163">
              <w:rPr>
                <w:rFonts w:ascii="Calibri" w:hAnsi="Calibri" w:cs="Arial"/>
                <w:bCs/>
                <w:sz w:val="20"/>
              </w:rPr>
              <w:t>esigna os laboratórios da RENAQUA como instituições capacitadas e autorizadas pelo MPA para ministrar treinamento de coleta e remessa de amostras oficiais</w:t>
            </w:r>
          </w:p>
        </w:tc>
      </w:tr>
      <w:tr w:rsidR="00790518" w:rsidRPr="00464F6C" w:rsidTr="00984ABA">
        <w:trPr>
          <w:trHeight w:val="736"/>
          <w:jc w:val="center"/>
        </w:trPr>
        <w:tc>
          <w:tcPr>
            <w:tcW w:w="3542" w:type="dxa"/>
            <w:vAlign w:val="center"/>
          </w:tcPr>
          <w:p w:rsidR="00790518" w:rsidRPr="00C70F74" w:rsidRDefault="00790518" w:rsidP="00525731">
            <w:pPr>
              <w:rPr>
                <w:rFonts w:ascii="Calibri" w:hAnsi="Calibri" w:cs="Arial"/>
                <w:b/>
                <w:bCs/>
                <w:sz w:val="20"/>
              </w:rPr>
            </w:pPr>
            <w:r w:rsidRPr="00790518">
              <w:rPr>
                <w:rFonts w:ascii="Calibri" w:hAnsi="Calibri" w:cs="Arial"/>
                <w:b/>
                <w:bCs/>
                <w:sz w:val="20"/>
              </w:rPr>
              <w:t>Instrução Normativa MAPA nº 11, de 28 de maio de 2015</w:t>
            </w:r>
          </w:p>
        </w:tc>
        <w:tc>
          <w:tcPr>
            <w:tcW w:w="6295" w:type="dxa"/>
            <w:vAlign w:val="center"/>
          </w:tcPr>
          <w:p w:rsidR="00790518" w:rsidRDefault="00450EE0" w:rsidP="00301163">
            <w:pPr>
              <w:autoSpaceDE w:val="0"/>
              <w:autoSpaceDN w:val="0"/>
              <w:adjustRightInd w:val="0"/>
              <w:rPr>
                <w:rFonts w:ascii="Calibri" w:hAnsi="Calibri" w:cs="Arial"/>
                <w:bCs/>
                <w:sz w:val="20"/>
              </w:rPr>
            </w:pPr>
            <w:r>
              <w:rPr>
                <w:rFonts w:ascii="Calibri" w:hAnsi="Calibri" w:cs="Arial"/>
                <w:bCs/>
                <w:sz w:val="20"/>
              </w:rPr>
              <w:t>R</w:t>
            </w:r>
            <w:r w:rsidRPr="00450EE0">
              <w:rPr>
                <w:rFonts w:ascii="Calibri" w:hAnsi="Calibri" w:cs="Arial"/>
                <w:bCs/>
                <w:sz w:val="20"/>
              </w:rPr>
              <w:t xml:space="preserve">evoga as Instruções Normativas SDA/MAPA nº 53 e nº 18, de 2 de julho de 2003, e de 13 de maio de 2008, respectivamente, tendo em vista a Instrução Normativa </w:t>
            </w:r>
            <w:r w:rsidR="009A4072">
              <w:rPr>
                <w:rFonts w:ascii="Calibri" w:hAnsi="Calibri" w:cs="Arial"/>
                <w:bCs/>
                <w:sz w:val="20"/>
              </w:rPr>
              <w:t xml:space="preserve">MPA </w:t>
            </w:r>
            <w:r w:rsidRPr="00450EE0">
              <w:rPr>
                <w:rFonts w:ascii="Calibri" w:hAnsi="Calibri" w:cs="Arial"/>
                <w:bCs/>
                <w:sz w:val="20"/>
              </w:rPr>
              <w:t>n</w:t>
            </w:r>
            <w:r w:rsidR="009A4072">
              <w:rPr>
                <w:rFonts w:ascii="Calibri" w:hAnsi="Calibri" w:cs="Arial"/>
                <w:bCs/>
                <w:sz w:val="20"/>
              </w:rPr>
              <w:t>º</w:t>
            </w:r>
            <w:r w:rsidRPr="00450EE0">
              <w:rPr>
                <w:rFonts w:ascii="Calibri" w:hAnsi="Calibri" w:cs="Arial"/>
                <w:bCs/>
                <w:sz w:val="20"/>
              </w:rPr>
              <w:t xml:space="preserve"> 4, de 4 de fevereiro de 2015</w:t>
            </w:r>
          </w:p>
        </w:tc>
      </w:tr>
      <w:tr w:rsidR="00E63E26" w:rsidRPr="00464F6C" w:rsidTr="00984ABA">
        <w:trPr>
          <w:trHeight w:val="736"/>
          <w:jc w:val="center"/>
        </w:trPr>
        <w:tc>
          <w:tcPr>
            <w:tcW w:w="3542" w:type="dxa"/>
            <w:vAlign w:val="center"/>
          </w:tcPr>
          <w:p w:rsidR="00E63E26" w:rsidRPr="00C70F74" w:rsidRDefault="00FE1099" w:rsidP="00525731">
            <w:pPr>
              <w:rPr>
                <w:rFonts w:ascii="Calibri" w:hAnsi="Calibri" w:cs="Arial"/>
                <w:b/>
                <w:bCs/>
                <w:sz w:val="20"/>
              </w:rPr>
            </w:pPr>
            <w:r w:rsidRPr="00FE1099">
              <w:rPr>
                <w:rFonts w:ascii="Calibri" w:hAnsi="Calibri" w:cs="Arial"/>
                <w:b/>
                <w:bCs/>
                <w:sz w:val="20"/>
              </w:rPr>
              <w:t>Portaria MPA nº 19, de 4 de fevereiro de 2015</w:t>
            </w:r>
          </w:p>
        </w:tc>
        <w:tc>
          <w:tcPr>
            <w:tcW w:w="6295" w:type="dxa"/>
            <w:vAlign w:val="center"/>
          </w:tcPr>
          <w:p w:rsidR="00E63E26" w:rsidRDefault="00FE1099" w:rsidP="00301163">
            <w:pPr>
              <w:autoSpaceDE w:val="0"/>
              <w:autoSpaceDN w:val="0"/>
              <w:adjustRightInd w:val="0"/>
              <w:rPr>
                <w:rFonts w:ascii="Calibri" w:hAnsi="Calibri" w:cs="Arial"/>
                <w:bCs/>
                <w:sz w:val="20"/>
              </w:rPr>
            </w:pPr>
            <w:r>
              <w:rPr>
                <w:rFonts w:ascii="Calibri" w:hAnsi="Calibri" w:cs="Arial"/>
                <w:bCs/>
                <w:sz w:val="20"/>
              </w:rPr>
              <w:t>D</w:t>
            </w:r>
            <w:r w:rsidRPr="00FE1099">
              <w:rPr>
                <w:rFonts w:ascii="Calibri" w:hAnsi="Calibri" w:cs="Arial"/>
                <w:bCs/>
                <w:sz w:val="20"/>
              </w:rPr>
              <w:t>efine a lista de doenças de notificação obrigatória de animais aquáticos ao Serviço Veterinário Oficial (SVO)</w:t>
            </w:r>
            <w:r>
              <w:rPr>
                <w:rFonts w:ascii="Calibri" w:hAnsi="Calibri" w:cs="Arial"/>
                <w:bCs/>
                <w:sz w:val="20"/>
              </w:rPr>
              <w:t>.</w:t>
            </w:r>
          </w:p>
        </w:tc>
      </w:tr>
      <w:tr w:rsidR="00A11AB6" w:rsidRPr="00464F6C" w:rsidTr="00984ABA">
        <w:trPr>
          <w:trHeight w:val="745"/>
          <w:jc w:val="center"/>
        </w:trPr>
        <w:tc>
          <w:tcPr>
            <w:tcW w:w="3542" w:type="dxa"/>
            <w:vAlign w:val="center"/>
          </w:tcPr>
          <w:p w:rsidR="00A11AB6" w:rsidRPr="00C70F74" w:rsidRDefault="00A11AB6" w:rsidP="00525731">
            <w:pPr>
              <w:autoSpaceDE w:val="0"/>
              <w:autoSpaceDN w:val="0"/>
              <w:adjustRightInd w:val="0"/>
              <w:rPr>
                <w:rFonts w:ascii="Calibri" w:hAnsi="Calibri" w:cs="Arial"/>
                <w:b/>
                <w:bCs/>
                <w:sz w:val="20"/>
              </w:rPr>
            </w:pPr>
            <w:r w:rsidRPr="00C70F74">
              <w:rPr>
                <w:rFonts w:ascii="Calibri" w:hAnsi="Calibri" w:cs="Arial"/>
                <w:b/>
                <w:bCs/>
                <w:sz w:val="20"/>
              </w:rPr>
              <w:t xml:space="preserve">Instrução Normativa MPA nº 04, de 04 de fevereiro de 2015  </w:t>
            </w:r>
          </w:p>
        </w:tc>
        <w:tc>
          <w:tcPr>
            <w:tcW w:w="6295" w:type="dxa"/>
            <w:vAlign w:val="center"/>
          </w:tcPr>
          <w:p w:rsidR="00A11AB6" w:rsidRPr="009F2F0F" w:rsidRDefault="00A11AB6" w:rsidP="00525731">
            <w:pPr>
              <w:autoSpaceDE w:val="0"/>
              <w:autoSpaceDN w:val="0"/>
              <w:adjustRightInd w:val="0"/>
              <w:rPr>
                <w:rFonts w:ascii="Calibri" w:hAnsi="Calibri" w:cs="Arial"/>
                <w:bCs/>
                <w:sz w:val="20"/>
              </w:rPr>
            </w:pPr>
            <w:r w:rsidRPr="00580D0E">
              <w:rPr>
                <w:rFonts w:ascii="Calibri" w:hAnsi="Calibri" w:cs="Arial"/>
                <w:bCs/>
                <w:sz w:val="20"/>
              </w:rPr>
              <w:t>Institui o Programa Nacional de Sanidade de Animais Aquáticos de Cultivo – “Aquicultura com Sanidade”</w:t>
            </w:r>
          </w:p>
        </w:tc>
      </w:tr>
      <w:tr w:rsidR="00250B96" w:rsidRPr="00464F6C" w:rsidTr="00984ABA">
        <w:trPr>
          <w:trHeight w:val="745"/>
          <w:jc w:val="center"/>
        </w:trPr>
        <w:tc>
          <w:tcPr>
            <w:tcW w:w="3542" w:type="dxa"/>
            <w:vAlign w:val="center"/>
          </w:tcPr>
          <w:p w:rsidR="00250B96" w:rsidRPr="00C70F74" w:rsidRDefault="00250B96" w:rsidP="00525731">
            <w:pPr>
              <w:autoSpaceDE w:val="0"/>
              <w:autoSpaceDN w:val="0"/>
              <w:adjustRightInd w:val="0"/>
              <w:rPr>
                <w:rFonts w:ascii="Calibri" w:hAnsi="Calibri" w:cs="Arial"/>
                <w:b/>
                <w:bCs/>
                <w:sz w:val="20"/>
              </w:rPr>
            </w:pPr>
            <w:r w:rsidRPr="00250B96">
              <w:rPr>
                <w:rFonts w:ascii="Calibri" w:hAnsi="Calibri" w:cs="Arial"/>
                <w:b/>
                <w:bCs/>
                <w:sz w:val="20"/>
              </w:rPr>
              <w:t>Instrução Normativa MPA nº 30, de 30 de dezembro de 2014</w:t>
            </w:r>
          </w:p>
        </w:tc>
        <w:tc>
          <w:tcPr>
            <w:tcW w:w="6295" w:type="dxa"/>
            <w:vAlign w:val="center"/>
          </w:tcPr>
          <w:p w:rsidR="00250B96" w:rsidRPr="00580D0E" w:rsidRDefault="00250B96" w:rsidP="00525731">
            <w:pPr>
              <w:autoSpaceDE w:val="0"/>
              <w:autoSpaceDN w:val="0"/>
              <w:adjustRightInd w:val="0"/>
              <w:rPr>
                <w:rFonts w:ascii="Calibri" w:hAnsi="Calibri" w:cs="Arial"/>
                <w:bCs/>
                <w:sz w:val="20"/>
              </w:rPr>
            </w:pPr>
            <w:r>
              <w:rPr>
                <w:rFonts w:ascii="Calibri" w:hAnsi="Calibri" w:cs="Arial"/>
                <w:bCs/>
                <w:sz w:val="20"/>
              </w:rPr>
              <w:t>I</w:t>
            </w:r>
            <w:r w:rsidRPr="00250B96">
              <w:rPr>
                <w:rFonts w:ascii="Calibri" w:hAnsi="Calibri" w:cs="Arial"/>
                <w:bCs/>
                <w:sz w:val="20"/>
              </w:rPr>
              <w:t>nstitui o Programa Nacional de Moni</w:t>
            </w:r>
            <w:bookmarkStart w:id="0" w:name="_GoBack"/>
            <w:bookmarkEnd w:id="0"/>
            <w:r w:rsidRPr="00250B96">
              <w:rPr>
                <w:rFonts w:ascii="Calibri" w:hAnsi="Calibri" w:cs="Arial"/>
                <w:bCs/>
                <w:sz w:val="20"/>
              </w:rPr>
              <w:t>toramento de Resistência a Antimicrobianos</w:t>
            </w:r>
            <w:r w:rsidR="009A4072">
              <w:rPr>
                <w:rFonts w:ascii="Calibri" w:hAnsi="Calibri" w:cs="Arial"/>
                <w:bCs/>
                <w:sz w:val="20"/>
              </w:rPr>
              <w:t xml:space="preserve"> em recursos pesqueiros</w:t>
            </w:r>
            <w:r>
              <w:rPr>
                <w:rFonts w:ascii="Calibri" w:hAnsi="Calibri" w:cs="Arial"/>
                <w:bCs/>
                <w:sz w:val="20"/>
              </w:rPr>
              <w:t>.</w:t>
            </w:r>
          </w:p>
        </w:tc>
      </w:tr>
      <w:tr w:rsidR="0052589F" w:rsidRPr="00464F6C" w:rsidTr="00984ABA">
        <w:trPr>
          <w:trHeight w:val="745"/>
          <w:jc w:val="center"/>
        </w:trPr>
        <w:tc>
          <w:tcPr>
            <w:tcW w:w="3542" w:type="dxa"/>
            <w:vAlign w:val="center"/>
          </w:tcPr>
          <w:p w:rsidR="0052589F" w:rsidRPr="00C70F74" w:rsidRDefault="0052589F" w:rsidP="00525731">
            <w:pPr>
              <w:autoSpaceDE w:val="0"/>
              <w:autoSpaceDN w:val="0"/>
              <w:adjustRightInd w:val="0"/>
              <w:rPr>
                <w:rFonts w:ascii="Calibri" w:hAnsi="Calibri" w:cs="Arial"/>
                <w:b/>
                <w:bCs/>
                <w:sz w:val="20"/>
              </w:rPr>
            </w:pPr>
            <w:r w:rsidRPr="0052589F">
              <w:rPr>
                <w:rFonts w:ascii="Calibri" w:hAnsi="Calibri" w:cs="Arial"/>
                <w:b/>
                <w:bCs/>
                <w:sz w:val="20"/>
              </w:rPr>
              <w:t>Instrução Normativa MPA nº 29, de 22 de dezembro de 2014</w:t>
            </w:r>
          </w:p>
        </w:tc>
        <w:tc>
          <w:tcPr>
            <w:tcW w:w="6295" w:type="dxa"/>
            <w:vAlign w:val="center"/>
          </w:tcPr>
          <w:p w:rsidR="0052589F" w:rsidRPr="00580D0E" w:rsidRDefault="0052589F" w:rsidP="00525731">
            <w:pPr>
              <w:autoSpaceDE w:val="0"/>
              <w:autoSpaceDN w:val="0"/>
              <w:adjustRightInd w:val="0"/>
              <w:rPr>
                <w:rFonts w:ascii="Calibri" w:hAnsi="Calibri" w:cs="Arial"/>
                <w:bCs/>
                <w:sz w:val="20"/>
              </w:rPr>
            </w:pPr>
            <w:r>
              <w:rPr>
                <w:rFonts w:ascii="Calibri" w:hAnsi="Calibri" w:cs="Arial"/>
                <w:bCs/>
                <w:sz w:val="20"/>
              </w:rPr>
              <w:t>I</w:t>
            </w:r>
            <w:r w:rsidRPr="0052589F">
              <w:rPr>
                <w:rFonts w:ascii="Calibri" w:hAnsi="Calibri" w:cs="Arial"/>
                <w:bCs/>
                <w:sz w:val="20"/>
              </w:rPr>
              <w:t>nstitui o Programa Nacional de Controle Higiênico-Sanitário de Embarcações Pesqueiras e Infraestruturas de Desembarque de Pescado - Embarque Nessa, com a finalidade de estabelecer as condições higiênico-sanitárias mínimas necessárias para a qualidade do pescado a ser utilizado como matéria-prima para fins de manipulação e processamento nos estabelecimentos industriais</w:t>
            </w:r>
            <w:r>
              <w:rPr>
                <w:rFonts w:ascii="Calibri" w:hAnsi="Calibri" w:cs="Arial"/>
                <w:bCs/>
                <w:sz w:val="20"/>
              </w:rPr>
              <w:t>.</w:t>
            </w:r>
          </w:p>
        </w:tc>
      </w:tr>
      <w:tr w:rsidR="00C741C4" w:rsidRPr="00464F6C" w:rsidTr="00984ABA">
        <w:trPr>
          <w:trHeight w:val="745"/>
          <w:jc w:val="center"/>
        </w:trPr>
        <w:tc>
          <w:tcPr>
            <w:tcW w:w="3542" w:type="dxa"/>
            <w:vAlign w:val="center"/>
          </w:tcPr>
          <w:p w:rsidR="00C741C4" w:rsidRPr="0052589F" w:rsidRDefault="00C741C4" w:rsidP="00525731">
            <w:pPr>
              <w:autoSpaceDE w:val="0"/>
              <w:autoSpaceDN w:val="0"/>
              <w:adjustRightInd w:val="0"/>
              <w:rPr>
                <w:rFonts w:ascii="Calibri" w:hAnsi="Calibri" w:cs="Arial"/>
                <w:b/>
                <w:bCs/>
                <w:sz w:val="20"/>
              </w:rPr>
            </w:pPr>
            <w:r w:rsidRPr="00C741C4">
              <w:rPr>
                <w:rFonts w:ascii="Calibri" w:hAnsi="Calibri" w:cs="Arial"/>
                <w:b/>
                <w:bCs/>
                <w:sz w:val="20"/>
              </w:rPr>
              <w:t>Instrução Normativa MPA nº 23, de 11 de setembro de 2014</w:t>
            </w:r>
          </w:p>
        </w:tc>
        <w:tc>
          <w:tcPr>
            <w:tcW w:w="6295" w:type="dxa"/>
            <w:vAlign w:val="center"/>
          </w:tcPr>
          <w:p w:rsidR="00C741C4" w:rsidRDefault="00C741C4" w:rsidP="00525731">
            <w:pPr>
              <w:autoSpaceDE w:val="0"/>
              <w:autoSpaceDN w:val="0"/>
              <w:adjustRightInd w:val="0"/>
              <w:rPr>
                <w:rFonts w:ascii="Calibri" w:hAnsi="Calibri" w:cs="Arial"/>
                <w:bCs/>
                <w:sz w:val="20"/>
              </w:rPr>
            </w:pPr>
            <w:r>
              <w:rPr>
                <w:rFonts w:ascii="Calibri" w:hAnsi="Calibri" w:cs="Arial"/>
                <w:bCs/>
                <w:sz w:val="20"/>
              </w:rPr>
              <w:t>D</w:t>
            </w:r>
            <w:r w:rsidRPr="00C741C4">
              <w:rPr>
                <w:rFonts w:ascii="Calibri" w:hAnsi="Calibri" w:cs="Arial"/>
                <w:bCs/>
                <w:sz w:val="20"/>
              </w:rPr>
              <w:t>etermina a obrigatoriedade da Guia de Trânsito Animal - GTA, para amparar o transporte de animais aquáticos vivos e matéria-prima de animais aquáticos provenientes de estabelecimentos de aquicultura e destinados a estabelecimentos registrados em órgão oficial de inspeção</w:t>
            </w:r>
          </w:p>
        </w:tc>
      </w:tr>
      <w:tr w:rsidR="007D4A35" w:rsidRPr="00464F6C" w:rsidTr="00984ABA">
        <w:trPr>
          <w:trHeight w:val="745"/>
          <w:jc w:val="center"/>
        </w:trPr>
        <w:tc>
          <w:tcPr>
            <w:tcW w:w="3542" w:type="dxa"/>
            <w:vAlign w:val="center"/>
          </w:tcPr>
          <w:p w:rsidR="007D4A35" w:rsidRPr="00C70F74" w:rsidRDefault="007D4A35" w:rsidP="007D4A35">
            <w:pPr>
              <w:autoSpaceDE w:val="0"/>
              <w:autoSpaceDN w:val="0"/>
              <w:adjustRightInd w:val="0"/>
              <w:rPr>
                <w:rFonts w:ascii="Calibri" w:hAnsi="Calibri" w:cs="Arial"/>
                <w:b/>
                <w:bCs/>
                <w:sz w:val="20"/>
              </w:rPr>
            </w:pPr>
            <w:r w:rsidRPr="00C70F74">
              <w:rPr>
                <w:rFonts w:ascii="Calibri" w:hAnsi="Calibri" w:cs="Arial"/>
                <w:b/>
                <w:bCs/>
                <w:sz w:val="20"/>
              </w:rPr>
              <w:t>Instrução Normativa MPA nº 22, de 11 de setembro de 2014</w:t>
            </w:r>
          </w:p>
        </w:tc>
        <w:tc>
          <w:tcPr>
            <w:tcW w:w="6295" w:type="dxa"/>
            <w:vAlign w:val="center"/>
          </w:tcPr>
          <w:p w:rsidR="007D4A35" w:rsidRPr="009F2F0F" w:rsidRDefault="007D4A35" w:rsidP="007D4A35">
            <w:pPr>
              <w:autoSpaceDE w:val="0"/>
              <w:autoSpaceDN w:val="0"/>
              <w:adjustRightInd w:val="0"/>
              <w:rPr>
                <w:rFonts w:ascii="Calibri" w:hAnsi="Calibri" w:cs="Arial"/>
                <w:bCs/>
                <w:sz w:val="20"/>
              </w:rPr>
            </w:pPr>
            <w:r w:rsidRPr="00580D0E">
              <w:rPr>
                <w:rFonts w:ascii="Calibri" w:hAnsi="Calibri" w:cs="Arial"/>
                <w:bCs/>
                <w:sz w:val="20"/>
              </w:rPr>
              <w:t>Institui o Plano Nacional de Certificação Sanitária de Estabelecimentos de Aquicultura Produtores de Formas Jovens de Animais Aquáticos - “Plano Forma Jovem Segura”</w:t>
            </w:r>
          </w:p>
        </w:tc>
      </w:tr>
      <w:tr w:rsidR="007D4A35" w:rsidRPr="00464F6C" w:rsidTr="00984ABA">
        <w:trPr>
          <w:trHeight w:val="745"/>
          <w:jc w:val="center"/>
        </w:trPr>
        <w:tc>
          <w:tcPr>
            <w:tcW w:w="3542" w:type="dxa"/>
            <w:vAlign w:val="center"/>
          </w:tcPr>
          <w:p w:rsidR="007D4A35" w:rsidRPr="0052589F" w:rsidRDefault="007D4A35" w:rsidP="007D4A35">
            <w:pPr>
              <w:autoSpaceDE w:val="0"/>
              <w:autoSpaceDN w:val="0"/>
              <w:adjustRightInd w:val="0"/>
              <w:rPr>
                <w:rFonts w:ascii="Calibri" w:hAnsi="Calibri" w:cs="Arial"/>
                <w:b/>
                <w:bCs/>
                <w:sz w:val="20"/>
              </w:rPr>
            </w:pPr>
            <w:r w:rsidRPr="000C7792">
              <w:rPr>
                <w:rFonts w:ascii="Calibri" w:hAnsi="Calibri" w:cs="Arial"/>
                <w:b/>
                <w:bCs/>
                <w:sz w:val="20"/>
              </w:rPr>
              <w:t>Instrução Normativa MPA nº 21, de 11 de setembro de 2014</w:t>
            </w:r>
          </w:p>
        </w:tc>
        <w:tc>
          <w:tcPr>
            <w:tcW w:w="6295" w:type="dxa"/>
            <w:vAlign w:val="center"/>
          </w:tcPr>
          <w:p w:rsidR="007D4A35" w:rsidRDefault="007D4A35" w:rsidP="007D4A35">
            <w:pPr>
              <w:autoSpaceDE w:val="0"/>
              <w:autoSpaceDN w:val="0"/>
              <w:adjustRightInd w:val="0"/>
              <w:rPr>
                <w:rFonts w:ascii="Calibri" w:hAnsi="Calibri" w:cs="Arial"/>
                <w:bCs/>
                <w:sz w:val="20"/>
              </w:rPr>
            </w:pPr>
            <w:r>
              <w:rPr>
                <w:rFonts w:ascii="Calibri" w:hAnsi="Calibri" w:cs="Arial"/>
                <w:bCs/>
                <w:sz w:val="20"/>
              </w:rPr>
              <w:t>E</w:t>
            </w:r>
            <w:r w:rsidRPr="000C7792">
              <w:rPr>
                <w:rFonts w:ascii="Calibri" w:hAnsi="Calibri" w:cs="Arial"/>
                <w:bCs/>
                <w:sz w:val="20"/>
              </w:rPr>
              <w:t>stabelece a Nota Fiscal Eletrônica como documento comprobatório de origem, trânsito e destino de espécimes de organismos aquáticos vivos com fins de ornamentação e aquariofilia em todo território nacional</w:t>
            </w:r>
          </w:p>
        </w:tc>
      </w:tr>
      <w:tr w:rsidR="007D4A35" w:rsidRPr="00464F6C" w:rsidTr="00984ABA">
        <w:trPr>
          <w:trHeight w:val="604"/>
          <w:jc w:val="center"/>
        </w:trPr>
        <w:tc>
          <w:tcPr>
            <w:tcW w:w="3542" w:type="dxa"/>
            <w:vAlign w:val="center"/>
          </w:tcPr>
          <w:p w:rsidR="007D4A35" w:rsidRPr="00C70F74" w:rsidRDefault="007D4A35" w:rsidP="007D4A35">
            <w:pPr>
              <w:autoSpaceDE w:val="0"/>
              <w:autoSpaceDN w:val="0"/>
              <w:adjustRightInd w:val="0"/>
              <w:rPr>
                <w:rFonts w:ascii="Calibri" w:hAnsi="Calibri" w:cs="Arial"/>
                <w:b/>
                <w:bCs/>
                <w:sz w:val="20"/>
              </w:rPr>
            </w:pPr>
            <w:r w:rsidRPr="004C1C2D">
              <w:rPr>
                <w:rFonts w:ascii="Calibri" w:hAnsi="Calibri" w:cs="Arial"/>
                <w:b/>
                <w:bCs/>
                <w:sz w:val="20"/>
              </w:rPr>
              <w:t>Instrução Normativa Interministerial MPA/MAPA nº 4, de 30 de maio de 2014</w:t>
            </w:r>
          </w:p>
        </w:tc>
        <w:tc>
          <w:tcPr>
            <w:tcW w:w="6295" w:type="dxa"/>
            <w:vAlign w:val="center"/>
          </w:tcPr>
          <w:p w:rsidR="007D4A35" w:rsidRPr="00580D0E" w:rsidRDefault="007D4A35" w:rsidP="007D4A35">
            <w:pPr>
              <w:autoSpaceDE w:val="0"/>
              <w:autoSpaceDN w:val="0"/>
              <w:adjustRightInd w:val="0"/>
              <w:rPr>
                <w:rFonts w:ascii="Calibri" w:hAnsi="Calibri" w:cs="Arial"/>
                <w:bCs/>
                <w:sz w:val="20"/>
              </w:rPr>
            </w:pPr>
            <w:r>
              <w:rPr>
                <w:rFonts w:ascii="Calibri" w:hAnsi="Calibri" w:cs="Arial"/>
                <w:bCs/>
                <w:sz w:val="20"/>
              </w:rPr>
              <w:t>E</w:t>
            </w:r>
            <w:r w:rsidRPr="004C1C2D">
              <w:rPr>
                <w:rFonts w:ascii="Calibri" w:hAnsi="Calibri" w:cs="Arial"/>
                <w:bCs/>
                <w:sz w:val="20"/>
              </w:rPr>
              <w:t>stabelece a Nota Fiscal do pescado, proveniente da atividade de pesca ou de aquicultura, como documento hábil de comprovação da sua origem para fins de controle de trânsito de matéria prima da fonte de produção para as indústrias beneficiadoras sob serviço de inspeção</w:t>
            </w:r>
          </w:p>
        </w:tc>
      </w:tr>
      <w:tr w:rsidR="007D4A35" w:rsidRPr="00464F6C" w:rsidTr="00984ABA">
        <w:trPr>
          <w:trHeight w:val="604"/>
          <w:jc w:val="center"/>
        </w:trPr>
        <w:tc>
          <w:tcPr>
            <w:tcW w:w="3542" w:type="dxa"/>
            <w:vAlign w:val="center"/>
          </w:tcPr>
          <w:p w:rsidR="007D4A35" w:rsidRPr="00C70F74" w:rsidRDefault="007D4A35" w:rsidP="007D4A35">
            <w:pPr>
              <w:autoSpaceDE w:val="0"/>
              <w:autoSpaceDN w:val="0"/>
              <w:adjustRightInd w:val="0"/>
              <w:rPr>
                <w:rFonts w:ascii="Calibri" w:hAnsi="Calibri" w:cs="Arial"/>
                <w:b/>
                <w:bCs/>
                <w:sz w:val="20"/>
              </w:rPr>
            </w:pPr>
            <w:r w:rsidRPr="00CD22B2">
              <w:rPr>
                <w:rFonts w:ascii="Calibri" w:hAnsi="Calibri" w:cs="Arial"/>
                <w:b/>
                <w:bCs/>
                <w:sz w:val="20"/>
              </w:rPr>
              <w:t>Instrução Normativa Interministerial MAPA/MPA nº 32, de 16 de agosto de 2013</w:t>
            </w:r>
          </w:p>
        </w:tc>
        <w:tc>
          <w:tcPr>
            <w:tcW w:w="6295" w:type="dxa"/>
            <w:vAlign w:val="center"/>
          </w:tcPr>
          <w:p w:rsidR="007D4A35" w:rsidRPr="00580D0E" w:rsidRDefault="007D4A35" w:rsidP="007D4A35">
            <w:pPr>
              <w:autoSpaceDE w:val="0"/>
              <w:autoSpaceDN w:val="0"/>
              <w:adjustRightInd w:val="0"/>
              <w:rPr>
                <w:rFonts w:ascii="Calibri" w:hAnsi="Calibri" w:cs="Arial"/>
                <w:bCs/>
                <w:sz w:val="20"/>
              </w:rPr>
            </w:pPr>
            <w:r>
              <w:rPr>
                <w:rFonts w:ascii="Calibri" w:hAnsi="Calibri" w:cs="Arial"/>
                <w:bCs/>
                <w:sz w:val="20"/>
              </w:rPr>
              <w:t>E</w:t>
            </w:r>
            <w:r w:rsidRPr="00CD22B2">
              <w:rPr>
                <w:rFonts w:ascii="Calibri" w:hAnsi="Calibri" w:cs="Arial"/>
                <w:bCs/>
                <w:sz w:val="20"/>
              </w:rPr>
              <w:t>stabelece o regulamento sanitário para importação de materiais de origem animal e agentes de interesse veterinário destinados à pesquisa ou diagnóstico pelos laboratórios constitutivos da Rede Nacional de Laboratórios Agropecuários do Ministério da Agricultura, Pecuária e Abastecimento (MAPA), pela Rede Nacional de Laboratórios do Ministério da Pesca e Aquicultura (RENAQUA) e por Instituições de pesquisa ou diagnóstico</w:t>
            </w:r>
            <w:r>
              <w:rPr>
                <w:rFonts w:ascii="Calibri" w:hAnsi="Calibri" w:cs="Arial"/>
                <w:bCs/>
                <w:sz w:val="20"/>
              </w:rPr>
              <w:t>.</w:t>
            </w:r>
          </w:p>
        </w:tc>
      </w:tr>
      <w:tr w:rsidR="007D4A35" w:rsidRPr="00464F6C" w:rsidTr="00984ABA">
        <w:trPr>
          <w:trHeight w:val="745"/>
          <w:jc w:val="center"/>
        </w:trPr>
        <w:tc>
          <w:tcPr>
            <w:tcW w:w="3542" w:type="dxa"/>
            <w:vAlign w:val="center"/>
          </w:tcPr>
          <w:p w:rsidR="007D4A35" w:rsidRPr="009F2F0F" w:rsidRDefault="007D4A35" w:rsidP="007D4A35">
            <w:pPr>
              <w:autoSpaceDE w:val="0"/>
              <w:autoSpaceDN w:val="0"/>
              <w:adjustRightInd w:val="0"/>
              <w:rPr>
                <w:rFonts w:ascii="Calibri" w:hAnsi="Calibri" w:cs="Arial"/>
                <w:b/>
                <w:bCs/>
                <w:sz w:val="20"/>
              </w:rPr>
            </w:pPr>
            <w:r w:rsidRPr="00C70F74">
              <w:rPr>
                <w:rFonts w:ascii="Calibri" w:hAnsi="Calibri" w:cs="Arial"/>
                <w:b/>
                <w:bCs/>
                <w:sz w:val="20"/>
              </w:rPr>
              <w:t>Instrução Normativa MPA nº 10, de 11 de julho de 2013</w:t>
            </w:r>
          </w:p>
        </w:tc>
        <w:tc>
          <w:tcPr>
            <w:tcW w:w="6295" w:type="dxa"/>
            <w:vAlign w:val="center"/>
          </w:tcPr>
          <w:p w:rsidR="007D4A35" w:rsidRPr="009F2F0F" w:rsidRDefault="007D4A35" w:rsidP="007D4A35">
            <w:pPr>
              <w:autoSpaceDE w:val="0"/>
              <w:autoSpaceDN w:val="0"/>
              <w:adjustRightInd w:val="0"/>
              <w:rPr>
                <w:rFonts w:ascii="Calibri" w:hAnsi="Calibri" w:cs="Arial"/>
                <w:bCs/>
                <w:sz w:val="20"/>
              </w:rPr>
            </w:pPr>
            <w:r w:rsidRPr="003E30E3">
              <w:rPr>
                <w:rFonts w:ascii="Calibri" w:hAnsi="Calibri" w:cs="Arial"/>
                <w:bCs/>
                <w:sz w:val="20"/>
              </w:rPr>
              <w:t xml:space="preserve">Institui a Rede de Colaboração em Epidemiologia Veterinária do Ministério da Pesca e Aquicultura </w:t>
            </w:r>
            <w:r>
              <w:rPr>
                <w:rFonts w:ascii="Calibri" w:hAnsi="Calibri" w:cs="Arial"/>
                <w:bCs/>
                <w:sz w:val="20"/>
              </w:rPr>
              <w:t>–</w:t>
            </w:r>
            <w:r w:rsidRPr="003E30E3">
              <w:rPr>
                <w:rFonts w:ascii="Calibri" w:hAnsi="Calibri" w:cs="Arial"/>
                <w:bCs/>
                <w:sz w:val="20"/>
              </w:rPr>
              <w:t xml:space="preserve"> </w:t>
            </w:r>
            <w:proofErr w:type="spellStart"/>
            <w:r w:rsidRPr="003E30E3">
              <w:rPr>
                <w:rFonts w:ascii="Calibri" w:hAnsi="Calibri" w:cs="Arial"/>
                <w:bCs/>
                <w:sz w:val="20"/>
              </w:rPr>
              <w:t>AquaEpi</w:t>
            </w:r>
            <w:proofErr w:type="spellEnd"/>
            <w:r>
              <w:rPr>
                <w:rFonts w:ascii="Calibri" w:hAnsi="Calibri" w:cs="Arial"/>
                <w:bCs/>
                <w:sz w:val="20"/>
              </w:rPr>
              <w:t xml:space="preserve">, </w:t>
            </w:r>
            <w:r w:rsidRPr="00163971">
              <w:rPr>
                <w:rFonts w:ascii="Calibri" w:hAnsi="Calibri" w:cs="Arial"/>
                <w:bCs/>
                <w:sz w:val="20"/>
              </w:rPr>
              <w:t>responsável pelo suporte técnico e científico para definição e execução das políticas públicas do MPA em sanidade aquícola e pesqueira</w:t>
            </w:r>
            <w:r>
              <w:rPr>
                <w:rFonts w:ascii="Calibri" w:hAnsi="Calibri" w:cs="Arial"/>
                <w:bCs/>
                <w:sz w:val="20"/>
              </w:rPr>
              <w:t>.</w:t>
            </w:r>
          </w:p>
        </w:tc>
      </w:tr>
      <w:tr w:rsidR="007D4A35" w:rsidRPr="00464F6C" w:rsidTr="00984ABA">
        <w:trPr>
          <w:trHeight w:val="568"/>
          <w:jc w:val="center"/>
        </w:trPr>
        <w:tc>
          <w:tcPr>
            <w:tcW w:w="3542" w:type="dxa"/>
            <w:vAlign w:val="center"/>
          </w:tcPr>
          <w:p w:rsidR="007D4A35" w:rsidRPr="00C70F74" w:rsidRDefault="007D4A35" w:rsidP="007D4A35">
            <w:pPr>
              <w:autoSpaceDE w:val="0"/>
              <w:autoSpaceDN w:val="0"/>
              <w:adjustRightInd w:val="0"/>
              <w:rPr>
                <w:rFonts w:ascii="Calibri" w:hAnsi="Calibri" w:cs="Arial"/>
                <w:b/>
                <w:bCs/>
                <w:sz w:val="20"/>
              </w:rPr>
            </w:pPr>
            <w:r w:rsidRPr="00C70F74">
              <w:rPr>
                <w:rFonts w:ascii="Calibri" w:hAnsi="Calibri" w:cs="Arial"/>
                <w:b/>
                <w:bCs/>
                <w:sz w:val="20"/>
              </w:rPr>
              <w:t>Portaria MPA nº 204, de 28 de junho de 2012</w:t>
            </w:r>
          </w:p>
        </w:tc>
        <w:tc>
          <w:tcPr>
            <w:tcW w:w="6295" w:type="dxa"/>
            <w:vAlign w:val="center"/>
          </w:tcPr>
          <w:p w:rsidR="007D4A35" w:rsidRPr="009F2F0F" w:rsidRDefault="007D4A35" w:rsidP="007D4A35">
            <w:pPr>
              <w:autoSpaceDE w:val="0"/>
              <w:autoSpaceDN w:val="0"/>
              <w:adjustRightInd w:val="0"/>
              <w:rPr>
                <w:rFonts w:ascii="Calibri" w:hAnsi="Calibri" w:cs="Arial"/>
                <w:bCs/>
                <w:sz w:val="20"/>
              </w:rPr>
            </w:pPr>
            <w:r>
              <w:rPr>
                <w:rFonts w:ascii="Calibri" w:hAnsi="Calibri" w:cs="Arial"/>
                <w:bCs/>
                <w:sz w:val="20"/>
              </w:rPr>
              <w:t>Es</w:t>
            </w:r>
            <w:r w:rsidRPr="00D226D4">
              <w:rPr>
                <w:rFonts w:ascii="Calibri" w:hAnsi="Calibri" w:cs="Arial"/>
                <w:bCs/>
                <w:sz w:val="20"/>
              </w:rPr>
              <w:t xml:space="preserve">tabelece os procedimentos para coleta de amostras para realização de análises de micro-organismos contaminantes e de toxinas em moluscos bivalves e de análises para o monitoramento de espécies de microalgas potencialmente produtoras de toxinas, bem como definir as metodologias </w:t>
            </w:r>
            <w:r w:rsidRPr="00D226D4">
              <w:rPr>
                <w:rFonts w:ascii="Calibri" w:hAnsi="Calibri" w:cs="Arial"/>
                <w:bCs/>
                <w:sz w:val="20"/>
              </w:rPr>
              <w:lastRenderedPageBreak/>
              <w:t>analíticas oficiais que deverão ser adotadas pela Rede Nacional de Laboratórios do MPA - RENAQUA para estas análises</w:t>
            </w:r>
          </w:p>
        </w:tc>
      </w:tr>
      <w:tr w:rsidR="007D4A35" w:rsidRPr="00464F6C" w:rsidTr="00984ABA">
        <w:trPr>
          <w:trHeight w:val="585"/>
          <w:jc w:val="center"/>
        </w:trPr>
        <w:tc>
          <w:tcPr>
            <w:tcW w:w="3542" w:type="dxa"/>
            <w:vAlign w:val="center"/>
          </w:tcPr>
          <w:p w:rsidR="007D4A35" w:rsidRPr="00C70F74" w:rsidRDefault="007D4A35" w:rsidP="007D4A35">
            <w:pPr>
              <w:autoSpaceDE w:val="0"/>
              <w:autoSpaceDN w:val="0"/>
              <w:adjustRightInd w:val="0"/>
              <w:rPr>
                <w:rFonts w:ascii="Calibri" w:hAnsi="Calibri" w:cs="Arial"/>
                <w:b/>
                <w:bCs/>
                <w:sz w:val="20"/>
              </w:rPr>
            </w:pPr>
            <w:r w:rsidRPr="00C70F74">
              <w:rPr>
                <w:rFonts w:ascii="Calibri" w:hAnsi="Calibri" w:cs="Arial"/>
                <w:b/>
                <w:bCs/>
                <w:sz w:val="20"/>
              </w:rPr>
              <w:lastRenderedPageBreak/>
              <w:t>Instrução Normativa Interministerial MPA/MAPA nº 7, de 8 de maio de 2012</w:t>
            </w:r>
          </w:p>
        </w:tc>
        <w:tc>
          <w:tcPr>
            <w:tcW w:w="6295" w:type="dxa"/>
            <w:vAlign w:val="center"/>
          </w:tcPr>
          <w:p w:rsidR="007D4A35" w:rsidRPr="009F2F0F" w:rsidRDefault="007D4A35" w:rsidP="007D4A35">
            <w:pPr>
              <w:autoSpaceDE w:val="0"/>
              <w:autoSpaceDN w:val="0"/>
              <w:adjustRightInd w:val="0"/>
              <w:rPr>
                <w:rFonts w:ascii="Calibri" w:hAnsi="Calibri" w:cs="Arial"/>
                <w:bCs/>
                <w:sz w:val="20"/>
              </w:rPr>
            </w:pPr>
            <w:r w:rsidRPr="0070116D">
              <w:rPr>
                <w:rFonts w:ascii="Calibri" w:hAnsi="Calibri" w:cs="Arial"/>
                <w:bCs/>
                <w:sz w:val="20"/>
              </w:rPr>
              <w:t xml:space="preserve">Institui o Programa Nacional de Controle Higiênico- Sanitário de Moluscos Bivalves </w:t>
            </w:r>
            <w:r>
              <w:rPr>
                <w:rFonts w:ascii="Calibri" w:hAnsi="Calibri" w:cs="Arial"/>
                <w:bCs/>
                <w:sz w:val="20"/>
              </w:rPr>
              <w:t>–</w:t>
            </w:r>
            <w:r w:rsidRPr="0070116D">
              <w:rPr>
                <w:rFonts w:ascii="Calibri" w:hAnsi="Calibri" w:cs="Arial"/>
                <w:bCs/>
                <w:sz w:val="20"/>
              </w:rPr>
              <w:t xml:space="preserve"> PNCMB</w:t>
            </w:r>
            <w:r>
              <w:rPr>
                <w:rFonts w:ascii="Calibri" w:hAnsi="Calibri" w:cs="Arial"/>
                <w:bCs/>
                <w:sz w:val="20"/>
              </w:rPr>
              <w:t xml:space="preserve">, </w:t>
            </w:r>
            <w:r w:rsidRPr="00E31574">
              <w:rPr>
                <w:rFonts w:ascii="Calibri" w:hAnsi="Calibri" w:cs="Arial"/>
                <w:bCs/>
                <w:sz w:val="20"/>
              </w:rPr>
              <w:t>com a finalidade de estabelecer os requisitos mínimos necessários para a garantia da inocuidade e qualidade dos moluscos bivalves destinados ao consumo humano, bem como monitorar e fiscalizar o atendimento destes requisitos</w:t>
            </w:r>
          </w:p>
        </w:tc>
      </w:tr>
      <w:tr w:rsidR="007D4A35" w:rsidRPr="00464F6C" w:rsidTr="00984ABA">
        <w:trPr>
          <w:trHeight w:val="550"/>
          <w:jc w:val="center"/>
        </w:trPr>
        <w:tc>
          <w:tcPr>
            <w:tcW w:w="3542" w:type="dxa"/>
            <w:vAlign w:val="center"/>
          </w:tcPr>
          <w:p w:rsidR="007D4A35" w:rsidRPr="00C70F74" w:rsidRDefault="007D4A35" w:rsidP="007D4A35">
            <w:pPr>
              <w:autoSpaceDE w:val="0"/>
              <w:autoSpaceDN w:val="0"/>
              <w:adjustRightInd w:val="0"/>
              <w:rPr>
                <w:rFonts w:ascii="Calibri" w:hAnsi="Calibri" w:cs="Arial"/>
                <w:b/>
                <w:bCs/>
                <w:sz w:val="20"/>
              </w:rPr>
            </w:pPr>
            <w:r w:rsidRPr="00C70F74">
              <w:rPr>
                <w:rFonts w:ascii="Calibri" w:hAnsi="Calibri" w:cs="Arial"/>
                <w:b/>
                <w:bCs/>
                <w:sz w:val="20"/>
              </w:rPr>
              <w:t xml:space="preserve">Instrução Normativa MPA nº 3, de 13 de abril de 2012  </w:t>
            </w:r>
          </w:p>
        </w:tc>
        <w:tc>
          <w:tcPr>
            <w:tcW w:w="6295" w:type="dxa"/>
            <w:vAlign w:val="center"/>
          </w:tcPr>
          <w:p w:rsidR="007D4A35" w:rsidRPr="009F2F0F" w:rsidRDefault="007D4A35" w:rsidP="007D4A35">
            <w:pPr>
              <w:autoSpaceDE w:val="0"/>
              <w:autoSpaceDN w:val="0"/>
              <w:adjustRightInd w:val="0"/>
              <w:rPr>
                <w:rFonts w:ascii="Calibri" w:hAnsi="Calibri" w:cs="Arial"/>
                <w:bCs/>
                <w:sz w:val="20"/>
              </w:rPr>
            </w:pPr>
            <w:r>
              <w:rPr>
                <w:rFonts w:ascii="Calibri" w:hAnsi="Calibri" w:cs="Arial"/>
                <w:bCs/>
                <w:sz w:val="20"/>
              </w:rPr>
              <w:t>I</w:t>
            </w:r>
            <w:r w:rsidRPr="00FD0044">
              <w:rPr>
                <w:rFonts w:ascii="Calibri" w:hAnsi="Calibri" w:cs="Arial"/>
                <w:bCs/>
                <w:sz w:val="20"/>
              </w:rPr>
              <w:t>nstitui a Rede Nacional de Laboratórios do Ministério da Pesca e Aquicultura </w:t>
            </w:r>
            <w:r>
              <w:rPr>
                <w:rFonts w:ascii="Calibri" w:hAnsi="Calibri" w:cs="Arial"/>
                <w:bCs/>
                <w:sz w:val="20"/>
              </w:rPr>
              <w:t>–</w:t>
            </w:r>
            <w:r w:rsidRPr="00FD0044">
              <w:rPr>
                <w:rFonts w:ascii="Calibri" w:hAnsi="Calibri" w:cs="Arial"/>
                <w:bCs/>
                <w:sz w:val="20"/>
              </w:rPr>
              <w:t xml:space="preserve"> RENAQUA</w:t>
            </w:r>
            <w:r>
              <w:rPr>
                <w:rFonts w:ascii="Calibri" w:hAnsi="Calibri" w:cs="Arial"/>
                <w:bCs/>
                <w:sz w:val="20"/>
              </w:rPr>
              <w:t xml:space="preserve">, </w:t>
            </w:r>
            <w:r w:rsidRPr="00AE589A">
              <w:rPr>
                <w:rFonts w:ascii="Calibri" w:hAnsi="Calibri" w:cs="Arial"/>
                <w:bCs/>
                <w:sz w:val="20"/>
              </w:rPr>
              <w:t>responsável pela realização de diagnósticos e análises oficiais, bem como o desenvolvimento contínuo de novas metodologias analíticas (</w:t>
            </w:r>
            <w:hyperlink r:id="rId4" w:history="1">
              <w:r w:rsidRPr="0018240C">
                <w:rPr>
                  <w:rStyle w:val="Hyperlink"/>
                  <w:rFonts w:ascii="Calibri" w:hAnsi="Calibri" w:cs="Arial"/>
                  <w:sz w:val="20"/>
                </w:rPr>
                <w:t>www.renaqua.gov.br</w:t>
              </w:r>
            </w:hyperlink>
            <w:r w:rsidRPr="00AE589A">
              <w:rPr>
                <w:rFonts w:ascii="Calibri" w:hAnsi="Calibri" w:cs="Arial"/>
                <w:bCs/>
                <w:sz w:val="20"/>
              </w:rPr>
              <w:t>);</w:t>
            </w:r>
          </w:p>
        </w:tc>
      </w:tr>
      <w:tr w:rsidR="007D4A35" w:rsidRPr="00464F6C" w:rsidTr="00984ABA">
        <w:trPr>
          <w:trHeight w:val="550"/>
          <w:jc w:val="center"/>
        </w:trPr>
        <w:tc>
          <w:tcPr>
            <w:tcW w:w="3542" w:type="dxa"/>
            <w:vAlign w:val="center"/>
          </w:tcPr>
          <w:p w:rsidR="007D4A35" w:rsidRPr="00C70F74" w:rsidRDefault="007D4A35" w:rsidP="007D4A35">
            <w:pPr>
              <w:autoSpaceDE w:val="0"/>
              <w:autoSpaceDN w:val="0"/>
              <w:adjustRightInd w:val="0"/>
              <w:rPr>
                <w:rFonts w:ascii="Calibri" w:hAnsi="Calibri" w:cs="Arial"/>
                <w:b/>
                <w:bCs/>
                <w:sz w:val="20"/>
              </w:rPr>
            </w:pPr>
            <w:r>
              <w:rPr>
                <w:rFonts w:ascii="Calibri" w:hAnsi="Calibri" w:cs="Arial"/>
                <w:b/>
                <w:bCs/>
                <w:sz w:val="20"/>
              </w:rPr>
              <w:t xml:space="preserve"> </w:t>
            </w:r>
            <w:r w:rsidRPr="006A7348">
              <w:rPr>
                <w:rFonts w:ascii="Calibri" w:hAnsi="Calibri" w:cs="Arial"/>
                <w:b/>
                <w:bCs/>
                <w:sz w:val="20"/>
              </w:rPr>
              <w:t>Instrução Normativa Interministerial MPA/MMA nº 1, de 3 de janeiro de 2012</w:t>
            </w:r>
          </w:p>
        </w:tc>
        <w:tc>
          <w:tcPr>
            <w:tcW w:w="6295" w:type="dxa"/>
            <w:vAlign w:val="center"/>
          </w:tcPr>
          <w:p w:rsidR="007D4A35" w:rsidRDefault="007D4A35" w:rsidP="007D4A35">
            <w:pPr>
              <w:autoSpaceDE w:val="0"/>
              <w:autoSpaceDN w:val="0"/>
              <w:adjustRightInd w:val="0"/>
              <w:rPr>
                <w:rFonts w:ascii="Calibri" w:hAnsi="Calibri" w:cs="Arial"/>
                <w:bCs/>
                <w:sz w:val="20"/>
              </w:rPr>
            </w:pPr>
            <w:r>
              <w:rPr>
                <w:rFonts w:ascii="Calibri" w:hAnsi="Calibri" w:cs="Arial"/>
                <w:bCs/>
                <w:sz w:val="20"/>
              </w:rPr>
              <w:t>E</w:t>
            </w:r>
            <w:r w:rsidRPr="006A7348">
              <w:rPr>
                <w:rFonts w:ascii="Calibri" w:hAnsi="Calibri" w:cs="Arial"/>
                <w:bCs/>
                <w:sz w:val="20"/>
              </w:rPr>
              <w:t>stabelece normas, critérios e padrões para a explotação de peixes nativos ou exóticos de águas continentais com finalidade ornamental ou de aquariofilia</w:t>
            </w:r>
            <w:r>
              <w:rPr>
                <w:rFonts w:ascii="Calibri" w:hAnsi="Calibri" w:cs="Arial"/>
                <w:bCs/>
                <w:sz w:val="20"/>
              </w:rPr>
              <w:t>.</w:t>
            </w:r>
          </w:p>
        </w:tc>
      </w:tr>
      <w:tr w:rsidR="007D4A35" w:rsidRPr="00464F6C" w:rsidTr="00984ABA">
        <w:trPr>
          <w:trHeight w:val="550"/>
          <w:jc w:val="center"/>
        </w:trPr>
        <w:tc>
          <w:tcPr>
            <w:tcW w:w="3542" w:type="dxa"/>
            <w:vAlign w:val="center"/>
          </w:tcPr>
          <w:p w:rsidR="007D4A35" w:rsidRDefault="007D4A35" w:rsidP="007D4A35">
            <w:pPr>
              <w:autoSpaceDE w:val="0"/>
              <w:autoSpaceDN w:val="0"/>
              <w:adjustRightInd w:val="0"/>
              <w:rPr>
                <w:rFonts w:ascii="Calibri" w:hAnsi="Calibri" w:cs="Arial"/>
                <w:b/>
                <w:bCs/>
                <w:sz w:val="20"/>
              </w:rPr>
            </w:pPr>
            <w:r w:rsidRPr="00CD22B2">
              <w:rPr>
                <w:rFonts w:ascii="Calibri" w:hAnsi="Calibri" w:cs="Arial"/>
                <w:b/>
                <w:bCs/>
                <w:sz w:val="20"/>
              </w:rPr>
              <w:t>Instrução Normativa MPA nº 14, de 9 de dezembro de 2010</w:t>
            </w:r>
          </w:p>
        </w:tc>
        <w:tc>
          <w:tcPr>
            <w:tcW w:w="6295" w:type="dxa"/>
            <w:vAlign w:val="center"/>
          </w:tcPr>
          <w:p w:rsidR="007D4A35" w:rsidRDefault="007D4A35" w:rsidP="007D4A35">
            <w:pPr>
              <w:autoSpaceDE w:val="0"/>
              <w:autoSpaceDN w:val="0"/>
              <w:adjustRightInd w:val="0"/>
              <w:rPr>
                <w:rFonts w:ascii="Calibri" w:hAnsi="Calibri" w:cs="Arial"/>
                <w:bCs/>
                <w:sz w:val="20"/>
              </w:rPr>
            </w:pPr>
            <w:r>
              <w:rPr>
                <w:rFonts w:ascii="Calibri" w:hAnsi="Calibri" w:cs="Arial"/>
                <w:bCs/>
                <w:sz w:val="20"/>
              </w:rPr>
              <w:t>E</w:t>
            </w:r>
            <w:r w:rsidRPr="00CD22B2">
              <w:rPr>
                <w:rFonts w:ascii="Calibri" w:hAnsi="Calibri" w:cs="Arial"/>
                <w:bCs/>
                <w:sz w:val="20"/>
              </w:rPr>
              <w:t>stabelece os Procedimentos Gerais para realização de Análise de Risco de Importação - ARI, de pescado e derivados e de animais aquáticos, seus materiais de multiplicação, células, órgãos e tecidos considerando o impacto das importações na sanidade pesqueira e aquícola brasileira</w:t>
            </w:r>
          </w:p>
        </w:tc>
      </w:tr>
      <w:tr w:rsidR="007D4A35" w:rsidRPr="00464F6C" w:rsidTr="00984ABA">
        <w:trPr>
          <w:trHeight w:val="739"/>
          <w:jc w:val="center"/>
        </w:trPr>
        <w:tc>
          <w:tcPr>
            <w:tcW w:w="3542" w:type="dxa"/>
            <w:vAlign w:val="center"/>
          </w:tcPr>
          <w:p w:rsidR="007D4A35" w:rsidRPr="00C70F74" w:rsidRDefault="007D4A35" w:rsidP="007D4A35">
            <w:pPr>
              <w:autoSpaceDE w:val="0"/>
              <w:autoSpaceDN w:val="0"/>
              <w:adjustRightInd w:val="0"/>
              <w:rPr>
                <w:rFonts w:ascii="Calibri" w:hAnsi="Calibri" w:cs="Arial"/>
                <w:b/>
                <w:bCs/>
                <w:sz w:val="20"/>
              </w:rPr>
            </w:pPr>
            <w:r w:rsidRPr="00C70F74">
              <w:rPr>
                <w:rFonts w:ascii="Calibri" w:hAnsi="Calibri" w:cs="Arial"/>
                <w:b/>
                <w:bCs/>
                <w:sz w:val="20"/>
              </w:rPr>
              <w:t>Decreto 7.024, de 7 de dezembro de 2009</w:t>
            </w:r>
          </w:p>
        </w:tc>
        <w:tc>
          <w:tcPr>
            <w:tcW w:w="6295" w:type="dxa"/>
            <w:vAlign w:val="center"/>
          </w:tcPr>
          <w:p w:rsidR="007D4A35" w:rsidRPr="009F2F0F" w:rsidRDefault="007D4A35" w:rsidP="007D4A35">
            <w:pPr>
              <w:autoSpaceDE w:val="0"/>
              <w:autoSpaceDN w:val="0"/>
              <w:adjustRightInd w:val="0"/>
              <w:rPr>
                <w:rFonts w:ascii="Calibri" w:hAnsi="Calibri" w:cs="Arial"/>
                <w:bCs/>
                <w:sz w:val="20"/>
              </w:rPr>
            </w:pPr>
            <w:r>
              <w:rPr>
                <w:rFonts w:ascii="Calibri" w:hAnsi="Calibri" w:cs="Arial"/>
                <w:bCs/>
                <w:sz w:val="20"/>
              </w:rPr>
              <w:t>Regulamenta a s</w:t>
            </w:r>
            <w:r w:rsidRPr="001014DE">
              <w:rPr>
                <w:rFonts w:ascii="Calibri" w:hAnsi="Calibri" w:cs="Arial"/>
                <w:bCs/>
                <w:sz w:val="20"/>
              </w:rPr>
              <w:t xml:space="preserve">anidade pesqueira e </w:t>
            </w:r>
            <w:r w:rsidR="002E00C7" w:rsidRPr="001014DE">
              <w:rPr>
                <w:rFonts w:ascii="Calibri" w:hAnsi="Calibri" w:cs="Arial"/>
                <w:bCs/>
                <w:sz w:val="20"/>
              </w:rPr>
              <w:t>aq</w:t>
            </w:r>
            <w:r w:rsidR="002E00C7">
              <w:rPr>
                <w:rFonts w:ascii="Calibri" w:hAnsi="Calibri" w:cs="Arial"/>
                <w:bCs/>
                <w:sz w:val="20"/>
              </w:rPr>
              <w:t>u</w:t>
            </w:r>
            <w:r w:rsidR="002E00C7" w:rsidRPr="001014DE">
              <w:rPr>
                <w:rFonts w:ascii="Calibri" w:hAnsi="Calibri" w:cs="Arial"/>
                <w:bCs/>
                <w:sz w:val="20"/>
              </w:rPr>
              <w:t>ícola</w:t>
            </w:r>
            <w:r>
              <w:rPr>
                <w:rFonts w:ascii="Calibri" w:hAnsi="Calibri" w:cs="Arial"/>
                <w:bCs/>
                <w:sz w:val="20"/>
              </w:rPr>
              <w:t>.</w:t>
            </w:r>
          </w:p>
        </w:tc>
      </w:tr>
    </w:tbl>
    <w:p w:rsidR="00583E3D" w:rsidRDefault="00583E3D"/>
    <w:p w:rsidR="00F03198" w:rsidRDefault="00F03198"/>
    <w:sectPr w:rsidR="00F03198" w:rsidSect="00EA5D03">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6C"/>
    <w:rsid w:val="00004779"/>
    <w:rsid w:val="00010B60"/>
    <w:rsid w:val="00014B1B"/>
    <w:rsid w:val="00060A04"/>
    <w:rsid w:val="00086570"/>
    <w:rsid w:val="000A3EF5"/>
    <w:rsid w:val="000A425F"/>
    <w:rsid w:val="000C7792"/>
    <w:rsid w:val="000F44CE"/>
    <w:rsid w:val="000F5582"/>
    <w:rsid w:val="001014DE"/>
    <w:rsid w:val="00104896"/>
    <w:rsid w:val="0010535C"/>
    <w:rsid w:val="00163971"/>
    <w:rsid w:val="00164EA8"/>
    <w:rsid w:val="001A2EFB"/>
    <w:rsid w:val="001B6111"/>
    <w:rsid w:val="001D627E"/>
    <w:rsid w:val="002007DB"/>
    <w:rsid w:val="00210F27"/>
    <w:rsid w:val="00226496"/>
    <w:rsid w:val="00232E9F"/>
    <w:rsid w:val="0023466A"/>
    <w:rsid w:val="00250B96"/>
    <w:rsid w:val="00291C79"/>
    <w:rsid w:val="002A24A6"/>
    <w:rsid w:val="002D5D1F"/>
    <w:rsid w:val="002E00C7"/>
    <w:rsid w:val="002F0A41"/>
    <w:rsid w:val="00301163"/>
    <w:rsid w:val="00317434"/>
    <w:rsid w:val="00323BF2"/>
    <w:rsid w:val="0033226A"/>
    <w:rsid w:val="00345947"/>
    <w:rsid w:val="00367474"/>
    <w:rsid w:val="00377958"/>
    <w:rsid w:val="003E30E3"/>
    <w:rsid w:val="003F6B22"/>
    <w:rsid w:val="00400E4D"/>
    <w:rsid w:val="00423014"/>
    <w:rsid w:val="00435D40"/>
    <w:rsid w:val="00450EE0"/>
    <w:rsid w:val="00454CD7"/>
    <w:rsid w:val="00464F6C"/>
    <w:rsid w:val="00474AD1"/>
    <w:rsid w:val="00490346"/>
    <w:rsid w:val="004A62C2"/>
    <w:rsid w:val="004C1A12"/>
    <w:rsid w:val="004C1C2D"/>
    <w:rsid w:val="004C2FB2"/>
    <w:rsid w:val="004D0D26"/>
    <w:rsid w:val="004E2F13"/>
    <w:rsid w:val="004E4D4B"/>
    <w:rsid w:val="004E64BF"/>
    <w:rsid w:val="004F742C"/>
    <w:rsid w:val="005234F2"/>
    <w:rsid w:val="00525731"/>
    <w:rsid w:val="0052589F"/>
    <w:rsid w:val="0055192D"/>
    <w:rsid w:val="005666B9"/>
    <w:rsid w:val="00580D0E"/>
    <w:rsid w:val="00583E3D"/>
    <w:rsid w:val="00593584"/>
    <w:rsid w:val="00597B87"/>
    <w:rsid w:val="005C164C"/>
    <w:rsid w:val="005D6BAE"/>
    <w:rsid w:val="005E7F1F"/>
    <w:rsid w:val="006022D3"/>
    <w:rsid w:val="00605ADC"/>
    <w:rsid w:val="00645899"/>
    <w:rsid w:val="006A7348"/>
    <w:rsid w:val="0070116D"/>
    <w:rsid w:val="0072551E"/>
    <w:rsid w:val="00730AE7"/>
    <w:rsid w:val="00742D3C"/>
    <w:rsid w:val="00774CCC"/>
    <w:rsid w:val="007847D0"/>
    <w:rsid w:val="007867B6"/>
    <w:rsid w:val="00787A3D"/>
    <w:rsid w:val="00790518"/>
    <w:rsid w:val="007D088B"/>
    <w:rsid w:val="007D4A35"/>
    <w:rsid w:val="007E42A6"/>
    <w:rsid w:val="00802F69"/>
    <w:rsid w:val="00806B82"/>
    <w:rsid w:val="00817BA7"/>
    <w:rsid w:val="008314EE"/>
    <w:rsid w:val="0085045A"/>
    <w:rsid w:val="00856128"/>
    <w:rsid w:val="008746EB"/>
    <w:rsid w:val="008B7DAA"/>
    <w:rsid w:val="008F262E"/>
    <w:rsid w:val="00904F1B"/>
    <w:rsid w:val="00955BA6"/>
    <w:rsid w:val="00984ABA"/>
    <w:rsid w:val="009A4072"/>
    <w:rsid w:val="009B563A"/>
    <w:rsid w:val="009E68DC"/>
    <w:rsid w:val="00A02654"/>
    <w:rsid w:val="00A063A6"/>
    <w:rsid w:val="00A11AB6"/>
    <w:rsid w:val="00A47991"/>
    <w:rsid w:val="00A5359C"/>
    <w:rsid w:val="00A7106F"/>
    <w:rsid w:val="00A755A1"/>
    <w:rsid w:val="00A80F3B"/>
    <w:rsid w:val="00A84EC3"/>
    <w:rsid w:val="00A92598"/>
    <w:rsid w:val="00A940C4"/>
    <w:rsid w:val="00A9576B"/>
    <w:rsid w:val="00AD5D96"/>
    <w:rsid w:val="00AD683C"/>
    <w:rsid w:val="00AE589A"/>
    <w:rsid w:val="00AE686A"/>
    <w:rsid w:val="00AF10E0"/>
    <w:rsid w:val="00B13F3E"/>
    <w:rsid w:val="00B2499B"/>
    <w:rsid w:val="00B85081"/>
    <w:rsid w:val="00B856EE"/>
    <w:rsid w:val="00BE2F4F"/>
    <w:rsid w:val="00BE5CE7"/>
    <w:rsid w:val="00C165B9"/>
    <w:rsid w:val="00C31269"/>
    <w:rsid w:val="00C34BA9"/>
    <w:rsid w:val="00C652DF"/>
    <w:rsid w:val="00C70F74"/>
    <w:rsid w:val="00C72F19"/>
    <w:rsid w:val="00C741C4"/>
    <w:rsid w:val="00C74B24"/>
    <w:rsid w:val="00C809A0"/>
    <w:rsid w:val="00CB0D6D"/>
    <w:rsid w:val="00CD22B2"/>
    <w:rsid w:val="00CD7CEE"/>
    <w:rsid w:val="00CE0412"/>
    <w:rsid w:val="00D226D4"/>
    <w:rsid w:val="00D8701E"/>
    <w:rsid w:val="00DC0A7F"/>
    <w:rsid w:val="00DC2283"/>
    <w:rsid w:val="00E010E9"/>
    <w:rsid w:val="00E17C52"/>
    <w:rsid w:val="00E31574"/>
    <w:rsid w:val="00E32EAD"/>
    <w:rsid w:val="00E43CDF"/>
    <w:rsid w:val="00E47643"/>
    <w:rsid w:val="00E63E26"/>
    <w:rsid w:val="00E76F9B"/>
    <w:rsid w:val="00E9088C"/>
    <w:rsid w:val="00EA2F35"/>
    <w:rsid w:val="00EA5D03"/>
    <w:rsid w:val="00EB6453"/>
    <w:rsid w:val="00ED70F8"/>
    <w:rsid w:val="00EE6357"/>
    <w:rsid w:val="00F03198"/>
    <w:rsid w:val="00F32244"/>
    <w:rsid w:val="00F3546A"/>
    <w:rsid w:val="00F913D5"/>
    <w:rsid w:val="00F95C40"/>
    <w:rsid w:val="00FA50B3"/>
    <w:rsid w:val="00FA72A2"/>
    <w:rsid w:val="00FD0044"/>
    <w:rsid w:val="00FD15BF"/>
    <w:rsid w:val="00FE1099"/>
    <w:rsid w:val="00FE2FFF"/>
    <w:rsid w:val="00FE6659"/>
    <w:rsid w:val="00FF14FB"/>
    <w:rsid w:val="00FF5998"/>
    <w:rsid w:val="00FF6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348D5-44D3-4C6A-B28A-3B28E52C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64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30AE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0AE7"/>
    <w:rPr>
      <w:rFonts w:ascii="Segoe UI" w:hAnsi="Segoe UI" w:cs="Segoe UI"/>
      <w:sz w:val="18"/>
      <w:szCs w:val="18"/>
    </w:rPr>
  </w:style>
  <w:style w:type="character" w:customStyle="1" w:styleId="hps">
    <w:name w:val="hps"/>
    <w:basedOn w:val="Fontepargpadro"/>
    <w:rsid w:val="00454CD7"/>
  </w:style>
  <w:style w:type="character" w:styleId="Hyperlink">
    <w:name w:val="Hyperlink"/>
    <w:basedOn w:val="Fontepargpadro"/>
    <w:uiPriority w:val="99"/>
    <w:unhideWhenUsed/>
    <w:rsid w:val="001A2EFB"/>
    <w:rPr>
      <w:color w:val="0563C1" w:themeColor="hyperlink"/>
      <w:u w:val="single"/>
    </w:rPr>
  </w:style>
  <w:style w:type="character" w:styleId="Meno">
    <w:name w:val="Mention"/>
    <w:basedOn w:val="Fontepargpadro"/>
    <w:uiPriority w:val="99"/>
    <w:semiHidden/>
    <w:unhideWhenUsed/>
    <w:rsid w:val="001A2EF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3319">
      <w:bodyDiv w:val="1"/>
      <w:marLeft w:val="0"/>
      <w:marRight w:val="0"/>
      <w:marTop w:val="0"/>
      <w:marBottom w:val="0"/>
      <w:divBdr>
        <w:top w:val="none" w:sz="0" w:space="0" w:color="auto"/>
        <w:left w:val="none" w:sz="0" w:space="0" w:color="auto"/>
        <w:bottom w:val="none" w:sz="0" w:space="0" w:color="auto"/>
        <w:right w:val="none" w:sz="0" w:space="0" w:color="auto"/>
      </w:divBdr>
    </w:div>
    <w:div w:id="1639412890">
      <w:bodyDiv w:val="1"/>
      <w:marLeft w:val="0"/>
      <w:marRight w:val="0"/>
      <w:marTop w:val="0"/>
      <w:marBottom w:val="0"/>
      <w:divBdr>
        <w:top w:val="none" w:sz="0" w:space="0" w:color="auto"/>
        <w:left w:val="none" w:sz="0" w:space="0" w:color="auto"/>
        <w:bottom w:val="none" w:sz="0" w:space="0" w:color="auto"/>
        <w:right w:val="none" w:sz="0" w:space="0" w:color="auto"/>
      </w:divBdr>
    </w:div>
    <w:div w:id="21320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naqu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900</Words>
  <Characters>4865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Fatima de Sena</dc:creator>
  <cp:keywords/>
  <dc:description/>
  <cp:lastModifiedBy>Elaine Fatima de Sena</cp:lastModifiedBy>
  <cp:revision>9</cp:revision>
  <cp:lastPrinted>2017-03-31T17:27:00Z</cp:lastPrinted>
  <dcterms:created xsi:type="dcterms:W3CDTF">2017-04-06T13:44:00Z</dcterms:created>
  <dcterms:modified xsi:type="dcterms:W3CDTF">2017-04-12T12:04:00Z</dcterms:modified>
</cp:coreProperties>
</file>