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68B84" w14:textId="77777777" w:rsidR="00C87B02" w:rsidRPr="00826906" w:rsidRDefault="00C87B02">
      <w:pPr>
        <w:pStyle w:val="Cabealho"/>
        <w:tabs>
          <w:tab w:val="clear" w:pos="4419"/>
          <w:tab w:val="clear" w:pos="8838"/>
        </w:tabs>
        <w:rPr>
          <w:rFonts w:ascii="Arial" w:hAnsi="Arial" w:cs="Arial"/>
          <w:b/>
        </w:rPr>
      </w:pPr>
      <w:r w:rsidRPr="00826906">
        <w:rPr>
          <w:rFonts w:ascii="Arial" w:hAnsi="Arial" w:cs="Arial"/>
          <w:b/>
        </w:rPr>
        <w:t>MINISTÉRIO DA AGRICULTURA, PECUÁRIA E ABASTECIMENTO</w:t>
      </w:r>
    </w:p>
    <w:p w14:paraId="0012FA22" w14:textId="77777777" w:rsidR="00C87B02" w:rsidRPr="00826906" w:rsidRDefault="00C87B02">
      <w:pPr>
        <w:pStyle w:val="Cabealho"/>
        <w:tabs>
          <w:tab w:val="clear" w:pos="4419"/>
          <w:tab w:val="clear" w:pos="8838"/>
        </w:tabs>
        <w:rPr>
          <w:rFonts w:ascii="Arial" w:hAnsi="Arial" w:cs="Arial"/>
          <w:b/>
        </w:rPr>
      </w:pPr>
      <w:r w:rsidRPr="00826906">
        <w:rPr>
          <w:rFonts w:ascii="Arial" w:hAnsi="Arial" w:cs="Arial"/>
          <w:b/>
        </w:rPr>
        <w:t>Secretaria de Relações Internacionais do Agronegócio</w:t>
      </w:r>
    </w:p>
    <w:p w14:paraId="7312A026" w14:textId="77777777" w:rsidR="00C87B02" w:rsidRPr="00826906" w:rsidRDefault="00C87B02">
      <w:pPr>
        <w:pStyle w:val="Ttulo1"/>
        <w:rPr>
          <w:rFonts w:ascii="Arial" w:hAnsi="Arial" w:cs="Arial"/>
          <w:sz w:val="20"/>
          <w:szCs w:val="20"/>
        </w:rPr>
      </w:pPr>
    </w:p>
    <w:p w14:paraId="2C96BBAE" w14:textId="1E0259D0" w:rsidR="00C87B02" w:rsidRPr="00826906" w:rsidRDefault="00C87B02">
      <w:pPr>
        <w:pStyle w:val="Ttulo1"/>
        <w:rPr>
          <w:rFonts w:ascii="Arial" w:hAnsi="Arial" w:cs="Arial"/>
          <w:sz w:val="20"/>
          <w:szCs w:val="20"/>
        </w:rPr>
      </w:pPr>
      <w:r w:rsidRPr="00826906">
        <w:rPr>
          <w:rFonts w:ascii="Arial" w:hAnsi="Arial" w:cs="Arial"/>
          <w:sz w:val="20"/>
          <w:szCs w:val="20"/>
        </w:rPr>
        <w:t xml:space="preserve">Balança Comercial do Agronegócio – </w:t>
      </w:r>
      <w:proofErr w:type="gramStart"/>
      <w:r w:rsidR="007C6628">
        <w:rPr>
          <w:rFonts w:ascii="Arial" w:hAnsi="Arial" w:cs="Arial"/>
          <w:sz w:val="20"/>
          <w:szCs w:val="20"/>
        </w:rPr>
        <w:t>Julho</w:t>
      </w:r>
      <w:proofErr w:type="gramEnd"/>
      <w:r w:rsidR="007763E5">
        <w:rPr>
          <w:rFonts w:ascii="Arial" w:hAnsi="Arial" w:cs="Arial"/>
          <w:sz w:val="20"/>
          <w:szCs w:val="20"/>
        </w:rPr>
        <w:t>/</w:t>
      </w:r>
      <w:r w:rsidR="007C6628">
        <w:rPr>
          <w:rFonts w:ascii="Arial" w:hAnsi="Arial" w:cs="Arial"/>
          <w:sz w:val="20"/>
          <w:szCs w:val="20"/>
        </w:rPr>
        <w:t>2019</w:t>
      </w:r>
    </w:p>
    <w:p w14:paraId="2DAADCA7" w14:textId="77777777" w:rsidR="008035E6" w:rsidRPr="00826906" w:rsidRDefault="008035E6" w:rsidP="008035E6">
      <w:pPr>
        <w:rPr>
          <w:rFonts w:ascii="Arial" w:hAnsi="Arial" w:cs="Arial"/>
        </w:rPr>
      </w:pPr>
    </w:p>
    <w:p w14:paraId="0EDFAF5D" w14:textId="559EDE8B" w:rsidR="008035E6" w:rsidRPr="00826906" w:rsidRDefault="007C6628" w:rsidP="008035E6">
      <w:pPr>
        <w:rPr>
          <w:rFonts w:ascii="Arial" w:hAnsi="Arial" w:cs="Arial"/>
        </w:rPr>
      </w:pPr>
      <w:r w:rsidRPr="007C6628">
        <w:rPr>
          <w:noProof/>
        </w:rPr>
        <w:drawing>
          <wp:inline distT="0" distB="0" distL="0" distR="0" wp14:anchorId="4ACC50F7" wp14:editId="34555DB2">
            <wp:extent cx="6480175" cy="305181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80175" cy="3051810"/>
                    </a:xfrm>
                    <a:prstGeom prst="rect">
                      <a:avLst/>
                    </a:prstGeom>
                  </pic:spPr>
                </pic:pic>
              </a:graphicData>
            </a:graphic>
          </wp:inline>
        </w:drawing>
      </w:r>
    </w:p>
    <w:p w14:paraId="36573B35" w14:textId="77777777" w:rsidR="00C87B02" w:rsidRPr="00826906" w:rsidRDefault="00C87B02">
      <w:pPr>
        <w:pStyle w:val="Ttulo5"/>
        <w:autoSpaceDE/>
        <w:autoSpaceDN/>
        <w:adjustRightInd/>
        <w:rPr>
          <w:rFonts w:ascii="Arial" w:hAnsi="Arial" w:cs="Arial"/>
          <w:sz w:val="20"/>
          <w:szCs w:val="20"/>
        </w:rPr>
      </w:pPr>
    </w:p>
    <w:p w14:paraId="4B87317A" w14:textId="77777777" w:rsidR="00E04FAF" w:rsidRPr="00826906" w:rsidRDefault="00E04FAF">
      <w:pPr>
        <w:pStyle w:val="Ttulo5"/>
        <w:autoSpaceDE/>
        <w:autoSpaceDN/>
        <w:adjustRightInd/>
        <w:rPr>
          <w:rFonts w:ascii="Arial" w:hAnsi="Arial" w:cs="Arial"/>
          <w:sz w:val="20"/>
          <w:szCs w:val="20"/>
        </w:rPr>
      </w:pPr>
    </w:p>
    <w:p w14:paraId="1C81EB44" w14:textId="0B9946B6" w:rsidR="003E2A9B" w:rsidRDefault="003E2A9B" w:rsidP="003E2A9B">
      <w:pPr>
        <w:pStyle w:val="Ttulo5"/>
        <w:autoSpaceDE/>
        <w:autoSpaceDN/>
        <w:adjustRightInd/>
        <w:rPr>
          <w:rFonts w:ascii="Arial" w:hAnsi="Arial" w:cs="Arial"/>
          <w:sz w:val="20"/>
          <w:szCs w:val="20"/>
        </w:rPr>
      </w:pPr>
      <w:r w:rsidRPr="00826906">
        <w:rPr>
          <w:rFonts w:ascii="Arial" w:hAnsi="Arial" w:cs="Arial"/>
          <w:sz w:val="20"/>
          <w:szCs w:val="20"/>
        </w:rPr>
        <w:t xml:space="preserve">I – Resultados do mês (comparativo </w:t>
      </w:r>
      <w:proofErr w:type="gramStart"/>
      <w:r w:rsidR="007C6628">
        <w:rPr>
          <w:rFonts w:ascii="Arial" w:hAnsi="Arial" w:cs="Arial"/>
          <w:sz w:val="20"/>
          <w:szCs w:val="20"/>
        </w:rPr>
        <w:t>Julho</w:t>
      </w:r>
      <w:proofErr w:type="gramEnd"/>
      <w:r>
        <w:rPr>
          <w:rFonts w:ascii="Arial" w:hAnsi="Arial" w:cs="Arial"/>
          <w:sz w:val="20"/>
          <w:szCs w:val="20"/>
        </w:rPr>
        <w:t>/</w:t>
      </w:r>
      <w:r w:rsidR="007C6628">
        <w:rPr>
          <w:rFonts w:ascii="Arial" w:hAnsi="Arial" w:cs="Arial"/>
          <w:sz w:val="20"/>
          <w:szCs w:val="20"/>
        </w:rPr>
        <w:t>2019</w:t>
      </w:r>
      <w:r w:rsidRPr="00826906">
        <w:rPr>
          <w:rFonts w:ascii="Arial" w:hAnsi="Arial" w:cs="Arial"/>
          <w:sz w:val="20"/>
          <w:szCs w:val="20"/>
        </w:rPr>
        <w:t xml:space="preserve"> – </w:t>
      </w:r>
      <w:r w:rsidR="007C6628">
        <w:rPr>
          <w:rFonts w:ascii="Arial" w:hAnsi="Arial" w:cs="Arial"/>
          <w:sz w:val="20"/>
          <w:szCs w:val="20"/>
        </w:rPr>
        <w:t>Julho</w:t>
      </w:r>
      <w:r w:rsidRPr="00826906">
        <w:rPr>
          <w:rFonts w:ascii="Arial" w:hAnsi="Arial" w:cs="Arial"/>
          <w:sz w:val="20"/>
          <w:szCs w:val="20"/>
        </w:rPr>
        <w:t>/</w:t>
      </w:r>
      <w:r w:rsidR="007C6628">
        <w:rPr>
          <w:rFonts w:ascii="Arial" w:hAnsi="Arial" w:cs="Arial"/>
          <w:sz w:val="20"/>
          <w:szCs w:val="20"/>
        </w:rPr>
        <w:t>2018</w:t>
      </w:r>
      <w:r w:rsidRPr="00826906">
        <w:rPr>
          <w:rFonts w:ascii="Arial" w:hAnsi="Arial" w:cs="Arial"/>
          <w:sz w:val="20"/>
          <w:szCs w:val="20"/>
        </w:rPr>
        <w:t>)</w:t>
      </w:r>
    </w:p>
    <w:p w14:paraId="3F2B504B" w14:textId="77777777" w:rsidR="003E2A9B" w:rsidRDefault="003E2A9B" w:rsidP="003E2A9B"/>
    <w:p w14:paraId="7BB416BF" w14:textId="5CB1228F" w:rsidR="003E2A9B" w:rsidRPr="00691426" w:rsidRDefault="00CC2516" w:rsidP="003E2A9B">
      <w:pPr>
        <w:pStyle w:val="Recuodecorpodetexto"/>
        <w:rPr>
          <w:rFonts w:ascii="Arial" w:hAnsi="Arial" w:cs="Arial"/>
          <w:sz w:val="20"/>
          <w:szCs w:val="20"/>
        </w:rPr>
      </w:pPr>
      <w:r>
        <w:rPr>
          <w:rFonts w:ascii="Arial" w:hAnsi="Arial" w:cs="Arial"/>
          <w:sz w:val="20"/>
          <w:szCs w:val="20"/>
        </w:rPr>
        <w:t>Em julho de 2019 as exportações do agronegócio somaram US$ 9,17 bilhões</w:t>
      </w:r>
      <w:r w:rsidR="005B0FD6">
        <w:rPr>
          <w:rFonts w:ascii="Arial" w:hAnsi="Arial" w:cs="Arial"/>
          <w:sz w:val="20"/>
          <w:szCs w:val="20"/>
        </w:rPr>
        <w:t xml:space="preserve"> (-3,4% em relação a julho/2018)</w:t>
      </w:r>
      <w:r>
        <w:rPr>
          <w:rFonts w:ascii="Arial" w:hAnsi="Arial" w:cs="Arial"/>
          <w:sz w:val="20"/>
          <w:szCs w:val="20"/>
        </w:rPr>
        <w:t>, enquanto as importações do setor foram de US$ 1,17 bilhão</w:t>
      </w:r>
      <w:r w:rsidR="005B0FD6">
        <w:rPr>
          <w:rFonts w:ascii="Arial" w:hAnsi="Arial" w:cs="Arial"/>
          <w:sz w:val="20"/>
          <w:szCs w:val="20"/>
        </w:rPr>
        <w:t xml:space="preserve"> (-7,1% sobre o mesmo mês do ano anterior)</w:t>
      </w:r>
      <w:r>
        <w:rPr>
          <w:rFonts w:ascii="Arial" w:hAnsi="Arial" w:cs="Arial"/>
          <w:sz w:val="20"/>
          <w:szCs w:val="20"/>
        </w:rPr>
        <w:t>. Como resultado, o saldo da balança comercial alcançou quase US$ 8 bilhões.</w:t>
      </w:r>
      <w:r w:rsidR="00691426">
        <w:rPr>
          <w:rFonts w:ascii="Arial" w:hAnsi="Arial" w:cs="Arial"/>
          <w:sz w:val="20"/>
          <w:szCs w:val="20"/>
        </w:rPr>
        <w:t xml:space="preserve"> </w:t>
      </w:r>
      <w:r w:rsidR="00833E9E">
        <w:rPr>
          <w:rFonts w:ascii="Arial" w:hAnsi="Arial" w:cs="Arial"/>
          <w:sz w:val="20"/>
          <w:szCs w:val="20"/>
        </w:rPr>
        <w:t>A principal queda nas vendas externas do setor decorreu</w:t>
      </w:r>
      <w:r w:rsidR="00691426">
        <w:rPr>
          <w:rFonts w:ascii="Arial" w:hAnsi="Arial" w:cs="Arial"/>
          <w:sz w:val="20"/>
          <w:szCs w:val="20"/>
        </w:rPr>
        <w:t xml:space="preserve"> da retração nos preços das commodities</w:t>
      </w:r>
      <w:r w:rsidR="00833E9E">
        <w:rPr>
          <w:rFonts w:ascii="Arial" w:hAnsi="Arial" w:cs="Arial"/>
          <w:sz w:val="20"/>
          <w:szCs w:val="20"/>
        </w:rPr>
        <w:t xml:space="preserve"> exportadas pelo Brasil</w:t>
      </w:r>
      <w:r w:rsidR="00691426">
        <w:rPr>
          <w:rFonts w:ascii="Arial" w:hAnsi="Arial" w:cs="Arial"/>
          <w:sz w:val="20"/>
          <w:szCs w:val="20"/>
        </w:rPr>
        <w:t xml:space="preserve">. Houve queda de 6,9% no índice de preço em julho/2019, </w:t>
      </w:r>
      <w:r w:rsidR="003867B8">
        <w:rPr>
          <w:rFonts w:ascii="Arial" w:hAnsi="Arial" w:cs="Arial"/>
          <w:sz w:val="20"/>
          <w:szCs w:val="20"/>
        </w:rPr>
        <w:t>mesmo com o aumento d</w:t>
      </w:r>
      <w:r w:rsidR="00691426">
        <w:rPr>
          <w:rFonts w:ascii="Arial" w:hAnsi="Arial" w:cs="Arial"/>
          <w:sz w:val="20"/>
          <w:szCs w:val="20"/>
        </w:rPr>
        <w:t xml:space="preserve">o índice de </w:t>
      </w:r>
      <w:r w:rsidR="00691426">
        <w:rPr>
          <w:rFonts w:ascii="Arial" w:hAnsi="Arial" w:cs="Arial"/>
          <w:i/>
          <w:iCs/>
          <w:sz w:val="20"/>
          <w:szCs w:val="20"/>
        </w:rPr>
        <w:t xml:space="preserve">quantum </w:t>
      </w:r>
      <w:r w:rsidR="003867B8">
        <w:rPr>
          <w:rFonts w:ascii="Arial" w:hAnsi="Arial" w:cs="Arial"/>
          <w:sz w:val="20"/>
          <w:szCs w:val="20"/>
        </w:rPr>
        <w:t>em</w:t>
      </w:r>
      <w:r w:rsidR="00691426">
        <w:rPr>
          <w:rFonts w:ascii="Arial" w:hAnsi="Arial" w:cs="Arial"/>
          <w:sz w:val="20"/>
          <w:szCs w:val="20"/>
        </w:rPr>
        <w:t xml:space="preserve"> 3,8%. </w:t>
      </w:r>
    </w:p>
    <w:p w14:paraId="46D9A4DB" w14:textId="77777777" w:rsidR="003E2A9B" w:rsidRDefault="003E2A9B" w:rsidP="003E2A9B">
      <w:pPr>
        <w:pStyle w:val="Recuodecorpodetexto"/>
        <w:rPr>
          <w:rFonts w:ascii="Arial" w:hAnsi="Arial" w:cs="Arial"/>
          <w:sz w:val="20"/>
          <w:szCs w:val="20"/>
        </w:rPr>
      </w:pPr>
    </w:p>
    <w:p w14:paraId="26964EFC" w14:textId="77777777" w:rsidR="003E2A9B" w:rsidRPr="00826906" w:rsidRDefault="003E2A9B" w:rsidP="003E2A9B">
      <w:pPr>
        <w:pStyle w:val="Recuodecorpodetexto"/>
        <w:ind w:firstLine="0"/>
        <w:rPr>
          <w:rFonts w:ascii="Arial" w:hAnsi="Arial" w:cs="Arial"/>
          <w:color w:val="000000" w:themeColor="text1"/>
          <w:sz w:val="20"/>
          <w:szCs w:val="20"/>
        </w:rPr>
      </w:pPr>
    </w:p>
    <w:p w14:paraId="6F60E2D3" w14:textId="77777777" w:rsidR="003E2A9B" w:rsidRDefault="003E2A9B" w:rsidP="003E2A9B">
      <w:pPr>
        <w:pStyle w:val="Ttulo5"/>
        <w:autoSpaceDE/>
        <w:autoSpaceDN/>
        <w:adjustRightInd/>
        <w:rPr>
          <w:rFonts w:ascii="Arial" w:hAnsi="Arial" w:cs="Arial"/>
          <w:sz w:val="20"/>
          <w:szCs w:val="20"/>
        </w:rPr>
      </w:pPr>
      <w:proofErr w:type="spellStart"/>
      <w:r w:rsidRPr="00826906">
        <w:rPr>
          <w:rFonts w:ascii="Arial" w:hAnsi="Arial" w:cs="Arial"/>
          <w:sz w:val="20"/>
          <w:szCs w:val="20"/>
        </w:rPr>
        <w:t>I.a</w:t>
      </w:r>
      <w:proofErr w:type="spellEnd"/>
      <w:r w:rsidRPr="00826906">
        <w:rPr>
          <w:rFonts w:ascii="Arial" w:hAnsi="Arial" w:cs="Arial"/>
          <w:sz w:val="20"/>
          <w:szCs w:val="20"/>
        </w:rPr>
        <w:t xml:space="preserve"> – Setores do Agronegócio</w:t>
      </w:r>
    </w:p>
    <w:p w14:paraId="72EAAB37" w14:textId="77777777" w:rsidR="003E2A9B" w:rsidRPr="00522768" w:rsidRDefault="003E2A9B" w:rsidP="003E2A9B">
      <w:pPr>
        <w:pStyle w:val="Recuodecorpodetexto"/>
        <w:rPr>
          <w:rFonts w:ascii="Arial" w:hAnsi="Arial" w:cs="Arial"/>
          <w:color w:val="000000" w:themeColor="text1"/>
          <w:sz w:val="20"/>
          <w:szCs w:val="20"/>
        </w:rPr>
      </w:pPr>
    </w:p>
    <w:p w14:paraId="2B37DC66" w14:textId="512AFDDB" w:rsidR="00CB0499" w:rsidRDefault="00CB0499" w:rsidP="00CB0499">
      <w:pPr>
        <w:pStyle w:val="Recuodecorpodetexto"/>
        <w:rPr>
          <w:rFonts w:ascii="Arial" w:hAnsi="Arial" w:cs="Arial"/>
          <w:sz w:val="20"/>
          <w:szCs w:val="20"/>
        </w:rPr>
      </w:pPr>
      <w:r>
        <w:rPr>
          <w:rFonts w:ascii="Arial" w:hAnsi="Arial" w:cs="Arial"/>
          <w:sz w:val="20"/>
          <w:szCs w:val="20"/>
        </w:rPr>
        <w:t xml:space="preserve">Os produtos de origem vegetal foram os que mais contribuíram para a retração nas vendas externas </w:t>
      </w:r>
      <w:r w:rsidR="00D4460E">
        <w:rPr>
          <w:rFonts w:ascii="Arial" w:hAnsi="Arial" w:cs="Arial"/>
          <w:sz w:val="20"/>
          <w:szCs w:val="20"/>
        </w:rPr>
        <w:t>agropecuárias</w:t>
      </w:r>
      <w:r>
        <w:rPr>
          <w:rFonts w:ascii="Arial" w:hAnsi="Arial" w:cs="Arial"/>
          <w:sz w:val="20"/>
          <w:szCs w:val="20"/>
        </w:rPr>
        <w:t xml:space="preserve"> no mês. Particularmente o complexo soja, visto que houve redução de US$ 1,5 bilhão nas exportações brasileiras</w:t>
      </w:r>
      <w:r w:rsidR="00E157EA">
        <w:rPr>
          <w:rFonts w:ascii="Arial" w:hAnsi="Arial" w:cs="Arial"/>
          <w:sz w:val="20"/>
          <w:szCs w:val="20"/>
        </w:rPr>
        <w:t>, compara</w:t>
      </w:r>
      <w:r w:rsidR="00220873">
        <w:rPr>
          <w:rFonts w:ascii="Arial" w:hAnsi="Arial" w:cs="Arial"/>
          <w:sz w:val="20"/>
          <w:szCs w:val="20"/>
        </w:rPr>
        <w:t>do aos valores exportados em julho de 2018</w:t>
      </w:r>
      <w:r>
        <w:rPr>
          <w:rFonts w:ascii="Arial" w:hAnsi="Arial" w:cs="Arial"/>
          <w:sz w:val="20"/>
          <w:szCs w:val="20"/>
        </w:rPr>
        <w:t>. As carnes também sofreram queda nas vendas (de US$ 1,54 bilhão em julho/2018 para US$ 1,46 bilhão em julho/2019).</w:t>
      </w:r>
    </w:p>
    <w:p w14:paraId="190F07B4" w14:textId="77777777" w:rsidR="00CB0499" w:rsidRDefault="00CB0499" w:rsidP="00CB0499">
      <w:pPr>
        <w:pStyle w:val="Recuodecorpodetexto"/>
        <w:rPr>
          <w:rFonts w:ascii="Arial" w:hAnsi="Arial" w:cs="Arial"/>
          <w:sz w:val="20"/>
          <w:szCs w:val="20"/>
        </w:rPr>
      </w:pPr>
    </w:p>
    <w:p w14:paraId="70A753AA" w14:textId="77777777" w:rsidR="00CB0499" w:rsidRDefault="00CB0499" w:rsidP="00CB0499">
      <w:pPr>
        <w:pStyle w:val="Recuodecorpodetexto"/>
        <w:rPr>
          <w:rFonts w:ascii="Arial" w:hAnsi="Arial" w:cs="Arial"/>
          <w:sz w:val="20"/>
          <w:szCs w:val="20"/>
        </w:rPr>
      </w:pPr>
      <w:r>
        <w:rPr>
          <w:rFonts w:ascii="Arial" w:hAnsi="Arial" w:cs="Arial"/>
          <w:sz w:val="20"/>
          <w:szCs w:val="20"/>
        </w:rPr>
        <w:t xml:space="preserve">Apesar da retração, o complexo soja ocupou a primeira posição no </w:t>
      </w:r>
      <w:r w:rsidRPr="00B512E8">
        <w:rPr>
          <w:rFonts w:ascii="Arial" w:hAnsi="Arial" w:cs="Arial"/>
          <w:i/>
          <w:iCs/>
          <w:sz w:val="20"/>
          <w:szCs w:val="20"/>
        </w:rPr>
        <w:t>ranking</w:t>
      </w:r>
      <w:r>
        <w:rPr>
          <w:rFonts w:ascii="Arial" w:hAnsi="Arial" w:cs="Arial"/>
          <w:sz w:val="20"/>
          <w:szCs w:val="20"/>
        </w:rPr>
        <w:t xml:space="preserve"> de setores exportadores, com US$ 3,41 bilhões. As vendas do grão representaram 81,8% desse valor, somando US$ 2,79 bilhões. Assim como o grão, o farelo e o óleo apresentaram queda na quantidade embarcada e no preço médio de venda. Foram exportados US$ 538,82 milhões de farelo (-25,6%) e US$ 82,54 milhões de óleo de soja (-45,4%) no último mês. </w:t>
      </w:r>
    </w:p>
    <w:p w14:paraId="5E418157" w14:textId="77777777" w:rsidR="00CB0499" w:rsidRDefault="00CB0499" w:rsidP="00CB0499">
      <w:pPr>
        <w:pStyle w:val="Recuodecorpodetexto"/>
        <w:rPr>
          <w:rFonts w:ascii="Arial" w:hAnsi="Arial" w:cs="Arial"/>
          <w:sz w:val="20"/>
          <w:szCs w:val="20"/>
        </w:rPr>
      </w:pPr>
    </w:p>
    <w:p w14:paraId="120BC5B1" w14:textId="798645FB" w:rsidR="00CB0499" w:rsidRDefault="00CB0499" w:rsidP="00CB0499">
      <w:pPr>
        <w:pStyle w:val="Recuodecorpodetexto"/>
        <w:rPr>
          <w:rFonts w:ascii="Arial" w:hAnsi="Arial" w:cs="Arial"/>
          <w:sz w:val="20"/>
          <w:szCs w:val="20"/>
        </w:rPr>
      </w:pPr>
      <w:r>
        <w:rPr>
          <w:rFonts w:ascii="Arial" w:hAnsi="Arial" w:cs="Arial"/>
          <w:sz w:val="20"/>
          <w:szCs w:val="20"/>
        </w:rPr>
        <w:t>Em seguida destaca-se o setor de carnes (US$ 1,</w:t>
      </w:r>
      <w:r w:rsidR="00FB39FE">
        <w:rPr>
          <w:rFonts w:ascii="Arial" w:hAnsi="Arial" w:cs="Arial"/>
          <w:sz w:val="20"/>
          <w:szCs w:val="20"/>
        </w:rPr>
        <w:t>46</w:t>
      </w:r>
      <w:r>
        <w:rPr>
          <w:rFonts w:ascii="Arial" w:hAnsi="Arial" w:cs="Arial"/>
          <w:sz w:val="20"/>
          <w:szCs w:val="20"/>
        </w:rPr>
        <w:t xml:space="preserve"> bilhão). Houve queda </w:t>
      </w:r>
      <w:r w:rsidR="0020693B">
        <w:rPr>
          <w:rFonts w:ascii="Arial" w:hAnsi="Arial" w:cs="Arial"/>
          <w:sz w:val="20"/>
          <w:szCs w:val="20"/>
        </w:rPr>
        <w:t xml:space="preserve">em valor </w:t>
      </w:r>
      <w:r>
        <w:rPr>
          <w:rFonts w:ascii="Arial" w:hAnsi="Arial" w:cs="Arial"/>
          <w:sz w:val="20"/>
          <w:szCs w:val="20"/>
        </w:rPr>
        <w:t>nas exportações de carne de frango (-6,3%) e carne bovina (-7,0%)</w:t>
      </w:r>
      <w:r w:rsidR="0036071C">
        <w:rPr>
          <w:rFonts w:ascii="Arial" w:hAnsi="Arial" w:cs="Arial"/>
          <w:sz w:val="20"/>
          <w:szCs w:val="20"/>
        </w:rPr>
        <w:t>.</w:t>
      </w:r>
      <w:r w:rsidR="0020693B">
        <w:rPr>
          <w:rFonts w:ascii="Arial" w:hAnsi="Arial" w:cs="Arial"/>
          <w:sz w:val="20"/>
          <w:szCs w:val="20"/>
        </w:rPr>
        <w:t xml:space="preserve"> </w:t>
      </w:r>
      <w:r w:rsidR="0036071C">
        <w:rPr>
          <w:rFonts w:ascii="Arial" w:hAnsi="Arial" w:cs="Arial"/>
          <w:sz w:val="20"/>
          <w:szCs w:val="20"/>
        </w:rPr>
        <w:t>A</w:t>
      </w:r>
      <w:r w:rsidR="0020693B">
        <w:rPr>
          <w:rFonts w:ascii="Arial" w:hAnsi="Arial" w:cs="Arial"/>
          <w:sz w:val="20"/>
          <w:szCs w:val="20"/>
        </w:rPr>
        <w:t xml:space="preserve"> carne suína registrou crescimento de 24,7%</w:t>
      </w:r>
      <w:r w:rsidR="00FB39FE">
        <w:rPr>
          <w:rFonts w:ascii="Arial" w:hAnsi="Arial" w:cs="Arial"/>
          <w:sz w:val="20"/>
          <w:szCs w:val="20"/>
        </w:rPr>
        <w:t xml:space="preserve"> em valor</w:t>
      </w:r>
      <w:r w:rsidR="0020693B">
        <w:rPr>
          <w:rFonts w:ascii="Arial" w:hAnsi="Arial" w:cs="Arial"/>
          <w:sz w:val="20"/>
          <w:szCs w:val="20"/>
        </w:rPr>
        <w:t xml:space="preserve">. No caso da carne de frango a queda resultou da </w:t>
      </w:r>
      <w:r w:rsidR="0036071C">
        <w:rPr>
          <w:rFonts w:ascii="Arial" w:hAnsi="Arial" w:cs="Arial"/>
          <w:sz w:val="20"/>
          <w:szCs w:val="20"/>
        </w:rPr>
        <w:t>menor</w:t>
      </w:r>
      <w:r w:rsidR="0020693B">
        <w:rPr>
          <w:rFonts w:ascii="Arial" w:hAnsi="Arial" w:cs="Arial"/>
          <w:sz w:val="20"/>
          <w:szCs w:val="20"/>
        </w:rPr>
        <w:t xml:space="preserve"> quantidade embarcada, visto que o preço médio do produto exportado aumentou de US$ 1.539 em julho/ 2018 para US$ 1.734 por tonelada em julho/2019</w:t>
      </w:r>
      <w:r w:rsidR="00FB39FE">
        <w:rPr>
          <w:rFonts w:ascii="Arial" w:hAnsi="Arial" w:cs="Arial"/>
          <w:sz w:val="20"/>
          <w:szCs w:val="20"/>
        </w:rPr>
        <w:t xml:space="preserve"> (+12,6%)</w:t>
      </w:r>
      <w:r w:rsidR="0020693B">
        <w:rPr>
          <w:rFonts w:ascii="Arial" w:hAnsi="Arial" w:cs="Arial"/>
          <w:sz w:val="20"/>
          <w:szCs w:val="20"/>
        </w:rPr>
        <w:t>.</w:t>
      </w:r>
      <w:r w:rsidR="00FC28CC">
        <w:rPr>
          <w:rFonts w:ascii="Arial" w:hAnsi="Arial" w:cs="Arial"/>
          <w:sz w:val="20"/>
          <w:szCs w:val="20"/>
        </w:rPr>
        <w:t xml:space="preserve"> A carne bovina, por outro lado, registrou queda decorrente não apenas da redução de </w:t>
      </w:r>
      <w:r w:rsidR="00FC28CC">
        <w:rPr>
          <w:rFonts w:ascii="Arial" w:hAnsi="Arial" w:cs="Arial"/>
          <w:i/>
          <w:iCs/>
          <w:sz w:val="20"/>
          <w:szCs w:val="20"/>
        </w:rPr>
        <w:t>quantum</w:t>
      </w:r>
      <w:r w:rsidR="00FB39FE">
        <w:rPr>
          <w:rFonts w:ascii="Arial" w:hAnsi="Arial" w:cs="Arial"/>
          <w:i/>
          <w:iCs/>
          <w:sz w:val="20"/>
          <w:szCs w:val="20"/>
        </w:rPr>
        <w:t xml:space="preserve"> </w:t>
      </w:r>
      <w:r w:rsidR="00FB39FE">
        <w:rPr>
          <w:rFonts w:ascii="Arial" w:hAnsi="Arial" w:cs="Arial"/>
          <w:sz w:val="20"/>
          <w:szCs w:val="20"/>
        </w:rPr>
        <w:t>(-2,1%)</w:t>
      </w:r>
      <w:r w:rsidR="00FC28CC">
        <w:rPr>
          <w:rFonts w:ascii="Arial" w:hAnsi="Arial" w:cs="Arial"/>
          <w:sz w:val="20"/>
          <w:szCs w:val="20"/>
        </w:rPr>
        <w:t>, mas também de preço</w:t>
      </w:r>
      <w:r w:rsidR="00FB39FE">
        <w:rPr>
          <w:rFonts w:ascii="Arial" w:hAnsi="Arial" w:cs="Arial"/>
          <w:sz w:val="20"/>
          <w:szCs w:val="20"/>
        </w:rPr>
        <w:t xml:space="preserve"> (-5,1%)</w:t>
      </w:r>
      <w:r w:rsidR="00FC28CC">
        <w:rPr>
          <w:rFonts w:ascii="Arial" w:hAnsi="Arial" w:cs="Arial"/>
          <w:sz w:val="20"/>
          <w:szCs w:val="20"/>
        </w:rPr>
        <w:t xml:space="preserve">. </w:t>
      </w:r>
      <w:r w:rsidR="006B0599">
        <w:rPr>
          <w:rFonts w:ascii="Arial" w:hAnsi="Arial" w:cs="Arial"/>
          <w:sz w:val="20"/>
          <w:szCs w:val="20"/>
        </w:rPr>
        <w:t>A expansão nas vendas de carne suína resultou</w:t>
      </w:r>
      <w:r w:rsidR="00FC28CC">
        <w:rPr>
          <w:rFonts w:ascii="Arial" w:hAnsi="Arial" w:cs="Arial"/>
          <w:sz w:val="20"/>
          <w:szCs w:val="20"/>
        </w:rPr>
        <w:t xml:space="preserve"> do aumento de 25% no preço médio do produto, que compensou a queda de 0,2% na quantidade exportada.</w:t>
      </w:r>
    </w:p>
    <w:p w14:paraId="4C8AD3B2" w14:textId="04E83F57" w:rsidR="006B0599" w:rsidRDefault="006B0599" w:rsidP="00CB0499">
      <w:pPr>
        <w:pStyle w:val="Recuodecorpodetexto"/>
        <w:rPr>
          <w:rFonts w:ascii="Arial" w:hAnsi="Arial" w:cs="Arial"/>
          <w:sz w:val="20"/>
          <w:szCs w:val="20"/>
        </w:rPr>
      </w:pPr>
    </w:p>
    <w:p w14:paraId="7298859A" w14:textId="4A6EAFA2" w:rsidR="00C13E41" w:rsidRPr="00B7189A" w:rsidRDefault="00C13E41" w:rsidP="00CB0499">
      <w:pPr>
        <w:pStyle w:val="Recuodecorpodetexto"/>
        <w:rPr>
          <w:rFonts w:ascii="Arial" w:hAnsi="Arial" w:cs="Arial"/>
          <w:b/>
          <w:bCs/>
          <w:sz w:val="20"/>
          <w:szCs w:val="20"/>
        </w:rPr>
      </w:pPr>
      <w:r>
        <w:rPr>
          <w:rFonts w:ascii="Arial" w:hAnsi="Arial" w:cs="Arial"/>
          <w:sz w:val="20"/>
          <w:szCs w:val="20"/>
        </w:rPr>
        <w:t xml:space="preserve">O setor de cereais, farinhas e preparações registrou exportações de US$ 1,17 bilhão no último mês. O milho, principal produto do setor, respondeu praticamente pela totalidade dessa cifra. Foram exportados US$ 1,13 bilhão, valor recorde </w:t>
      </w:r>
      <w:r w:rsidR="00F73897">
        <w:rPr>
          <w:rFonts w:ascii="Arial" w:hAnsi="Arial" w:cs="Arial"/>
          <w:sz w:val="20"/>
          <w:szCs w:val="20"/>
        </w:rPr>
        <w:t xml:space="preserve">mensal </w:t>
      </w:r>
      <w:r>
        <w:rPr>
          <w:rFonts w:ascii="Arial" w:hAnsi="Arial" w:cs="Arial"/>
          <w:sz w:val="20"/>
          <w:szCs w:val="20"/>
        </w:rPr>
        <w:t>na série histórica. A quantidade embarcada também foi recorde, com 6,32 milhões de toneladas.</w:t>
      </w:r>
      <w:r w:rsidR="00F73897">
        <w:rPr>
          <w:rFonts w:ascii="Arial" w:hAnsi="Arial" w:cs="Arial"/>
          <w:sz w:val="20"/>
          <w:szCs w:val="20"/>
        </w:rPr>
        <w:t xml:space="preserve"> A</w:t>
      </w:r>
      <w:r w:rsidR="00D765F0">
        <w:rPr>
          <w:rFonts w:ascii="Arial" w:hAnsi="Arial" w:cs="Arial"/>
          <w:sz w:val="20"/>
          <w:szCs w:val="20"/>
        </w:rPr>
        <w:t>s</w:t>
      </w:r>
      <w:r w:rsidR="00F73897">
        <w:rPr>
          <w:rFonts w:ascii="Arial" w:hAnsi="Arial" w:cs="Arial"/>
          <w:sz w:val="20"/>
          <w:szCs w:val="20"/>
        </w:rPr>
        <w:t xml:space="preserve"> última</w:t>
      </w:r>
      <w:r w:rsidR="00D765F0">
        <w:rPr>
          <w:rFonts w:ascii="Arial" w:hAnsi="Arial" w:cs="Arial"/>
          <w:sz w:val="20"/>
          <w:szCs w:val="20"/>
        </w:rPr>
        <w:t>s</w:t>
      </w:r>
      <w:r w:rsidR="00F73897">
        <w:rPr>
          <w:rFonts w:ascii="Arial" w:hAnsi="Arial" w:cs="Arial"/>
          <w:sz w:val="20"/>
          <w:szCs w:val="20"/>
        </w:rPr>
        <w:t xml:space="preserve"> vez</w:t>
      </w:r>
      <w:r w:rsidR="00D765F0">
        <w:rPr>
          <w:rFonts w:ascii="Arial" w:hAnsi="Arial" w:cs="Arial"/>
          <w:sz w:val="20"/>
          <w:szCs w:val="20"/>
        </w:rPr>
        <w:t>es</w:t>
      </w:r>
      <w:r w:rsidR="00F73897">
        <w:rPr>
          <w:rFonts w:ascii="Arial" w:hAnsi="Arial" w:cs="Arial"/>
          <w:sz w:val="20"/>
          <w:szCs w:val="20"/>
        </w:rPr>
        <w:t xml:space="preserve"> que as exportações mensais de milho </w:t>
      </w:r>
      <w:r w:rsidR="00D765F0">
        <w:rPr>
          <w:rFonts w:ascii="Arial" w:hAnsi="Arial" w:cs="Arial"/>
          <w:sz w:val="20"/>
          <w:szCs w:val="20"/>
        </w:rPr>
        <w:t>alcançaram</w:t>
      </w:r>
      <w:r w:rsidR="00F73897">
        <w:rPr>
          <w:rFonts w:ascii="Arial" w:hAnsi="Arial" w:cs="Arial"/>
          <w:sz w:val="20"/>
          <w:szCs w:val="20"/>
        </w:rPr>
        <w:t xml:space="preserve"> tal patamar f</w:t>
      </w:r>
      <w:r w:rsidR="00D765F0">
        <w:rPr>
          <w:rFonts w:ascii="Arial" w:hAnsi="Arial" w:cs="Arial"/>
          <w:sz w:val="20"/>
          <w:szCs w:val="20"/>
        </w:rPr>
        <w:t>oram</w:t>
      </w:r>
      <w:r w:rsidR="00F73897">
        <w:rPr>
          <w:rFonts w:ascii="Arial" w:hAnsi="Arial" w:cs="Arial"/>
          <w:sz w:val="20"/>
          <w:szCs w:val="20"/>
        </w:rPr>
        <w:t xml:space="preserve"> em novembro de 2012 (US$ 1,07 bilhão e 3,9 milhões de toneladas) e dezembro de 2015 (US$ 1,04 bilhão e 6,27 milhões de toneladas).</w:t>
      </w:r>
      <w:r w:rsidR="00034E2F">
        <w:rPr>
          <w:rFonts w:ascii="Arial" w:hAnsi="Arial" w:cs="Arial"/>
          <w:sz w:val="20"/>
          <w:szCs w:val="20"/>
        </w:rPr>
        <w:t xml:space="preserve"> O Japão, principal destino do milho brasileiro no período, foi o país que mais contribuiu para o crescimento das vendas do setor, com mais de US$ 217 milhões em crescimento.</w:t>
      </w:r>
      <w:r w:rsidR="00B7189A">
        <w:rPr>
          <w:rFonts w:ascii="Arial" w:hAnsi="Arial" w:cs="Arial"/>
          <w:sz w:val="20"/>
          <w:szCs w:val="20"/>
        </w:rPr>
        <w:t xml:space="preserve"> A Coreia do Sul também se </w:t>
      </w:r>
      <w:r w:rsidR="00B7189A">
        <w:rPr>
          <w:rFonts w:ascii="Arial" w:hAnsi="Arial" w:cs="Arial"/>
          <w:sz w:val="20"/>
          <w:szCs w:val="20"/>
        </w:rPr>
        <w:lastRenderedPageBreak/>
        <w:t>destacou em termos de contribuição para o crescimento, com quase US$ 119 milhões a mais em relação ao mesmo mês em 2018.</w:t>
      </w:r>
    </w:p>
    <w:p w14:paraId="7FFEB249" w14:textId="77777777" w:rsidR="00C13E41" w:rsidRDefault="00C13E41" w:rsidP="00CB0499">
      <w:pPr>
        <w:pStyle w:val="Recuodecorpodetexto"/>
        <w:rPr>
          <w:rFonts w:ascii="Arial" w:hAnsi="Arial" w:cs="Arial"/>
          <w:sz w:val="20"/>
          <w:szCs w:val="20"/>
        </w:rPr>
      </w:pPr>
    </w:p>
    <w:p w14:paraId="5CD2A0C1" w14:textId="25A2D37F" w:rsidR="006B0599" w:rsidRDefault="006B0599" w:rsidP="00CB0499">
      <w:pPr>
        <w:pStyle w:val="Recuodecorpodetexto"/>
        <w:rPr>
          <w:rFonts w:ascii="Arial" w:hAnsi="Arial" w:cs="Arial"/>
          <w:sz w:val="20"/>
          <w:szCs w:val="20"/>
        </w:rPr>
      </w:pPr>
      <w:r>
        <w:rPr>
          <w:rFonts w:ascii="Arial" w:hAnsi="Arial" w:cs="Arial"/>
          <w:sz w:val="20"/>
          <w:szCs w:val="20"/>
        </w:rPr>
        <w:t xml:space="preserve">Os produtos florestais ocuparam a </w:t>
      </w:r>
      <w:r w:rsidR="00C13E41">
        <w:rPr>
          <w:rFonts w:ascii="Arial" w:hAnsi="Arial" w:cs="Arial"/>
          <w:sz w:val="20"/>
          <w:szCs w:val="20"/>
        </w:rPr>
        <w:t>quinta</w:t>
      </w:r>
      <w:r>
        <w:rPr>
          <w:rFonts w:ascii="Arial" w:hAnsi="Arial" w:cs="Arial"/>
          <w:sz w:val="20"/>
          <w:szCs w:val="20"/>
        </w:rPr>
        <w:t xml:space="preserve"> posição no </w:t>
      </w:r>
      <w:r w:rsidRPr="006B0599">
        <w:rPr>
          <w:rFonts w:ascii="Arial" w:hAnsi="Arial" w:cs="Arial"/>
          <w:i/>
          <w:iCs/>
          <w:sz w:val="20"/>
          <w:szCs w:val="20"/>
        </w:rPr>
        <w:t>ranking</w:t>
      </w:r>
      <w:r>
        <w:rPr>
          <w:rFonts w:ascii="Arial" w:hAnsi="Arial" w:cs="Arial"/>
          <w:sz w:val="20"/>
          <w:szCs w:val="20"/>
        </w:rPr>
        <w:t xml:space="preserve"> de principais setores exportadores do agronegócio brasileiro no mês, com US$ </w:t>
      </w:r>
      <w:r w:rsidR="00FB39FE">
        <w:rPr>
          <w:rFonts w:ascii="Arial" w:hAnsi="Arial" w:cs="Arial"/>
          <w:sz w:val="20"/>
          <w:szCs w:val="20"/>
        </w:rPr>
        <w:t>998,70 milhões</w:t>
      </w:r>
      <w:r>
        <w:rPr>
          <w:rFonts w:ascii="Arial" w:hAnsi="Arial" w:cs="Arial"/>
          <w:sz w:val="20"/>
          <w:szCs w:val="20"/>
        </w:rPr>
        <w:t xml:space="preserve">. A celulose representou </w:t>
      </w:r>
      <w:r w:rsidR="00FB39FE">
        <w:rPr>
          <w:rFonts w:ascii="Arial" w:hAnsi="Arial" w:cs="Arial"/>
          <w:sz w:val="20"/>
          <w:szCs w:val="20"/>
        </w:rPr>
        <w:t>55</w:t>
      </w:r>
      <w:r>
        <w:rPr>
          <w:rFonts w:ascii="Arial" w:hAnsi="Arial" w:cs="Arial"/>
          <w:sz w:val="20"/>
          <w:szCs w:val="20"/>
        </w:rPr>
        <w:t xml:space="preserve">,1% desse montante, com a cifra de US$ </w:t>
      </w:r>
      <w:r w:rsidR="00FB39FE">
        <w:rPr>
          <w:rFonts w:ascii="Arial" w:hAnsi="Arial" w:cs="Arial"/>
          <w:sz w:val="20"/>
          <w:szCs w:val="20"/>
        </w:rPr>
        <w:t>550,35</w:t>
      </w:r>
      <w:r>
        <w:rPr>
          <w:rFonts w:ascii="Arial" w:hAnsi="Arial" w:cs="Arial"/>
          <w:sz w:val="20"/>
          <w:szCs w:val="20"/>
        </w:rPr>
        <w:t xml:space="preserve"> milhões</w:t>
      </w:r>
      <w:r w:rsidR="009662CE">
        <w:rPr>
          <w:rFonts w:ascii="Arial" w:hAnsi="Arial" w:cs="Arial"/>
          <w:sz w:val="20"/>
          <w:szCs w:val="20"/>
        </w:rPr>
        <w:t xml:space="preserve"> (-8,9%)</w:t>
      </w:r>
      <w:r>
        <w:rPr>
          <w:rFonts w:ascii="Arial" w:hAnsi="Arial" w:cs="Arial"/>
          <w:sz w:val="20"/>
          <w:szCs w:val="20"/>
        </w:rPr>
        <w:t>. Em seguida destacaram-se madeiras e suas obras (US$ 26</w:t>
      </w:r>
      <w:r w:rsidR="00FB39FE">
        <w:rPr>
          <w:rFonts w:ascii="Arial" w:hAnsi="Arial" w:cs="Arial"/>
          <w:sz w:val="20"/>
          <w:szCs w:val="20"/>
        </w:rPr>
        <w:t>8,45</w:t>
      </w:r>
      <w:r>
        <w:rPr>
          <w:rFonts w:ascii="Arial" w:hAnsi="Arial" w:cs="Arial"/>
          <w:sz w:val="20"/>
          <w:szCs w:val="20"/>
        </w:rPr>
        <w:t xml:space="preserve"> milhões) e papel (US$ </w:t>
      </w:r>
      <w:r w:rsidR="00FB39FE">
        <w:rPr>
          <w:rFonts w:ascii="Arial" w:hAnsi="Arial" w:cs="Arial"/>
          <w:sz w:val="20"/>
          <w:szCs w:val="20"/>
        </w:rPr>
        <w:t>179,84</w:t>
      </w:r>
      <w:r>
        <w:rPr>
          <w:rFonts w:ascii="Arial" w:hAnsi="Arial" w:cs="Arial"/>
          <w:sz w:val="20"/>
          <w:szCs w:val="20"/>
        </w:rPr>
        <w:t xml:space="preserve"> milhões). </w:t>
      </w:r>
      <w:r w:rsidR="009662CE">
        <w:rPr>
          <w:rFonts w:ascii="Arial" w:hAnsi="Arial" w:cs="Arial"/>
          <w:sz w:val="20"/>
          <w:szCs w:val="20"/>
        </w:rPr>
        <w:t xml:space="preserve">Esses dois produtos registraram crescimento em valor de </w:t>
      </w:r>
      <w:r w:rsidR="004A6E65">
        <w:rPr>
          <w:rFonts w:ascii="Arial" w:hAnsi="Arial" w:cs="Arial"/>
          <w:sz w:val="20"/>
          <w:szCs w:val="20"/>
        </w:rPr>
        <w:t>2,5</w:t>
      </w:r>
      <w:r w:rsidR="009662CE">
        <w:rPr>
          <w:rFonts w:ascii="Arial" w:hAnsi="Arial" w:cs="Arial"/>
          <w:sz w:val="20"/>
          <w:szCs w:val="20"/>
        </w:rPr>
        <w:t xml:space="preserve">% e </w:t>
      </w:r>
      <w:r w:rsidR="004A6E65">
        <w:rPr>
          <w:rFonts w:ascii="Arial" w:hAnsi="Arial" w:cs="Arial"/>
          <w:sz w:val="20"/>
          <w:szCs w:val="20"/>
        </w:rPr>
        <w:t>15,9</w:t>
      </w:r>
      <w:r w:rsidR="009662CE">
        <w:rPr>
          <w:rFonts w:ascii="Arial" w:hAnsi="Arial" w:cs="Arial"/>
          <w:sz w:val="20"/>
          <w:szCs w:val="20"/>
        </w:rPr>
        <w:t>%, respectivamente.</w:t>
      </w:r>
    </w:p>
    <w:p w14:paraId="26FD1C33" w14:textId="572F8FFE" w:rsidR="00B70F1E" w:rsidRDefault="00B70F1E" w:rsidP="00CB0499">
      <w:pPr>
        <w:pStyle w:val="Recuodecorpodetexto"/>
        <w:rPr>
          <w:rFonts w:ascii="Arial" w:hAnsi="Arial" w:cs="Arial"/>
          <w:sz w:val="20"/>
          <w:szCs w:val="20"/>
        </w:rPr>
      </w:pPr>
    </w:p>
    <w:p w14:paraId="56B3D758" w14:textId="31CF5A4D" w:rsidR="00B70F1E" w:rsidRDefault="00B70F1E" w:rsidP="00CB0499">
      <w:pPr>
        <w:pStyle w:val="Recuodecorpodetexto"/>
        <w:rPr>
          <w:rFonts w:ascii="Arial" w:hAnsi="Arial" w:cs="Arial"/>
          <w:sz w:val="20"/>
          <w:szCs w:val="20"/>
        </w:rPr>
      </w:pPr>
      <w:r>
        <w:rPr>
          <w:rFonts w:ascii="Arial" w:hAnsi="Arial" w:cs="Arial"/>
          <w:sz w:val="20"/>
          <w:szCs w:val="20"/>
        </w:rPr>
        <w:t>As exportações do complexo sucroalcooleiro somaram US$ 631,</w:t>
      </w:r>
      <w:r w:rsidR="00FB39FE">
        <w:rPr>
          <w:rFonts w:ascii="Arial" w:hAnsi="Arial" w:cs="Arial"/>
          <w:sz w:val="20"/>
          <w:szCs w:val="20"/>
        </w:rPr>
        <w:t>1</w:t>
      </w:r>
      <w:r>
        <w:rPr>
          <w:rFonts w:ascii="Arial" w:hAnsi="Arial" w:cs="Arial"/>
          <w:sz w:val="20"/>
          <w:szCs w:val="20"/>
        </w:rPr>
        <w:t>3 milhões em ju</w:t>
      </w:r>
      <w:r w:rsidR="006C34D2">
        <w:rPr>
          <w:rFonts w:ascii="Arial" w:hAnsi="Arial" w:cs="Arial"/>
          <w:sz w:val="20"/>
          <w:szCs w:val="20"/>
        </w:rPr>
        <w:t>l</w:t>
      </w:r>
      <w:r>
        <w:rPr>
          <w:rFonts w:ascii="Arial" w:hAnsi="Arial" w:cs="Arial"/>
          <w:sz w:val="20"/>
          <w:szCs w:val="20"/>
        </w:rPr>
        <w:t>ho de 2019</w:t>
      </w:r>
      <w:r w:rsidR="00D978FE">
        <w:rPr>
          <w:rFonts w:ascii="Arial" w:hAnsi="Arial" w:cs="Arial"/>
          <w:sz w:val="20"/>
          <w:szCs w:val="20"/>
        </w:rPr>
        <w:t xml:space="preserve">, </w:t>
      </w:r>
      <w:r w:rsidR="00FB39FE">
        <w:rPr>
          <w:rFonts w:ascii="Arial" w:hAnsi="Arial" w:cs="Arial"/>
          <w:sz w:val="20"/>
          <w:szCs w:val="20"/>
        </w:rPr>
        <w:t xml:space="preserve">praticamente o </w:t>
      </w:r>
      <w:r w:rsidR="00D978FE">
        <w:rPr>
          <w:rFonts w:ascii="Arial" w:hAnsi="Arial" w:cs="Arial"/>
          <w:sz w:val="20"/>
          <w:szCs w:val="20"/>
        </w:rPr>
        <w:t>mesmo valor exportado no mesmo mês em 2018. As vendas de açúcar foram responsáveis por 85,5% desse montante, somando US$ 525,09 milhões. Também foram exportados US$ 103,67 milhões em álcool etílico, ou seja, 13,9% a</w:t>
      </w:r>
      <w:r w:rsidR="00F83E5C">
        <w:rPr>
          <w:rFonts w:ascii="Arial" w:hAnsi="Arial" w:cs="Arial"/>
          <w:sz w:val="20"/>
          <w:szCs w:val="20"/>
        </w:rPr>
        <w:t xml:space="preserve"> </w:t>
      </w:r>
      <w:r w:rsidR="00D978FE">
        <w:rPr>
          <w:rFonts w:ascii="Arial" w:hAnsi="Arial" w:cs="Arial"/>
          <w:sz w:val="20"/>
          <w:szCs w:val="20"/>
        </w:rPr>
        <w:t xml:space="preserve">mais do que o que foi </w:t>
      </w:r>
      <w:r w:rsidR="009A3399">
        <w:rPr>
          <w:rFonts w:ascii="Arial" w:hAnsi="Arial" w:cs="Arial"/>
          <w:sz w:val="20"/>
          <w:szCs w:val="20"/>
        </w:rPr>
        <w:t>vendido</w:t>
      </w:r>
      <w:r w:rsidR="00D978FE">
        <w:rPr>
          <w:rFonts w:ascii="Arial" w:hAnsi="Arial" w:cs="Arial"/>
          <w:sz w:val="20"/>
          <w:szCs w:val="20"/>
        </w:rPr>
        <w:t xml:space="preserve"> em 2018.</w:t>
      </w:r>
    </w:p>
    <w:p w14:paraId="3FD78F1E" w14:textId="7F9EC528" w:rsidR="00C0360F" w:rsidRDefault="00C0360F" w:rsidP="00CB0499">
      <w:pPr>
        <w:pStyle w:val="Recuodecorpodetexto"/>
        <w:rPr>
          <w:rFonts w:ascii="Arial" w:hAnsi="Arial" w:cs="Arial"/>
          <w:sz w:val="20"/>
          <w:szCs w:val="20"/>
        </w:rPr>
      </w:pPr>
    </w:p>
    <w:p w14:paraId="08FE7DC1" w14:textId="73DBB8C8" w:rsidR="006F7F3C" w:rsidRDefault="006F7F3C" w:rsidP="00CB0499">
      <w:pPr>
        <w:pStyle w:val="Recuodecorpodetexto"/>
        <w:rPr>
          <w:rFonts w:ascii="Arial" w:hAnsi="Arial" w:cs="Arial"/>
          <w:sz w:val="20"/>
          <w:szCs w:val="20"/>
        </w:rPr>
      </w:pPr>
      <w:r>
        <w:rPr>
          <w:rFonts w:ascii="Arial" w:hAnsi="Arial" w:cs="Arial"/>
          <w:sz w:val="20"/>
          <w:szCs w:val="20"/>
        </w:rPr>
        <w:t>Em conjunto os cinco principais setores foram responsáveis por 83,7% das vendas externas do setor agropecuário brasileiro em julho/2019, com a cifra de US$ 7,68 bilhões.</w:t>
      </w:r>
      <w:r w:rsidR="008B7ED5">
        <w:rPr>
          <w:rFonts w:ascii="Arial" w:hAnsi="Arial" w:cs="Arial"/>
          <w:sz w:val="20"/>
          <w:szCs w:val="20"/>
        </w:rPr>
        <w:t xml:space="preserve"> Em relação ao mesmo mês em 2018 houve redução da concentração da pauta exportadora, visto que os principais setores representavam quase 5 pontos percentuais a mais do total.</w:t>
      </w:r>
    </w:p>
    <w:p w14:paraId="4F4CB775" w14:textId="4D26E56F" w:rsidR="00AE6575" w:rsidRDefault="00AE6575" w:rsidP="00CB0499">
      <w:pPr>
        <w:pStyle w:val="Recuodecorpodetexto"/>
        <w:rPr>
          <w:rFonts w:ascii="Arial" w:hAnsi="Arial" w:cs="Arial"/>
          <w:sz w:val="20"/>
          <w:szCs w:val="20"/>
        </w:rPr>
      </w:pPr>
    </w:p>
    <w:p w14:paraId="683CBCAC" w14:textId="36216C96" w:rsidR="00AE6575" w:rsidRDefault="006171B5" w:rsidP="00CB0499">
      <w:pPr>
        <w:pStyle w:val="Recuodecorpodetexto"/>
        <w:rPr>
          <w:rFonts w:ascii="Arial" w:hAnsi="Arial" w:cs="Arial"/>
          <w:sz w:val="20"/>
          <w:szCs w:val="20"/>
        </w:rPr>
      </w:pPr>
      <w:r>
        <w:rPr>
          <w:rFonts w:ascii="Arial" w:hAnsi="Arial" w:cs="Arial"/>
          <w:sz w:val="20"/>
          <w:szCs w:val="20"/>
        </w:rPr>
        <w:t xml:space="preserve">Em relação as importações, destacaram-se trigo (US$ 127,84 milhões); </w:t>
      </w:r>
      <w:r w:rsidR="00BD25F8">
        <w:rPr>
          <w:rFonts w:ascii="Arial" w:hAnsi="Arial" w:cs="Arial"/>
          <w:sz w:val="20"/>
          <w:szCs w:val="20"/>
        </w:rPr>
        <w:t xml:space="preserve">pescados (US$ 85,39 milhões); </w:t>
      </w:r>
      <w:r>
        <w:rPr>
          <w:rFonts w:ascii="Arial" w:hAnsi="Arial" w:cs="Arial"/>
          <w:sz w:val="20"/>
          <w:szCs w:val="20"/>
        </w:rPr>
        <w:t>papel (US$ 83,11 milhões); malte (US$ 78,38 milhões);</w:t>
      </w:r>
      <w:r w:rsidR="00BD25F8">
        <w:rPr>
          <w:rFonts w:ascii="Arial" w:hAnsi="Arial" w:cs="Arial"/>
          <w:sz w:val="20"/>
          <w:szCs w:val="20"/>
        </w:rPr>
        <w:t xml:space="preserve"> fibras e produtos têxteis (US$ 60,82 milhões) e álcool etílico (US$ 40,13 milhões).</w:t>
      </w:r>
    </w:p>
    <w:p w14:paraId="78896CA4" w14:textId="77777777" w:rsidR="00C0360F" w:rsidRPr="00FC28CC" w:rsidRDefault="00C0360F" w:rsidP="00CB0499">
      <w:pPr>
        <w:pStyle w:val="Recuodecorpodetexto"/>
        <w:rPr>
          <w:rFonts w:ascii="Arial" w:hAnsi="Arial" w:cs="Arial"/>
          <w:sz w:val="20"/>
          <w:szCs w:val="20"/>
        </w:rPr>
      </w:pPr>
    </w:p>
    <w:p w14:paraId="7D2EF5F9" w14:textId="77777777" w:rsidR="00C7675B" w:rsidRDefault="00C7675B" w:rsidP="00907DCF">
      <w:pPr>
        <w:pStyle w:val="Recuodecorpodetexto"/>
        <w:rPr>
          <w:rFonts w:ascii="Arial" w:hAnsi="Arial" w:cs="Arial"/>
          <w:sz w:val="20"/>
          <w:szCs w:val="20"/>
        </w:rPr>
      </w:pPr>
    </w:p>
    <w:p w14:paraId="0D9F533C" w14:textId="63369F35" w:rsidR="00CF132A" w:rsidRPr="00826906" w:rsidRDefault="007C6628" w:rsidP="00A560CC">
      <w:pPr>
        <w:pStyle w:val="Recuodecorpodetexto"/>
        <w:ind w:firstLine="0"/>
        <w:rPr>
          <w:rFonts w:ascii="Arial" w:hAnsi="Arial" w:cs="Arial"/>
          <w:color w:val="000000" w:themeColor="text1"/>
          <w:sz w:val="20"/>
          <w:szCs w:val="20"/>
        </w:rPr>
      </w:pPr>
      <w:r w:rsidRPr="007C6628">
        <w:rPr>
          <w:noProof/>
        </w:rPr>
        <w:drawing>
          <wp:inline distT="0" distB="0" distL="0" distR="0" wp14:anchorId="4186A4A6" wp14:editId="0F485716">
            <wp:extent cx="6480175" cy="385508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80175" cy="3855085"/>
                    </a:xfrm>
                    <a:prstGeom prst="rect">
                      <a:avLst/>
                    </a:prstGeom>
                  </pic:spPr>
                </pic:pic>
              </a:graphicData>
            </a:graphic>
          </wp:inline>
        </w:drawing>
      </w:r>
    </w:p>
    <w:p w14:paraId="3448EF5A" w14:textId="77777777" w:rsidR="00AB3924" w:rsidRPr="005A162D" w:rsidRDefault="00AB3924" w:rsidP="005A162D">
      <w:pPr>
        <w:jc w:val="both"/>
        <w:rPr>
          <w:rFonts w:ascii="Arial" w:hAnsi="Arial" w:cs="Arial"/>
          <w:sz w:val="20"/>
          <w:szCs w:val="20"/>
        </w:rPr>
      </w:pPr>
    </w:p>
    <w:p w14:paraId="6D131F44" w14:textId="77777777" w:rsidR="00FA7BC4" w:rsidRDefault="00FA7BC4" w:rsidP="00E207EB">
      <w:pPr>
        <w:jc w:val="both"/>
        <w:rPr>
          <w:rFonts w:ascii="Arial" w:hAnsi="Arial" w:cs="Arial"/>
          <w:b/>
          <w:sz w:val="20"/>
          <w:szCs w:val="20"/>
        </w:rPr>
      </w:pPr>
    </w:p>
    <w:p w14:paraId="11A3702A" w14:textId="77777777" w:rsidR="001D51EE" w:rsidRDefault="006D7B33" w:rsidP="00E207EB">
      <w:pPr>
        <w:jc w:val="both"/>
        <w:rPr>
          <w:rFonts w:ascii="Arial" w:hAnsi="Arial" w:cs="Arial"/>
          <w:b/>
          <w:sz w:val="20"/>
          <w:szCs w:val="20"/>
        </w:rPr>
      </w:pPr>
      <w:proofErr w:type="spellStart"/>
      <w:r w:rsidRPr="00826906">
        <w:rPr>
          <w:rFonts w:ascii="Arial" w:hAnsi="Arial" w:cs="Arial"/>
          <w:b/>
          <w:sz w:val="20"/>
          <w:szCs w:val="20"/>
        </w:rPr>
        <w:t>I.b</w:t>
      </w:r>
      <w:proofErr w:type="spellEnd"/>
      <w:r w:rsidRPr="00826906">
        <w:rPr>
          <w:rFonts w:ascii="Arial" w:hAnsi="Arial" w:cs="Arial"/>
          <w:b/>
          <w:sz w:val="20"/>
          <w:szCs w:val="20"/>
        </w:rPr>
        <w:t xml:space="preserve"> – Blocos Econômicos e Regiões Geográficas</w:t>
      </w:r>
    </w:p>
    <w:p w14:paraId="4612A37F" w14:textId="77777777" w:rsidR="008F667F" w:rsidRDefault="008F667F" w:rsidP="00E207EB">
      <w:pPr>
        <w:jc w:val="both"/>
        <w:rPr>
          <w:rFonts w:ascii="Arial" w:hAnsi="Arial" w:cs="Arial"/>
          <w:b/>
          <w:sz w:val="20"/>
          <w:szCs w:val="20"/>
        </w:rPr>
      </w:pPr>
    </w:p>
    <w:p w14:paraId="5417075E" w14:textId="77777777" w:rsidR="00907DCF" w:rsidRDefault="00907DCF" w:rsidP="00907DCF"/>
    <w:p w14:paraId="2B224170" w14:textId="187ADAA2" w:rsidR="003E2A9B" w:rsidRDefault="00584E2A" w:rsidP="003E2A9B">
      <w:pPr>
        <w:pStyle w:val="Recuodecorpodetexto"/>
        <w:rPr>
          <w:rFonts w:ascii="Arial" w:hAnsi="Arial" w:cs="Arial"/>
          <w:sz w:val="20"/>
          <w:szCs w:val="20"/>
        </w:rPr>
      </w:pPr>
      <w:r>
        <w:rPr>
          <w:rFonts w:ascii="Arial" w:hAnsi="Arial" w:cs="Arial"/>
          <w:sz w:val="20"/>
          <w:szCs w:val="20"/>
        </w:rPr>
        <w:t>Entre os blocos econômicos e regiões geográficas, a</w:t>
      </w:r>
      <w:r w:rsidR="00B35853">
        <w:rPr>
          <w:rFonts w:ascii="Arial" w:hAnsi="Arial" w:cs="Arial"/>
          <w:sz w:val="20"/>
          <w:szCs w:val="20"/>
        </w:rPr>
        <w:t xml:space="preserve"> Ásia </w:t>
      </w:r>
      <w:r>
        <w:rPr>
          <w:rFonts w:ascii="Arial" w:hAnsi="Arial" w:cs="Arial"/>
          <w:sz w:val="20"/>
          <w:szCs w:val="20"/>
        </w:rPr>
        <w:t xml:space="preserve">foi o principal destino das exportações do agronegócio brasileiro, apesar da queda de 12,6% em relação ao mesmo mês do ano anterior. A participação da região caiu de 55,4% para 50,1%, em função, principalmente, da retração nas vendas de </w:t>
      </w:r>
      <w:r w:rsidR="00583886">
        <w:rPr>
          <w:rFonts w:ascii="Arial" w:hAnsi="Arial" w:cs="Arial"/>
          <w:sz w:val="20"/>
          <w:szCs w:val="20"/>
        </w:rPr>
        <w:t>soja em grãos (-US$ 970,37 milhões). Por outro lado, o expressivo crescimento nas vendas de milho (+US$ 525,31 milhões) contribuiu para amenizar a queda no total das exportações do setor.</w:t>
      </w:r>
    </w:p>
    <w:p w14:paraId="3C22280F" w14:textId="05678B90" w:rsidR="00FE5503" w:rsidRDefault="00FE5503" w:rsidP="003E2A9B">
      <w:pPr>
        <w:pStyle w:val="Recuodecorpodetexto"/>
        <w:rPr>
          <w:rFonts w:ascii="Arial" w:hAnsi="Arial" w:cs="Arial"/>
          <w:sz w:val="20"/>
          <w:szCs w:val="20"/>
        </w:rPr>
      </w:pPr>
    </w:p>
    <w:p w14:paraId="7061CB0E" w14:textId="66C7EA10" w:rsidR="00FE5503" w:rsidRPr="00B23058" w:rsidRDefault="00FE5503" w:rsidP="003E2A9B">
      <w:pPr>
        <w:pStyle w:val="Recuodecorpodetexto"/>
        <w:rPr>
          <w:rFonts w:ascii="Arial" w:hAnsi="Arial" w:cs="Arial"/>
          <w:sz w:val="20"/>
          <w:szCs w:val="20"/>
        </w:rPr>
      </w:pPr>
      <w:r>
        <w:rPr>
          <w:rFonts w:ascii="Arial" w:hAnsi="Arial" w:cs="Arial"/>
          <w:sz w:val="20"/>
          <w:szCs w:val="20"/>
        </w:rPr>
        <w:t>A União Europeia se manteve na segunda posição entre as regiões de destino, com US$ 1,56 bilhão. Em relação ao mesmo mês em 2018 houve crescimento de 5% nas exportações brasileiras, em decorrência do crescimento das exportações de milho (+US$ 138,41 milhões), café verde (+US$ 66,65 milhões), fumo não manufaturado (+US$ 54,38 milhões) e celulose (+US$ 50,32 milhões).</w:t>
      </w:r>
    </w:p>
    <w:p w14:paraId="5C35345C" w14:textId="77777777" w:rsidR="00C7675B" w:rsidRDefault="00C7675B" w:rsidP="00907DCF">
      <w:pPr>
        <w:pStyle w:val="Recuodecorpodetexto"/>
        <w:rPr>
          <w:rFonts w:ascii="Arial" w:hAnsi="Arial" w:cs="Arial"/>
          <w:sz w:val="20"/>
          <w:szCs w:val="20"/>
        </w:rPr>
      </w:pPr>
    </w:p>
    <w:p w14:paraId="0026A2FD" w14:textId="77777777" w:rsidR="00C7675B" w:rsidRPr="00B74A4B" w:rsidRDefault="00C7675B" w:rsidP="00907DCF">
      <w:pPr>
        <w:pStyle w:val="Recuodecorpodetexto"/>
        <w:rPr>
          <w:rFonts w:ascii="Arial" w:hAnsi="Arial" w:cs="Arial"/>
          <w:sz w:val="20"/>
          <w:szCs w:val="20"/>
        </w:rPr>
      </w:pPr>
    </w:p>
    <w:p w14:paraId="65477729" w14:textId="77777777" w:rsidR="00907DCF" w:rsidRPr="00DD0277" w:rsidRDefault="00907DCF" w:rsidP="00907DCF">
      <w:pPr>
        <w:pStyle w:val="Recuodecorpodetexto"/>
        <w:rPr>
          <w:rFonts w:ascii="Arial" w:hAnsi="Arial" w:cs="Arial"/>
          <w:sz w:val="20"/>
          <w:szCs w:val="20"/>
        </w:rPr>
      </w:pPr>
    </w:p>
    <w:p w14:paraId="01B34308" w14:textId="4102FB96" w:rsidR="00196B83" w:rsidRPr="00826906" w:rsidRDefault="007C6628" w:rsidP="002B1A0F">
      <w:pPr>
        <w:pStyle w:val="Recuodecorpodetexto"/>
        <w:ind w:firstLine="0"/>
        <w:rPr>
          <w:rFonts w:ascii="Arial" w:hAnsi="Arial" w:cs="Arial"/>
          <w:color w:val="000000" w:themeColor="text1"/>
          <w:sz w:val="20"/>
          <w:szCs w:val="20"/>
        </w:rPr>
      </w:pPr>
      <w:r w:rsidRPr="007C6628">
        <w:rPr>
          <w:noProof/>
        </w:rPr>
        <w:drawing>
          <wp:inline distT="0" distB="0" distL="0" distR="0" wp14:anchorId="2A7A8E33" wp14:editId="0A68C1F2">
            <wp:extent cx="6480175" cy="234823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80175" cy="2348230"/>
                    </a:xfrm>
                    <a:prstGeom prst="rect">
                      <a:avLst/>
                    </a:prstGeom>
                  </pic:spPr>
                </pic:pic>
              </a:graphicData>
            </a:graphic>
          </wp:inline>
        </w:drawing>
      </w:r>
    </w:p>
    <w:p w14:paraId="551F3151" w14:textId="77777777" w:rsidR="007D0604" w:rsidRDefault="007D0604" w:rsidP="00050C8F">
      <w:pPr>
        <w:jc w:val="both"/>
        <w:rPr>
          <w:rFonts w:ascii="Arial" w:hAnsi="Arial" w:cs="Arial"/>
          <w:sz w:val="20"/>
          <w:szCs w:val="20"/>
        </w:rPr>
      </w:pPr>
    </w:p>
    <w:p w14:paraId="28B3DF19" w14:textId="77777777" w:rsidR="00907DCF" w:rsidRPr="00826906" w:rsidRDefault="00907DCF" w:rsidP="00050C8F">
      <w:pPr>
        <w:jc w:val="both"/>
        <w:rPr>
          <w:rFonts w:ascii="Arial" w:hAnsi="Arial" w:cs="Arial"/>
          <w:sz w:val="20"/>
          <w:szCs w:val="20"/>
        </w:rPr>
      </w:pPr>
    </w:p>
    <w:p w14:paraId="1782976E" w14:textId="77777777" w:rsidR="001D51EE" w:rsidRDefault="001D51EE" w:rsidP="001D51EE">
      <w:pPr>
        <w:pStyle w:val="Ttulo5"/>
        <w:autoSpaceDE/>
        <w:autoSpaceDN/>
        <w:adjustRightInd/>
        <w:rPr>
          <w:rFonts w:ascii="Arial" w:hAnsi="Arial" w:cs="Arial"/>
          <w:sz w:val="20"/>
          <w:szCs w:val="20"/>
        </w:rPr>
      </w:pPr>
      <w:proofErr w:type="spellStart"/>
      <w:r w:rsidRPr="00826906">
        <w:rPr>
          <w:rFonts w:ascii="Arial" w:hAnsi="Arial" w:cs="Arial"/>
          <w:sz w:val="20"/>
          <w:szCs w:val="20"/>
        </w:rPr>
        <w:t>I.c</w:t>
      </w:r>
      <w:proofErr w:type="spellEnd"/>
      <w:r w:rsidRPr="00826906">
        <w:rPr>
          <w:rFonts w:ascii="Arial" w:hAnsi="Arial" w:cs="Arial"/>
          <w:sz w:val="20"/>
          <w:szCs w:val="20"/>
        </w:rPr>
        <w:t xml:space="preserve"> – Países</w:t>
      </w:r>
    </w:p>
    <w:p w14:paraId="07F8062B" w14:textId="77777777" w:rsidR="008F667F" w:rsidRDefault="008F667F" w:rsidP="008F667F"/>
    <w:p w14:paraId="43C97019" w14:textId="77777777" w:rsidR="00486780" w:rsidRDefault="00474BE0" w:rsidP="0027256F">
      <w:pPr>
        <w:pStyle w:val="Recuodecorpodetexto"/>
        <w:rPr>
          <w:rFonts w:ascii="Arial" w:hAnsi="Arial" w:cs="Arial"/>
          <w:sz w:val="20"/>
          <w:szCs w:val="20"/>
        </w:rPr>
      </w:pPr>
      <w:r>
        <w:rPr>
          <w:rFonts w:ascii="Arial" w:hAnsi="Arial" w:cs="Arial"/>
          <w:sz w:val="20"/>
          <w:szCs w:val="20"/>
        </w:rPr>
        <w:t>A China, principal importador do agronegócio brasileiro</w:t>
      </w:r>
      <w:r w:rsidR="00DD05F3">
        <w:rPr>
          <w:rFonts w:ascii="Arial" w:hAnsi="Arial" w:cs="Arial"/>
          <w:sz w:val="20"/>
          <w:szCs w:val="20"/>
        </w:rPr>
        <w:t xml:space="preserve">, adquiriu </w:t>
      </w:r>
      <w:r w:rsidR="007D3817">
        <w:rPr>
          <w:rFonts w:ascii="Arial" w:hAnsi="Arial" w:cs="Arial"/>
          <w:sz w:val="20"/>
          <w:szCs w:val="20"/>
        </w:rPr>
        <w:t>quase um terço das exportações de produtos agropecuários do Brasil</w:t>
      </w:r>
      <w:r w:rsidR="00DD05F3">
        <w:rPr>
          <w:rFonts w:ascii="Arial" w:hAnsi="Arial" w:cs="Arial"/>
          <w:sz w:val="20"/>
          <w:szCs w:val="20"/>
        </w:rPr>
        <w:t xml:space="preserve"> em julho/2019</w:t>
      </w:r>
      <w:r w:rsidR="00FB541A">
        <w:rPr>
          <w:rFonts w:ascii="Arial" w:hAnsi="Arial" w:cs="Arial"/>
          <w:sz w:val="20"/>
          <w:szCs w:val="20"/>
        </w:rPr>
        <w:t xml:space="preserve"> (32,6%). Houve, contudo, queda de 22,8% nas exportações para o país na comparação entre julho/2018 e julho/2019</w:t>
      </w:r>
      <w:r w:rsidR="00D9772B">
        <w:rPr>
          <w:rFonts w:ascii="Arial" w:hAnsi="Arial" w:cs="Arial"/>
          <w:sz w:val="20"/>
          <w:szCs w:val="20"/>
        </w:rPr>
        <w:t>, em função da retração nas vendas de soja em grãos (-</w:t>
      </w:r>
      <w:r w:rsidR="00E330DE">
        <w:rPr>
          <w:rFonts w:ascii="Arial" w:hAnsi="Arial" w:cs="Arial"/>
          <w:sz w:val="20"/>
          <w:szCs w:val="20"/>
        </w:rPr>
        <w:t>49,7%</w:t>
      </w:r>
      <w:r w:rsidR="00D9772B">
        <w:rPr>
          <w:rFonts w:ascii="Arial" w:hAnsi="Arial" w:cs="Arial"/>
          <w:sz w:val="20"/>
          <w:szCs w:val="20"/>
        </w:rPr>
        <w:t xml:space="preserve">). </w:t>
      </w:r>
    </w:p>
    <w:p w14:paraId="67CE5556" w14:textId="77777777" w:rsidR="00486780" w:rsidRDefault="00486780" w:rsidP="0027256F">
      <w:pPr>
        <w:pStyle w:val="Recuodecorpodetexto"/>
        <w:rPr>
          <w:rFonts w:ascii="Arial" w:hAnsi="Arial" w:cs="Arial"/>
          <w:sz w:val="20"/>
          <w:szCs w:val="20"/>
        </w:rPr>
      </w:pPr>
    </w:p>
    <w:p w14:paraId="522F0D35" w14:textId="3C3AFD7C" w:rsidR="0027256F" w:rsidRPr="004446F3" w:rsidRDefault="00D9772B" w:rsidP="0027256F">
      <w:pPr>
        <w:pStyle w:val="Recuodecorpodetexto"/>
        <w:rPr>
          <w:rFonts w:ascii="Arial" w:hAnsi="Arial" w:cs="Arial"/>
          <w:sz w:val="20"/>
          <w:szCs w:val="20"/>
        </w:rPr>
      </w:pPr>
      <w:r>
        <w:rPr>
          <w:rFonts w:ascii="Arial" w:hAnsi="Arial" w:cs="Arial"/>
          <w:sz w:val="20"/>
          <w:szCs w:val="20"/>
        </w:rPr>
        <w:t xml:space="preserve">Além da China, outros países que </w:t>
      </w:r>
      <w:r w:rsidR="00E330DE">
        <w:rPr>
          <w:rFonts w:ascii="Arial" w:hAnsi="Arial" w:cs="Arial"/>
          <w:sz w:val="20"/>
          <w:szCs w:val="20"/>
        </w:rPr>
        <w:t>contribuíram para a queda nas exportações do agronegócio brasileiro no mês de julho foram: Países Baixos (-US$ 135,66</w:t>
      </w:r>
      <w:r w:rsidR="00FC212F">
        <w:rPr>
          <w:rFonts w:ascii="Arial" w:hAnsi="Arial" w:cs="Arial"/>
          <w:sz w:val="20"/>
          <w:szCs w:val="20"/>
        </w:rPr>
        <w:t xml:space="preserve"> milhões)</w:t>
      </w:r>
      <w:r w:rsidR="0027256F">
        <w:rPr>
          <w:rFonts w:ascii="Arial" w:hAnsi="Arial" w:cs="Arial"/>
          <w:sz w:val="20"/>
          <w:szCs w:val="20"/>
        </w:rPr>
        <w:t xml:space="preserve"> e</w:t>
      </w:r>
      <w:r w:rsidR="00FC212F">
        <w:rPr>
          <w:rFonts w:ascii="Arial" w:hAnsi="Arial" w:cs="Arial"/>
          <w:sz w:val="20"/>
          <w:szCs w:val="20"/>
        </w:rPr>
        <w:t xml:space="preserve"> Índia (-US$ 117,30 milhões).</w:t>
      </w:r>
      <w:r w:rsidR="0027256F">
        <w:rPr>
          <w:rFonts w:ascii="Arial" w:hAnsi="Arial" w:cs="Arial"/>
          <w:sz w:val="20"/>
          <w:szCs w:val="20"/>
        </w:rPr>
        <w:t xml:space="preserve"> Por outro lado, </w:t>
      </w:r>
      <w:r w:rsidR="00486780">
        <w:rPr>
          <w:rFonts w:ascii="Arial" w:hAnsi="Arial" w:cs="Arial"/>
          <w:sz w:val="20"/>
          <w:szCs w:val="20"/>
        </w:rPr>
        <w:t>alguns</w:t>
      </w:r>
      <w:r w:rsidR="0027256F">
        <w:rPr>
          <w:rFonts w:ascii="Arial" w:hAnsi="Arial" w:cs="Arial"/>
          <w:sz w:val="20"/>
          <w:szCs w:val="20"/>
        </w:rPr>
        <w:t xml:space="preserve"> mercados foram responsáveis por amenizar a queda nas vendas externas, como: Japão (+US$ 226,67 milhões), Espanha (+US$ 121,20 milhões) e Estados Unidos (+US$ 115,70 milhões).</w:t>
      </w:r>
    </w:p>
    <w:p w14:paraId="1699B68C" w14:textId="77777777" w:rsidR="00C7675B" w:rsidRDefault="00C7675B" w:rsidP="00907DCF">
      <w:pPr>
        <w:pStyle w:val="Recuodecorpodetexto"/>
        <w:rPr>
          <w:rFonts w:ascii="Arial" w:hAnsi="Arial" w:cs="Arial"/>
          <w:sz w:val="20"/>
          <w:szCs w:val="20"/>
        </w:rPr>
      </w:pPr>
    </w:p>
    <w:p w14:paraId="21FCC8BE" w14:textId="77777777" w:rsidR="00907DCF" w:rsidRDefault="00907DCF" w:rsidP="00907DCF">
      <w:pPr>
        <w:pStyle w:val="Recuodecorpodetexto"/>
        <w:rPr>
          <w:rFonts w:ascii="Arial" w:hAnsi="Arial" w:cs="Arial"/>
          <w:sz w:val="20"/>
          <w:szCs w:val="20"/>
        </w:rPr>
      </w:pPr>
    </w:p>
    <w:p w14:paraId="79ADD71E" w14:textId="011B4E08" w:rsidR="004731CC" w:rsidRPr="00826906" w:rsidRDefault="007C6628" w:rsidP="00AB2FF5">
      <w:pPr>
        <w:rPr>
          <w:rFonts w:ascii="Arial" w:hAnsi="Arial" w:cs="Arial"/>
        </w:rPr>
      </w:pPr>
      <w:r w:rsidRPr="007C6628">
        <w:rPr>
          <w:noProof/>
        </w:rPr>
        <w:drawing>
          <wp:inline distT="0" distB="0" distL="0" distR="0" wp14:anchorId="0F8D3B7C" wp14:editId="5EB5D734">
            <wp:extent cx="6480175" cy="3879215"/>
            <wp:effectExtent l="0" t="0" r="0" b="698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80175" cy="3879215"/>
                    </a:xfrm>
                    <a:prstGeom prst="rect">
                      <a:avLst/>
                    </a:prstGeom>
                  </pic:spPr>
                </pic:pic>
              </a:graphicData>
            </a:graphic>
          </wp:inline>
        </w:drawing>
      </w:r>
    </w:p>
    <w:p w14:paraId="1D229FA6" w14:textId="77777777" w:rsidR="00202D83" w:rsidRDefault="00202D83" w:rsidP="00AB2FF5">
      <w:pPr>
        <w:rPr>
          <w:rFonts w:ascii="Arial" w:hAnsi="Arial" w:cs="Arial"/>
        </w:rPr>
      </w:pPr>
    </w:p>
    <w:p w14:paraId="54535F9F" w14:textId="77777777" w:rsidR="00826906" w:rsidRPr="00826906" w:rsidRDefault="00826906" w:rsidP="00AB2FF5">
      <w:pPr>
        <w:rPr>
          <w:rFonts w:ascii="Arial" w:hAnsi="Arial" w:cs="Arial"/>
        </w:rPr>
      </w:pPr>
    </w:p>
    <w:p w14:paraId="1D883912" w14:textId="1A2DE483" w:rsidR="003B632E" w:rsidRPr="00826906" w:rsidRDefault="003B632E" w:rsidP="003B632E">
      <w:pPr>
        <w:autoSpaceDE w:val="0"/>
        <w:autoSpaceDN w:val="0"/>
        <w:adjustRightInd w:val="0"/>
        <w:jc w:val="both"/>
        <w:rPr>
          <w:rFonts w:ascii="Arial" w:hAnsi="Arial" w:cs="Arial"/>
          <w:b/>
          <w:sz w:val="20"/>
          <w:szCs w:val="20"/>
        </w:rPr>
      </w:pPr>
      <w:r w:rsidRPr="00826906">
        <w:rPr>
          <w:rFonts w:ascii="Arial" w:hAnsi="Arial" w:cs="Arial"/>
          <w:b/>
          <w:sz w:val="20"/>
          <w:szCs w:val="20"/>
        </w:rPr>
        <w:t xml:space="preserve">II – Resultados do Ano (comparativo </w:t>
      </w:r>
      <w:proofErr w:type="gramStart"/>
      <w:r w:rsidRPr="00826906">
        <w:rPr>
          <w:rFonts w:ascii="Arial" w:hAnsi="Arial" w:cs="Arial"/>
          <w:b/>
          <w:sz w:val="20"/>
          <w:szCs w:val="20"/>
        </w:rPr>
        <w:t>Janeiro</w:t>
      </w:r>
      <w:proofErr w:type="gramEnd"/>
      <w:r w:rsidRPr="00826906">
        <w:rPr>
          <w:rFonts w:ascii="Arial" w:hAnsi="Arial" w:cs="Arial"/>
          <w:b/>
          <w:sz w:val="20"/>
          <w:szCs w:val="20"/>
        </w:rPr>
        <w:t>-</w:t>
      </w:r>
      <w:r w:rsidR="007C6628">
        <w:rPr>
          <w:rFonts w:ascii="Arial" w:hAnsi="Arial" w:cs="Arial"/>
          <w:b/>
          <w:sz w:val="20"/>
          <w:szCs w:val="20"/>
        </w:rPr>
        <w:t>Julho</w:t>
      </w:r>
      <w:r w:rsidR="007763E5">
        <w:rPr>
          <w:rFonts w:ascii="Arial" w:hAnsi="Arial" w:cs="Arial"/>
          <w:b/>
          <w:sz w:val="20"/>
          <w:szCs w:val="20"/>
        </w:rPr>
        <w:t>/</w:t>
      </w:r>
      <w:r w:rsidR="007C6628">
        <w:rPr>
          <w:rFonts w:ascii="Arial" w:hAnsi="Arial" w:cs="Arial"/>
          <w:b/>
          <w:sz w:val="20"/>
          <w:szCs w:val="20"/>
        </w:rPr>
        <w:t>2019</w:t>
      </w:r>
      <w:r w:rsidRPr="00826906">
        <w:rPr>
          <w:rFonts w:ascii="Arial" w:hAnsi="Arial" w:cs="Arial"/>
          <w:b/>
          <w:sz w:val="20"/>
          <w:szCs w:val="20"/>
        </w:rPr>
        <w:t xml:space="preserve"> – Janeiro-</w:t>
      </w:r>
      <w:r w:rsidR="007C6628">
        <w:rPr>
          <w:rFonts w:ascii="Arial" w:hAnsi="Arial" w:cs="Arial"/>
          <w:b/>
          <w:sz w:val="20"/>
          <w:szCs w:val="20"/>
        </w:rPr>
        <w:t>Julho</w:t>
      </w:r>
      <w:r w:rsidRPr="00826906">
        <w:rPr>
          <w:rFonts w:ascii="Arial" w:hAnsi="Arial" w:cs="Arial"/>
          <w:b/>
          <w:sz w:val="20"/>
          <w:szCs w:val="20"/>
        </w:rPr>
        <w:t>/</w:t>
      </w:r>
      <w:r w:rsidR="007C6628">
        <w:rPr>
          <w:rFonts w:ascii="Arial" w:hAnsi="Arial" w:cs="Arial"/>
          <w:b/>
          <w:sz w:val="20"/>
          <w:szCs w:val="20"/>
        </w:rPr>
        <w:t>2018</w:t>
      </w:r>
      <w:r w:rsidRPr="00826906">
        <w:rPr>
          <w:rFonts w:ascii="Arial" w:hAnsi="Arial" w:cs="Arial"/>
          <w:b/>
          <w:sz w:val="20"/>
          <w:szCs w:val="20"/>
        </w:rPr>
        <w:t>)</w:t>
      </w:r>
    </w:p>
    <w:p w14:paraId="0E022702" w14:textId="11EC19ED" w:rsidR="003B632E" w:rsidRDefault="003B632E" w:rsidP="003B632E">
      <w:pPr>
        <w:autoSpaceDE w:val="0"/>
        <w:autoSpaceDN w:val="0"/>
        <w:adjustRightInd w:val="0"/>
        <w:jc w:val="both"/>
        <w:rPr>
          <w:rFonts w:ascii="Arial" w:hAnsi="Arial" w:cs="Arial"/>
          <w:b/>
          <w:sz w:val="20"/>
          <w:szCs w:val="20"/>
        </w:rPr>
      </w:pPr>
    </w:p>
    <w:p w14:paraId="2D65E0E7" w14:textId="58CBEA91" w:rsidR="000516E7" w:rsidRPr="000516E7" w:rsidRDefault="000516E7" w:rsidP="000516E7">
      <w:pPr>
        <w:pStyle w:val="Recuodecorpodetexto"/>
        <w:rPr>
          <w:rFonts w:ascii="Arial" w:hAnsi="Arial" w:cs="Arial"/>
          <w:sz w:val="20"/>
          <w:szCs w:val="20"/>
        </w:rPr>
      </w:pPr>
      <w:r w:rsidRPr="000516E7">
        <w:rPr>
          <w:rFonts w:ascii="Arial" w:hAnsi="Arial" w:cs="Arial"/>
          <w:sz w:val="20"/>
          <w:szCs w:val="20"/>
        </w:rPr>
        <w:lastRenderedPageBreak/>
        <w:t xml:space="preserve">As exportações do agronegócio diminuíram 4,0% entre janeiro e julho de 2019 na comparação com o mesmo período do ano passado. Essa queda correspondeu a uma redução de US$ 2,36 bilhões nas exportações no período em análise, o que levou o valor exportações à US$ 56,61 bilhões entre janeiro e julho de 2019. </w:t>
      </w:r>
    </w:p>
    <w:p w14:paraId="21F29C5D" w14:textId="77777777" w:rsidR="000516E7" w:rsidRPr="000516E7" w:rsidRDefault="000516E7" w:rsidP="000516E7">
      <w:pPr>
        <w:pStyle w:val="Recuodecorpodetexto"/>
        <w:rPr>
          <w:rFonts w:ascii="Arial" w:hAnsi="Arial" w:cs="Arial"/>
          <w:sz w:val="20"/>
          <w:szCs w:val="20"/>
        </w:rPr>
      </w:pPr>
    </w:p>
    <w:p w14:paraId="3871BA3C" w14:textId="73654D89" w:rsidR="000516E7" w:rsidRPr="000516E7" w:rsidRDefault="000516E7" w:rsidP="000516E7">
      <w:pPr>
        <w:pStyle w:val="Recuodecorpodetexto"/>
        <w:rPr>
          <w:rFonts w:ascii="Arial" w:hAnsi="Arial" w:cs="Arial"/>
          <w:sz w:val="20"/>
          <w:szCs w:val="20"/>
        </w:rPr>
      </w:pPr>
      <w:r w:rsidRPr="000516E7">
        <w:rPr>
          <w:rFonts w:ascii="Arial" w:hAnsi="Arial" w:cs="Arial"/>
          <w:sz w:val="20"/>
          <w:szCs w:val="20"/>
        </w:rPr>
        <w:t>Para explicar essa queda deve-se examinar os preços das commodities do agronegócio exportadas pelo Brasil. O índice de preço dos produtos exportados pelo Brasil recuou 7,3% na comparação entre janeiro e julho de 2019 em relação à janeiro e julho de 2018.  Por outro lado, houve elevação quantidade exportada em mais 3,6%, fator que abrandou a queda dos preços internacionais.</w:t>
      </w:r>
    </w:p>
    <w:p w14:paraId="105C71FD" w14:textId="77777777" w:rsidR="000516E7" w:rsidRPr="000516E7" w:rsidRDefault="000516E7" w:rsidP="000516E7">
      <w:pPr>
        <w:pStyle w:val="Recuodecorpodetexto"/>
        <w:rPr>
          <w:rFonts w:ascii="Arial" w:hAnsi="Arial" w:cs="Arial"/>
          <w:sz w:val="20"/>
          <w:szCs w:val="20"/>
        </w:rPr>
      </w:pPr>
    </w:p>
    <w:p w14:paraId="7E027219" w14:textId="77777777" w:rsidR="000516E7" w:rsidRPr="000516E7" w:rsidRDefault="000516E7" w:rsidP="000516E7">
      <w:pPr>
        <w:pStyle w:val="Recuodecorpodetexto"/>
        <w:rPr>
          <w:rFonts w:ascii="Arial" w:hAnsi="Arial" w:cs="Arial"/>
          <w:sz w:val="20"/>
          <w:szCs w:val="20"/>
        </w:rPr>
      </w:pPr>
      <w:r w:rsidRPr="000516E7">
        <w:rPr>
          <w:rFonts w:ascii="Arial" w:hAnsi="Arial" w:cs="Arial"/>
          <w:sz w:val="20"/>
          <w:szCs w:val="20"/>
        </w:rPr>
        <w:t xml:space="preserve">As importações de produtos do agronegócio também apresentaram recuo, diminuindo de US$ 8,30 bilhões entre janeiro e julho de 2018 para US$ 8,13 bilhões entre janeiro e julho de 2019 (-2,1%). </w:t>
      </w:r>
    </w:p>
    <w:p w14:paraId="4FF19401" w14:textId="77777777" w:rsidR="003B632E" w:rsidRPr="00826906" w:rsidRDefault="003B632E" w:rsidP="003B632E">
      <w:pPr>
        <w:autoSpaceDE w:val="0"/>
        <w:autoSpaceDN w:val="0"/>
        <w:adjustRightInd w:val="0"/>
        <w:jc w:val="both"/>
        <w:rPr>
          <w:rFonts w:ascii="Arial" w:hAnsi="Arial" w:cs="Arial"/>
          <w:b/>
          <w:sz w:val="20"/>
          <w:szCs w:val="20"/>
        </w:rPr>
      </w:pPr>
    </w:p>
    <w:p w14:paraId="01C7B8BE" w14:textId="40A109CD" w:rsidR="003B632E" w:rsidRDefault="003B632E" w:rsidP="003B632E">
      <w:pPr>
        <w:pStyle w:val="Ttulo5"/>
        <w:autoSpaceDE/>
        <w:autoSpaceDN/>
        <w:adjustRightInd/>
        <w:rPr>
          <w:rFonts w:ascii="Arial" w:hAnsi="Arial" w:cs="Arial"/>
          <w:sz w:val="20"/>
          <w:szCs w:val="20"/>
        </w:rPr>
      </w:pPr>
      <w:proofErr w:type="spellStart"/>
      <w:r w:rsidRPr="00826906">
        <w:rPr>
          <w:rFonts w:ascii="Arial" w:hAnsi="Arial" w:cs="Arial"/>
          <w:sz w:val="20"/>
          <w:szCs w:val="20"/>
        </w:rPr>
        <w:t>II.a</w:t>
      </w:r>
      <w:proofErr w:type="spellEnd"/>
      <w:r w:rsidRPr="00826906">
        <w:rPr>
          <w:rFonts w:ascii="Arial" w:hAnsi="Arial" w:cs="Arial"/>
          <w:sz w:val="20"/>
          <w:szCs w:val="20"/>
        </w:rPr>
        <w:t xml:space="preserve"> – Setores do Agronegócio</w:t>
      </w:r>
    </w:p>
    <w:p w14:paraId="7D01D762" w14:textId="4AB0C99B" w:rsidR="000516E7" w:rsidRDefault="000516E7" w:rsidP="000516E7"/>
    <w:p w14:paraId="65F11D85" w14:textId="53392E3A" w:rsidR="000516E7" w:rsidRDefault="000516E7" w:rsidP="000516E7">
      <w:pPr>
        <w:pStyle w:val="Recuodecorpodetexto"/>
        <w:rPr>
          <w:rFonts w:ascii="Arial" w:hAnsi="Arial" w:cs="Arial"/>
          <w:sz w:val="20"/>
          <w:szCs w:val="20"/>
        </w:rPr>
      </w:pPr>
      <w:r w:rsidRPr="000516E7">
        <w:rPr>
          <w:rFonts w:ascii="Arial" w:hAnsi="Arial" w:cs="Arial"/>
          <w:sz w:val="20"/>
          <w:szCs w:val="20"/>
        </w:rPr>
        <w:t>Os cinco principais setores exportadores do agronegócio entre janeiro e agosto de 2019 foram: complexo soja (39,1% de participação), carnes (15,7% de participação), produtos florestais (14,6% de participação), complexo sucroalcooleiro (5,8% de participação) e cereais, farinhas e preparações (5,6% de participação).  Estes cinco setores responderam por 80,7% do valor total exportado pelo agronegócio brasileiro entre janeiro e julho de 2019. No mesmo período de 2018, as exportações desses cinco mencionados setores foram de 82,9% do total exportado. Dessa forma, verifica-se uma desconcentração das exportações do agronegócio no período em análise.</w:t>
      </w:r>
    </w:p>
    <w:p w14:paraId="53AF385E" w14:textId="77777777" w:rsidR="000516E7" w:rsidRPr="000516E7" w:rsidRDefault="000516E7" w:rsidP="000516E7">
      <w:pPr>
        <w:pStyle w:val="Recuodecorpodetexto"/>
        <w:rPr>
          <w:rFonts w:ascii="Arial" w:hAnsi="Arial" w:cs="Arial"/>
          <w:sz w:val="20"/>
          <w:szCs w:val="20"/>
        </w:rPr>
      </w:pPr>
    </w:p>
    <w:p w14:paraId="6E066409" w14:textId="04124B10" w:rsidR="000516E7" w:rsidRDefault="000516E7" w:rsidP="000516E7">
      <w:pPr>
        <w:pStyle w:val="Recuodecorpodetexto"/>
        <w:rPr>
          <w:rFonts w:ascii="Arial" w:hAnsi="Arial" w:cs="Arial"/>
          <w:sz w:val="20"/>
          <w:szCs w:val="20"/>
        </w:rPr>
      </w:pPr>
      <w:r w:rsidRPr="000516E7">
        <w:rPr>
          <w:rFonts w:ascii="Arial" w:hAnsi="Arial" w:cs="Arial"/>
          <w:sz w:val="20"/>
          <w:szCs w:val="20"/>
        </w:rPr>
        <w:t xml:space="preserve">O principal setor exportador do agronegócio brasileiro foi o complexo soja. O setor exportou US$ 22,14 bilhões entre janeiro e julho de 2019, o que significou uma queda de 18,8% em relação aos US$ 27,27 bilhões exportados entre janeiro e julho de 2018. A queda das exportações do setor, de quase US$ 5 bilhões, mais que explicam a redução do valor total exportado pelo Brasil em produtos do agronegócio. As exportações de soja em grão caíram de US$ 22,51 bilhões entre janeiro e julho de 2019 para US$ 18,22 bilhões entre janeiro e julho de 2019 (-19,1%). A queda pode ser explicada pela diminuição dos preços médios de exportação do produto, que caíram 12,0%, e, também, em função da redução da quantidade exportada do grão, com queda de 8,0% (4,5 milhões de toneladas a menos). A China continua sendo o principal mercado para as exportações de soja em grão do Brasil, com vendas de 39,0 milhões de toneladas (75,1% da quantidade total exportada do produto). Houve, todavia, queda de 4,9 milhões de toneladas nas exportações de soja em grão ao país asiático, número que explica a queda da quantidade exportada de soja. As exportações de farelo de soja caíram de US$ 4,06 bilhões entre janeiro e julho de 2018 para US$ 3,44 bilhões entre janeiro e julho de 2019 (-15,3%), sendo 9,3% de queda no preço médio de exportação e 6,6% na quantidade exportada. Já as exportações de óleo de soja reduziram 31,4%, passando de US$ 697,66 milhões entre janeiro e julho de 2018 para US$ 478,31 milhões entre janeiro e julho de 2019. No caso do óleo de soja, o preço médio de exportação caiu 11,1% e a quantidade caiu 22,9%. </w:t>
      </w:r>
    </w:p>
    <w:p w14:paraId="4CD66147" w14:textId="77777777" w:rsidR="000516E7" w:rsidRPr="000516E7" w:rsidRDefault="000516E7" w:rsidP="000516E7">
      <w:pPr>
        <w:pStyle w:val="Recuodecorpodetexto"/>
        <w:rPr>
          <w:rFonts w:ascii="Arial" w:hAnsi="Arial" w:cs="Arial"/>
          <w:sz w:val="20"/>
          <w:szCs w:val="20"/>
        </w:rPr>
      </w:pPr>
    </w:p>
    <w:p w14:paraId="06389C9E" w14:textId="575ED109" w:rsidR="000516E7" w:rsidRDefault="000516E7" w:rsidP="000516E7">
      <w:pPr>
        <w:pStyle w:val="Recuodecorpodetexto"/>
        <w:rPr>
          <w:rFonts w:ascii="Arial" w:hAnsi="Arial" w:cs="Arial"/>
          <w:sz w:val="20"/>
          <w:szCs w:val="20"/>
        </w:rPr>
      </w:pPr>
      <w:r w:rsidRPr="000516E7">
        <w:rPr>
          <w:rFonts w:ascii="Arial" w:hAnsi="Arial" w:cs="Arial"/>
          <w:sz w:val="20"/>
          <w:szCs w:val="20"/>
        </w:rPr>
        <w:t>As exportações de carnes, por sua vez, subiram 13,1% entre janeiro e julho de 2019, atingindo US$ 8,89 bilhões. A principal carne exportada foi a carne de frango, com US$ 4,05 bilhões no período em análise. Esse valor significou uma expansão de 14,0% no valor exportado, fruto do crescimento do preço médio de exportação (+7,3%) e da quantidade (+6,3%). As vendas externas de carne bovina também tiveram incremento, atingindo US$ 3,72 bilhões, valor recorde para as exportações do período entre janeiro e julho de 2019. A quantidade exportada subiu 20,2% enquanto o preço médio de exportação declinou 7,1%. As exportações de carne suína foram de US$ 845,09 milhões no período em análise (+25,8%). Com uma quantidade recorde exportada de 410,2 mil toneladas e elevação de 5,1% no preço médio de exportação. O único tipo de carne que apresentou queda no valor exportado foi a carne de peru. As exportações desse tipo de carne recuaram de US$ 86,68 milhões entre janeiro e julho de 2018 para US$ 41,97 milhões entre janeiro e julho de 2019 (-51,6%). A queda ocorreu em função da diminuiu da quantidade exportada, que declinou 55,8% no período em análise. Já o preço médio de exportação da carne de peru subiu 9,6%.</w:t>
      </w:r>
    </w:p>
    <w:p w14:paraId="6B8623DA" w14:textId="77777777" w:rsidR="000516E7" w:rsidRPr="000516E7" w:rsidRDefault="000516E7" w:rsidP="000516E7">
      <w:pPr>
        <w:pStyle w:val="Recuodecorpodetexto"/>
        <w:rPr>
          <w:rFonts w:ascii="Arial" w:hAnsi="Arial" w:cs="Arial"/>
          <w:sz w:val="20"/>
          <w:szCs w:val="20"/>
        </w:rPr>
      </w:pPr>
    </w:p>
    <w:p w14:paraId="44DD09E1" w14:textId="141A5D61" w:rsidR="000516E7" w:rsidRDefault="000516E7" w:rsidP="000516E7">
      <w:pPr>
        <w:pStyle w:val="Recuodecorpodetexto"/>
        <w:rPr>
          <w:rFonts w:ascii="Arial" w:hAnsi="Arial" w:cs="Arial"/>
          <w:sz w:val="20"/>
          <w:szCs w:val="20"/>
        </w:rPr>
      </w:pPr>
      <w:r w:rsidRPr="000516E7">
        <w:rPr>
          <w:rFonts w:ascii="Arial" w:hAnsi="Arial" w:cs="Arial"/>
          <w:sz w:val="20"/>
          <w:szCs w:val="20"/>
        </w:rPr>
        <w:t xml:space="preserve">As exportações de produtos florestais cresceram 1,8%, passando de US$ 8,10 bilhões entre janeiro e julho de 2018 para US$ 8,25 bilhões entre janeiro e julho de 2019. O valor é recorde da série para as vendas externas do setor. A celulose, responsável por 60,9% do total das exportações do setor, também bateu recorde de exportação entre janeiro e julho de 2019, atingindo US$ 5,02 bilhões em vendas externas (+1,6%). A quantidade exportada de celulose foi recorde, com 9,12 milhões de toneladas (+0,8%) entre janeiro e julho de 2019, enquanto o preço subiu 0,8%. Ainda no setor, as exportações de madeira e suas obras foram de US$ 2,03 bilhões (+0,4%) enquanto as exportações de papel foram de US$ 1,20 bilhão (+5,2%). </w:t>
      </w:r>
    </w:p>
    <w:p w14:paraId="527D1D64" w14:textId="77777777" w:rsidR="000516E7" w:rsidRPr="000516E7" w:rsidRDefault="000516E7" w:rsidP="000516E7">
      <w:pPr>
        <w:pStyle w:val="Recuodecorpodetexto"/>
        <w:rPr>
          <w:rFonts w:ascii="Arial" w:hAnsi="Arial" w:cs="Arial"/>
          <w:sz w:val="20"/>
          <w:szCs w:val="20"/>
        </w:rPr>
      </w:pPr>
    </w:p>
    <w:p w14:paraId="6ED0C438" w14:textId="24DD664A" w:rsidR="000516E7" w:rsidRDefault="000516E7" w:rsidP="000516E7">
      <w:pPr>
        <w:pStyle w:val="Recuodecorpodetexto"/>
        <w:rPr>
          <w:rFonts w:ascii="Arial" w:hAnsi="Arial" w:cs="Arial"/>
          <w:sz w:val="20"/>
          <w:szCs w:val="20"/>
        </w:rPr>
      </w:pPr>
      <w:r w:rsidRPr="000516E7">
        <w:rPr>
          <w:rFonts w:ascii="Arial" w:hAnsi="Arial" w:cs="Arial"/>
          <w:sz w:val="20"/>
          <w:szCs w:val="20"/>
        </w:rPr>
        <w:t xml:space="preserve">O complexo sucroalcooleiro continua reduzindo o montante exportado. O valor das exportações do setor entre janeiro e julho de 2019 foi de US$ 3,26 bilhões. O menor valor exportado desde 2005. Lembrando que as vendas externas do setor já foram superiores a US$ 7,0 bilhões para o período em análise em 2011, 2013 e 2017. A oferta abundante do produto no mercado internacional resultou na queda dos preços internacionais para um patamar inferior a US$ 300 por tonelada. Na análise da série histórica, para o período de janeiro a julho, o preço internacional do açúcar chegou a US$ 580 por tonelada em 2011. O atual patamar de preço é praticamente a metade desse valor. Ademais, a maior oferta externa e as safras mais alcooleiras no Brasil também reduziram a quantidade </w:t>
      </w:r>
      <w:r w:rsidRPr="000516E7">
        <w:rPr>
          <w:rFonts w:ascii="Arial" w:hAnsi="Arial" w:cs="Arial"/>
          <w:sz w:val="20"/>
          <w:szCs w:val="20"/>
        </w:rPr>
        <w:lastRenderedPageBreak/>
        <w:t xml:space="preserve">exportada, que chegou a 9,55 milhões de toneladas (-18,3%) entre janeiro e julho de 2019.  Já as exportações de álcool subiram para US$ 449,27 milhões entre janeiro e julho de 2019, com expansão de 6,8% em relação aos US$ 420,78 milhões exportados entre janeiro e julho de 2018. A quantidade exportada de álcool subiu 18,2% enquanto o preço médio de exportação declinou 9,6%. </w:t>
      </w:r>
    </w:p>
    <w:p w14:paraId="5CA9DA01" w14:textId="77777777" w:rsidR="000516E7" w:rsidRPr="000516E7" w:rsidRDefault="000516E7" w:rsidP="000516E7">
      <w:pPr>
        <w:pStyle w:val="Recuodecorpodetexto"/>
        <w:rPr>
          <w:rFonts w:ascii="Arial" w:hAnsi="Arial" w:cs="Arial"/>
          <w:sz w:val="20"/>
          <w:szCs w:val="20"/>
        </w:rPr>
      </w:pPr>
    </w:p>
    <w:p w14:paraId="5A047D1F" w14:textId="77777777" w:rsidR="000516E7" w:rsidRPr="000516E7" w:rsidRDefault="000516E7" w:rsidP="000516E7">
      <w:pPr>
        <w:pStyle w:val="Recuodecorpodetexto"/>
        <w:rPr>
          <w:rFonts w:ascii="Arial" w:hAnsi="Arial" w:cs="Arial"/>
          <w:sz w:val="20"/>
          <w:szCs w:val="20"/>
        </w:rPr>
      </w:pPr>
      <w:r w:rsidRPr="000516E7">
        <w:rPr>
          <w:rFonts w:ascii="Arial" w:hAnsi="Arial" w:cs="Arial"/>
          <w:sz w:val="20"/>
          <w:szCs w:val="20"/>
        </w:rPr>
        <w:t xml:space="preserve">Os cereais, farinhas e preparações ficaram na quinta posição entre os principais setores exportadores do agronegócio brasileiro. No setor, o milho é o principal produto. Entre os meses de janeiro e julho, foram exportadas 15,4 milhões de toneladas de milho ao exterior (+142,3%). Uma quantidade recorde de exportação para o período. Não só a quantidade exportada foi recorde, mas a safra de milho 2018/2019 será recorde, segundo levantamento da CONAB divulgado neste mês de agosto, e atingirá 99,3 milhões de toneladas. Com essa quantidade recorde de milho exportado e a elevação de 8,4% no preço médio de exportação do cereal, o valor das exportações de milho também atingiram a cifra recorde de US$ 2,72 bilhões entre janeiro e julho de 2019. O montante exportado de milho representou 85,7% do total das exportações de cereais, farinhas e preparações, que registraram US$ 3,17 bilhões em vendas externas (+115,7%). </w:t>
      </w:r>
    </w:p>
    <w:p w14:paraId="1B59F1EA" w14:textId="77777777" w:rsidR="00B905EE" w:rsidRPr="000E2E78" w:rsidRDefault="00B905EE" w:rsidP="00B905EE">
      <w:pPr>
        <w:pStyle w:val="Recuodecorpodetexto"/>
        <w:rPr>
          <w:rFonts w:ascii="Arial" w:hAnsi="Arial" w:cs="Arial"/>
          <w:color w:val="000000" w:themeColor="text1"/>
          <w:sz w:val="20"/>
          <w:szCs w:val="20"/>
        </w:rPr>
      </w:pPr>
    </w:p>
    <w:p w14:paraId="64A264AA" w14:textId="27D1DD3A" w:rsidR="002B1A0F" w:rsidRPr="00826906" w:rsidRDefault="007C6628" w:rsidP="003B632E">
      <w:pPr>
        <w:rPr>
          <w:rFonts w:ascii="Arial" w:hAnsi="Arial" w:cs="Arial"/>
        </w:rPr>
      </w:pPr>
      <w:r w:rsidRPr="007C6628">
        <w:rPr>
          <w:noProof/>
        </w:rPr>
        <w:drawing>
          <wp:inline distT="0" distB="0" distL="0" distR="0" wp14:anchorId="3920CC1E" wp14:editId="2FD3F9F0">
            <wp:extent cx="6480175" cy="3855085"/>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80175" cy="3855085"/>
                    </a:xfrm>
                    <a:prstGeom prst="rect">
                      <a:avLst/>
                    </a:prstGeom>
                  </pic:spPr>
                </pic:pic>
              </a:graphicData>
            </a:graphic>
          </wp:inline>
        </w:drawing>
      </w:r>
    </w:p>
    <w:p w14:paraId="2D5CF73F" w14:textId="77777777" w:rsidR="00B8451B" w:rsidRDefault="00B8451B" w:rsidP="003B632E">
      <w:pPr>
        <w:pStyle w:val="Ttulo5"/>
        <w:autoSpaceDE/>
        <w:autoSpaceDN/>
        <w:adjustRightInd/>
        <w:rPr>
          <w:rFonts w:ascii="Arial" w:hAnsi="Arial" w:cs="Arial"/>
          <w:sz w:val="20"/>
          <w:szCs w:val="20"/>
        </w:rPr>
      </w:pPr>
      <w:bookmarkStart w:id="0" w:name="OLE_LINK1"/>
    </w:p>
    <w:p w14:paraId="6285E6EE" w14:textId="77777777" w:rsidR="003B632E" w:rsidRDefault="003B632E" w:rsidP="003B632E">
      <w:pPr>
        <w:pStyle w:val="Ttulo5"/>
        <w:autoSpaceDE/>
        <w:autoSpaceDN/>
        <w:adjustRightInd/>
        <w:rPr>
          <w:rFonts w:ascii="Arial" w:hAnsi="Arial" w:cs="Arial"/>
          <w:sz w:val="20"/>
          <w:szCs w:val="20"/>
        </w:rPr>
      </w:pPr>
      <w:proofErr w:type="spellStart"/>
      <w:r w:rsidRPr="00826906">
        <w:rPr>
          <w:rFonts w:ascii="Arial" w:hAnsi="Arial" w:cs="Arial"/>
          <w:sz w:val="20"/>
          <w:szCs w:val="20"/>
        </w:rPr>
        <w:t>II.b</w:t>
      </w:r>
      <w:proofErr w:type="spellEnd"/>
      <w:r w:rsidRPr="00826906">
        <w:rPr>
          <w:rFonts w:ascii="Arial" w:hAnsi="Arial" w:cs="Arial"/>
          <w:sz w:val="20"/>
          <w:szCs w:val="20"/>
        </w:rPr>
        <w:t xml:space="preserve"> – Blocos Econômicos e Regiões Geográficas</w:t>
      </w:r>
    </w:p>
    <w:p w14:paraId="45F91765" w14:textId="77777777" w:rsidR="00D12C0B" w:rsidRDefault="00D12C0B" w:rsidP="00D12C0B"/>
    <w:p w14:paraId="0714BCD6" w14:textId="03275AE4" w:rsidR="000516E7" w:rsidRDefault="000516E7" w:rsidP="000516E7">
      <w:pPr>
        <w:pStyle w:val="Recuodecorpodetexto"/>
        <w:rPr>
          <w:rFonts w:ascii="Arial" w:hAnsi="Arial" w:cs="Arial"/>
          <w:sz w:val="20"/>
          <w:szCs w:val="20"/>
        </w:rPr>
      </w:pPr>
      <w:r w:rsidRPr="000516E7">
        <w:rPr>
          <w:rFonts w:ascii="Arial" w:hAnsi="Arial" w:cs="Arial"/>
          <w:sz w:val="20"/>
          <w:szCs w:val="20"/>
        </w:rPr>
        <w:t>A Ásia é a principal região importadora de produtos do agronegócio brasileiro, com a aquisição de praticamente a metade do valor exportado pelo Brasil. Entre janeiro e julho de 2019, o valor comercializado à Ásia caiu 8,2%, chegando a US$ 28,08 bilhões. Grande parte dessa queda foi função da redução das aquisições chinesas de soja em grão. Outros produtos, porém, tiveram incremento das exportações ao continente asiático ajudando a amenizar a queda nas exportações de soja em grãos. São exemplos de produtos que tiveram aumento nas vendas à região: celulose (+5,3%); carne de frango in natura (+21,8%); milho (+547,8%); algodão não cardado nem penteado (+144,0%); carne suína in natura (+24,0%); café verde (+34,6%).</w:t>
      </w:r>
    </w:p>
    <w:p w14:paraId="17D68478" w14:textId="77777777" w:rsidR="000516E7" w:rsidRPr="000516E7" w:rsidRDefault="000516E7" w:rsidP="000516E7">
      <w:pPr>
        <w:pStyle w:val="Recuodecorpodetexto"/>
        <w:rPr>
          <w:rFonts w:ascii="Arial" w:hAnsi="Arial" w:cs="Arial"/>
          <w:sz w:val="20"/>
          <w:szCs w:val="20"/>
        </w:rPr>
      </w:pPr>
    </w:p>
    <w:p w14:paraId="419D04A1" w14:textId="1BA4A672" w:rsidR="000516E7" w:rsidRDefault="000516E7" w:rsidP="000516E7">
      <w:pPr>
        <w:pStyle w:val="Recuodecorpodetexto"/>
        <w:rPr>
          <w:rFonts w:ascii="Arial" w:hAnsi="Arial" w:cs="Arial"/>
          <w:sz w:val="20"/>
          <w:szCs w:val="20"/>
        </w:rPr>
      </w:pPr>
      <w:r w:rsidRPr="000516E7">
        <w:rPr>
          <w:rFonts w:ascii="Arial" w:hAnsi="Arial" w:cs="Arial"/>
          <w:sz w:val="20"/>
          <w:szCs w:val="20"/>
        </w:rPr>
        <w:t xml:space="preserve">Três blocos ou regiões geográficas tiveram incremento nas aquisições de produtos do agronegócio brasileiro acima de um dígito: Oriente Médio (+19,6%), Europa Oriental (+10,7%) e Oceania (+32,8%). </w:t>
      </w:r>
    </w:p>
    <w:p w14:paraId="16922C66" w14:textId="77777777" w:rsidR="000516E7" w:rsidRPr="000516E7" w:rsidRDefault="000516E7" w:rsidP="000516E7">
      <w:pPr>
        <w:pStyle w:val="Recuodecorpodetexto"/>
        <w:rPr>
          <w:rFonts w:ascii="Arial" w:hAnsi="Arial" w:cs="Arial"/>
          <w:sz w:val="20"/>
          <w:szCs w:val="20"/>
        </w:rPr>
      </w:pPr>
    </w:p>
    <w:p w14:paraId="3FC778BE" w14:textId="00BDF563" w:rsidR="000516E7" w:rsidRDefault="000516E7" w:rsidP="000516E7">
      <w:pPr>
        <w:pStyle w:val="Recuodecorpodetexto"/>
        <w:rPr>
          <w:rFonts w:ascii="Arial" w:hAnsi="Arial" w:cs="Arial"/>
          <w:sz w:val="20"/>
          <w:szCs w:val="20"/>
        </w:rPr>
      </w:pPr>
      <w:r w:rsidRPr="000516E7">
        <w:rPr>
          <w:rFonts w:ascii="Arial" w:hAnsi="Arial" w:cs="Arial"/>
          <w:sz w:val="20"/>
          <w:szCs w:val="20"/>
        </w:rPr>
        <w:t xml:space="preserve">O Oriente Médio importou US$ 4,81 bilhões em produtos do agronegócio brasileiro. Os cinco principais produtos exportados à região foram: carne de frango in natura (US$ 1,36 bilhão; +21,4%); milho (US$ 758,93 milhões; +37,9%); carne bovina in natura (US$ 623,35 milhões; +46,5%); soja em grãos (US$ 619,70 milhões; -2,4%); e açúcar de cana em bruto (US$ 605,85 milhões; +8,1%). </w:t>
      </w:r>
    </w:p>
    <w:p w14:paraId="127B9083" w14:textId="77777777" w:rsidR="000516E7" w:rsidRPr="000516E7" w:rsidRDefault="000516E7" w:rsidP="000516E7">
      <w:pPr>
        <w:pStyle w:val="Recuodecorpodetexto"/>
        <w:rPr>
          <w:rFonts w:ascii="Arial" w:hAnsi="Arial" w:cs="Arial"/>
          <w:sz w:val="20"/>
          <w:szCs w:val="20"/>
        </w:rPr>
      </w:pPr>
    </w:p>
    <w:p w14:paraId="626FEC36" w14:textId="77777777" w:rsidR="000516E7" w:rsidRPr="000516E7" w:rsidRDefault="000516E7" w:rsidP="000516E7">
      <w:pPr>
        <w:pStyle w:val="Recuodecorpodetexto"/>
        <w:rPr>
          <w:rFonts w:ascii="Arial" w:hAnsi="Arial" w:cs="Arial"/>
          <w:sz w:val="20"/>
          <w:szCs w:val="20"/>
        </w:rPr>
      </w:pPr>
      <w:r w:rsidRPr="000516E7">
        <w:rPr>
          <w:rFonts w:ascii="Arial" w:hAnsi="Arial" w:cs="Arial"/>
          <w:sz w:val="20"/>
          <w:szCs w:val="20"/>
        </w:rPr>
        <w:t xml:space="preserve">Entre janeiro e julho de 2019, a Europa Oriental importou US$ 1,17 bilhão em produtos do agronegócio brasileiro. A relação dos cinco principais produtos importados do agronegócio brasileiro foi: soja em grãos (US$ 217,39 milhões; -23,3%); carne bovina in natura (US$ 130,49 milhões; +817,6%); fumo não manufaturado (US$ 123,33 milhões; +29,7%); carne de frango in natura (US$ 109,46 milhões; +21,1%); e carne suína in natura (US$ 101,96 milhões; +220,4%). </w:t>
      </w:r>
    </w:p>
    <w:p w14:paraId="7AC5AFA0" w14:textId="77777777" w:rsidR="000516E7" w:rsidRPr="000516E7" w:rsidRDefault="000516E7" w:rsidP="000516E7">
      <w:pPr>
        <w:pStyle w:val="Recuodecorpodetexto"/>
        <w:rPr>
          <w:rFonts w:ascii="Arial" w:hAnsi="Arial" w:cs="Arial"/>
          <w:sz w:val="20"/>
          <w:szCs w:val="20"/>
        </w:rPr>
      </w:pPr>
      <w:r w:rsidRPr="000516E7">
        <w:rPr>
          <w:rFonts w:ascii="Arial" w:hAnsi="Arial" w:cs="Arial"/>
          <w:sz w:val="20"/>
          <w:szCs w:val="20"/>
        </w:rPr>
        <w:lastRenderedPageBreak/>
        <w:t xml:space="preserve">Para a Oceania, o produto que mais contribuiu para a elevação das exportações brasileiras do agronegócio no período em análise foi o açúcar de cana em bruto. As vendas subiram mais de 3.000%, passando de US$ 832,16 mil entre janeiro e julho de 2018 para US$ 27,55 milhões entre janeiro e julho de 2019. </w:t>
      </w:r>
    </w:p>
    <w:p w14:paraId="5EC7E2E1" w14:textId="77777777" w:rsidR="00C7675B" w:rsidRPr="00DD0277" w:rsidRDefault="00C7675B" w:rsidP="00C7675B">
      <w:pPr>
        <w:pStyle w:val="Recuodecorpodetexto"/>
        <w:rPr>
          <w:rFonts w:ascii="Arial" w:hAnsi="Arial" w:cs="Arial"/>
          <w:sz w:val="20"/>
          <w:szCs w:val="20"/>
        </w:rPr>
      </w:pPr>
    </w:p>
    <w:p w14:paraId="3557B94A" w14:textId="26C72C69" w:rsidR="003B632E" w:rsidRPr="00826906" w:rsidRDefault="007C6628" w:rsidP="003B632E">
      <w:pPr>
        <w:jc w:val="both"/>
        <w:rPr>
          <w:rFonts w:ascii="Arial" w:hAnsi="Arial" w:cs="Arial"/>
          <w:sz w:val="20"/>
          <w:szCs w:val="20"/>
        </w:rPr>
      </w:pPr>
      <w:r w:rsidRPr="007C6628">
        <w:rPr>
          <w:noProof/>
        </w:rPr>
        <w:drawing>
          <wp:inline distT="0" distB="0" distL="0" distR="0" wp14:anchorId="41FF8266" wp14:editId="29E5E62A">
            <wp:extent cx="6480175" cy="234823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80175" cy="2348230"/>
                    </a:xfrm>
                    <a:prstGeom prst="rect">
                      <a:avLst/>
                    </a:prstGeom>
                  </pic:spPr>
                </pic:pic>
              </a:graphicData>
            </a:graphic>
          </wp:inline>
        </w:drawing>
      </w:r>
    </w:p>
    <w:p w14:paraId="016C26C6" w14:textId="77777777" w:rsidR="003B632E" w:rsidRPr="00826906" w:rsidRDefault="003B632E" w:rsidP="003B632E">
      <w:pPr>
        <w:pStyle w:val="Ttulo5"/>
        <w:autoSpaceDE/>
        <w:autoSpaceDN/>
        <w:adjustRightInd/>
        <w:rPr>
          <w:rFonts w:ascii="Arial" w:hAnsi="Arial" w:cs="Arial"/>
          <w:sz w:val="20"/>
          <w:szCs w:val="20"/>
        </w:rPr>
      </w:pPr>
    </w:p>
    <w:p w14:paraId="2D183A12" w14:textId="77777777" w:rsidR="003B632E" w:rsidRPr="00826906" w:rsidRDefault="003B632E" w:rsidP="003B632E">
      <w:pPr>
        <w:pStyle w:val="Ttulo5"/>
        <w:autoSpaceDE/>
        <w:autoSpaceDN/>
        <w:adjustRightInd/>
        <w:rPr>
          <w:rFonts w:ascii="Arial" w:hAnsi="Arial" w:cs="Arial"/>
          <w:sz w:val="20"/>
          <w:szCs w:val="20"/>
        </w:rPr>
      </w:pPr>
      <w:proofErr w:type="spellStart"/>
      <w:r w:rsidRPr="00826906">
        <w:rPr>
          <w:rFonts w:ascii="Arial" w:hAnsi="Arial" w:cs="Arial"/>
          <w:sz w:val="20"/>
          <w:szCs w:val="20"/>
        </w:rPr>
        <w:t>II.c</w:t>
      </w:r>
      <w:proofErr w:type="spellEnd"/>
      <w:r w:rsidRPr="00826906">
        <w:rPr>
          <w:rFonts w:ascii="Arial" w:hAnsi="Arial" w:cs="Arial"/>
          <w:sz w:val="20"/>
          <w:szCs w:val="20"/>
        </w:rPr>
        <w:t xml:space="preserve"> – Países</w:t>
      </w:r>
    </w:p>
    <w:bookmarkEnd w:id="0"/>
    <w:p w14:paraId="15788A9A" w14:textId="77777777" w:rsidR="003B632E" w:rsidRDefault="003B632E" w:rsidP="003B632E">
      <w:pPr>
        <w:rPr>
          <w:rFonts w:ascii="Arial" w:hAnsi="Arial" w:cs="Arial"/>
          <w:b/>
          <w:sz w:val="20"/>
          <w:szCs w:val="20"/>
        </w:rPr>
      </w:pPr>
    </w:p>
    <w:p w14:paraId="1FD5ADF9" w14:textId="453ACCC9" w:rsidR="000516E7" w:rsidRDefault="000516E7" w:rsidP="000516E7">
      <w:pPr>
        <w:pStyle w:val="Recuodecorpodetexto"/>
        <w:rPr>
          <w:rFonts w:ascii="Arial" w:hAnsi="Arial" w:cs="Arial"/>
          <w:sz w:val="20"/>
          <w:szCs w:val="20"/>
        </w:rPr>
      </w:pPr>
      <w:r w:rsidRPr="000516E7">
        <w:rPr>
          <w:rFonts w:ascii="Arial" w:hAnsi="Arial" w:cs="Arial"/>
          <w:sz w:val="20"/>
          <w:szCs w:val="20"/>
        </w:rPr>
        <w:t xml:space="preserve">Na relação dos vinte maiores países importadores do agronegócio brasileiro, apresentados na Tabela 6, treze dos vinte países registraram aumento no valor adquirido em produtos do agronegócio brasileiro. Oito países aumentaram as aquisições em patamar acima de um dígito. Foram eles: Irã (+25,4%), Japão (+31,5%), Vietnã (+31,4%), Emirados Árabes Unidos (+21,3%), Reino Unido (+10,8%), Rússia (+25,0%), Egito (+16,8%), Indonésia (+23,4%). </w:t>
      </w:r>
    </w:p>
    <w:p w14:paraId="7BCF1AB3" w14:textId="77777777" w:rsidR="000516E7" w:rsidRPr="000516E7" w:rsidRDefault="000516E7" w:rsidP="000516E7">
      <w:pPr>
        <w:pStyle w:val="Recuodecorpodetexto"/>
        <w:rPr>
          <w:rFonts w:ascii="Arial" w:hAnsi="Arial" w:cs="Arial"/>
          <w:sz w:val="20"/>
          <w:szCs w:val="20"/>
        </w:rPr>
      </w:pPr>
    </w:p>
    <w:p w14:paraId="637FEBC4" w14:textId="53404381" w:rsidR="000516E7" w:rsidRDefault="000516E7" w:rsidP="000516E7">
      <w:pPr>
        <w:pStyle w:val="Recuodecorpodetexto"/>
        <w:rPr>
          <w:rFonts w:ascii="Arial" w:hAnsi="Arial" w:cs="Arial"/>
          <w:sz w:val="20"/>
          <w:szCs w:val="20"/>
        </w:rPr>
      </w:pPr>
      <w:r w:rsidRPr="000516E7">
        <w:rPr>
          <w:rFonts w:ascii="Arial" w:hAnsi="Arial" w:cs="Arial"/>
          <w:sz w:val="20"/>
          <w:szCs w:val="20"/>
        </w:rPr>
        <w:t xml:space="preserve">Para três dos países mencionados acima, Irã, Japão e Vietnã, as exportações de milho foram fundamentais para o incremento das exportações. No caso do Irã, as exportações de milho subiram 27,8%, atingindo US$ 663,67 milhões entre janeiro e julho de 2019 ou 41,4% do valor total exportado ao país. Para o Vietnã, o milho participou com 33,2% das vendas externas ou US$ 306,93 milhões (+771,7%).  O milho também teve forte influência no desempenho das exportações para o Japão. As exportações do produto foram de US$ 288,99 milhões, com aumento de 3.671,7% em relação aos US$ 7,66 milhões exportados entre janeiro e julho de 2019. </w:t>
      </w:r>
    </w:p>
    <w:p w14:paraId="636A9D14" w14:textId="77777777" w:rsidR="000516E7" w:rsidRPr="000516E7" w:rsidRDefault="000516E7" w:rsidP="000516E7">
      <w:pPr>
        <w:pStyle w:val="Recuodecorpodetexto"/>
        <w:rPr>
          <w:rFonts w:ascii="Arial" w:hAnsi="Arial" w:cs="Arial"/>
          <w:sz w:val="20"/>
          <w:szCs w:val="20"/>
        </w:rPr>
      </w:pPr>
    </w:p>
    <w:p w14:paraId="3D84B4E4" w14:textId="0C18F3B7" w:rsidR="000516E7" w:rsidRDefault="000516E7" w:rsidP="000516E7">
      <w:pPr>
        <w:pStyle w:val="Recuodecorpodetexto"/>
        <w:rPr>
          <w:rFonts w:ascii="Arial" w:hAnsi="Arial" w:cs="Arial"/>
          <w:sz w:val="20"/>
          <w:szCs w:val="20"/>
        </w:rPr>
      </w:pPr>
      <w:r w:rsidRPr="000516E7">
        <w:rPr>
          <w:rFonts w:ascii="Arial" w:hAnsi="Arial" w:cs="Arial"/>
          <w:sz w:val="20"/>
          <w:szCs w:val="20"/>
        </w:rPr>
        <w:t>O crescimento das exportações de carne bovina in natura para os Emirados Árabes Unidos e Rússia respondeu por uma parte considerável do aumento das vendas externas a esses países. O valor exportado de carne bovina in natura aos Emirados subiu de US$ 47,27 milhões entre janeiro e julho de 2018 para US$ 201,73 milhões entre janeiro e julho de 2019 (+326,7%). Já para a Rússia, as exportações desse tipo de carne subiram de US$ 438,58 mil entre janeiro e julho de 2018 para US$ 110,65 milhões entre janeiro e julho de 2019 (+25.128%).</w:t>
      </w:r>
    </w:p>
    <w:p w14:paraId="344A7917" w14:textId="77777777" w:rsidR="000516E7" w:rsidRPr="000516E7" w:rsidRDefault="000516E7" w:rsidP="000516E7">
      <w:pPr>
        <w:pStyle w:val="Recuodecorpodetexto"/>
        <w:rPr>
          <w:rFonts w:ascii="Arial" w:hAnsi="Arial" w:cs="Arial"/>
          <w:sz w:val="20"/>
          <w:szCs w:val="20"/>
        </w:rPr>
      </w:pPr>
    </w:p>
    <w:p w14:paraId="498D8DF3" w14:textId="271C5DE1" w:rsidR="00C7675B" w:rsidRDefault="000516E7" w:rsidP="000516E7">
      <w:pPr>
        <w:pStyle w:val="Recuodecorpodetexto"/>
        <w:rPr>
          <w:rFonts w:ascii="Arial" w:hAnsi="Arial" w:cs="Arial"/>
          <w:sz w:val="20"/>
          <w:szCs w:val="20"/>
        </w:rPr>
      </w:pPr>
      <w:r w:rsidRPr="000516E7">
        <w:rPr>
          <w:rFonts w:ascii="Arial" w:hAnsi="Arial" w:cs="Arial"/>
          <w:sz w:val="20"/>
          <w:szCs w:val="20"/>
        </w:rPr>
        <w:t xml:space="preserve">A China, principal parceira comercial do agronegócio brasileiro, respondeu por cerca de um terço do valor exportado pelo Brasil no período em análise. O valor adquirido teve, todavia, redução de 13,2%. A queda ocorreu em função da redução das compras de soja em grão, que caíram 11,2% em quantidade e 22,0% em valor, passando de US$ 17,55 bilhões entre janeiro e julho de 2018 para US$ 13,69 bilhões entre janeiro e julho de 2019. A queda nas exportações de soja em grão, foi, em parte, compensada pelas exportações de celulose (US$ 2,14 bilhões; +4,5%), carne bovina in natura (US$ 838,29 milhões; +15,0%), carne de frango in natura (US$ 658,26; +40,3%), carne suína in natura (US$ 261,70; +45,2%), açúcar de cana em bruto (US$ 261,63 milhões; +871,0%), algodão não cardado nem penteado (US$ 247,04 milhões; +3.655%) e fumo não manufaturado (US$ 138,70 milhões; +760,3%). Esses números demonstraram um aumento da diversificação da pauta de exportação à China. Entre janeiro e julho de 2018, a soja em grão teve participação de 88,8% na pauta de exportação, número que se reduziu a 72,4% no mesmo período de 2019.  </w:t>
      </w:r>
    </w:p>
    <w:p w14:paraId="568B8EA6" w14:textId="77777777" w:rsidR="00F21327" w:rsidRPr="00F21327" w:rsidRDefault="00F21327" w:rsidP="00F21327">
      <w:pPr>
        <w:pStyle w:val="Recuodecorpodetexto"/>
        <w:rPr>
          <w:rFonts w:ascii="Arial" w:hAnsi="Arial" w:cs="Arial"/>
          <w:sz w:val="20"/>
          <w:szCs w:val="20"/>
        </w:rPr>
      </w:pPr>
    </w:p>
    <w:p w14:paraId="42EC5B4F" w14:textId="19AC81B3" w:rsidR="003B632E" w:rsidRDefault="007C6628" w:rsidP="003B632E">
      <w:pPr>
        <w:rPr>
          <w:rFonts w:ascii="Arial" w:hAnsi="Arial" w:cs="Arial"/>
        </w:rPr>
      </w:pPr>
      <w:r w:rsidRPr="007C6628">
        <w:rPr>
          <w:noProof/>
        </w:rPr>
        <w:lastRenderedPageBreak/>
        <w:drawing>
          <wp:inline distT="0" distB="0" distL="0" distR="0" wp14:anchorId="09F869A7" wp14:editId="60981C82">
            <wp:extent cx="6480175" cy="3879215"/>
            <wp:effectExtent l="0" t="0" r="0" b="698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480175" cy="3879215"/>
                    </a:xfrm>
                    <a:prstGeom prst="rect">
                      <a:avLst/>
                    </a:prstGeom>
                  </pic:spPr>
                </pic:pic>
              </a:graphicData>
            </a:graphic>
          </wp:inline>
        </w:drawing>
      </w:r>
    </w:p>
    <w:p w14:paraId="0077B9D9" w14:textId="77777777" w:rsidR="00C7675B" w:rsidRPr="00826906" w:rsidRDefault="00C7675B" w:rsidP="003B632E">
      <w:pPr>
        <w:rPr>
          <w:rFonts w:ascii="Arial" w:hAnsi="Arial" w:cs="Arial"/>
        </w:rPr>
      </w:pPr>
    </w:p>
    <w:p w14:paraId="0C216CA3" w14:textId="3991E75B" w:rsidR="0001136D" w:rsidRDefault="0001136D" w:rsidP="0001136D">
      <w:pPr>
        <w:autoSpaceDE w:val="0"/>
        <w:autoSpaceDN w:val="0"/>
        <w:adjustRightInd w:val="0"/>
        <w:jc w:val="both"/>
        <w:rPr>
          <w:rFonts w:ascii="Arial" w:hAnsi="Arial" w:cs="Arial"/>
          <w:b/>
          <w:sz w:val="20"/>
          <w:szCs w:val="20"/>
        </w:rPr>
      </w:pPr>
      <w:r w:rsidRPr="00AB3924">
        <w:rPr>
          <w:rFonts w:ascii="Arial" w:hAnsi="Arial" w:cs="Arial"/>
          <w:b/>
          <w:sz w:val="20"/>
          <w:szCs w:val="20"/>
        </w:rPr>
        <w:t xml:space="preserve">III – Resultados de </w:t>
      </w:r>
      <w:r w:rsidR="007C6628">
        <w:rPr>
          <w:rFonts w:ascii="Arial" w:hAnsi="Arial" w:cs="Arial"/>
          <w:b/>
          <w:sz w:val="20"/>
          <w:szCs w:val="20"/>
        </w:rPr>
        <w:t>Agosto</w:t>
      </w:r>
      <w:r w:rsidRPr="00AB3924">
        <w:rPr>
          <w:rFonts w:ascii="Arial" w:hAnsi="Arial" w:cs="Arial"/>
          <w:b/>
          <w:sz w:val="20"/>
          <w:szCs w:val="20"/>
        </w:rPr>
        <w:t xml:space="preserve"> de </w:t>
      </w:r>
      <w:r w:rsidR="007C6628">
        <w:rPr>
          <w:rFonts w:ascii="Arial" w:hAnsi="Arial" w:cs="Arial"/>
          <w:b/>
          <w:sz w:val="20"/>
          <w:szCs w:val="20"/>
        </w:rPr>
        <w:t>2018</w:t>
      </w:r>
      <w:r w:rsidRPr="00AB3924">
        <w:rPr>
          <w:rFonts w:ascii="Arial" w:hAnsi="Arial" w:cs="Arial"/>
          <w:b/>
          <w:sz w:val="20"/>
          <w:szCs w:val="20"/>
        </w:rPr>
        <w:t xml:space="preserve"> a </w:t>
      </w:r>
      <w:proofErr w:type="gramStart"/>
      <w:r w:rsidR="007C6628">
        <w:rPr>
          <w:rFonts w:ascii="Arial" w:hAnsi="Arial" w:cs="Arial"/>
          <w:b/>
          <w:sz w:val="20"/>
          <w:szCs w:val="20"/>
        </w:rPr>
        <w:t>Julho</w:t>
      </w:r>
      <w:proofErr w:type="gramEnd"/>
      <w:r>
        <w:rPr>
          <w:rFonts w:ascii="Arial" w:hAnsi="Arial" w:cs="Arial"/>
          <w:b/>
          <w:sz w:val="20"/>
          <w:szCs w:val="20"/>
        </w:rPr>
        <w:t xml:space="preserve"> de </w:t>
      </w:r>
      <w:r w:rsidR="007C6628">
        <w:rPr>
          <w:rFonts w:ascii="Arial" w:hAnsi="Arial" w:cs="Arial"/>
          <w:b/>
          <w:sz w:val="20"/>
          <w:szCs w:val="20"/>
        </w:rPr>
        <w:t>2019</w:t>
      </w:r>
      <w:r w:rsidRPr="00AB3924">
        <w:rPr>
          <w:rFonts w:ascii="Arial" w:hAnsi="Arial" w:cs="Arial"/>
          <w:b/>
          <w:sz w:val="20"/>
          <w:szCs w:val="20"/>
        </w:rPr>
        <w:t xml:space="preserve"> (Acumulado 12 meses)</w:t>
      </w:r>
    </w:p>
    <w:p w14:paraId="79516288" w14:textId="0A0A7142" w:rsidR="00301071" w:rsidRDefault="00301071" w:rsidP="0001136D">
      <w:pPr>
        <w:autoSpaceDE w:val="0"/>
        <w:autoSpaceDN w:val="0"/>
        <w:adjustRightInd w:val="0"/>
        <w:jc w:val="both"/>
        <w:rPr>
          <w:rFonts w:ascii="Arial" w:hAnsi="Arial" w:cs="Arial"/>
          <w:b/>
          <w:sz w:val="20"/>
          <w:szCs w:val="20"/>
        </w:rPr>
      </w:pPr>
    </w:p>
    <w:p w14:paraId="08DB84E3" w14:textId="77777777" w:rsidR="002255A9" w:rsidRPr="00343151" w:rsidRDefault="002255A9" w:rsidP="002255A9">
      <w:pPr>
        <w:pStyle w:val="Recuodecorpodetexto"/>
        <w:rPr>
          <w:rFonts w:ascii="Arial" w:hAnsi="Arial" w:cs="Arial"/>
          <w:sz w:val="20"/>
          <w:szCs w:val="20"/>
        </w:rPr>
      </w:pPr>
      <w:r w:rsidRPr="00343151">
        <w:rPr>
          <w:rFonts w:ascii="Arial" w:hAnsi="Arial" w:cs="Arial"/>
          <w:sz w:val="20"/>
          <w:szCs w:val="20"/>
        </w:rPr>
        <w:t>Nos últimos doze meses, entre agosto de 2018 e julho de 2019, as exportações do agronegócio brasileiro alcançaram a cifra de US$ 98,81 bilhões, o que significou incremento de 0,2% em comparação aos US$ 98,60 bilhões exportados nos doze meses imediatamente anteriores. Esse valor representou 42,4% do total das vendas externas brasileiras no período, o que demonstra uma perda de participação em relação a agosto de 2017 e julho de 2018 (43,3%), apesar do crescimento verificado nos últimos doze meses. As importações de produtos do agronegócio totalizaram US$ 13,87 bilhões, com retração de 1,7% em relação ao período precedente. Como resultado, o saldo da balança comercial do agronegócio no acumulado dos últimos doze meses foi de US$ 84,94 bilhões (+0,5%).</w:t>
      </w:r>
    </w:p>
    <w:p w14:paraId="4DA7AB6C" w14:textId="77777777" w:rsidR="002255A9" w:rsidRDefault="002255A9" w:rsidP="0001136D">
      <w:pPr>
        <w:autoSpaceDE w:val="0"/>
        <w:autoSpaceDN w:val="0"/>
        <w:adjustRightInd w:val="0"/>
        <w:jc w:val="both"/>
        <w:rPr>
          <w:rFonts w:ascii="Arial" w:hAnsi="Arial" w:cs="Arial"/>
          <w:b/>
          <w:sz w:val="20"/>
          <w:szCs w:val="20"/>
        </w:rPr>
      </w:pPr>
    </w:p>
    <w:p w14:paraId="40FDFB67" w14:textId="77777777" w:rsidR="007E15CE" w:rsidRDefault="007E15CE" w:rsidP="0001136D">
      <w:pPr>
        <w:autoSpaceDE w:val="0"/>
        <w:autoSpaceDN w:val="0"/>
        <w:adjustRightInd w:val="0"/>
        <w:jc w:val="both"/>
        <w:rPr>
          <w:rFonts w:ascii="Arial" w:hAnsi="Arial" w:cs="Arial"/>
          <w:b/>
          <w:sz w:val="20"/>
          <w:szCs w:val="20"/>
        </w:rPr>
      </w:pPr>
    </w:p>
    <w:p w14:paraId="6AA27016" w14:textId="77777777" w:rsidR="0001136D" w:rsidRDefault="0001136D" w:rsidP="0001136D">
      <w:pPr>
        <w:pStyle w:val="Ttulo5"/>
        <w:autoSpaceDE/>
        <w:autoSpaceDN/>
        <w:adjustRightInd/>
        <w:rPr>
          <w:rFonts w:ascii="Arial" w:hAnsi="Arial" w:cs="Arial"/>
          <w:sz w:val="20"/>
          <w:szCs w:val="20"/>
        </w:rPr>
      </w:pPr>
      <w:proofErr w:type="spellStart"/>
      <w:r w:rsidRPr="00AB3924">
        <w:rPr>
          <w:rFonts w:ascii="Arial" w:hAnsi="Arial" w:cs="Arial"/>
          <w:sz w:val="20"/>
          <w:szCs w:val="20"/>
        </w:rPr>
        <w:t>III.a</w:t>
      </w:r>
      <w:proofErr w:type="spellEnd"/>
      <w:r w:rsidRPr="00AB3924">
        <w:rPr>
          <w:rFonts w:ascii="Arial" w:hAnsi="Arial" w:cs="Arial"/>
          <w:sz w:val="20"/>
          <w:szCs w:val="20"/>
        </w:rPr>
        <w:t xml:space="preserve"> – Setores do Agronegócio</w:t>
      </w:r>
    </w:p>
    <w:p w14:paraId="74B2FBBE" w14:textId="77777777" w:rsidR="0083136D" w:rsidRDefault="0083136D" w:rsidP="0083136D"/>
    <w:p w14:paraId="14EF0154" w14:textId="77777777" w:rsidR="002255A9" w:rsidRPr="00343151" w:rsidRDefault="002255A9" w:rsidP="002255A9">
      <w:pPr>
        <w:pStyle w:val="Recuodecorpodetexto"/>
        <w:rPr>
          <w:rFonts w:ascii="Arial" w:hAnsi="Arial" w:cs="Arial"/>
          <w:sz w:val="20"/>
          <w:szCs w:val="20"/>
        </w:rPr>
      </w:pPr>
      <w:r w:rsidRPr="00343151">
        <w:rPr>
          <w:rFonts w:ascii="Arial" w:hAnsi="Arial" w:cs="Arial"/>
          <w:sz w:val="20"/>
          <w:szCs w:val="20"/>
        </w:rPr>
        <w:t>Os principais setores exportadores do agronegócio no período foram: complexo soja, com 36,0% de participação; carnes, com 15,9%; produtos florestais, com 14,3%; complexo sucroalcooleiro, com 6,6%; e cereais, farinhas e preparações, com 6,5%. É possível observar que houve desconcentração da pauta no período em relação aos cinco principais setores. Entre agosto de 2017 e julho de 2018, tais setores apresentaram participação de 79,9% do total exportado em produtos do agronegócio. Já nos últimos doze meses, os mesmos setores passaram a representar 79,2% das exportações do agronegócio brasileiro. Tal diminuição de concentração se deve à queda das vendas externas do complexo sucroalcooleiro, notadamente de açúcar.</w:t>
      </w:r>
    </w:p>
    <w:p w14:paraId="3012BB13" w14:textId="77777777" w:rsidR="002255A9" w:rsidRPr="00343151" w:rsidRDefault="002255A9" w:rsidP="002255A9">
      <w:pPr>
        <w:pStyle w:val="Recuodecorpodetexto"/>
        <w:rPr>
          <w:rFonts w:ascii="Arial" w:hAnsi="Arial" w:cs="Arial"/>
          <w:sz w:val="20"/>
          <w:szCs w:val="20"/>
        </w:rPr>
      </w:pPr>
    </w:p>
    <w:p w14:paraId="599F8D49" w14:textId="77777777" w:rsidR="002255A9" w:rsidRPr="00343151" w:rsidRDefault="002255A9" w:rsidP="002255A9">
      <w:pPr>
        <w:pStyle w:val="Recuodecorpodetexto"/>
        <w:rPr>
          <w:rFonts w:ascii="Arial" w:hAnsi="Arial" w:cs="Arial"/>
          <w:sz w:val="20"/>
          <w:szCs w:val="20"/>
        </w:rPr>
      </w:pPr>
      <w:r w:rsidRPr="00343151">
        <w:rPr>
          <w:rFonts w:ascii="Arial" w:hAnsi="Arial" w:cs="Arial"/>
          <w:sz w:val="20"/>
          <w:szCs w:val="20"/>
        </w:rPr>
        <w:t>As exportações do complexo soja, entre agosto de 2018 e julho de 2019, decresceram em comparação ao período anterior, de US$ 35,98 bilhões para US$ 35,56 bilhões (-1,2%). Verificou-se incremento de 5,6% no quantum comercializado, entretanto a cotação média dos produtos do setor sofreu redução de 6,4% no período. O principal item negociado pelo setor foi a soja em grãos, com o montante de US$ 28,75 bilhões e queda de 0,9% em comparação a agosto de 2017 e julho de 2018 (US$ 29,02 bilhões). A perda de receita foi resultado da retração de 7,3% no preço médio do produto brasileiro no mercado internacional, uma vez que</w:t>
      </w:r>
      <w:r>
        <w:rPr>
          <w:rFonts w:ascii="Arial" w:hAnsi="Arial" w:cs="Arial"/>
          <w:sz w:val="20"/>
          <w:szCs w:val="20"/>
        </w:rPr>
        <w:t xml:space="preserve"> se</w:t>
      </w:r>
      <w:r w:rsidRPr="00343151">
        <w:rPr>
          <w:rFonts w:ascii="Arial" w:hAnsi="Arial" w:cs="Arial"/>
          <w:sz w:val="20"/>
          <w:szCs w:val="20"/>
        </w:rPr>
        <w:t xml:space="preserve"> verificou</w:t>
      </w:r>
      <w:r>
        <w:rPr>
          <w:rFonts w:ascii="Arial" w:hAnsi="Arial" w:cs="Arial"/>
          <w:sz w:val="20"/>
          <w:szCs w:val="20"/>
        </w:rPr>
        <w:t xml:space="preserve"> </w:t>
      </w:r>
      <w:r w:rsidRPr="00343151">
        <w:rPr>
          <w:rFonts w:ascii="Arial" w:hAnsi="Arial" w:cs="Arial"/>
          <w:sz w:val="20"/>
          <w:szCs w:val="20"/>
        </w:rPr>
        <w:t xml:space="preserve">elevação de 6,8% na quantidade embarcada do grão (78,70 milhões de toneladas). As vendas externas de farelo de soja avançaram 1,5% nos últimos doze meses em razão da elevação de 1,8% no </w:t>
      </w:r>
      <w:r w:rsidRPr="00343151">
        <w:rPr>
          <w:rFonts w:ascii="Arial" w:hAnsi="Arial" w:cs="Arial"/>
          <w:i/>
          <w:sz w:val="20"/>
          <w:szCs w:val="20"/>
        </w:rPr>
        <w:t>quantum</w:t>
      </w:r>
      <w:r w:rsidRPr="00343151">
        <w:rPr>
          <w:rFonts w:ascii="Arial" w:hAnsi="Arial" w:cs="Arial"/>
          <w:sz w:val="20"/>
          <w:szCs w:val="20"/>
        </w:rPr>
        <w:t xml:space="preserve"> comercializado do produto (15,99 milhões de toneladas), totalizando US$ 6,0 bilhões. Em relação ao óleo de soja, o decréscimo na quantidade comercializada (-13,4%) e a queda do preço médio no período (-10,8%) ocasionaram a redução de 22,7% na receita de exportação do produto, totalizando US$ 806 milhões.</w:t>
      </w:r>
    </w:p>
    <w:p w14:paraId="58FC0B00" w14:textId="77777777" w:rsidR="002255A9" w:rsidRPr="00343151" w:rsidRDefault="002255A9" w:rsidP="002255A9">
      <w:pPr>
        <w:pStyle w:val="Recuodecorpodetexto"/>
        <w:rPr>
          <w:rFonts w:ascii="Arial" w:hAnsi="Arial" w:cs="Arial"/>
          <w:sz w:val="20"/>
          <w:szCs w:val="20"/>
        </w:rPr>
      </w:pPr>
    </w:p>
    <w:p w14:paraId="583EE4E7" w14:textId="77777777" w:rsidR="002255A9" w:rsidRPr="00343151" w:rsidRDefault="002255A9" w:rsidP="002255A9">
      <w:pPr>
        <w:pStyle w:val="Recuodecorpodetexto"/>
        <w:rPr>
          <w:rFonts w:ascii="Arial" w:hAnsi="Arial" w:cs="Arial"/>
          <w:sz w:val="20"/>
          <w:szCs w:val="20"/>
        </w:rPr>
      </w:pPr>
      <w:r w:rsidRPr="00343151">
        <w:rPr>
          <w:rFonts w:ascii="Arial" w:hAnsi="Arial" w:cs="Arial"/>
          <w:sz w:val="20"/>
          <w:szCs w:val="20"/>
        </w:rPr>
        <w:t xml:space="preserve">As exportações de carnes alcançaram o montante de US$ 15,71 bilhões, o que significou incremento de 6,9% em comparação ao valor comercializado nos doze meses imediatamente anteriores (US$ 14,70 bilhões). Em relação à quantidade, foram embarcadas 6,94 milhões de toneladas no período, observando-se aumento de 7,2%, </w:t>
      </w:r>
      <w:r w:rsidRPr="00343151">
        <w:rPr>
          <w:rFonts w:ascii="Arial" w:hAnsi="Arial" w:cs="Arial"/>
          <w:sz w:val="20"/>
          <w:szCs w:val="20"/>
        </w:rPr>
        <w:lastRenderedPageBreak/>
        <w:t xml:space="preserve">com queda no preço médio de 0,3%. O principal produto negociado pelo setor foi a carne bovina, com 6,93 bilhões (+11,1%) e 1,81 milhão de toneladas comercializadas (+19,2%), apesar da queda no preço médio de 6,8%. Em seguida destacaram-se as vendas externas de carne de frango, com crescimento de 3,0% em quantidade (4,16 milhões de toneladas) e 2,3% na cotação média, o que refletiu na elevação de 5,4% no valor arrecadado (US$ 6,90 bilhões). As exportações de carne suína aumentaram em valor (+1,6%), com a soma de US$ 1,36 bilhão. A quantidade embarcada cresceu 11,0% no período e o preço médio passou de US$ 2.118 por tonelada para US$ 1.938 por tonelada (-8,5%). </w:t>
      </w:r>
    </w:p>
    <w:p w14:paraId="7FE04CF4" w14:textId="77777777" w:rsidR="002255A9" w:rsidRPr="00343151" w:rsidRDefault="002255A9" w:rsidP="002255A9">
      <w:pPr>
        <w:pStyle w:val="Recuodecorpodetexto"/>
        <w:rPr>
          <w:rFonts w:ascii="Arial" w:hAnsi="Arial" w:cs="Arial"/>
          <w:sz w:val="20"/>
          <w:szCs w:val="20"/>
        </w:rPr>
      </w:pPr>
    </w:p>
    <w:p w14:paraId="5AF52114" w14:textId="77777777" w:rsidR="002255A9" w:rsidRPr="00343151" w:rsidRDefault="002255A9" w:rsidP="002255A9">
      <w:pPr>
        <w:pStyle w:val="Recuodecorpodetexto"/>
        <w:rPr>
          <w:rFonts w:ascii="Arial" w:hAnsi="Arial" w:cs="Arial"/>
          <w:sz w:val="20"/>
          <w:szCs w:val="20"/>
        </w:rPr>
      </w:pPr>
      <w:r w:rsidRPr="00343151">
        <w:rPr>
          <w:rFonts w:ascii="Arial" w:hAnsi="Arial" w:cs="Arial"/>
          <w:sz w:val="20"/>
          <w:szCs w:val="20"/>
        </w:rPr>
        <w:t>Os produtos florestais aparecem na terceira colocação entre os maiores setores do agronegócio em valor exportado, com vendas de US$ 14,11 bilhões (+6,4%) e 25,11 milhões de toneladas negociadas (+4,9%). O principal item negociado foi a celulose, com 15,26 milhões de toneladas embarcadas (+3,5%). Com a expansão de 3,7% no preço médio, houve incremento de 7,4% no valor exportado, que atingiu a soma de US$ 8,36 bilhões. As vendas de madeiras e suas obras alcançaram o patamar de US$ 3,69 bilhões (+5,1%), com 7,68 milhões de toneladas negociadas (+7,6%) e diminuição de 2,3% no preço médio dos produtos desse subsetor. Em relação às vendas externas de papel, houve queda de 0,8% na cotação média, expansão de 5,8% no quantum comercializado (2,17 milhões de toneladas) e elevação de 4,9% na receita (US$ 2,06 bilhões).</w:t>
      </w:r>
    </w:p>
    <w:p w14:paraId="0902E099" w14:textId="77777777" w:rsidR="002255A9" w:rsidRPr="00343151" w:rsidRDefault="002255A9" w:rsidP="002255A9">
      <w:pPr>
        <w:pStyle w:val="Recuodecorpodetexto"/>
        <w:rPr>
          <w:rFonts w:ascii="Arial" w:hAnsi="Arial" w:cs="Arial"/>
          <w:sz w:val="20"/>
          <w:szCs w:val="20"/>
        </w:rPr>
      </w:pPr>
    </w:p>
    <w:p w14:paraId="4E6F0960" w14:textId="77777777" w:rsidR="002255A9" w:rsidRPr="00343151" w:rsidRDefault="002255A9" w:rsidP="002255A9">
      <w:pPr>
        <w:pStyle w:val="Recuodecorpodetexto"/>
        <w:rPr>
          <w:rFonts w:ascii="Arial" w:hAnsi="Arial" w:cs="Arial"/>
          <w:sz w:val="20"/>
          <w:szCs w:val="20"/>
        </w:rPr>
      </w:pPr>
      <w:r w:rsidRPr="00343151">
        <w:rPr>
          <w:rFonts w:ascii="Arial" w:hAnsi="Arial" w:cs="Arial"/>
          <w:sz w:val="20"/>
          <w:szCs w:val="20"/>
        </w:rPr>
        <w:t>As exportações do complexo sucroalcooleiro decresceram de US$ 9,41 bilhões, entre agosto de 2017 e julho de 2018, para US$ 6,51 bilhões, entre agosto de 2018 e julho de 2019 (-30,8%), em razão da queda de 21,1% no quantum exportado, que atingiu 20,60 milhões de toneladas no período, e concomitante retração da cotação média dos produtos do setor (-12,4%). O preço médio do açúcar caiu 15,6% nos últimos doze meses em virtude do excesso de oferta verificado no mercado internacional, enquanto o volume comercializado decresceu 23,3%, puxando para baixo a receita de exportação, que caiu 35,3% e alcançou US$ 5,57 bilhões. O preço médio do álcool também caiu no período considerado, passando de US$ 704 por tonelada para os atuais US$ 638 por tonelada (-9,5%). As vendas em quantidade aumentaram 29,2%, resultando no valor exportado de US$ 923 milhões (+17,0%).</w:t>
      </w:r>
    </w:p>
    <w:p w14:paraId="14C77FC5" w14:textId="77777777" w:rsidR="002255A9" w:rsidRPr="00343151" w:rsidRDefault="002255A9" w:rsidP="002255A9">
      <w:pPr>
        <w:pStyle w:val="Recuodecorpodetexto"/>
        <w:rPr>
          <w:rFonts w:ascii="Arial" w:hAnsi="Arial" w:cs="Arial"/>
          <w:sz w:val="20"/>
          <w:szCs w:val="20"/>
        </w:rPr>
      </w:pPr>
    </w:p>
    <w:p w14:paraId="447D5E84" w14:textId="77777777" w:rsidR="002255A9" w:rsidRPr="00343151" w:rsidRDefault="002255A9" w:rsidP="002255A9">
      <w:pPr>
        <w:pStyle w:val="Recuodecorpodetexto"/>
        <w:rPr>
          <w:rFonts w:ascii="Arial" w:hAnsi="Arial" w:cs="Arial"/>
          <w:sz w:val="20"/>
          <w:szCs w:val="20"/>
        </w:rPr>
      </w:pPr>
      <w:r w:rsidRPr="00343151">
        <w:rPr>
          <w:rFonts w:ascii="Arial" w:hAnsi="Arial" w:cs="Arial"/>
          <w:sz w:val="20"/>
          <w:szCs w:val="20"/>
        </w:rPr>
        <w:t xml:space="preserve">Os cereais, farinhas e preparações ficaram na quinta colocação entre os setores do agronegócio no acumulado dos últimos doze meses, com vendas externas de US$ 6,38 bilhões e quantum comercializado de 34,16 milhões de toneladas, o que representou incremento de 18,4% e 7,7%, respectivamente. O principal item negociado pelo setor foi o milho, com exportações de US$ 5,60 bilhões ou 87,7% do total das vendas do setor no período.  Em comparação a agosto de 2017 e julho de 2018, verificou-se acréscimo de 6,4% no quantum comercializado (32,0 milhões de toneladas) e elevação da cotação média do grão à taxa de 12,0%. Em consequência, a receita de exportação aumentou 19,1% nesses últimos doze meses. </w:t>
      </w:r>
    </w:p>
    <w:p w14:paraId="189FBF67" w14:textId="77777777" w:rsidR="002255A9" w:rsidRPr="00343151" w:rsidRDefault="002255A9" w:rsidP="002255A9">
      <w:pPr>
        <w:pStyle w:val="Recuodecorpodetexto"/>
        <w:rPr>
          <w:rFonts w:ascii="Arial" w:hAnsi="Arial" w:cs="Arial"/>
          <w:sz w:val="20"/>
          <w:szCs w:val="20"/>
        </w:rPr>
      </w:pPr>
    </w:p>
    <w:p w14:paraId="5A40B4D0" w14:textId="04AADF1B" w:rsidR="00156CF0" w:rsidRPr="002255A9" w:rsidRDefault="002255A9" w:rsidP="002255A9">
      <w:pPr>
        <w:pStyle w:val="Recuodecorpodetexto"/>
        <w:rPr>
          <w:rFonts w:ascii="Arial" w:hAnsi="Arial" w:cs="Arial"/>
          <w:sz w:val="20"/>
          <w:szCs w:val="20"/>
        </w:rPr>
      </w:pPr>
      <w:r w:rsidRPr="00343151">
        <w:rPr>
          <w:rFonts w:ascii="Arial" w:hAnsi="Arial" w:cs="Arial"/>
          <w:sz w:val="20"/>
          <w:szCs w:val="20"/>
        </w:rPr>
        <w:t xml:space="preserve"> Em relação às importações de produtos do agronegócio nos últimos doze meses, observou-se um montante de US$ 13,87 bilhões e recuo de 1,7% em comparação aos US$ 14,10 bilhões registrados entre agosto de 2017 e julho de 2018. Os principais itens adquiridos no mercado internacional, nesse período, foram: trigo (US$ 1,59 bilhão e +22,0%); papel (US$ 859,66 milhões e -6,1%); vestuário e outros produtos têxteis de algodão (US$ 597,22 milhões e -3,3%); álcool etílico (US$ 570,67 milhões e -28,3%); malte (US$ 519,11 milhões e +25,6%); salmões frescos ou refrigerados (US$ 517,98 milhões e +3,4%); azeite de oliva (US$ 411,67 milhões e -5,1%); vinho (US$ 365,49 milhões e -7,3%); borracha natural (US$ 320,35 milhões e -16,2%); e batatas preparadas ou conservadas (US$ 318,39 milhões e -6,4%).</w:t>
      </w:r>
    </w:p>
    <w:p w14:paraId="7F656820" w14:textId="0DC1A307" w:rsidR="00384963" w:rsidRDefault="007C6628" w:rsidP="00CA2C33">
      <w:pPr>
        <w:rPr>
          <w:rFonts w:ascii="Arial" w:hAnsi="Arial" w:cs="Arial"/>
          <w:sz w:val="20"/>
          <w:szCs w:val="20"/>
        </w:rPr>
      </w:pPr>
      <w:r w:rsidRPr="007C6628">
        <w:rPr>
          <w:noProof/>
        </w:rPr>
        <w:lastRenderedPageBreak/>
        <w:drawing>
          <wp:inline distT="0" distB="0" distL="0" distR="0" wp14:anchorId="5897ED0D" wp14:editId="2B2F6332">
            <wp:extent cx="6480175" cy="3855085"/>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480175" cy="3855085"/>
                    </a:xfrm>
                    <a:prstGeom prst="rect">
                      <a:avLst/>
                    </a:prstGeom>
                  </pic:spPr>
                </pic:pic>
              </a:graphicData>
            </a:graphic>
          </wp:inline>
        </w:drawing>
      </w:r>
    </w:p>
    <w:p w14:paraId="70588849" w14:textId="77777777" w:rsidR="009A662B" w:rsidRDefault="009A662B" w:rsidP="00CA2C33">
      <w:pPr>
        <w:rPr>
          <w:rFonts w:ascii="Arial" w:hAnsi="Arial" w:cs="Arial"/>
          <w:b/>
          <w:sz w:val="20"/>
          <w:szCs w:val="20"/>
        </w:rPr>
      </w:pPr>
    </w:p>
    <w:p w14:paraId="0F7151AF" w14:textId="77777777" w:rsidR="0001136D" w:rsidRDefault="0001136D" w:rsidP="00CA2C33">
      <w:pPr>
        <w:rPr>
          <w:rFonts w:ascii="Arial" w:hAnsi="Arial" w:cs="Arial"/>
          <w:b/>
          <w:sz w:val="20"/>
          <w:szCs w:val="20"/>
        </w:rPr>
      </w:pPr>
      <w:proofErr w:type="spellStart"/>
      <w:r w:rsidRPr="00384963">
        <w:rPr>
          <w:rFonts w:ascii="Arial" w:hAnsi="Arial" w:cs="Arial"/>
          <w:b/>
          <w:sz w:val="20"/>
          <w:szCs w:val="20"/>
        </w:rPr>
        <w:t>III.b</w:t>
      </w:r>
      <w:proofErr w:type="spellEnd"/>
      <w:r w:rsidRPr="00384963">
        <w:rPr>
          <w:rFonts w:ascii="Arial" w:hAnsi="Arial" w:cs="Arial"/>
          <w:b/>
          <w:sz w:val="20"/>
          <w:szCs w:val="20"/>
        </w:rPr>
        <w:t xml:space="preserve"> – Blocos Econômicos e Regiões Geográficas</w:t>
      </w:r>
    </w:p>
    <w:p w14:paraId="46E59306" w14:textId="2A3DBA6B" w:rsidR="004278D4" w:rsidRDefault="004278D4" w:rsidP="002B1A0F">
      <w:pPr>
        <w:pStyle w:val="Recuodecorpodetexto"/>
        <w:ind w:firstLine="0"/>
        <w:rPr>
          <w:rFonts w:ascii="Arial" w:hAnsi="Arial" w:cs="Arial"/>
          <w:sz w:val="20"/>
          <w:szCs w:val="20"/>
        </w:rPr>
      </w:pPr>
    </w:p>
    <w:p w14:paraId="6C07B777" w14:textId="77777777" w:rsidR="002255A9" w:rsidRPr="00343151" w:rsidRDefault="002255A9" w:rsidP="002255A9">
      <w:pPr>
        <w:pStyle w:val="Recuodecorpodetexto"/>
        <w:rPr>
          <w:rFonts w:ascii="Arial" w:hAnsi="Arial" w:cs="Arial"/>
          <w:sz w:val="20"/>
          <w:szCs w:val="20"/>
        </w:rPr>
      </w:pPr>
      <w:r w:rsidRPr="00343151">
        <w:rPr>
          <w:rFonts w:ascii="Arial" w:hAnsi="Arial" w:cs="Arial"/>
          <w:sz w:val="20"/>
          <w:szCs w:val="20"/>
        </w:rPr>
        <w:t>No âmbito das exportações do agronegócio por blocos econômicos e regiões geográficas, a Ásia segue no posto de principal destino dos produtos brasileiros. As vendas para o continente asiático atingiram a marca de US$ 49,01 bilhões, o que significou expansão de 3,6% em comparação aos valores registrados entre agosto de 2017 e julho de 2018 (US$ 47,31 bilhões). Dessa forma, a participação da região nas exportações de produtos do agronegócio brasileiro passou de 48,0% para 49,6%.</w:t>
      </w:r>
    </w:p>
    <w:p w14:paraId="7F164B8F" w14:textId="77777777" w:rsidR="002255A9" w:rsidRPr="00343151" w:rsidRDefault="002255A9" w:rsidP="002255A9">
      <w:pPr>
        <w:pStyle w:val="Recuodecorpodetexto"/>
        <w:rPr>
          <w:rFonts w:ascii="Arial" w:hAnsi="Arial" w:cs="Arial"/>
          <w:sz w:val="20"/>
          <w:szCs w:val="20"/>
        </w:rPr>
      </w:pPr>
    </w:p>
    <w:p w14:paraId="1D2569C6" w14:textId="4F50FDA1" w:rsidR="002255A9" w:rsidRDefault="002255A9" w:rsidP="002255A9">
      <w:pPr>
        <w:pStyle w:val="Recuodecorpodetexto"/>
        <w:rPr>
          <w:rFonts w:ascii="Arial" w:hAnsi="Arial" w:cs="Arial"/>
          <w:sz w:val="20"/>
          <w:szCs w:val="20"/>
        </w:rPr>
      </w:pPr>
      <w:r w:rsidRPr="00343151">
        <w:rPr>
          <w:rFonts w:ascii="Arial" w:hAnsi="Arial" w:cs="Arial"/>
          <w:sz w:val="20"/>
          <w:szCs w:val="20"/>
        </w:rPr>
        <w:t>O segundo principal bloco de destino das exportações agropecuárias brasileiras nos últimos doze meses, a União Europeia, apresentou recuo de 1,9% nas aquisições de mercadorias brasileiras, alcançando a cifra de US$ 17,44 bilhões, ante um total de US$ 17,77 bilhões nos doze meses imediatamente anteriores (-US$ 335,40 milhões). Com essa retração em valor, a participação da UE-28 nas exportações do agronegócio brasileiro caiu de 18,0% para 17,6%.</w:t>
      </w:r>
    </w:p>
    <w:p w14:paraId="1D0929BD" w14:textId="77777777" w:rsidR="002255A9" w:rsidRDefault="002255A9" w:rsidP="002B1A0F">
      <w:pPr>
        <w:pStyle w:val="Recuodecorpodetexto"/>
        <w:ind w:firstLine="0"/>
        <w:rPr>
          <w:rFonts w:ascii="Arial" w:hAnsi="Arial" w:cs="Arial"/>
          <w:sz w:val="20"/>
          <w:szCs w:val="20"/>
        </w:rPr>
      </w:pPr>
    </w:p>
    <w:p w14:paraId="704627C4" w14:textId="2FA9D580" w:rsidR="002B1A0F" w:rsidRDefault="007C6628" w:rsidP="002B1A0F">
      <w:pPr>
        <w:pStyle w:val="Recuodecorpodetexto"/>
        <w:ind w:firstLine="0"/>
        <w:rPr>
          <w:rFonts w:ascii="Arial" w:hAnsi="Arial" w:cs="Arial"/>
          <w:sz w:val="20"/>
          <w:szCs w:val="20"/>
        </w:rPr>
      </w:pPr>
      <w:r w:rsidRPr="007C6628">
        <w:rPr>
          <w:noProof/>
        </w:rPr>
        <w:drawing>
          <wp:inline distT="0" distB="0" distL="0" distR="0" wp14:anchorId="21705D47" wp14:editId="6B8A28F2">
            <wp:extent cx="6480175" cy="2348230"/>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480175" cy="2348230"/>
                    </a:xfrm>
                    <a:prstGeom prst="rect">
                      <a:avLst/>
                    </a:prstGeom>
                  </pic:spPr>
                </pic:pic>
              </a:graphicData>
            </a:graphic>
          </wp:inline>
        </w:drawing>
      </w:r>
    </w:p>
    <w:p w14:paraId="4E707B32" w14:textId="77777777" w:rsidR="002C1597" w:rsidRDefault="002C1597" w:rsidP="002B1A0F">
      <w:pPr>
        <w:pStyle w:val="Recuodecorpodetexto"/>
        <w:ind w:firstLine="0"/>
        <w:rPr>
          <w:rFonts w:ascii="Arial" w:hAnsi="Arial" w:cs="Arial"/>
          <w:sz w:val="20"/>
          <w:szCs w:val="20"/>
        </w:rPr>
      </w:pPr>
    </w:p>
    <w:p w14:paraId="4C3303B5" w14:textId="77777777" w:rsidR="00E17DA9" w:rsidRDefault="00E17DA9" w:rsidP="002B1A0F">
      <w:pPr>
        <w:pStyle w:val="Recuodecorpodetexto"/>
        <w:ind w:firstLine="0"/>
        <w:rPr>
          <w:rFonts w:ascii="Arial" w:hAnsi="Arial" w:cs="Arial"/>
          <w:sz w:val="20"/>
          <w:szCs w:val="20"/>
        </w:rPr>
      </w:pPr>
    </w:p>
    <w:p w14:paraId="5C2208B9" w14:textId="77777777" w:rsidR="0001136D" w:rsidRDefault="0001136D" w:rsidP="0001136D">
      <w:pPr>
        <w:pStyle w:val="Ttulo5"/>
        <w:autoSpaceDE/>
        <w:autoSpaceDN/>
        <w:adjustRightInd/>
        <w:rPr>
          <w:rFonts w:ascii="Arial" w:hAnsi="Arial" w:cs="Arial"/>
          <w:sz w:val="20"/>
          <w:szCs w:val="20"/>
        </w:rPr>
      </w:pPr>
      <w:proofErr w:type="spellStart"/>
      <w:r w:rsidRPr="00AB3924">
        <w:rPr>
          <w:rFonts w:ascii="Arial" w:hAnsi="Arial" w:cs="Arial"/>
          <w:sz w:val="20"/>
          <w:szCs w:val="20"/>
        </w:rPr>
        <w:t>III.c</w:t>
      </w:r>
      <w:proofErr w:type="spellEnd"/>
      <w:r w:rsidRPr="00AB3924">
        <w:rPr>
          <w:rFonts w:ascii="Arial" w:hAnsi="Arial" w:cs="Arial"/>
          <w:sz w:val="20"/>
          <w:szCs w:val="20"/>
        </w:rPr>
        <w:t xml:space="preserve"> – Países</w:t>
      </w:r>
    </w:p>
    <w:p w14:paraId="20B59679" w14:textId="77777777" w:rsidR="00717244" w:rsidRDefault="00717244" w:rsidP="00717244"/>
    <w:p w14:paraId="3562DAFE" w14:textId="77777777" w:rsidR="002255A9" w:rsidRPr="00343151" w:rsidRDefault="002255A9" w:rsidP="002255A9">
      <w:pPr>
        <w:pStyle w:val="Recuodecorpodetexto"/>
        <w:rPr>
          <w:rFonts w:ascii="Arial" w:hAnsi="Arial" w:cs="Arial"/>
          <w:sz w:val="20"/>
          <w:szCs w:val="20"/>
        </w:rPr>
      </w:pPr>
      <w:r w:rsidRPr="00343151">
        <w:rPr>
          <w:rFonts w:ascii="Arial" w:hAnsi="Arial" w:cs="Arial"/>
          <w:sz w:val="20"/>
          <w:szCs w:val="20"/>
        </w:rPr>
        <w:t xml:space="preserve">No que se refere aos países, a China permaneceu como o principal destino das exportações do agronegócio brasileiro, com a cifra de US$ 32,58 bilhões, o que representou dois terços das exportações agropecuárias brasileiras para a Ásia no período. Em relação ao período anterior, verificou-se expansão de 8,2% no valor exportado e aumento da participação chinesa de 2,5 pontos percentuais, chegando a 33,0% de </w:t>
      </w:r>
      <w:proofErr w:type="spellStart"/>
      <w:r w:rsidRPr="00343151">
        <w:rPr>
          <w:rFonts w:ascii="Arial" w:hAnsi="Arial" w:cs="Arial"/>
          <w:i/>
          <w:sz w:val="20"/>
          <w:szCs w:val="20"/>
        </w:rPr>
        <w:t>market</w:t>
      </w:r>
      <w:proofErr w:type="spellEnd"/>
      <w:r w:rsidRPr="00343151">
        <w:rPr>
          <w:rFonts w:ascii="Arial" w:hAnsi="Arial" w:cs="Arial"/>
          <w:i/>
          <w:sz w:val="20"/>
          <w:szCs w:val="20"/>
        </w:rPr>
        <w:t xml:space="preserve"> </w:t>
      </w:r>
      <w:proofErr w:type="spellStart"/>
      <w:r w:rsidRPr="00343151">
        <w:rPr>
          <w:rFonts w:ascii="Arial" w:hAnsi="Arial" w:cs="Arial"/>
          <w:i/>
          <w:sz w:val="20"/>
          <w:szCs w:val="20"/>
        </w:rPr>
        <w:t>share</w:t>
      </w:r>
      <w:proofErr w:type="spellEnd"/>
      <w:r w:rsidRPr="00343151">
        <w:rPr>
          <w:rFonts w:ascii="Arial" w:hAnsi="Arial" w:cs="Arial"/>
          <w:sz w:val="20"/>
          <w:szCs w:val="20"/>
        </w:rPr>
        <w:t xml:space="preserve">. Os principais </w:t>
      </w:r>
      <w:r w:rsidRPr="00343151">
        <w:rPr>
          <w:rFonts w:ascii="Arial" w:hAnsi="Arial" w:cs="Arial"/>
          <w:sz w:val="20"/>
          <w:szCs w:val="20"/>
        </w:rPr>
        <w:lastRenderedPageBreak/>
        <w:t>produtos responsáveis por esse incremento das exportações no período foram: algodão não cardado nem penteado (+US$ 637,45 milhões); carne bovina in natura (+US$ 404,21 milhões); celulose (+US$ 400,75 milhões); açúcar de cana em bruto (+US$ 387,0 milhões); e soja em grãos (+US$ 364,40 milhões).</w:t>
      </w:r>
    </w:p>
    <w:p w14:paraId="2C781080" w14:textId="77777777" w:rsidR="002255A9" w:rsidRPr="00343151" w:rsidRDefault="002255A9" w:rsidP="002255A9">
      <w:pPr>
        <w:pStyle w:val="Recuodecorpodetexto"/>
        <w:rPr>
          <w:rFonts w:ascii="Arial" w:hAnsi="Arial" w:cs="Arial"/>
          <w:sz w:val="20"/>
          <w:szCs w:val="20"/>
        </w:rPr>
      </w:pPr>
    </w:p>
    <w:p w14:paraId="151DCA41" w14:textId="77777777" w:rsidR="002255A9" w:rsidRPr="00343151" w:rsidRDefault="002255A9" w:rsidP="002255A9">
      <w:pPr>
        <w:pStyle w:val="Recuodecorpodetexto"/>
        <w:rPr>
          <w:rFonts w:ascii="Arial" w:hAnsi="Arial" w:cs="Arial"/>
          <w:sz w:val="20"/>
          <w:szCs w:val="20"/>
        </w:rPr>
      </w:pPr>
      <w:r w:rsidRPr="00343151">
        <w:rPr>
          <w:rFonts w:ascii="Arial" w:hAnsi="Arial" w:cs="Arial"/>
          <w:sz w:val="20"/>
          <w:szCs w:val="20"/>
        </w:rPr>
        <w:t>As exportações para os Estados Unidos, segundo principal destino entre agosto de 2018 e julho de 2019, cresceram de US$ 6,80 bilhões para US$ 7,09 bilhões (+4,3%). Com tal incremento, a participação norte americana nas exportações brasileiras aumentou de 6,9% para 7,2%. Os principais produtos agropecuários exportados para o mercado norte-americano nos últimos doze meses foram: celulose (US$ 1,18 bilhão); café verde (US$ 901,33 milhões); álcool etílico (US$ 550,15 milhões); e madeira perfilada (US$ 358,77 milhões).</w:t>
      </w:r>
    </w:p>
    <w:p w14:paraId="32E4EB97" w14:textId="77777777" w:rsidR="002255A9" w:rsidRPr="00343151" w:rsidRDefault="002255A9" w:rsidP="002255A9">
      <w:pPr>
        <w:pStyle w:val="Recuodecorpodetexto"/>
        <w:rPr>
          <w:rFonts w:ascii="Arial" w:hAnsi="Arial" w:cs="Arial"/>
          <w:sz w:val="20"/>
          <w:szCs w:val="20"/>
        </w:rPr>
      </w:pPr>
    </w:p>
    <w:p w14:paraId="132EE0BE" w14:textId="77777777" w:rsidR="002255A9" w:rsidRPr="005A5406" w:rsidRDefault="002255A9" w:rsidP="002255A9">
      <w:pPr>
        <w:pStyle w:val="Recuodecorpodetexto"/>
        <w:rPr>
          <w:rFonts w:ascii="Arial" w:hAnsi="Arial" w:cs="Arial"/>
          <w:sz w:val="20"/>
          <w:szCs w:val="20"/>
        </w:rPr>
      </w:pPr>
      <w:r w:rsidRPr="00343151">
        <w:rPr>
          <w:rFonts w:ascii="Arial" w:hAnsi="Arial" w:cs="Arial"/>
          <w:sz w:val="20"/>
          <w:szCs w:val="20"/>
        </w:rPr>
        <w:t xml:space="preserve">Em relação ao dinamismo das exportações, os principais destaques do período, conforme ilustrado na Tabela 9, foram Vietnã (+24,7%) e Irã (+20,6%). No caso do Vietnã, com vendas de US$ 1,90 bilhão e ganho de participação de 0,4 ponto percentual, o produto responsável pelo aumento das exportações no período foi o milho, com incremento de US$ 416,69 milhões em números absolutos e vendas totais de US$ 762,40 milhões. Em relação ao Irã, os principais produtos que influenciaram na elevação das vendas brasileiras foram o milho (+US$ 387,30 milhões) e o farelo de soja (+US$ 228,86 milhões), o que possibilitou ganho de 0,4 ponto percentual de participação no período, atingindo 2,5% de </w:t>
      </w:r>
      <w:proofErr w:type="spellStart"/>
      <w:r w:rsidRPr="00343151">
        <w:rPr>
          <w:rFonts w:ascii="Arial" w:hAnsi="Arial" w:cs="Arial"/>
          <w:i/>
          <w:sz w:val="20"/>
          <w:szCs w:val="20"/>
        </w:rPr>
        <w:t>market</w:t>
      </w:r>
      <w:proofErr w:type="spellEnd"/>
      <w:r w:rsidRPr="00343151">
        <w:rPr>
          <w:rFonts w:ascii="Arial" w:hAnsi="Arial" w:cs="Arial"/>
          <w:i/>
          <w:sz w:val="20"/>
          <w:szCs w:val="20"/>
        </w:rPr>
        <w:t xml:space="preserve"> </w:t>
      </w:r>
      <w:proofErr w:type="spellStart"/>
      <w:r w:rsidRPr="00343151">
        <w:rPr>
          <w:rFonts w:ascii="Arial" w:hAnsi="Arial" w:cs="Arial"/>
          <w:i/>
          <w:sz w:val="20"/>
          <w:szCs w:val="20"/>
        </w:rPr>
        <w:t>share</w:t>
      </w:r>
      <w:proofErr w:type="spellEnd"/>
      <w:r w:rsidRPr="00343151">
        <w:rPr>
          <w:rFonts w:ascii="Arial" w:hAnsi="Arial" w:cs="Arial"/>
          <w:sz w:val="20"/>
          <w:szCs w:val="20"/>
        </w:rPr>
        <w:t>.</w:t>
      </w:r>
    </w:p>
    <w:p w14:paraId="49BE94E5" w14:textId="77777777" w:rsidR="008E65E1" w:rsidRDefault="008E65E1" w:rsidP="00E17DA9">
      <w:pPr>
        <w:pStyle w:val="Recuodecorpodetexto"/>
        <w:rPr>
          <w:rFonts w:ascii="Arial" w:hAnsi="Arial" w:cs="Arial"/>
          <w:sz w:val="20"/>
          <w:szCs w:val="20"/>
        </w:rPr>
      </w:pPr>
    </w:p>
    <w:p w14:paraId="2F62DE66" w14:textId="77777777" w:rsidR="0001136D" w:rsidRPr="00AB3924" w:rsidRDefault="0001136D" w:rsidP="0001136D">
      <w:pPr>
        <w:rPr>
          <w:rFonts w:ascii="Arial" w:hAnsi="Arial" w:cs="Arial"/>
        </w:rPr>
      </w:pPr>
    </w:p>
    <w:p w14:paraId="7EFAB449" w14:textId="09F85F52" w:rsidR="00384963" w:rsidRPr="00AB3924" w:rsidRDefault="007C6628" w:rsidP="0001136D">
      <w:pPr>
        <w:rPr>
          <w:rFonts w:ascii="Arial" w:hAnsi="Arial" w:cs="Arial"/>
        </w:rPr>
      </w:pPr>
      <w:r w:rsidRPr="007C6628">
        <w:rPr>
          <w:noProof/>
        </w:rPr>
        <w:drawing>
          <wp:inline distT="0" distB="0" distL="0" distR="0" wp14:anchorId="186D891C" wp14:editId="15A0611D">
            <wp:extent cx="6480175" cy="3879215"/>
            <wp:effectExtent l="0" t="0" r="0" b="698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480175" cy="3879215"/>
                    </a:xfrm>
                    <a:prstGeom prst="rect">
                      <a:avLst/>
                    </a:prstGeom>
                  </pic:spPr>
                </pic:pic>
              </a:graphicData>
            </a:graphic>
          </wp:inline>
        </w:drawing>
      </w:r>
    </w:p>
    <w:p w14:paraId="72E34E6D" w14:textId="77777777" w:rsidR="007D7D4C" w:rsidRDefault="007D7D4C" w:rsidP="00384963">
      <w:pPr>
        <w:pStyle w:val="Recuodecorpodetexto"/>
        <w:ind w:firstLine="0"/>
        <w:rPr>
          <w:rFonts w:ascii="Arial" w:hAnsi="Arial" w:cs="Arial"/>
          <w:sz w:val="20"/>
          <w:szCs w:val="20"/>
        </w:rPr>
      </w:pPr>
    </w:p>
    <w:p w14:paraId="154499D2" w14:textId="77777777" w:rsidR="00384963" w:rsidRPr="00826906" w:rsidRDefault="00384963" w:rsidP="00384963">
      <w:pPr>
        <w:pStyle w:val="Recuodecorpodetexto"/>
        <w:ind w:firstLine="0"/>
        <w:rPr>
          <w:rFonts w:ascii="Arial" w:hAnsi="Arial" w:cs="Arial"/>
          <w:sz w:val="20"/>
          <w:szCs w:val="20"/>
        </w:rPr>
      </w:pPr>
    </w:p>
    <w:p w14:paraId="03CDC843" w14:textId="77777777" w:rsidR="00C87B02" w:rsidRPr="00826906" w:rsidRDefault="00C87B02">
      <w:pPr>
        <w:pStyle w:val="Ttulo4"/>
        <w:pBdr>
          <w:top w:val="single" w:sz="4" w:space="1" w:color="auto"/>
          <w:left w:val="single" w:sz="4" w:space="4" w:color="auto"/>
          <w:bottom w:val="single" w:sz="4" w:space="1" w:color="auto"/>
          <w:right w:val="single" w:sz="4" w:space="4" w:color="auto"/>
        </w:pBdr>
        <w:spacing w:after="80"/>
        <w:ind w:firstLine="0"/>
        <w:rPr>
          <w:i w:val="0"/>
          <w:sz w:val="20"/>
          <w:szCs w:val="20"/>
          <w:lang w:val="pt-BR"/>
        </w:rPr>
      </w:pPr>
      <w:r w:rsidRPr="00826906">
        <w:rPr>
          <w:i w:val="0"/>
          <w:sz w:val="20"/>
          <w:szCs w:val="20"/>
          <w:lang w:val="pt-BR"/>
        </w:rPr>
        <w:t>NOTA METODOLÓGICA</w:t>
      </w:r>
    </w:p>
    <w:p w14:paraId="088863F2" w14:textId="7609D458" w:rsidR="00C87B02" w:rsidRPr="00826906" w:rsidRDefault="00C87B02" w:rsidP="00E316DA">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r w:rsidRPr="00826906">
        <w:rPr>
          <w:rFonts w:ascii="Arial" w:hAnsi="Arial" w:cs="Arial"/>
          <w:sz w:val="20"/>
          <w:szCs w:val="20"/>
        </w:rPr>
        <w:t xml:space="preserve">A classificação de produtos do agronegócio utilizada nesta nota foi atualizada de acordo com a Resolução CAMEX Nº </w:t>
      </w:r>
      <w:r w:rsidR="00B85556">
        <w:rPr>
          <w:rFonts w:ascii="Arial" w:hAnsi="Arial" w:cs="Arial"/>
          <w:sz w:val="20"/>
          <w:szCs w:val="20"/>
        </w:rPr>
        <w:t>125</w:t>
      </w:r>
      <w:r w:rsidRPr="00826906">
        <w:rPr>
          <w:rFonts w:ascii="Arial" w:hAnsi="Arial" w:cs="Arial"/>
          <w:sz w:val="20"/>
          <w:szCs w:val="20"/>
        </w:rPr>
        <w:t xml:space="preserve">, de </w:t>
      </w:r>
      <w:r w:rsidR="00B85556">
        <w:rPr>
          <w:rFonts w:ascii="Arial" w:hAnsi="Arial" w:cs="Arial"/>
          <w:sz w:val="20"/>
          <w:szCs w:val="20"/>
        </w:rPr>
        <w:t>15</w:t>
      </w:r>
      <w:r w:rsidRPr="00826906">
        <w:rPr>
          <w:rFonts w:ascii="Arial" w:hAnsi="Arial" w:cs="Arial"/>
          <w:sz w:val="20"/>
          <w:szCs w:val="20"/>
        </w:rPr>
        <w:t>/12/201</w:t>
      </w:r>
      <w:r w:rsidR="00B85556">
        <w:rPr>
          <w:rFonts w:ascii="Arial" w:hAnsi="Arial" w:cs="Arial"/>
          <w:sz w:val="20"/>
          <w:szCs w:val="20"/>
        </w:rPr>
        <w:t>6</w:t>
      </w:r>
      <w:r w:rsidRPr="00826906">
        <w:rPr>
          <w:rFonts w:ascii="Arial" w:hAnsi="Arial" w:cs="Arial"/>
          <w:sz w:val="20"/>
          <w:szCs w:val="20"/>
        </w:rPr>
        <w:t>, que alterou a Nomenclatura Comum do MERCOSUL – NCM para adaptá-la em relação às modificações do Sistema Harmonizado de Designação e de Codificação de Mercadorias (SH-</w:t>
      </w:r>
      <w:r w:rsidR="007C6628">
        <w:rPr>
          <w:rFonts w:ascii="Arial" w:hAnsi="Arial" w:cs="Arial"/>
          <w:sz w:val="20"/>
          <w:szCs w:val="20"/>
        </w:rPr>
        <w:t>2018</w:t>
      </w:r>
      <w:r w:rsidRPr="00826906">
        <w:rPr>
          <w:rFonts w:ascii="Arial" w:hAnsi="Arial" w:cs="Arial"/>
          <w:sz w:val="20"/>
          <w:szCs w:val="20"/>
        </w:rPr>
        <w:t>), que estabelece um método internacional para a classificação de mercadorias.</w:t>
      </w:r>
    </w:p>
    <w:p w14:paraId="736EF7D4" w14:textId="77777777" w:rsidR="00C87B02" w:rsidRPr="00826906" w:rsidRDefault="00C87B02" w:rsidP="00E316DA">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p>
    <w:p w14:paraId="032673B5" w14:textId="77777777" w:rsidR="00C87B02" w:rsidRPr="00826906" w:rsidRDefault="00C87B02" w:rsidP="00E316DA">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r w:rsidRPr="00826906">
        <w:rPr>
          <w:rFonts w:ascii="Arial" w:hAnsi="Arial" w:cs="Arial"/>
          <w:sz w:val="20"/>
          <w:szCs w:val="20"/>
        </w:rPr>
        <w:t xml:space="preserve">A Balança Comercial do Agronegócio utiliza uma classificação dos produtos do agronegócio que reúne 2.867 </w:t>
      </w:r>
      <w:proofErr w:type="spellStart"/>
      <w:r w:rsidRPr="00826906">
        <w:rPr>
          <w:rFonts w:ascii="Arial" w:hAnsi="Arial" w:cs="Arial"/>
          <w:sz w:val="20"/>
          <w:szCs w:val="20"/>
        </w:rPr>
        <w:t>NCM’s</w:t>
      </w:r>
      <w:proofErr w:type="spellEnd"/>
      <w:r w:rsidRPr="00826906">
        <w:rPr>
          <w:rFonts w:ascii="Arial" w:hAnsi="Arial" w:cs="Arial"/>
          <w:sz w:val="20"/>
          <w:szCs w:val="20"/>
        </w:rPr>
        <w:t xml:space="preserve"> em 25 setores. Essa é a mesma classificação utilizada no AGROSTAT BRASIL - base de dados </w:t>
      </w:r>
      <w:proofErr w:type="spellStart"/>
      <w:r w:rsidRPr="00826906">
        <w:rPr>
          <w:rFonts w:ascii="Arial" w:hAnsi="Arial" w:cs="Arial"/>
          <w:i/>
          <w:sz w:val="20"/>
          <w:szCs w:val="20"/>
        </w:rPr>
        <w:t>on</w:t>
      </w:r>
      <w:proofErr w:type="spellEnd"/>
      <w:r w:rsidRPr="00826906">
        <w:rPr>
          <w:rFonts w:ascii="Arial" w:hAnsi="Arial" w:cs="Arial"/>
          <w:i/>
          <w:sz w:val="20"/>
          <w:szCs w:val="20"/>
        </w:rPr>
        <w:t xml:space="preserve"> </w:t>
      </w:r>
      <w:proofErr w:type="spellStart"/>
      <w:r w:rsidRPr="00826906">
        <w:rPr>
          <w:rFonts w:ascii="Arial" w:hAnsi="Arial" w:cs="Arial"/>
          <w:i/>
          <w:sz w:val="20"/>
          <w:szCs w:val="20"/>
        </w:rPr>
        <w:t>line</w:t>
      </w:r>
      <w:proofErr w:type="spellEnd"/>
      <w:r w:rsidRPr="00826906">
        <w:rPr>
          <w:rFonts w:ascii="Arial" w:hAnsi="Arial" w:cs="Arial"/>
          <w:sz w:val="20"/>
          <w:szCs w:val="20"/>
        </w:rPr>
        <w:t xml:space="preserve"> que oferece uma visão detalhada e atualizada das exportações e importações brasileiras do agronegócio. Mais informações da metodologia e classificação podem ser consultadas no site: </w:t>
      </w:r>
      <w:hyperlink r:id="rId17" w:history="1">
        <w:r w:rsidRPr="00826906">
          <w:rPr>
            <w:rStyle w:val="Hyperlink"/>
            <w:rFonts w:ascii="Arial" w:hAnsi="Arial" w:cs="Arial"/>
            <w:sz w:val="20"/>
            <w:szCs w:val="20"/>
          </w:rPr>
          <w:t>agrostat.agricultura.gov.br</w:t>
        </w:r>
      </w:hyperlink>
      <w:r w:rsidRPr="00826906">
        <w:rPr>
          <w:rFonts w:ascii="Arial" w:hAnsi="Arial" w:cs="Arial"/>
          <w:sz w:val="20"/>
          <w:szCs w:val="20"/>
        </w:rPr>
        <w:t xml:space="preserve"> </w:t>
      </w:r>
    </w:p>
    <w:p w14:paraId="7531AB9C" w14:textId="77777777" w:rsidR="00C87B02" w:rsidRPr="00826906" w:rsidRDefault="00C87B02">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p>
    <w:p w14:paraId="0D917D1C" w14:textId="77777777" w:rsidR="00C87B02" w:rsidRPr="00826906" w:rsidRDefault="00C87B02">
      <w:pPr>
        <w:pStyle w:val="Ttulo2"/>
        <w:jc w:val="right"/>
        <w:rPr>
          <w:rFonts w:ascii="Arial" w:hAnsi="Arial" w:cs="Arial"/>
          <w:b/>
          <w:sz w:val="20"/>
        </w:rPr>
      </w:pPr>
    </w:p>
    <w:p w14:paraId="217941E9" w14:textId="77777777" w:rsidR="00C87B02" w:rsidRPr="00826906" w:rsidRDefault="00C87B02">
      <w:pPr>
        <w:pStyle w:val="Ttulo2"/>
        <w:jc w:val="right"/>
        <w:rPr>
          <w:rFonts w:ascii="Arial" w:hAnsi="Arial" w:cs="Arial"/>
          <w:b/>
          <w:sz w:val="20"/>
        </w:rPr>
      </w:pPr>
      <w:r w:rsidRPr="00826906">
        <w:rPr>
          <w:rFonts w:ascii="Arial" w:hAnsi="Arial" w:cs="Arial"/>
          <w:b/>
          <w:sz w:val="20"/>
        </w:rPr>
        <w:t>MAPA/SRI/D</w:t>
      </w:r>
      <w:r w:rsidR="00A87ED0">
        <w:rPr>
          <w:rFonts w:ascii="Arial" w:hAnsi="Arial" w:cs="Arial"/>
          <w:b/>
          <w:sz w:val="20"/>
        </w:rPr>
        <w:t>AC</w:t>
      </w:r>
    </w:p>
    <w:p w14:paraId="43E25DF6" w14:textId="4BC2F2BD" w:rsidR="00C87B02" w:rsidRPr="00826906" w:rsidRDefault="00C87B02">
      <w:pPr>
        <w:pStyle w:val="Recuodecorpodetexto"/>
        <w:jc w:val="right"/>
        <w:rPr>
          <w:rFonts w:ascii="Arial" w:hAnsi="Arial" w:cs="Arial"/>
          <w:sz w:val="20"/>
          <w:szCs w:val="20"/>
        </w:rPr>
      </w:pPr>
      <w:bookmarkStart w:id="1" w:name="_GoBack"/>
      <w:bookmarkEnd w:id="1"/>
      <w:r w:rsidRPr="00826906">
        <w:rPr>
          <w:rFonts w:ascii="Arial" w:hAnsi="Arial" w:cs="Arial"/>
          <w:sz w:val="20"/>
          <w:szCs w:val="20"/>
        </w:rPr>
        <w:t xml:space="preserve"> </w:t>
      </w:r>
      <w:r w:rsidR="00156CF0">
        <w:rPr>
          <w:rFonts w:ascii="Arial" w:hAnsi="Arial" w:cs="Arial"/>
          <w:sz w:val="20"/>
          <w:szCs w:val="20"/>
        </w:rPr>
        <w:t>1</w:t>
      </w:r>
      <w:r w:rsidR="00E17DA9">
        <w:rPr>
          <w:rFonts w:ascii="Arial" w:hAnsi="Arial" w:cs="Arial"/>
          <w:sz w:val="20"/>
          <w:szCs w:val="20"/>
        </w:rPr>
        <w:t>3</w:t>
      </w:r>
      <w:r w:rsidR="0001136D">
        <w:rPr>
          <w:rFonts w:ascii="Arial" w:hAnsi="Arial" w:cs="Arial"/>
          <w:sz w:val="20"/>
          <w:szCs w:val="20"/>
        </w:rPr>
        <w:t>/0</w:t>
      </w:r>
      <w:r w:rsidR="00B85556">
        <w:rPr>
          <w:rFonts w:ascii="Arial" w:hAnsi="Arial" w:cs="Arial"/>
          <w:sz w:val="20"/>
          <w:szCs w:val="20"/>
        </w:rPr>
        <w:t>7</w:t>
      </w:r>
      <w:r w:rsidR="00826906">
        <w:rPr>
          <w:rFonts w:ascii="Arial" w:hAnsi="Arial" w:cs="Arial"/>
          <w:sz w:val="20"/>
          <w:szCs w:val="20"/>
        </w:rPr>
        <w:t>/</w:t>
      </w:r>
      <w:r w:rsidR="007C6628">
        <w:rPr>
          <w:rFonts w:ascii="Arial" w:hAnsi="Arial" w:cs="Arial"/>
          <w:sz w:val="20"/>
          <w:szCs w:val="20"/>
        </w:rPr>
        <w:t>2019</w:t>
      </w:r>
    </w:p>
    <w:sectPr w:rsidR="00C87B02" w:rsidRPr="00826906" w:rsidSect="00C2569A">
      <w:footerReference w:type="even" r:id="rId18"/>
      <w:footerReference w:type="default" r:id="rId19"/>
      <w:pgSz w:w="11907" w:h="16840" w:code="9"/>
      <w:pgMar w:top="851" w:right="851" w:bottom="851" w:left="851" w:header="0" w:footer="0"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D2C52" w14:textId="77777777" w:rsidR="00F35186" w:rsidRDefault="00F35186">
      <w:r>
        <w:separator/>
      </w:r>
    </w:p>
  </w:endnote>
  <w:endnote w:type="continuationSeparator" w:id="0">
    <w:p w14:paraId="2D5BBEEF" w14:textId="77777777" w:rsidR="00F35186" w:rsidRDefault="00F35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F7040" w14:textId="77777777" w:rsidR="008F4F40" w:rsidRDefault="008F4F40">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2D22BF5" w14:textId="77777777" w:rsidR="008F4F40" w:rsidRDefault="008F4F4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97D14" w14:textId="77777777" w:rsidR="008F4F40" w:rsidRPr="000754DD" w:rsidRDefault="008F4F40">
    <w:pPr>
      <w:pStyle w:val="Rodap"/>
      <w:framePr w:wrap="around" w:vAnchor="text" w:hAnchor="margin" w:xAlign="center" w:y="1"/>
      <w:rPr>
        <w:rStyle w:val="Nmerodepgina"/>
        <w:rFonts w:ascii="Arial" w:hAnsi="Arial" w:cs="Arial"/>
        <w:sz w:val="16"/>
        <w:szCs w:val="16"/>
      </w:rPr>
    </w:pPr>
    <w:r w:rsidRPr="000754DD">
      <w:rPr>
        <w:rStyle w:val="Nmerodepgina"/>
        <w:rFonts w:ascii="Arial" w:hAnsi="Arial" w:cs="Arial"/>
        <w:sz w:val="16"/>
        <w:szCs w:val="16"/>
      </w:rPr>
      <w:fldChar w:fldCharType="begin"/>
    </w:r>
    <w:r w:rsidRPr="000754DD">
      <w:rPr>
        <w:rStyle w:val="Nmerodepgina"/>
        <w:rFonts w:ascii="Arial" w:hAnsi="Arial" w:cs="Arial"/>
        <w:sz w:val="16"/>
        <w:szCs w:val="16"/>
      </w:rPr>
      <w:instrText xml:space="preserve">PAGE  </w:instrText>
    </w:r>
    <w:r w:rsidRPr="000754DD">
      <w:rPr>
        <w:rStyle w:val="Nmerodepgina"/>
        <w:rFonts w:ascii="Arial" w:hAnsi="Arial" w:cs="Arial"/>
        <w:sz w:val="16"/>
        <w:szCs w:val="16"/>
      </w:rPr>
      <w:fldChar w:fldCharType="separate"/>
    </w:r>
    <w:r w:rsidR="003E2A9B">
      <w:rPr>
        <w:rStyle w:val="Nmerodepgina"/>
        <w:rFonts w:ascii="Arial" w:hAnsi="Arial" w:cs="Arial"/>
        <w:noProof/>
        <w:sz w:val="16"/>
        <w:szCs w:val="16"/>
      </w:rPr>
      <w:t>12</w:t>
    </w:r>
    <w:r w:rsidRPr="000754DD">
      <w:rPr>
        <w:rStyle w:val="Nmerodepgina"/>
        <w:rFonts w:ascii="Arial" w:hAnsi="Arial" w:cs="Arial"/>
        <w:sz w:val="16"/>
        <w:szCs w:val="16"/>
      </w:rPr>
      <w:fldChar w:fldCharType="end"/>
    </w:r>
  </w:p>
  <w:p w14:paraId="16504674" w14:textId="77777777" w:rsidR="008F4F40" w:rsidRDefault="008F4F4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7660B" w14:textId="77777777" w:rsidR="00F35186" w:rsidRDefault="00F35186">
      <w:r>
        <w:separator/>
      </w:r>
    </w:p>
  </w:footnote>
  <w:footnote w:type="continuationSeparator" w:id="0">
    <w:p w14:paraId="6663B0B3" w14:textId="77777777" w:rsidR="00F35186" w:rsidRDefault="00F351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64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2A5"/>
    <w:rsid w:val="000014D2"/>
    <w:rsid w:val="0000209E"/>
    <w:rsid w:val="0000254E"/>
    <w:rsid w:val="000036C3"/>
    <w:rsid w:val="0000402A"/>
    <w:rsid w:val="00004903"/>
    <w:rsid w:val="000054FF"/>
    <w:rsid w:val="00006103"/>
    <w:rsid w:val="00006262"/>
    <w:rsid w:val="00006ECB"/>
    <w:rsid w:val="00007083"/>
    <w:rsid w:val="00007D32"/>
    <w:rsid w:val="00010A70"/>
    <w:rsid w:val="0001136D"/>
    <w:rsid w:val="00012110"/>
    <w:rsid w:val="0001326B"/>
    <w:rsid w:val="00013681"/>
    <w:rsid w:val="00013B15"/>
    <w:rsid w:val="00013C10"/>
    <w:rsid w:val="0001553F"/>
    <w:rsid w:val="000166CF"/>
    <w:rsid w:val="00017D67"/>
    <w:rsid w:val="00017F9E"/>
    <w:rsid w:val="00021202"/>
    <w:rsid w:val="00021AE7"/>
    <w:rsid w:val="00023523"/>
    <w:rsid w:val="00023700"/>
    <w:rsid w:val="00024620"/>
    <w:rsid w:val="000246E5"/>
    <w:rsid w:val="00024774"/>
    <w:rsid w:val="00025562"/>
    <w:rsid w:val="0002567E"/>
    <w:rsid w:val="0002592B"/>
    <w:rsid w:val="00026C30"/>
    <w:rsid w:val="00027B9D"/>
    <w:rsid w:val="00027CD6"/>
    <w:rsid w:val="00027FBF"/>
    <w:rsid w:val="000301F8"/>
    <w:rsid w:val="00030275"/>
    <w:rsid w:val="00030698"/>
    <w:rsid w:val="0003161E"/>
    <w:rsid w:val="00031A57"/>
    <w:rsid w:val="0003291F"/>
    <w:rsid w:val="000329DF"/>
    <w:rsid w:val="0003345D"/>
    <w:rsid w:val="000348EF"/>
    <w:rsid w:val="00034D11"/>
    <w:rsid w:val="00034E2F"/>
    <w:rsid w:val="000354EE"/>
    <w:rsid w:val="00035920"/>
    <w:rsid w:val="00035927"/>
    <w:rsid w:val="00035E51"/>
    <w:rsid w:val="000400E7"/>
    <w:rsid w:val="00040781"/>
    <w:rsid w:val="00040AAD"/>
    <w:rsid w:val="00040CEE"/>
    <w:rsid w:val="000411F9"/>
    <w:rsid w:val="0004141A"/>
    <w:rsid w:val="00041459"/>
    <w:rsid w:val="0004188A"/>
    <w:rsid w:val="00041926"/>
    <w:rsid w:val="00041C47"/>
    <w:rsid w:val="000421AD"/>
    <w:rsid w:val="00042DA0"/>
    <w:rsid w:val="00043C91"/>
    <w:rsid w:val="00044959"/>
    <w:rsid w:val="00045520"/>
    <w:rsid w:val="00045689"/>
    <w:rsid w:val="000456E0"/>
    <w:rsid w:val="0004621E"/>
    <w:rsid w:val="00047101"/>
    <w:rsid w:val="00047F65"/>
    <w:rsid w:val="00047FF1"/>
    <w:rsid w:val="00050C8F"/>
    <w:rsid w:val="00051416"/>
    <w:rsid w:val="000516E7"/>
    <w:rsid w:val="00053736"/>
    <w:rsid w:val="000542D8"/>
    <w:rsid w:val="00055505"/>
    <w:rsid w:val="00056B26"/>
    <w:rsid w:val="00057E53"/>
    <w:rsid w:val="00057F96"/>
    <w:rsid w:val="00060DB6"/>
    <w:rsid w:val="00060E48"/>
    <w:rsid w:val="00060ECE"/>
    <w:rsid w:val="00063D9B"/>
    <w:rsid w:val="00063DE6"/>
    <w:rsid w:val="00065F75"/>
    <w:rsid w:val="00066372"/>
    <w:rsid w:val="00066406"/>
    <w:rsid w:val="000666A5"/>
    <w:rsid w:val="000676F5"/>
    <w:rsid w:val="00067C72"/>
    <w:rsid w:val="000708D1"/>
    <w:rsid w:val="00070FDC"/>
    <w:rsid w:val="0007199F"/>
    <w:rsid w:val="0007208F"/>
    <w:rsid w:val="000728BD"/>
    <w:rsid w:val="00072A5A"/>
    <w:rsid w:val="00072BF1"/>
    <w:rsid w:val="000735F0"/>
    <w:rsid w:val="00073B00"/>
    <w:rsid w:val="0007448A"/>
    <w:rsid w:val="00074CFD"/>
    <w:rsid w:val="00074FEC"/>
    <w:rsid w:val="000754DD"/>
    <w:rsid w:val="00076763"/>
    <w:rsid w:val="000777E6"/>
    <w:rsid w:val="00080CDD"/>
    <w:rsid w:val="0008233D"/>
    <w:rsid w:val="000838F3"/>
    <w:rsid w:val="00084C40"/>
    <w:rsid w:val="000851AD"/>
    <w:rsid w:val="000860D5"/>
    <w:rsid w:val="0008675A"/>
    <w:rsid w:val="00086BE6"/>
    <w:rsid w:val="00087349"/>
    <w:rsid w:val="00091B89"/>
    <w:rsid w:val="00092CA9"/>
    <w:rsid w:val="000930DA"/>
    <w:rsid w:val="00093582"/>
    <w:rsid w:val="00093FC9"/>
    <w:rsid w:val="0009438C"/>
    <w:rsid w:val="00094CD8"/>
    <w:rsid w:val="00094EAB"/>
    <w:rsid w:val="000950D3"/>
    <w:rsid w:val="00095783"/>
    <w:rsid w:val="00096E13"/>
    <w:rsid w:val="000976B6"/>
    <w:rsid w:val="000978BB"/>
    <w:rsid w:val="00097960"/>
    <w:rsid w:val="00097ADA"/>
    <w:rsid w:val="00097AEB"/>
    <w:rsid w:val="000A0879"/>
    <w:rsid w:val="000A0E3C"/>
    <w:rsid w:val="000A12CC"/>
    <w:rsid w:val="000A14AC"/>
    <w:rsid w:val="000A16C5"/>
    <w:rsid w:val="000A3C7F"/>
    <w:rsid w:val="000A412F"/>
    <w:rsid w:val="000A58CA"/>
    <w:rsid w:val="000A6462"/>
    <w:rsid w:val="000A6B29"/>
    <w:rsid w:val="000A7772"/>
    <w:rsid w:val="000B1245"/>
    <w:rsid w:val="000B1599"/>
    <w:rsid w:val="000B2CCF"/>
    <w:rsid w:val="000B4CB7"/>
    <w:rsid w:val="000B617B"/>
    <w:rsid w:val="000B6F56"/>
    <w:rsid w:val="000B778B"/>
    <w:rsid w:val="000C0B2D"/>
    <w:rsid w:val="000C101E"/>
    <w:rsid w:val="000C1354"/>
    <w:rsid w:val="000C4843"/>
    <w:rsid w:val="000C4CA1"/>
    <w:rsid w:val="000C4E0B"/>
    <w:rsid w:val="000C5899"/>
    <w:rsid w:val="000C5BC6"/>
    <w:rsid w:val="000C64AB"/>
    <w:rsid w:val="000C6B89"/>
    <w:rsid w:val="000D0596"/>
    <w:rsid w:val="000D0A1C"/>
    <w:rsid w:val="000D0A49"/>
    <w:rsid w:val="000D1791"/>
    <w:rsid w:val="000D26FA"/>
    <w:rsid w:val="000D279E"/>
    <w:rsid w:val="000D2D61"/>
    <w:rsid w:val="000D39E2"/>
    <w:rsid w:val="000D4068"/>
    <w:rsid w:val="000D5591"/>
    <w:rsid w:val="000D5BE5"/>
    <w:rsid w:val="000E03A7"/>
    <w:rsid w:val="000E0754"/>
    <w:rsid w:val="000E1F98"/>
    <w:rsid w:val="000E2E78"/>
    <w:rsid w:val="000E3005"/>
    <w:rsid w:val="000E33C3"/>
    <w:rsid w:val="000E398E"/>
    <w:rsid w:val="000E39A2"/>
    <w:rsid w:val="000E3FFC"/>
    <w:rsid w:val="000E42AC"/>
    <w:rsid w:val="000E4AF7"/>
    <w:rsid w:val="000E4D0B"/>
    <w:rsid w:val="000E7154"/>
    <w:rsid w:val="000E7667"/>
    <w:rsid w:val="000E7821"/>
    <w:rsid w:val="000F20EC"/>
    <w:rsid w:val="000F2478"/>
    <w:rsid w:val="000F3A73"/>
    <w:rsid w:val="000F4768"/>
    <w:rsid w:val="000F5D88"/>
    <w:rsid w:val="000F67E1"/>
    <w:rsid w:val="000F6FB8"/>
    <w:rsid w:val="000F7529"/>
    <w:rsid w:val="000F7E4B"/>
    <w:rsid w:val="000F7E56"/>
    <w:rsid w:val="001002A5"/>
    <w:rsid w:val="001009DA"/>
    <w:rsid w:val="00102086"/>
    <w:rsid w:val="00102185"/>
    <w:rsid w:val="00102714"/>
    <w:rsid w:val="001028A9"/>
    <w:rsid w:val="00102FA0"/>
    <w:rsid w:val="00103608"/>
    <w:rsid w:val="00103A27"/>
    <w:rsid w:val="00103E4E"/>
    <w:rsid w:val="0010432D"/>
    <w:rsid w:val="00104345"/>
    <w:rsid w:val="00106AE7"/>
    <w:rsid w:val="0011004F"/>
    <w:rsid w:val="0011065F"/>
    <w:rsid w:val="0011143D"/>
    <w:rsid w:val="001120A0"/>
    <w:rsid w:val="0011278C"/>
    <w:rsid w:val="00112CB5"/>
    <w:rsid w:val="0011359A"/>
    <w:rsid w:val="00114060"/>
    <w:rsid w:val="001145E1"/>
    <w:rsid w:val="00114767"/>
    <w:rsid w:val="001148DB"/>
    <w:rsid w:val="00115593"/>
    <w:rsid w:val="00116244"/>
    <w:rsid w:val="00116DF6"/>
    <w:rsid w:val="001172F2"/>
    <w:rsid w:val="00120C53"/>
    <w:rsid w:val="00120FC3"/>
    <w:rsid w:val="001214F0"/>
    <w:rsid w:val="00121674"/>
    <w:rsid w:val="00121B82"/>
    <w:rsid w:val="001230EB"/>
    <w:rsid w:val="00123AEA"/>
    <w:rsid w:val="00123C08"/>
    <w:rsid w:val="00124184"/>
    <w:rsid w:val="00124275"/>
    <w:rsid w:val="00124438"/>
    <w:rsid w:val="001248CD"/>
    <w:rsid w:val="00125976"/>
    <w:rsid w:val="00127EF3"/>
    <w:rsid w:val="001302B1"/>
    <w:rsid w:val="00130896"/>
    <w:rsid w:val="00130BEF"/>
    <w:rsid w:val="00131883"/>
    <w:rsid w:val="00131C03"/>
    <w:rsid w:val="00132734"/>
    <w:rsid w:val="00132CFF"/>
    <w:rsid w:val="001343E9"/>
    <w:rsid w:val="00134A6E"/>
    <w:rsid w:val="00134AB8"/>
    <w:rsid w:val="00135398"/>
    <w:rsid w:val="00135405"/>
    <w:rsid w:val="00135BA2"/>
    <w:rsid w:val="001360B0"/>
    <w:rsid w:val="00136B69"/>
    <w:rsid w:val="00136D9F"/>
    <w:rsid w:val="00137206"/>
    <w:rsid w:val="00137272"/>
    <w:rsid w:val="0013770C"/>
    <w:rsid w:val="00140494"/>
    <w:rsid w:val="00140CC4"/>
    <w:rsid w:val="001410C3"/>
    <w:rsid w:val="00142592"/>
    <w:rsid w:val="00142F1E"/>
    <w:rsid w:val="00143382"/>
    <w:rsid w:val="00144082"/>
    <w:rsid w:val="0014413D"/>
    <w:rsid w:val="00144D60"/>
    <w:rsid w:val="0014572B"/>
    <w:rsid w:val="0014658F"/>
    <w:rsid w:val="0014766D"/>
    <w:rsid w:val="001479CC"/>
    <w:rsid w:val="00147F3E"/>
    <w:rsid w:val="0015012C"/>
    <w:rsid w:val="00150906"/>
    <w:rsid w:val="00150D5F"/>
    <w:rsid w:val="00151988"/>
    <w:rsid w:val="00153702"/>
    <w:rsid w:val="00153E37"/>
    <w:rsid w:val="00155044"/>
    <w:rsid w:val="001553E1"/>
    <w:rsid w:val="0015622C"/>
    <w:rsid w:val="00156437"/>
    <w:rsid w:val="00156CF0"/>
    <w:rsid w:val="00157AFB"/>
    <w:rsid w:val="00161E99"/>
    <w:rsid w:val="001631E2"/>
    <w:rsid w:val="001653C9"/>
    <w:rsid w:val="001654D4"/>
    <w:rsid w:val="00165A56"/>
    <w:rsid w:val="001668BA"/>
    <w:rsid w:val="00166F09"/>
    <w:rsid w:val="00167040"/>
    <w:rsid w:val="00167101"/>
    <w:rsid w:val="00167A20"/>
    <w:rsid w:val="00171552"/>
    <w:rsid w:val="001715EE"/>
    <w:rsid w:val="00171A0D"/>
    <w:rsid w:val="00172239"/>
    <w:rsid w:val="0017334E"/>
    <w:rsid w:val="001737BF"/>
    <w:rsid w:val="001739E0"/>
    <w:rsid w:val="00173C33"/>
    <w:rsid w:val="001740EF"/>
    <w:rsid w:val="0017415F"/>
    <w:rsid w:val="00175DF5"/>
    <w:rsid w:val="00175FD4"/>
    <w:rsid w:val="001765E5"/>
    <w:rsid w:val="001768DC"/>
    <w:rsid w:val="00177C36"/>
    <w:rsid w:val="00180987"/>
    <w:rsid w:val="00181959"/>
    <w:rsid w:val="00181A5E"/>
    <w:rsid w:val="00181F12"/>
    <w:rsid w:val="0018353B"/>
    <w:rsid w:val="001845DB"/>
    <w:rsid w:val="00185460"/>
    <w:rsid w:val="001855B7"/>
    <w:rsid w:val="001877D0"/>
    <w:rsid w:val="00187C56"/>
    <w:rsid w:val="0019065E"/>
    <w:rsid w:val="00191D61"/>
    <w:rsid w:val="00192430"/>
    <w:rsid w:val="00193C52"/>
    <w:rsid w:val="00193F46"/>
    <w:rsid w:val="00194175"/>
    <w:rsid w:val="0019506D"/>
    <w:rsid w:val="001950E2"/>
    <w:rsid w:val="001965D0"/>
    <w:rsid w:val="00196B83"/>
    <w:rsid w:val="001A002C"/>
    <w:rsid w:val="001A0A6C"/>
    <w:rsid w:val="001A0C5C"/>
    <w:rsid w:val="001A0CE7"/>
    <w:rsid w:val="001A1062"/>
    <w:rsid w:val="001A1AD0"/>
    <w:rsid w:val="001A1F94"/>
    <w:rsid w:val="001A29EA"/>
    <w:rsid w:val="001A3C0C"/>
    <w:rsid w:val="001A47BE"/>
    <w:rsid w:val="001A4C12"/>
    <w:rsid w:val="001A551F"/>
    <w:rsid w:val="001A5F2C"/>
    <w:rsid w:val="001A69E4"/>
    <w:rsid w:val="001A7D65"/>
    <w:rsid w:val="001B0348"/>
    <w:rsid w:val="001B10C1"/>
    <w:rsid w:val="001B15A0"/>
    <w:rsid w:val="001B18D8"/>
    <w:rsid w:val="001B21EA"/>
    <w:rsid w:val="001B23D6"/>
    <w:rsid w:val="001B272C"/>
    <w:rsid w:val="001B290B"/>
    <w:rsid w:val="001B2E81"/>
    <w:rsid w:val="001B48AD"/>
    <w:rsid w:val="001B5153"/>
    <w:rsid w:val="001B5F0E"/>
    <w:rsid w:val="001B7C51"/>
    <w:rsid w:val="001C10B3"/>
    <w:rsid w:val="001C182B"/>
    <w:rsid w:val="001C2AFB"/>
    <w:rsid w:val="001C2BE2"/>
    <w:rsid w:val="001C3C0D"/>
    <w:rsid w:val="001C499D"/>
    <w:rsid w:val="001C75BF"/>
    <w:rsid w:val="001C7639"/>
    <w:rsid w:val="001D02B6"/>
    <w:rsid w:val="001D1357"/>
    <w:rsid w:val="001D3304"/>
    <w:rsid w:val="001D35D6"/>
    <w:rsid w:val="001D3640"/>
    <w:rsid w:val="001D51EE"/>
    <w:rsid w:val="001D5DA7"/>
    <w:rsid w:val="001D5EE4"/>
    <w:rsid w:val="001E005F"/>
    <w:rsid w:val="001E2DBF"/>
    <w:rsid w:val="001E3298"/>
    <w:rsid w:val="001E3EA2"/>
    <w:rsid w:val="001E4FEE"/>
    <w:rsid w:val="001E605F"/>
    <w:rsid w:val="001E649C"/>
    <w:rsid w:val="001F03E4"/>
    <w:rsid w:val="001F1E12"/>
    <w:rsid w:val="001F1E86"/>
    <w:rsid w:val="001F25CA"/>
    <w:rsid w:val="001F304D"/>
    <w:rsid w:val="001F3315"/>
    <w:rsid w:val="001F39C4"/>
    <w:rsid w:val="001F47BF"/>
    <w:rsid w:val="001F59FD"/>
    <w:rsid w:val="001F6377"/>
    <w:rsid w:val="001F6BD9"/>
    <w:rsid w:val="00200422"/>
    <w:rsid w:val="00200C1F"/>
    <w:rsid w:val="00201721"/>
    <w:rsid w:val="00201EB6"/>
    <w:rsid w:val="0020228A"/>
    <w:rsid w:val="00202D83"/>
    <w:rsid w:val="00202E7D"/>
    <w:rsid w:val="002037B1"/>
    <w:rsid w:val="00203C2C"/>
    <w:rsid w:val="00204020"/>
    <w:rsid w:val="00204023"/>
    <w:rsid w:val="002048AD"/>
    <w:rsid w:val="0020496C"/>
    <w:rsid w:val="00204E09"/>
    <w:rsid w:val="00204E55"/>
    <w:rsid w:val="00205177"/>
    <w:rsid w:val="0020693B"/>
    <w:rsid w:val="00206CCC"/>
    <w:rsid w:val="0020757C"/>
    <w:rsid w:val="002101DA"/>
    <w:rsid w:val="002104CA"/>
    <w:rsid w:val="002106CF"/>
    <w:rsid w:val="00210CDA"/>
    <w:rsid w:val="0021144F"/>
    <w:rsid w:val="00211702"/>
    <w:rsid w:val="00214201"/>
    <w:rsid w:val="00214566"/>
    <w:rsid w:val="0021521E"/>
    <w:rsid w:val="00215A65"/>
    <w:rsid w:val="0021634D"/>
    <w:rsid w:val="00216841"/>
    <w:rsid w:val="002175BC"/>
    <w:rsid w:val="00217690"/>
    <w:rsid w:val="0021787B"/>
    <w:rsid w:val="00220165"/>
    <w:rsid w:val="00220873"/>
    <w:rsid w:val="00224391"/>
    <w:rsid w:val="00224683"/>
    <w:rsid w:val="0022533F"/>
    <w:rsid w:val="002255A9"/>
    <w:rsid w:val="002259FA"/>
    <w:rsid w:val="00230941"/>
    <w:rsid w:val="00230FEE"/>
    <w:rsid w:val="00231034"/>
    <w:rsid w:val="0023186C"/>
    <w:rsid w:val="00232DF4"/>
    <w:rsid w:val="00232F99"/>
    <w:rsid w:val="00233BE6"/>
    <w:rsid w:val="00233C69"/>
    <w:rsid w:val="0023409D"/>
    <w:rsid w:val="00234BDA"/>
    <w:rsid w:val="00235B60"/>
    <w:rsid w:val="00235D7C"/>
    <w:rsid w:val="00235D98"/>
    <w:rsid w:val="002365E6"/>
    <w:rsid w:val="00236C8A"/>
    <w:rsid w:val="0023726D"/>
    <w:rsid w:val="0024071A"/>
    <w:rsid w:val="00240914"/>
    <w:rsid w:val="00243565"/>
    <w:rsid w:val="00244DAD"/>
    <w:rsid w:val="00244FFD"/>
    <w:rsid w:val="00246FFB"/>
    <w:rsid w:val="0024709A"/>
    <w:rsid w:val="0025029B"/>
    <w:rsid w:val="00252568"/>
    <w:rsid w:val="00253BAB"/>
    <w:rsid w:val="00253F6E"/>
    <w:rsid w:val="0025449A"/>
    <w:rsid w:val="00256A85"/>
    <w:rsid w:val="0025703A"/>
    <w:rsid w:val="002575E1"/>
    <w:rsid w:val="002576A8"/>
    <w:rsid w:val="00257972"/>
    <w:rsid w:val="00257CA9"/>
    <w:rsid w:val="00260952"/>
    <w:rsid w:val="00260A3D"/>
    <w:rsid w:val="00262474"/>
    <w:rsid w:val="0026519E"/>
    <w:rsid w:val="00265916"/>
    <w:rsid w:val="00265B91"/>
    <w:rsid w:val="0026638C"/>
    <w:rsid w:val="00266F5A"/>
    <w:rsid w:val="00267384"/>
    <w:rsid w:val="00270FB8"/>
    <w:rsid w:val="0027256F"/>
    <w:rsid w:val="00272B5F"/>
    <w:rsid w:val="00273ED5"/>
    <w:rsid w:val="00274325"/>
    <w:rsid w:val="002759C4"/>
    <w:rsid w:val="00275FD2"/>
    <w:rsid w:val="002765C2"/>
    <w:rsid w:val="0027693B"/>
    <w:rsid w:val="00277191"/>
    <w:rsid w:val="00280B61"/>
    <w:rsid w:val="00280D1E"/>
    <w:rsid w:val="00280F43"/>
    <w:rsid w:val="00281796"/>
    <w:rsid w:val="00281CB4"/>
    <w:rsid w:val="00282463"/>
    <w:rsid w:val="002825B3"/>
    <w:rsid w:val="00282A21"/>
    <w:rsid w:val="002834B5"/>
    <w:rsid w:val="002846ED"/>
    <w:rsid w:val="00286307"/>
    <w:rsid w:val="00286682"/>
    <w:rsid w:val="00286980"/>
    <w:rsid w:val="00286EB2"/>
    <w:rsid w:val="0028796C"/>
    <w:rsid w:val="00287BF8"/>
    <w:rsid w:val="00287C5B"/>
    <w:rsid w:val="00290216"/>
    <w:rsid w:val="002905B3"/>
    <w:rsid w:val="00290EE0"/>
    <w:rsid w:val="00292902"/>
    <w:rsid w:val="00292C37"/>
    <w:rsid w:val="00292F48"/>
    <w:rsid w:val="002954AE"/>
    <w:rsid w:val="002954F3"/>
    <w:rsid w:val="0029641D"/>
    <w:rsid w:val="00296626"/>
    <w:rsid w:val="002A0A91"/>
    <w:rsid w:val="002A451B"/>
    <w:rsid w:val="002A4B0B"/>
    <w:rsid w:val="002A50D8"/>
    <w:rsid w:val="002A5A16"/>
    <w:rsid w:val="002A5B80"/>
    <w:rsid w:val="002A5D48"/>
    <w:rsid w:val="002A699C"/>
    <w:rsid w:val="002A69F4"/>
    <w:rsid w:val="002A7051"/>
    <w:rsid w:val="002A707F"/>
    <w:rsid w:val="002A7318"/>
    <w:rsid w:val="002A750D"/>
    <w:rsid w:val="002A7843"/>
    <w:rsid w:val="002B0032"/>
    <w:rsid w:val="002B0264"/>
    <w:rsid w:val="002B0AA4"/>
    <w:rsid w:val="002B0BBC"/>
    <w:rsid w:val="002B1708"/>
    <w:rsid w:val="002B19C3"/>
    <w:rsid w:val="002B1A0F"/>
    <w:rsid w:val="002B225F"/>
    <w:rsid w:val="002B3FF6"/>
    <w:rsid w:val="002B3FFA"/>
    <w:rsid w:val="002B40D1"/>
    <w:rsid w:val="002B4209"/>
    <w:rsid w:val="002B48DF"/>
    <w:rsid w:val="002B4BFF"/>
    <w:rsid w:val="002B5200"/>
    <w:rsid w:val="002B6586"/>
    <w:rsid w:val="002B728E"/>
    <w:rsid w:val="002B76D5"/>
    <w:rsid w:val="002C006D"/>
    <w:rsid w:val="002C0364"/>
    <w:rsid w:val="002C0850"/>
    <w:rsid w:val="002C0938"/>
    <w:rsid w:val="002C1597"/>
    <w:rsid w:val="002C2E49"/>
    <w:rsid w:val="002C2EBD"/>
    <w:rsid w:val="002C2F67"/>
    <w:rsid w:val="002C41FE"/>
    <w:rsid w:val="002C5A64"/>
    <w:rsid w:val="002C61C3"/>
    <w:rsid w:val="002C71CF"/>
    <w:rsid w:val="002C741E"/>
    <w:rsid w:val="002D057E"/>
    <w:rsid w:val="002D15C6"/>
    <w:rsid w:val="002D198F"/>
    <w:rsid w:val="002D2497"/>
    <w:rsid w:val="002D2693"/>
    <w:rsid w:val="002D35B6"/>
    <w:rsid w:val="002D37D5"/>
    <w:rsid w:val="002D4505"/>
    <w:rsid w:val="002D5693"/>
    <w:rsid w:val="002D58E0"/>
    <w:rsid w:val="002D6145"/>
    <w:rsid w:val="002D6B4E"/>
    <w:rsid w:val="002D6E77"/>
    <w:rsid w:val="002D7367"/>
    <w:rsid w:val="002E05B8"/>
    <w:rsid w:val="002E1A76"/>
    <w:rsid w:val="002E1D8A"/>
    <w:rsid w:val="002E2A6B"/>
    <w:rsid w:val="002E3695"/>
    <w:rsid w:val="002E416C"/>
    <w:rsid w:val="002E50B6"/>
    <w:rsid w:val="002E50CA"/>
    <w:rsid w:val="002E5A8C"/>
    <w:rsid w:val="002E64B9"/>
    <w:rsid w:val="002E6B13"/>
    <w:rsid w:val="002E6BC7"/>
    <w:rsid w:val="002E6CA1"/>
    <w:rsid w:val="002E7085"/>
    <w:rsid w:val="002E78F4"/>
    <w:rsid w:val="002F00B6"/>
    <w:rsid w:val="002F2AA2"/>
    <w:rsid w:val="002F2B38"/>
    <w:rsid w:val="002F37D6"/>
    <w:rsid w:val="002F4059"/>
    <w:rsid w:val="002F4822"/>
    <w:rsid w:val="002F4B47"/>
    <w:rsid w:val="002F6408"/>
    <w:rsid w:val="002F69FB"/>
    <w:rsid w:val="002F6A42"/>
    <w:rsid w:val="002F6CE0"/>
    <w:rsid w:val="002F6D78"/>
    <w:rsid w:val="00301071"/>
    <w:rsid w:val="00301BFC"/>
    <w:rsid w:val="00301E82"/>
    <w:rsid w:val="00302D1E"/>
    <w:rsid w:val="0030347E"/>
    <w:rsid w:val="003054FC"/>
    <w:rsid w:val="0030680F"/>
    <w:rsid w:val="0031100B"/>
    <w:rsid w:val="003114C5"/>
    <w:rsid w:val="00311EF8"/>
    <w:rsid w:val="00311F32"/>
    <w:rsid w:val="00312E0B"/>
    <w:rsid w:val="00313A73"/>
    <w:rsid w:val="003143F7"/>
    <w:rsid w:val="003146D2"/>
    <w:rsid w:val="00314BFA"/>
    <w:rsid w:val="00316822"/>
    <w:rsid w:val="00316C31"/>
    <w:rsid w:val="003202FE"/>
    <w:rsid w:val="00320DCF"/>
    <w:rsid w:val="003213EA"/>
    <w:rsid w:val="00321FD3"/>
    <w:rsid w:val="003222A3"/>
    <w:rsid w:val="003224EB"/>
    <w:rsid w:val="00322652"/>
    <w:rsid w:val="00323974"/>
    <w:rsid w:val="00323A54"/>
    <w:rsid w:val="00324262"/>
    <w:rsid w:val="00324322"/>
    <w:rsid w:val="003243CC"/>
    <w:rsid w:val="00324ECE"/>
    <w:rsid w:val="00324F68"/>
    <w:rsid w:val="003259EE"/>
    <w:rsid w:val="00327472"/>
    <w:rsid w:val="00330581"/>
    <w:rsid w:val="003306C9"/>
    <w:rsid w:val="00330A67"/>
    <w:rsid w:val="00330D35"/>
    <w:rsid w:val="00332895"/>
    <w:rsid w:val="00334232"/>
    <w:rsid w:val="00334E38"/>
    <w:rsid w:val="00334ED4"/>
    <w:rsid w:val="00334FCC"/>
    <w:rsid w:val="00335352"/>
    <w:rsid w:val="00335889"/>
    <w:rsid w:val="00335DB5"/>
    <w:rsid w:val="00336A86"/>
    <w:rsid w:val="00341FEA"/>
    <w:rsid w:val="00343ADB"/>
    <w:rsid w:val="00343CAD"/>
    <w:rsid w:val="00345AEE"/>
    <w:rsid w:val="00350F51"/>
    <w:rsid w:val="0035125D"/>
    <w:rsid w:val="00352DE2"/>
    <w:rsid w:val="00353472"/>
    <w:rsid w:val="0035436D"/>
    <w:rsid w:val="00354FF6"/>
    <w:rsid w:val="00355FCD"/>
    <w:rsid w:val="003573B7"/>
    <w:rsid w:val="0036071C"/>
    <w:rsid w:val="00361C71"/>
    <w:rsid w:val="003630D6"/>
    <w:rsid w:val="0036317F"/>
    <w:rsid w:val="00364842"/>
    <w:rsid w:val="00365AB9"/>
    <w:rsid w:val="00367D6B"/>
    <w:rsid w:val="00370C77"/>
    <w:rsid w:val="00370F4A"/>
    <w:rsid w:val="00372F4E"/>
    <w:rsid w:val="003734AA"/>
    <w:rsid w:val="003743B9"/>
    <w:rsid w:val="00374794"/>
    <w:rsid w:val="00374A21"/>
    <w:rsid w:val="003766EA"/>
    <w:rsid w:val="0038134C"/>
    <w:rsid w:val="003820BA"/>
    <w:rsid w:val="003823A1"/>
    <w:rsid w:val="00382526"/>
    <w:rsid w:val="00382C83"/>
    <w:rsid w:val="00383C89"/>
    <w:rsid w:val="00383D01"/>
    <w:rsid w:val="00384177"/>
    <w:rsid w:val="00384963"/>
    <w:rsid w:val="003862C2"/>
    <w:rsid w:val="003867B8"/>
    <w:rsid w:val="00386C6D"/>
    <w:rsid w:val="003909E2"/>
    <w:rsid w:val="00390CD1"/>
    <w:rsid w:val="00392C3A"/>
    <w:rsid w:val="00392E0F"/>
    <w:rsid w:val="00392FC0"/>
    <w:rsid w:val="003947CB"/>
    <w:rsid w:val="003949D8"/>
    <w:rsid w:val="00394C37"/>
    <w:rsid w:val="00394ED0"/>
    <w:rsid w:val="003952C4"/>
    <w:rsid w:val="0039561C"/>
    <w:rsid w:val="003A0B29"/>
    <w:rsid w:val="003A0E82"/>
    <w:rsid w:val="003A1348"/>
    <w:rsid w:val="003A1858"/>
    <w:rsid w:val="003A2950"/>
    <w:rsid w:val="003A47B8"/>
    <w:rsid w:val="003A510C"/>
    <w:rsid w:val="003A6481"/>
    <w:rsid w:val="003A7A2A"/>
    <w:rsid w:val="003A7ED6"/>
    <w:rsid w:val="003A7F11"/>
    <w:rsid w:val="003B049D"/>
    <w:rsid w:val="003B0ACC"/>
    <w:rsid w:val="003B0D74"/>
    <w:rsid w:val="003B1517"/>
    <w:rsid w:val="003B1EC6"/>
    <w:rsid w:val="003B2B76"/>
    <w:rsid w:val="003B3718"/>
    <w:rsid w:val="003B434D"/>
    <w:rsid w:val="003B5497"/>
    <w:rsid w:val="003B58CD"/>
    <w:rsid w:val="003B6186"/>
    <w:rsid w:val="003B632E"/>
    <w:rsid w:val="003B6A83"/>
    <w:rsid w:val="003B6C9F"/>
    <w:rsid w:val="003B73D5"/>
    <w:rsid w:val="003B7B3B"/>
    <w:rsid w:val="003C13B7"/>
    <w:rsid w:val="003C1449"/>
    <w:rsid w:val="003C3151"/>
    <w:rsid w:val="003C3CF6"/>
    <w:rsid w:val="003C54E1"/>
    <w:rsid w:val="003C59B2"/>
    <w:rsid w:val="003C69D0"/>
    <w:rsid w:val="003D07AA"/>
    <w:rsid w:val="003D11F0"/>
    <w:rsid w:val="003D17C5"/>
    <w:rsid w:val="003D1872"/>
    <w:rsid w:val="003D27B6"/>
    <w:rsid w:val="003D302B"/>
    <w:rsid w:val="003D31BB"/>
    <w:rsid w:val="003D39F3"/>
    <w:rsid w:val="003D3D98"/>
    <w:rsid w:val="003D4CD5"/>
    <w:rsid w:val="003D5633"/>
    <w:rsid w:val="003D5703"/>
    <w:rsid w:val="003D62F6"/>
    <w:rsid w:val="003D71DE"/>
    <w:rsid w:val="003D7895"/>
    <w:rsid w:val="003D79D4"/>
    <w:rsid w:val="003E091B"/>
    <w:rsid w:val="003E146F"/>
    <w:rsid w:val="003E165E"/>
    <w:rsid w:val="003E1EE3"/>
    <w:rsid w:val="003E2A9B"/>
    <w:rsid w:val="003E2AF6"/>
    <w:rsid w:val="003E30EC"/>
    <w:rsid w:val="003E31CD"/>
    <w:rsid w:val="003E367B"/>
    <w:rsid w:val="003E4A98"/>
    <w:rsid w:val="003E53C5"/>
    <w:rsid w:val="003E56D8"/>
    <w:rsid w:val="003E6803"/>
    <w:rsid w:val="003E7039"/>
    <w:rsid w:val="003F07E7"/>
    <w:rsid w:val="003F0A4D"/>
    <w:rsid w:val="003F10A8"/>
    <w:rsid w:val="003F150F"/>
    <w:rsid w:val="003F1C93"/>
    <w:rsid w:val="003F2069"/>
    <w:rsid w:val="003F3106"/>
    <w:rsid w:val="003F3114"/>
    <w:rsid w:val="003F4615"/>
    <w:rsid w:val="003F49CC"/>
    <w:rsid w:val="003F5D9B"/>
    <w:rsid w:val="003F5E37"/>
    <w:rsid w:val="003F71CE"/>
    <w:rsid w:val="003F73EB"/>
    <w:rsid w:val="003F79EF"/>
    <w:rsid w:val="004004D6"/>
    <w:rsid w:val="004005E8"/>
    <w:rsid w:val="004005EF"/>
    <w:rsid w:val="004012D9"/>
    <w:rsid w:val="0040178D"/>
    <w:rsid w:val="00401878"/>
    <w:rsid w:val="00401A32"/>
    <w:rsid w:val="00402BD6"/>
    <w:rsid w:val="004033C1"/>
    <w:rsid w:val="00403F4D"/>
    <w:rsid w:val="00405739"/>
    <w:rsid w:val="0040583E"/>
    <w:rsid w:val="00405BFA"/>
    <w:rsid w:val="00405D60"/>
    <w:rsid w:val="00406822"/>
    <w:rsid w:val="00407255"/>
    <w:rsid w:val="004130A6"/>
    <w:rsid w:val="0041356D"/>
    <w:rsid w:val="00413ADB"/>
    <w:rsid w:val="0041433C"/>
    <w:rsid w:val="00414AB5"/>
    <w:rsid w:val="0041502E"/>
    <w:rsid w:val="00415075"/>
    <w:rsid w:val="004150FC"/>
    <w:rsid w:val="0041600B"/>
    <w:rsid w:val="004169FB"/>
    <w:rsid w:val="004215B4"/>
    <w:rsid w:val="00421D62"/>
    <w:rsid w:val="00422301"/>
    <w:rsid w:val="00422C8B"/>
    <w:rsid w:val="004233BC"/>
    <w:rsid w:val="004238B9"/>
    <w:rsid w:val="00426013"/>
    <w:rsid w:val="0042676A"/>
    <w:rsid w:val="00426779"/>
    <w:rsid w:val="00427339"/>
    <w:rsid w:val="004278D4"/>
    <w:rsid w:val="00430556"/>
    <w:rsid w:val="00431374"/>
    <w:rsid w:val="0043165A"/>
    <w:rsid w:val="00431DFE"/>
    <w:rsid w:val="004320F4"/>
    <w:rsid w:val="00432541"/>
    <w:rsid w:val="00433948"/>
    <w:rsid w:val="00433AE8"/>
    <w:rsid w:val="004343AC"/>
    <w:rsid w:val="00434639"/>
    <w:rsid w:val="00434E4E"/>
    <w:rsid w:val="00435123"/>
    <w:rsid w:val="00435284"/>
    <w:rsid w:val="0043540E"/>
    <w:rsid w:val="004360EB"/>
    <w:rsid w:val="00436328"/>
    <w:rsid w:val="00436E8A"/>
    <w:rsid w:val="004375F6"/>
    <w:rsid w:val="004418ED"/>
    <w:rsid w:val="00443955"/>
    <w:rsid w:val="00445579"/>
    <w:rsid w:val="00445D12"/>
    <w:rsid w:val="0044631C"/>
    <w:rsid w:val="00446752"/>
    <w:rsid w:val="00446BC7"/>
    <w:rsid w:val="0044758F"/>
    <w:rsid w:val="004476F8"/>
    <w:rsid w:val="00447760"/>
    <w:rsid w:val="00450323"/>
    <w:rsid w:val="004515A0"/>
    <w:rsid w:val="00452393"/>
    <w:rsid w:val="00452B1D"/>
    <w:rsid w:val="00452EA9"/>
    <w:rsid w:val="004556F3"/>
    <w:rsid w:val="00457723"/>
    <w:rsid w:val="00457AA1"/>
    <w:rsid w:val="00457DB3"/>
    <w:rsid w:val="00463C85"/>
    <w:rsid w:val="004645F5"/>
    <w:rsid w:val="0046493C"/>
    <w:rsid w:val="00465925"/>
    <w:rsid w:val="00466B47"/>
    <w:rsid w:val="004673C8"/>
    <w:rsid w:val="00470511"/>
    <w:rsid w:val="004717FE"/>
    <w:rsid w:val="004719BB"/>
    <w:rsid w:val="004719DB"/>
    <w:rsid w:val="00471F27"/>
    <w:rsid w:val="004731CC"/>
    <w:rsid w:val="00473237"/>
    <w:rsid w:val="00473532"/>
    <w:rsid w:val="00473872"/>
    <w:rsid w:val="004742BC"/>
    <w:rsid w:val="00474BE0"/>
    <w:rsid w:val="0047504C"/>
    <w:rsid w:val="0047558D"/>
    <w:rsid w:val="00475ADE"/>
    <w:rsid w:val="004772A2"/>
    <w:rsid w:val="004776F1"/>
    <w:rsid w:val="00480B14"/>
    <w:rsid w:val="00480BCC"/>
    <w:rsid w:val="00480D68"/>
    <w:rsid w:val="00481D08"/>
    <w:rsid w:val="00482630"/>
    <w:rsid w:val="00482E82"/>
    <w:rsid w:val="004830F2"/>
    <w:rsid w:val="004831BB"/>
    <w:rsid w:val="00483AB6"/>
    <w:rsid w:val="00484481"/>
    <w:rsid w:val="0048481F"/>
    <w:rsid w:val="00485744"/>
    <w:rsid w:val="00486780"/>
    <w:rsid w:val="00486ECE"/>
    <w:rsid w:val="00487FB1"/>
    <w:rsid w:val="00492292"/>
    <w:rsid w:val="0049292E"/>
    <w:rsid w:val="00492C73"/>
    <w:rsid w:val="004931C5"/>
    <w:rsid w:val="0049405D"/>
    <w:rsid w:val="0049568A"/>
    <w:rsid w:val="00495E53"/>
    <w:rsid w:val="00496096"/>
    <w:rsid w:val="00496C98"/>
    <w:rsid w:val="004A00D7"/>
    <w:rsid w:val="004A019B"/>
    <w:rsid w:val="004A0AD4"/>
    <w:rsid w:val="004A106D"/>
    <w:rsid w:val="004A12EB"/>
    <w:rsid w:val="004A1E44"/>
    <w:rsid w:val="004A31C4"/>
    <w:rsid w:val="004A4252"/>
    <w:rsid w:val="004A454D"/>
    <w:rsid w:val="004A5CAF"/>
    <w:rsid w:val="004A63D2"/>
    <w:rsid w:val="004A68FB"/>
    <w:rsid w:val="004A6A6F"/>
    <w:rsid w:val="004A6E65"/>
    <w:rsid w:val="004A77C5"/>
    <w:rsid w:val="004A78A2"/>
    <w:rsid w:val="004A7FE9"/>
    <w:rsid w:val="004B0525"/>
    <w:rsid w:val="004B0DEA"/>
    <w:rsid w:val="004B151F"/>
    <w:rsid w:val="004B1A1C"/>
    <w:rsid w:val="004B289F"/>
    <w:rsid w:val="004B336A"/>
    <w:rsid w:val="004B37C4"/>
    <w:rsid w:val="004B3949"/>
    <w:rsid w:val="004B5C0A"/>
    <w:rsid w:val="004B6007"/>
    <w:rsid w:val="004B63F1"/>
    <w:rsid w:val="004B6A3B"/>
    <w:rsid w:val="004B7D09"/>
    <w:rsid w:val="004C1656"/>
    <w:rsid w:val="004C191A"/>
    <w:rsid w:val="004C1E56"/>
    <w:rsid w:val="004C28BB"/>
    <w:rsid w:val="004C30A8"/>
    <w:rsid w:val="004C38B2"/>
    <w:rsid w:val="004C3A69"/>
    <w:rsid w:val="004C41CC"/>
    <w:rsid w:val="004C4B68"/>
    <w:rsid w:val="004C4B97"/>
    <w:rsid w:val="004C5467"/>
    <w:rsid w:val="004C5F79"/>
    <w:rsid w:val="004C6E0A"/>
    <w:rsid w:val="004C6EE3"/>
    <w:rsid w:val="004D0671"/>
    <w:rsid w:val="004D12C0"/>
    <w:rsid w:val="004D17C2"/>
    <w:rsid w:val="004D46C1"/>
    <w:rsid w:val="004D72DB"/>
    <w:rsid w:val="004E065A"/>
    <w:rsid w:val="004E0700"/>
    <w:rsid w:val="004E0FE6"/>
    <w:rsid w:val="004E10B6"/>
    <w:rsid w:val="004E3415"/>
    <w:rsid w:val="004E3776"/>
    <w:rsid w:val="004E51AB"/>
    <w:rsid w:val="004E5270"/>
    <w:rsid w:val="004E60E3"/>
    <w:rsid w:val="004E71DB"/>
    <w:rsid w:val="004E74B2"/>
    <w:rsid w:val="004F0B9D"/>
    <w:rsid w:val="004F101C"/>
    <w:rsid w:val="004F4B16"/>
    <w:rsid w:val="004F4C23"/>
    <w:rsid w:val="004F5D9D"/>
    <w:rsid w:val="004F68B1"/>
    <w:rsid w:val="004F7037"/>
    <w:rsid w:val="004F70EC"/>
    <w:rsid w:val="004F710D"/>
    <w:rsid w:val="00500160"/>
    <w:rsid w:val="005002E2"/>
    <w:rsid w:val="00500EAF"/>
    <w:rsid w:val="005012E3"/>
    <w:rsid w:val="0050139D"/>
    <w:rsid w:val="00501795"/>
    <w:rsid w:val="00501B3F"/>
    <w:rsid w:val="00502105"/>
    <w:rsid w:val="005021D7"/>
    <w:rsid w:val="00502FFC"/>
    <w:rsid w:val="00503EF2"/>
    <w:rsid w:val="00504C04"/>
    <w:rsid w:val="005052A2"/>
    <w:rsid w:val="0050583C"/>
    <w:rsid w:val="005069AD"/>
    <w:rsid w:val="00506B9A"/>
    <w:rsid w:val="00506D6A"/>
    <w:rsid w:val="0050737E"/>
    <w:rsid w:val="00507E5C"/>
    <w:rsid w:val="005106CE"/>
    <w:rsid w:val="005137DD"/>
    <w:rsid w:val="00513DA7"/>
    <w:rsid w:val="005153C5"/>
    <w:rsid w:val="00515548"/>
    <w:rsid w:val="00515B3A"/>
    <w:rsid w:val="00517835"/>
    <w:rsid w:val="0052020F"/>
    <w:rsid w:val="005209A5"/>
    <w:rsid w:val="00520C74"/>
    <w:rsid w:val="005211A7"/>
    <w:rsid w:val="00522768"/>
    <w:rsid w:val="00522B94"/>
    <w:rsid w:val="00525E76"/>
    <w:rsid w:val="00526112"/>
    <w:rsid w:val="00526F60"/>
    <w:rsid w:val="00527C8F"/>
    <w:rsid w:val="00530B31"/>
    <w:rsid w:val="0053113E"/>
    <w:rsid w:val="00531DCE"/>
    <w:rsid w:val="00531E2F"/>
    <w:rsid w:val="005326B6"/>
    <w:rsid w:val="00532F6C"/>
    <w:rsid w:val="005334B2"/>
    <w:rsid w:val="00533766"/>
    <w:rsid w:val="0053494E"/>
    <w:rsid w:val="00534954"/>
    <w:rsid w:val="0053642E"/>
    <w:rsid w:val="005365A1"/>
    <w:rsid w:val="00537060"/>
    <w:rsid w:val="00540A2B"/>
    <w:rsid w:val="005416D7"/>
    <w:rsid w:val="00542256"/>
    <w:rsid w:val="00543648"/>
    <w:rsid w:val="00543885"/>
    <w:rsid w:val="00544917"/>
    <w:rsid w:val="005474C2"/>
    <w:rsid w:val="005476ED"/>
    <w:rsid w:val="00550BE0"/>
    <w:rsid w:val="00551BF9"/>
    <w:rsid w:val="00551E1E"/>
    <w:rsid w:val="00553174"/>
    <w:rsid w:val="00553574"/>
    <w:rsid w:val="00553C17"/>
    <w:rsid w:val="00554A36"/>
    <w:rsid w:val="00554BA8"/>
    <w:rsid w:val="00554FBD"/>
    <w:rsid w:val="00555759"/>
    <w:rsid w:val="005558D4"/>
    <w:rsid w:val="00556259"/>
    <w:rsid w:val="00560934"/>
    <w:rsid w:val="00561A9B"/>
    <w:rsid w:val="00561C8B"/>
    <w:rsid w:val="00561DCD"/>
    <w:rsid w:val="00562473"/>
    <w:rsid w:val="00562601"/>
    <w:rsid w:val="00562EC0"/>
    <w:rsid w:val="00563206"/>
    <w:rsid w:val="00563922"/>
    <w:rsid w:val="00563E31"/>
    <w:rsid w:val="00564C24"/>
    <w:rsid w:val="00564DCC"/>
    <w:rsid w:val="005656C2"/>
    <w:rsid w:val="00567CF5"/>
    <w:rsid w:val="0057119B"/>
    <w:rsid w:val="0057128D"/>
    <w:rsid w:val="005729B2"/>
    <w:rsid w:val="00573EDD"/>
    <w:rsid w:val="0057461A"/>
    <w:rsid w:val="005747FB"/>
    <w:rsid w:val="00574C37"/>
    <w:rsid w:val="00575079"/>
    <w:rsid w:val="00575363"/>
    <w:rsid w:val="00575449"/>
    <w:rsid w:val="005757C4"/>
    <w:rsid w:val="00575A5D"/>
    <w:rsid w:val="00575EB6"/>
    <w:rsid w:val="005765A4"/>
    <w:rsid w:val="00576A24"/>
    <w:rsid w:val="00576B4D"/>
    <w:rsid w:val="00577DF1"/>
    <w:rsid w:val="00580A75"/>
    <w:rsid w:val="00582727"/>
    <w:rsid w:val="00583441"/>
    <w:rsid w:val="00583886"/>
    <w:rsid w:val="0058410D"/>
    <w:rsid w:val="005842E1"/>
    <w:rsid w:val="00584359"/>
    <w:rsid w:val="00584E2A"/>
    <w:rsid w:val="0058550E"/>
    <w:rsid w:val="005863B1"/>
    <w:rsid w:val="0058686F"/>
    <w:rsid w:val="00587010"/>
    <w:rsid w:val="00587460"/>
    <w:rsid w:val="0059163E"/>
    <w:rsid w:val="005919DE"/>
    <w:rsid w:val="00592638"/>
    <w:rsid w:val="00592C77"/>
    <w:rsid w:val="00593158"/>
    <w:rsid w:val="00594D75"/>
    <w:rsid w:val="00595490"/>
    <w:rsid w:val="00595A34"/>
    <w:rsid w:val="00595CE1"/>
    <w:rsid w:val="005A04FC"/>
    <w:rsid w:val="005A162D"/>
    <w:rsid w:val="005A1ADA"/>
    <w:rsid w:val="005A1EEF"/>
    <w:rsid w:val="005A2565"/>
    <w:rsid w:val="005A2EF8"/>
    <w:rsid w:val="005A3060"/>
    <w:rsid w:val="005A34B6"/>
    <w:rsid w:val="005A3524"/>
    <w:rsid w:val="005A51F4"/>
    <w:rsid w:val="005A707C"/>
    <w:rsid w:val="005B0013"/>
    <w:rsid w:val="005B04C0"/>
    <w:rsid w:val="005B0A08"/>
    <w:rsid w:val="005B0EB6"/>
    <w:rsid w:val="005B0FD6"/>
    <w:rsid w:val="005B1238"/>
    <w:rsid w:val="005B173D"/>
    <w:rsid w:val="005B1A76"/>
    <w:rsid w:val="005B30F3"/>
    <w:rsid w:val="005B3102"/>
    <w:rsid w:val="005B5B16"/>
    <w:rsid w:val="005B6B2A"/>
    <w:rsid w:val="005C01FF"/>
    <w:rsid w:val="005C1449"/>
    <w:rsid w:val="005C1DBC"/>
    <w:rsid w:val="005C1E38"/>
    <w:rsid w:val="005C1F05"/>
    <w:rsid w:val="005C2FE7"/>
    <w:rsid w:val="005C3C51"/>
    <w:rsid w:val="005C3E04"/>
    <w:rsid w:val="005C4401"/>
    <w:rsid w:val="005C493E"/>
    <w:rsid w:val="005C4D06"/>
    <w:rsid w:val="005C4DF4"/>
    <w:rsid w:val="005C54D4"/>
    <w:rsid w:val="005C62C4"/>
    <w:rsid w:val="005C6E9D"/>
    <w:rsid w:val="005C7E19"/>
    <w:rsid w:val="005D0B74"/>
    <w:rsid w:val="005D0E00"/>
    <w:rsid w:val="005D2202"/>
    <w:rsid w:val="005D2627"/>
    <w:rsid w:val="005D294F"/>
    <w:rsid w:val="005D349E"/>
    <w:rsid w:val="005D3E9D"/>
    <w:rsid w:val="005D3EDB"/>
    <w:rsid w:val="005D497D"/>
    <w:rsid w:val="005D4D9F"/>
    <w:rsid w:val="005D535C"/>
    <w:rsid w:val="005D581A"/>
    <w:rsid w:val="005D71E2"/>
    <w:rsid w:val="005D7673"/>
    <w:rsid w:val="005E00C1"/>
    <w:rsid w:val="005E26F5"/>
    <w:rsid w:val="005E387F"/>
    <w:rsid w:val="005E396F"/>
    <w:rsid w:val="005E4BC9"/>
    <w:rsid w:val="005E4C1C"/>
    <w:rsid w:val="005E67DD"/>
    <w:rsid w:val="005E726E"/>
    <w:rsid w:val="005E783E"/>
    <w:rsid w:val="005F0EDC"/>
    <w:rsid w:val="005F216C"/>
    <w:rsid w:val="005F40B5"/>
    <w:rsid w:val="005F45DB"/>
    <w:rsid w:val="005F507B"/>
    <w:rsid w:val="005F519E"/>
    <w:rsid w:val="005F5266"/>
    <w:rsid w:val="005F529A"/>
    <w:rsid w:val="005F66A0"/>
    <w:rsid w:val="005F69F8"/>
    <w:rsid w:val="005F6A69"/>
    <w:rsid w:val="005F6E44"/>
    <w:rsid w:val="005F7628"/>
    <w:rsid w:val="005F7682"/>
    <w:rsid w:val="005F7990"/>
    <w:rsid w:val="0060206D"/>
    <w:rsid w:val="006020C0"/>
    <w:rsid w:val="006022F2"/>
    <w:rsid w:val="006029F1"/>
    <w:rsid w:val="006033BB"/>
    <w:rsid w:val="00603A63"/>
    <w:rsid w:val="00603C16"/>
    <w:rsid w:val="0060433B"/>
    <w:rsid w:val="00604CE0"/>
    <w:rsid w:val="00604F97"/>
    <w:rsid w:val="00605CCD"/>
    <w:rsid w:val="006063EA"/>
    <w:rsid w:val="00606817"/>
    <w:rsid w:val="006078EA"/>
    <w:rsid w:val="00607CBD"/>
    <w:rsid w:val="00610997"/>
    <w:rsid w:val="006115FE"/>
    <w:rsid w:val="00611A3B"/>
    <w:rsid w:val="00611DCE"/>
    <w:rsid w:val="00613DE1"/>
    <w:rsid w:val="00615182"/>
    <w:rsid w:val="00615F17"/>
    <w:rsid w:val="00616501"/>
    <w:rsid w:val="00616C3F"/>
    <w:rsid w:val="006171B5"/>
    <w:rsid w:val="00617839"/>
    <w:rsid w:val="006203F4"/>
    <w:rsid w:val="00622C51"/>
    <w:rsid w:val="00623381"/>
    <w:rsid w:val="006237F7"/>
    <w:rsid w:val="00623A62"/>
    <w:rsid w:val="006248BE"/>
    <w:rsid w:val="00627D41"/>
    <w:rsid w:val="0063124C"/>
    <w:rsid w:val="0063325D"/>
    <w:rsid w:val="006337C9"/>
    <w:rsid w:val="00633D29"/>
    <w:rsid w:val="00634E94"/>
    <w:rsid w:val="00634F64"/>
    <w:rsid w:val="00635D33"/>
    <w:rsid w:val="00636DB1"/>
    <w:rsid w:val="006405ED"/>
    <w:rsid w:val="00640EC4"/>
    <w:rsid w:val="0064101C"/>
    <w:rsid w:val="006416FB"/>
    <w:rsid w:val="00641D1A"/>
    <w:rsid w:val="006425D4"/>
    <w:rsid w:val="006425F1"/>
    <w:rsid w:val="006430B7"/>
    <w:rsid w:val="0064386E"/>
    <w:rsid w:val="00643E9C"/>
    <w:rsid w:val="00645B96"/>
    <w:rsid w:val="00645E6B"/>
    <w:rsid w:val="006467C5"/>
    <w:rsid w:val="006469AF"/>
    <w:rsid w:val="00646F34"/>
    <w:rsid w:val="006479DC"/>
    <w:rsid w:val="00647DA6"/>
    <w:rsid w:val="0065028B"/>
    <w:rsid w:val="006507C0"/>
    <w:rsid w:val="006513EB"/>
    <w:rsid w:val="00651518"/>
    <w:rsid w:val="00653A3C"/>
    <w:rsid w:val="00653E16"/>
    <w:rsid w:val="00653EA3"/>
    <w:rsid w:val="00654F3D"/>
    <w:rsid w:val="00655FE1"/>
    <w:rsid w:val="0065655C"/>
    <w:rsid w:val="006568E2"/>
    <w:rsid w:val="0066066A"/>
    <w:rsid w:val="00660EFB"/>
    <w:rsid w:val="00661356"/>
    <w:rsid w:val="006619F8"/>
    <w:rsid w:val="00661A7D"/>
    <w:rsid w:val="0066245A"/>
    <w:rsid w:val="00664122"/>
    <w:rsid w:val="00664C23"/>
    <w:rsid w:val="00664EDE"/>
    <w:rsid w:val="0066542A"/>
    <w:rsid w:val="00665DC8"/>
    <w:rsid w:val="00666D8F"/>
    <w:rsid w:val="00667067"/>
    <w:rsid w:val="0066714E"/>
    <w:rsid w:val="00670C8A"/>
    <w:rsid w:val="00671808"/>
    <w:rsid w:val="00671FD4"/>
    <w:rsid w:val="00673DE8"/>
    <w:rsid w:val="006749F3"/>
    <w:rsid w:val="00674FDF"/>
    <w:rsid w:val="0067603E"/>
    <w:rsid w:val="00676890"/>
    <w:rsid w:val="00681277"/>
    <w:rsid w:val="00682255"/>
    <w:rsid w:val="00683DAF"/>
    <w:rsid w:val="006843BB"/>
    <w:rsid w:val="00684A7F"/>
    <w:rsid w:val="00684AB5"/>
    <w:rsid w:val="00684DDA"/>
    <w:rsid w:val="00684DEC"/>
    <w:rsid w:val="00684FDD"/>
    <w:rsid w:val="00686432"/>
    <w:rsid w:val="00686CA6"/>
    <w:rsid w:val="006871A0"/>
    <w:rsid w:val="00691426"/>
    <w:rsid w:val="00692C0D"/>
    <w:rsid w:val="0069324B"/>
    <w:rsid w:val="00693F5B"/>
    <w:rsid w:val="00695337"/>
    <w:rsid w:val="006956F2"/>
    <w:rsid w:val="00695E6E"/>
    <w:rsid w:val="006966D5"/>
    <w:rsid w:val="00696EFB"/>
    <w:rsid w:val="00697955"/>
    <w:rsid w:val="00697BB4"/>
    <w:rsid w:val="00697BF0"/>
    <w:rsid w:val="00697D83"/>
    <w:rsid w:val="00697F2A"/>
    <w:rsid w:val="006A01AB"/>
    <w:rsid w:val="006A06D6"/>
    <w:rsid w:val="006A1D97"/>
    <w:rsid w:val="006A2369"/>
    <w:rsid w:val="006A2ED3"/>
    <w:rsid w:val="006A38B2"/>
    <w:rsid w:val="006A5836"/>
    <w:rsid w:val="006A7B5D"/>
    <w:rsid w:val="006B018A"/>
    <w:rsid w:val="006B0599"/>
    <w:rsid w:val="006B0E1E"/>
    <w:rsid w:val="006B0E20"/>
    <w:rsid w:val="006B2564"/>
    <w:rsid w:val="006B25D6"/>
    <w:rsid w:val="006B2DCE"/>
    <w:rsid w:val="006B3017"/>
    <w:rsid w:val="006B382F"/>
    <w:rsid w:val="006B43BC"/>
    <w:rsid w:val="006B4D07"/>
    <w:rsid w:val="006B53BB"/>
    <w:rsid w:val="006B56A9"/>
    <w:rsid w:val="006B5BF9"/>
    <w:rsid w:val="006C03D7"/>
    <w:rsid w:val="006C1071"/>
    <w:rsid w:val="006C1389"/>
    <w:rsid w:val="006C1BC1"/>
    <w:rsid w:val="006C34D2"/>
    <w:rsid w:val="006C37DB"/>
    <w:rsid w:val="006C46E0"/>
    <w:rsid w:val="006C4D3E"/>
    <w:rsid w:val="006C5B3E"/>
    <w:rsid w:val="006C615F"/>
    <w:rsid w:val="006C72EB"/>
    <w:rsid w:val="006C7F46"/>
    <w:rsid w:val="006D02DF"/>
    <w:rsid w:val="006D0B36"/>
    <w:rsid w:val="006D35ED"/>
    <w:rsid w:val="006D375E"/>
    <w:rsid w:val="006D3D26"/>
    <w:rsid w:val="006D3DB2"/>
    <w:rsid w:val="006D43E1"/>
    <w:rsid w:val="006D50C1"/>
    <w:rsid w:val="006D5726"/>
    <w:rsid w:val="006D6CC0"/>
    <w:rsid w:val="006D7072"/>
    <w:rsid w:val="006D7274"/>
    <w:rsid w:val="006D7B33"/>
    <w:rsid w:val="006E0361"/>
    <w:rsid w:val="006E1195"/>
    <w:rsid w:val="006E142C"/>
    <w:rsid w:val="006E145A"/>
    <w:rsid w:val="006E15E3"/>
    <w:rsid w:val="006E22EC"/>
    <w:rsid w:val="006E2387"/>
    <w:rsid w:val="006E24AD"/>
    <w:rsid w:val="006E26A0"/>
    <w:rsid w:val="006E4ADA"/>
    <w:rsid w:val="006E510D"/>
    <w:rsid w:val="006E5173"/>
    <w:rsid w:val="006E5200"/>
    <w:rsid w:val="006E672C"/>
    <w:rsid w:val="006E773E"/>
    <w:rsid w:val="006E7AC8"/>
    <w:rsid w:val="006E7BC3"/>
    <w:rsid w:val="006E7BFD"/>
    <w:rsid w:val="006F0571"/>
    <w:rsid w:val="006F182E"/>
    <w:rsid w:val="006F39FB"/>
    <w:rsid w:val="006F3AE3"/>
    <w:rsid w:val="006F5B00"/>
    <w:rsid w:val="006F5D30"/>
    <w:rsid w:val="006F6D8D"/>
    <w:rsid w:val="006F71A9"/>
    <w:rsid w:val="006F7377"/>
    <w:rsid w:val="006F7D59"/>
    <w:rsid w:val="006F7F3C"/>
    <w:rsid w:val="0070000E"/>
    <w:rsid w:val="0070014F"/>
    <w:rsid w:val="00700F57"/>
    <w:rsid w:val="00702E28"/>
    <w:rsid w:val="00703EFC"/>
    <w:rsid w:val="0070415B"/>
    <w:rsid w:val="0070418D"/>
    <w:rsid w:val="007043A6"/>
    <w:rsid w:val="0070444C"/>
    <w:rsid w:val="007051B7"/>
    <w:rsid w:val="00705217"/>
    <w:rsid w:val="007053D4"/>
    <w:rsid w:val="0070567E"/>
    <w:rsid w:val="00705A22"/>
    <w:rsid w:val="00705D3F"/>
    <w:rsid w:val="00706146"/>
    <w:rsid w:val="007066F2"/>
    <w:rsid w:val="00706976"/>
    <w:rsid w:val="00710BD6"/>
    <w:rsid w:val="00710C98"/>
    <w:rsid w:val="007122A8"/>
    <w:rsid w:val="00713508"/>
    <w:rsid w:val="00713608"/>
    <w:rsid w:val="00713659"/>
    <w:rsid w:val="0071396F"/>
    <w:rsid w:val="007140B5"/>
    <w:rsid w:val="00716027"/>
    <w:rsid w:val="007162FA"/>
    <w:rsid w:val="00716332"/>
    <w:rsid w:val="00716BA8"/>
    <w:rsid w:val="00717244"/>
    <w:rsid w:val="00717443"/>
    <w:rsid w:val="00717C33"/>
    <w:rsid w:val="00717EB6"/>
    <w:rsid w:val="007211C8"/>
    <w:rsid w:val="0072273E"/>
    <w:rsid w:val="00724D08"/>
    <w:rsid w:val="00725BD7"/>
    <w:rsid w:val="00726C9C"/>
    <w:rsid w:val="00727264"/>
    <w:rsid w:val="0073050D"/>
    <w:rsid w:val="0073056F"/>
    <w:rsid w:val="0073167F"/>
    <w:rsid w:val="007321B4"/>
    <w:rsid w:val="00732AF2"/>
    <w:rsid w:val="007332D5"/>
    <w:rsid w:val="00734D98"/>
    <w:rsid w:val="00735795"/>
    <w:rsid w:val="0073628B"/>
    <w:rsid w:val="00736449"/>
    <w:rsid w:val="00737BA7"/>
    <w:rsid w:val="00741BBA"/>
    <w:rsid w:val="00741C21"/>
    <w:rsid w:val="00742623"/>
    <w:rsid w:val="00743211"/>
    <w:rsid w:val="0074579E"/>
    <w:rsid w:val="00746225"/>
    <w:rsid w:val="00746768"/>
    <w:rsid w:val="00750B82"/>
    <w:rsid w:val="007511D9"/>
    <w:rsid w:val="007515E8"/>
    <w:rsid w:val="00751CB0"/>
    <w:rsid w:val="00753CD4"/>
    <w:rsid w:val="0075478E"/>
    <w:rsid w:val="0075509A"/>
    <w:rsid w:val="00755E97"/>
    <w:rsid w:val="00756A0B"/>
    <w:rsid w:val="00756B34"/>
    <w:rsid w:val="00756D7C"/>
    <w:rsid w:val="00757359"/>
    <w:rsid w:val="007605D7"/>
    <w:rsid w:val="007625D1"/>
    <w:rsid w:val="00763458"/>
    <w:rsid w:val="007637C1"/>
    <w:rsid w:val="007646E7"/>
    <w:rsid w:val="00766856"/>
    <w:rsid w:val="007669F0"/>
    <w:rsid w:val="00766DEB"/>
    <w:rsid w:val="00770A47"/>
    <w:rsid w:val="00771D2A"/>
    <w:rsid w:val="007722FF"/>
    <w:rsid w:val="00772498"/>
    <w:rsid w:val="007731E5"/>
    <w:rsid w:val="00773A1B"/>
    <w:rsid w:val="0077430C"/>
    <w:rsid w:val="00774D6E"/>
    <w:rsid w:val="00776353"/>
    <w:rsid w:val="007763E4"/>
    <w:rsid w:val="007763E5"/>
    <w:rsid w:val="0077732B"/>
    <w:rsid w:val="00777445"/>
    <w:rsid w:val="0077791D"/>
    <w:rsid w:val="007800C1"/>
    <w:rsid w:val="007801FC"/>
    <w:rsid w:val="00780C12"/>
    <w:rsid w:val="007811A2"/>
    <w:rsid w:val="00781286"/>
    <w:rsid w:val="007815E1"/>
    <w:rsid w:val="00783B2F"/>
    <w:rsid w:val="007840F1"/>
    <w:rsid w:val="0078520D"/>
    <w:rsid w:val="007917AC"/>
    <w:rsid w:val="007919AE"/>
    <w:rsid w:val="00792DC4"/>
    <w:rsid w:val="00792E5A"/>
    <w:rsid w:val="00793F51"/>
    <w:rsid w:val="007944D6"/>
    <w:rsid w:val="0079485F"/>
    <w:rsid w:val="00794E8F"/>
    <w:rsid w:val="00794FFA"/>
    <w:rsid w:val="00796077"/>
    <w:rsid w:val="00796ED6"/>
    <w:rsid w:val="0079756F"/>
    <w:rsid w:val="007A009E"/>
    <w:rsid w:val="007A03C6"/>
    <w:rsid w:val="007A095F"/>
    <w:rsid w:val="007A21EA"/>
    <w:rsid w:val="007A25F1"/>
    <w:rsid w:val="007A33FE"/>
    <w:rsid w:val="007A3900"/>
    <w:rsid w:val="007A3A36"/>
    <w:rsid w:val="007A405C"/>
    <w:rsid w:val="007A4626"/>
    <w:rsid w:val="007A59F1"/>
    <w:rsid w:val="007A5AFF"/>
    <w:rsid w:val="007A5FD1"/>
    <w:rsid w:val="007A62ED"/>
    <w:rsid w:val="007A7222"/>
    <w:rsid w:val="007B075C"/>
    <w:rsid w:val="007B147F"/>
    <w:rsid w:val="007B35B2"/>
    <w:rsid w:val="007B4B22"/>
    <w:rsid w:val="007B4FC2"/>
    <w:rsid w:val="007B5980"/>
    <w:rsid w:val="007B5E02"/>
    <w:rsid w:val="007B654B"/>
    <w:rsid w:val="007B719B"/>
    <w:rsid w:val="007B7637"/>
    <w:rsid w:val="007B7819"/>
    <w:rsid w:val="007C0915"/>
    <w:rsid w:val="007C1C13"/>
    <w:rsid w:val="007C225E"/>
    <w:rsid w:val="007C2E24"/>
    <w:rsid w:val="007C35FD"/>
    <w:rsid w:val="007C3DE5"/>
    <w:rsid w:val="007C4F7F"/>
    <w:rsid w:val="007C541E"/>
    <w:rsid w:val="007C6628"/>
    <w:rsid w:val="007C6CBD"/>
    <w:rsid w:val="007C6E1E"/>
    <w:rsid w:val="007C78C4"/>
    <w:rsid w:val="007C7A97"/>
    <w:rsid w:val="007D0604"/>
    <w:rsid w:val="007D152B"/>
    <w:rsid w:val="007D1C11"/>
    <w:rsid w:val="007D310E"/>
    <w:rsid w:val="007D3817"/>
    <w:rsid w:val="007D4290"/>
    <w:rsid w:val="007D5905"/>
    <w:rsid w:val="007D5C34"/>
    <w:rsid w:val="007D5E9F"/>
    <w:rsid w:val="007D765E"/>
    <w:rsid w:val="007D7D4C"/>
    <w:rsid w:val="007E0D1C"/>
    <w:rsid w:val="007E153A"/>
    <w:rsid w:val="007E15CE"/>
    <w:rsid w:val="007E195E"/>
    <w:rsid w:val="007E1CC3"/>
    <w:rsid w:val="007E28FE"/>
    <w:rsid w:val="007E3965"/>
    <w:rsid w:val="007E42A0"/>
    <w:rsid w:val="007E4986"/>
    <w:rsid w:val="007E49AF"/>
    <w:rsid w:val="007E58B4"/>
    <w:rsid w:val="007E5FEB"/>
    <w:rsid w:val="007E6383"/>
    <w:rsid w:val="007F0942"/>
    <w:rsid w:val="007F1B75"/>
    <w:rsid w:val="007F2AAD"/>
    <w:rsid w:val="007F39BA"/>
    <w:rsid w:val="007F4F2F"/>
    <w:rsid w:val="007F5863"/>
    <w:rsid w:val="007F63F2"/>
    <w:rsid w:val="007F6D79"/>
    <w:rsid w:val="007F6FE3"/>
    <w:rsid w:val="00800357"/>
    <w:rsid w:val="00800B28"/>
    <w:rsid w:val="008021A1"/>
    <w:rsid w:val="008025B4"/>
    <w:rsid w:val="008027CA"/>
    <w:rsid w:val="008030F9"/>
    <w:rsid w:val="008035E6"/>
    <w:rsid w:val="00805618"/>
    <w:rsid w:val="00807432"/>
    <w:rsid w:val="00810759"/>
    <w:rsid w:val="00810BC5"/>
    <w:rsid w:val="00810D66"/>
    <w:rsid w:val="00813347"/>
    <w:rsid w:val="00813489"/>
    <w:rsid w:val="00814124"/>
    <w:rsid w:val="0081418F"/>
    <w:rsid w:val="008141ED"/>
    <w:rsid w:val="00814700"/>
    <w:rsid w:val="00820347"/>
    <w:rsid w:val="00820F85"/>
    <w:rsid w:val="008229D4"/>
    <w:rsid w:val="008230E8"/>
    <w:rsid w:val="008232CA"/>
    <w:rsid w:val="00823ADA"/>
    <w:rsid w:val="00823B3E"/>
    <w:rsid w:val="00824E01"/>
    <w:rsid w:val="00825103"/>
    <w:rsid w:val="00825B8E"/>
    <w:rsid w:val="00825C2F"/>
    <w:rsid w:val="00826338"/>
    <w:rsid w:val="00826906"/>
    <w:rsid w:val="00826965"/>
    <w:rsid w:val="00827260"/>
    <w:rsid w:val="00830765"/>
    <w:rsid w:val="00830AA3"/>
    <w:rsid w:val="0083136D"/>
    <w:rsid w:val="00831416"/>
    <w:rsid w:val="00833901"/>
    <w:rsid w:val="00833D8C"/>
    <w:rsid w:val="00833E9E"/>
    <w:rsid w:val="0083425C"/>
    <w:rsid w:val="008351E1"/>
    <w:rsid w:val="008362ED"/>
    <w:rsid w:val="00836903"/>
    <w:rsid w:val="00836E39"/>
    <w:rsid w:val="00836F2A"/>
    <w:rsid w:val="00837798"/>
    <w:rsid w:val="00840E89"/>
    <w:rsid w:val="00842DFB"/>
    <w:rsid w:val="008449F7"/>
    <w:rsid w:val="00845DCD"/>
    <w:rsid w:val="0084665B"/>
    <w:rsid w:val="008474CD"/>
    <w:rsid w:val="00847F55"/>
    <w:rsid w:val="00850AA7"/>
    <w:rsid w:val="00850D44"/>
    <w:rsid w:val="00850E6D"/>
    <w:rsid w:val="00851631"/>
    <w:rsid w:val="0085234F"/>
    <w:rsid w:val="00853282"/>
    <w:rsid w:val="0085401B"/>
    <w:rsid w:val="008549FD"/>
    <w:rsid w:val="00855568"/>
    <w:rsid w:val="00855FFD"/>
    <w:rsid w:val="008560AA"/>
    <w:rsid w:val="00856101"/>
    <w:rsid w:val="00856358"/>
    <w:rsid w:val="0085725D"/>
    <w:rsid w:val="00857CC3"/>
    <w:rsid w:val="008608A3"/>
    <w:rsid w:val="008616E7"/>
    <w:rsid w:val="0086177F"/>
    <w:rsid w:val="00861ADB"/>
    <w:rsid w:val="00861D7A"/>
    <w:rsid w:val="00862470"/>
    <w:rsid w:val="00864322"/>
    <w:rsid w:val="008651E9"/>
    <w:rsid w:val="0086620F"/>
    <w:rsid w:val="00866AF3"/>
    <w:rsid w:val="00866C82"/>
    <w:rsid w:val="008672E6"/>
    <w:rsid w:val="008677E5"/>
    <w:rsid w:val="00867C57"/>
    <w:rsid w:val="00874311"/>
    <w:rsid w:val="00874A6B"/>
    <w:rsid w:val="00874EC5"/>
    <w:rsid w:val="00875741"/>
    <w:rsid w:val="00875B00"/>
    <w:rsid w:val="00875C31"/>
    <w:rsid w:val="00876E75"/>
    <w:rsid w:val="008775EA"/>
    <w:rsid w:val="008775F8"/>
    <w:rsid w:val="0087780F"/>
    <w:rsid w:val="00877CD3"/>
    <w:rsid w:val="008811E5"/>
    <w:rsid w:val="0088215D"/>
    <w:rsid w:val="008826D8"/>
    <w:rsid w:val="00882832"/>
    <w:rsid w:val="008832C1"/>
    <w:rsid w:val="00883EE7"/>
    <w:rsid w:val="00884F3F"/>
    <w:rsid w:val="00885016"/>
    <w:rsid w:val="00885243"/>
    <w:rsid w:val="00885D64"/>
    <w:rsid w:val="008867D4"/>
    <w:rsid w:val="00886823"/>
    <w:rsid w:val="00886BC0"/>
    <w:rsid w:val="00887179"/>
    <w:rsid w:val="008904B6"/>
    <w:rsid w:val="0089075D"/>
    <w:rsid w:val="008913B9"/>
    <w:rsid w:val="008917A2"/>
    <w:rsid w:val="00892E4C"/>
    <w:rsid w:val="008937C6"/>
    <w:rsid w:val="008938BD"/>
    <w:rsid w:val="008938D5"/>
    <w:rsid w:val="0089404D"/>
    <w:rsid w:val="00894718"/>
    <w:rsid w:val="008964DA"/>
    <w:rsid w:val="008965F1"/>
    <w:rsid w:val="0089703E"/>
    <w:rsid w:val="00897ED9"/>
    <w:rsid w:val="008A05B4"/>
    <w:rsid w:val="008A16AF"/>
    <w:rsid w:val="008A1A26"/>
    <w:rsid w:val="008A1D16"/>
    <w:rsid w:val="008A400D"/>
    <w:rsid w:val="008A48EB"/>
    <w:rsid w:val="008A600D"/>
    <w:rsid w:val="008A6118"/>
    <w:rsid w:val="008A7119"/>
    <w:rsid w:val="008A7EBA"/>
    <w:rsid w:val="008B07D3"/>
    <w:rsid w:val="008B131C"/>
    <w:rsid w:val="008B1588"/>
    <w:rsid w:val="008B1E0A"/>
    <w:rsid w:val="008B1E53"/>
    <w:rsid w:val="008B22B6"/>
    <w:rsid w:val="008B3178"/>
    <w:rsid w:val="008B42C0"/>
    <w:rsid w:val="008B5CE8"/>
    <w:rsid w:val="008B5DEB"/>
    <w:rsid w:val="008B600B"/>
    <w:rsid w:val="008B6B63"/>
    <w:rsid w:val="008B7B94"/>
    <w:rsid w:val="008B7ED5"/>
    <w:rsid w:val="008C1980"/>
    <w:rsid w:val="008C1A4B"/>
    <w:rsid w:val="008C1D6E"/>
    <w:rsid w:val="008C390E"/>
    <w:rsid w:val="008C3EC2"/>
    <w:rsid w:val="008C4304"/>
    <w:rsid w:val="008C4C74"/>
    <w:rsid w:val="008C4FFF"/>
    <w:rsid w:val="008C5FC5"/>
    <w:rsid w:val="008C6BCA"/>
    <w:rsid w:val="008C6D79"/>
    <w:rsid w:val="008C71C7"/>
    <w:rsid w:val="008C7941"/>
    <w:rsid w:val="008D0AE2"/>
    <w:rsid w:val="008D0C17"/>
    <w:rsid w:val="008D0D20"/>
    <w:rsid w:val="008D4D27"/>
    <w:rsid w:val="008D4F19"/>
    <w:rsid w:val="008D6C81"/>
    <w:rsid w:val="008D7021"/>
    <w:rsid w:val="008E09E2"/>
    <w:rsid w:val="008E0F89"/>
    <w:rsid w:val="008E1610"/>
    <w:rsid w:val="008E1E4F"/>
    <w:rsid w:val="008E35C2"/>
    <w:rsid w:val="008E5112"/>
    <w:rsid w:val="008E65E1"/>
    <w:rsid w:val="008E6631"/>
    <w:rsid w:val="008E6DE2"/>
    <w:rsid w:val="008E74FA"/>
    <w:rsid w:val="008E7876"/>
    <w:rsid w:val="008E7C8C"/>
    <w:rsid w:val="008E7F8D"/>
    <w:rsid w:val="008E7FB7"/>
    <w:rsid w:val="008F132E"/>
    <w:rsid w:val="008F13C2"/>
    <w:rsid w:val="008F18DE"/>
    <w:rsid w:val="008F2EF0"/>
    <w:rsid w:val="008F3198"/>
    <w:rsid w:val="008F3F61"/>
    <w:rsid w:val="008F49A9"/>
    <w:rsid w:val="008F4F40"/>
    <w:rsid w:val="008F63CE"/>
    <w:rsid w:val="008F6657"/>
    <w:rsid w:val="008F667F"/>
    <w:rsid w:val="008F7B0E"/>
    <w:rsid w:val="00900716"/>
    <w:rsid w:val="00901136"/>
    <w:rsid w:val="00902407"/>
    <w:rsid w:val="0090272A"/>
    <w:rsid w:val="00902823"/>
    <w:rsid w:val="009031A1"/>
    <w:rsid w:val="009039AC"/>
    <w:rsid w:val="00904EBC"/>
    <w:rsid w:val="00905482"/>
    <w:rsid w:val="009065F0"/>
    <w:rsid w:val="00906693"/>
    <w:rsid w:val="0090713F"/>
    <w:rsid w:val="00907DCF"/>
    <w:rsid w:val="00910995"/>
    <w:rsid w:val="00910A4F"/>
    <w:rsid w:val="00912803"/>
    <w:rsid w:val="009137DC"/>
    <w:rsid w:val="0091402A"/>
    <w:rsid w:val="0091434B"/>
    <w:rsid w:val="00915AB5"/>
    <w:rsid w:val="00915D7D"/>
    <w:rsid w:val="00916501"/>
    <w:rsid w:val="00917C96"/>
    <w:rsid w:val="00920F9E"/>
    <w:rsid w:val="00921058"/>
    <w:rsid w:val="00921199"/>
    <w:rsid w:val="009226A6"/>
    <w:rsid w:val="00923040"/>
    <w:rsid w:val="009233A1"/>
    <w:rsid w:val="0092386C"/>
    <w:rsid w:val="0092388F"/>
    <w:rsid w:val="00923FA4"/>
    <w:rsid w:val="0092470C"/>
    <w:rsid w:val="00924F1E"/>
    <w:rsid w:val="00924F61"/>
    <w:rsid w:val="00925627"/>
    <w:rsid w:val="009256FC"/>
    <w:rsid w:val="009324AF"/>
    <w:rsid w:val="00932E54"/>
    <w:rsid w:val="00933552"/>
    <w:rsid w:val="00935227"/>
    <w:rsid w:val="00940E00"/>
    <w:rsid w:val="009428F3"/>
    <w:rsid w:val="0094410E"/>
    <w:rsid w:val="009451A4"/>
    <w:rsid w:val="00945744"/>
    <w:rsid w:val="00946812"/>
    <w:rsid w:val="00947B6C"/>
    <w:rsid w:val="00947C7C"/>
    <w:rsid w:val="00950C83"/>
    <w:rsid w:val="00950F37"/>
    <w:rsid w:val="00951AB8"/>
    <w:rsid w:val="009524D4"/>
    <w:rsid w:val="0095253D"/>
    <w:rsid w:val="009532F9"/>
    <w:rsid w:val="0095391A"/>
    <w:rsid w:val="0095569D"/>
    <w:rsid w:val="009575C9"/>
    <w:rsid w:val="00957AF1"/>
    <w:rsid w:val="0096015F"/>
    <w:rsid w:val="0096044E"/>
    <w:rsid w:val="0096076D"/>
    <w:rsid w:val="009607F8"/>
    <w:rsid w:val="009613F6"/>
    <w:rsid w:val="009621AF"/>
    <w:rsid w:val="009629AE"/>
    <w:rsid w:val="009629DB"/>
    <w:rsid w:val="00964A83"/>
    <w:rsid w:val="00964B22"/>
    <w:rsid w:val="0096569E"/>
    <w:rsid w:val="009662CE"/>
    <w:rsid w:val="009667A2"/>
    <w:rsid w:val="00966B28"/>
    <w:rsid w:val="00966F68"/>
    <w:rsid w:val="009676F5"/>
    <w:rsid w:val="00967EBC"/>
    <w:rsid w:val="00967F78"/>
    <w:rsid w:val="00970F1D"/>
    <w:rsid w:val="0097115D"/>
    <w:rsid w:val="009713DE"/>
    <w:rsid w:val="00971EEE"/>
    <w:rsid w:val="00972FC0"/>
    <w:rsid w:val="00974CC4"/>
    <w:rsid w:val="0097555C"/>
    <w:rsid w:val="00975D71"/>
    <w:rsid w:val="00976A55"/>
    <w:rsid w:val="00980252"/>
    <w:rsid w:val="009804B0"/>
    <w:rsid w:val="00980542"/>
    <w:rsid w:val="00980CD5"/>
    <w:rsid w:val="00981CE7"/>
    <w:rsid w:val="00982D21"/>
    <w:rsid w:val="00984915"/>
    <w:rsid w:val="00986F45"/>
    <w:rsid w:val="009872B2"/>
    <w:rsid w:val="009902EA"/>
    <w:rsid w:val="0099046C"/>
    <w:rsid w:val="00990A43"/>
    <w:rsid w:val="00990CD5"/>
    <w:rsid w:val="009919E7"/>
    <w:rsid w:val="0099219C"/>
    <w:rsid w:val="00992989"/>
    <w:rsid w:val="009929C8"/>
    <w:rsid w:val="00992AF4"/>
    <w:rsid w:val="00993241"/>
    <w:rsid w:val="009936C3"/>
    <w:rsid w:val="0099535D"/>
    <w:rsid w:val="00997281"/>
    <w:rsid w:val="009A08B6"/>
    <w:rsid w:val="009A0F29"/>
    <w:rsid w:val="009A17C8"/>
    <w:rsid w:val="009A1E68"/>
    <w:rsid w:val="009A3399"/>
    <w:rsid w:val="009A3572"/>
    <w:rsid w:val="009A3692"/>
    <w:rsid w:val="009A499C"/>
    <w:rsid w:val="009A5127"/>
    <w:rsid w:val="009A5547"/>
    <w:rsid w:val="009A6296"/>
    <w:rsid w:val="009A662B"/>
    <w:rsid w:val="009A688D"/>
    <w:rsid w:val="009A695F"/>
    <w:rsid w:val="009A7259"/>
    <w:rsid w:val="009A7774"/>
    <w:rsid w:val="009A7CAB"/>
    <w:rsid w:val="009B020F"/>
    <w:rsid w:val="009B0584"/>
    <w:rsid w:val="009B437D"/>
    <w:rsid w:val="009B58BE"/>
    <w:rsid w:val="009B5C2C"/>
    <w:rsid w:val="009B6260"/>
    <w:rsid w:val="009C053F"/>
    <w:rsid w:val="009C1A09"/>
    <w:rsid w:val="009C1D78"/>
    <w:rsid w:val="009C1F8A"/>
    <w:rsid w:val="009C2965"/>
    <w:rsid w:val="009C4C42"/>
    <w:rsid w:val="009C6CBA"/>
    <w:rsid w:val="009C6E7A"/>
    <w:rsid w:val="009C7265"/>
    <w:rsid w:val="009C7A13"/>
    <w:rsid w:val="009C7F03"/>
    <w:rsid w:val="009D2063"/>
    <w:rsid w:val="009D2132"/>
    <w:rsid w:val="009D255F"/>
    <w:rsid w:val="009D2FA2"/>
    <w:rsid w:val="009D3F28"/>
    <w:rsid w:val="009D5908"/>
    <w:rsid w:val="009D5DD1"/>
    <w:rsid w:val="009D66B5"/>
    <w:rsid w:val="009D74F5"/>
    <w:rsid w:val="009D7A04"/>
    <w:rsid w:val="009E048A"/>
    <w:rsid w:val="009E31B8"/>
    <w:rsid w:val="009E418C"/>
    <w:rsid w:val="009E4AAC"/>
    <w:rsid w:val="009E526E"/>
    <w:rsid w:val="009E5282"/>
    <w:rsid w:val="009E61B6"/>
    <w:rsid w:val="009E70DC"/>
    <w:rsid w:val="009E7F5C"/>
    <w:rsid w:val="009F0115"/>
    <w:rsid w:val="009F0DD1"/>
    <w:rsid w:val="009F17C4"/>
    <w:rsid w:val="009F1836"/>
    <w:rsid w:val="009F2CA1"/>
    <w:rsid w:val="009F3D33"/>
    <w:rsid w:val="009F402F"/>
    <w:rsid w:val="009F47E4"/>
    <w:rsid w:val="009F4883"/>
    <w:rsid w:val="009F48D9"/>
    <w:rsid w:val="009F4BDE"/>
    <w:rsid w:val="009F5173"/>
    <w:rsid w:val="009F5563"/>
    <w:rsid w:val="009F5924"/>
    <w:rsid w:val="009F610B"/>
    <w:rsid w:val="009F6484"/>
    <w:rsid w:val="00A015D1"/>
    <w:rsid w:val="00A02588"/>
    <w:rsid w:val="00A02BB4"/>
    <w:rsid w:val="00A03186"/>
    <w:rsid w:val="00A054DF"/>
    <w:rsid w:val="00A0558C"/>
    <w:rsid w:val="00A05F29"/>
    <w:rsid w:val="00A0773C"/>
    <w:rsid w:val="00A10502"/>
    <w:rsid w:val="00A114E6"/>
    <w:rsid w:val="00A13A5D"/>
    <w:rsid w:val="00A14063"/>
    <w:rsid w:val="00A15217"/>
    <w:rsid w:val="00A16A06"/>
    <w:rsid w:val="00A16A28"/>
    <w:rsid w:val="00A17AAD"/>
    <w:rsid w:val="00A17CA3"/>
    <w:rsid w:val="00A21722"/>
    <w:rsid w:val="00A22329"/>
    <w:rsid w:val="00A224F9"/>
    <w:rsid w:val="00A235D0"/>
    <w:rsid w:val="00A23781"/>
    <w:rsid w:val="00A23D17"/>
    <w:rsid w:val="00A250FE"/>
    <w:rsid w:val="00A253AC"/>
    <w:rsid w:val="00A2572B"/>
    <w:rsid w:val="00A25E62"/>
    <w:rsid w:val="00A260FA"/>
    <w:rsid w:val="00A26301"/>
    <w:rsid w:val="00A26761"/>
    <w:rsid w:val="00A26CA1"/>
    <w:rsid w:val="00A26DAB"/>
    <w:rsid w:val="00A278AC"/>
    <w:rsid w:val="00A30096"/>
    <w:rsid w:val="00A30794"/>
    <w:rsid w:val="00A30AE2"/>
    <w:rsid w:val="00A319A8"/>
    <w:rsid w:val="00A321FD"/>
    <w:rsid w:val="00A32233"/>
    <w:rsid w:val="00A324D9"/>
    <w:rsid w:val="00A32704"/>
    <w:rsid w:val="00A32BEE"/>
    <w:rsid w:val="00A334DE"/>
    <w:rsid w:val="00A348F6"/>
    <w:rsid w:val="00A34AFC"/>
    <w:rsid w:val="00A35215"/>
    <w:rsid w:val="00A3632C"/>
    <w:rsid w:val="00A367CC"/>
    <w:rsid w:val="00A369A1"/>
    <w:rsid w:val="00A371D6"/>
    <w:rsid w:val="00A37B26"/>
    <w:rsid w:val="00A40673"/>
    <w:rsid w:val="00A408D1"/>
    <w:rsid w:val="00A41354"/>
    <w:rsid w:val="00A4281D"/>
    <w:rsid w:val="00A43002"/>
    <w:rsid w:val="00A433A3"/>
    <w:rsid w:val="00A44BC8"/>
    <w:rsid w:val="00A44DAA"/>
    <w:rsid w:val="00A4523C"/>
    <w:rsid w:val="00A4551E"/>
    <w:rsid w:val="00A45B45"/>
    <w:rsid w:val="00A45FBA"/>
    <w:rsid w:val="00A52898"/>
    <w:rsid w:val="00A532A2"/>
    <w:rsid w:val="00A5352D"/>
    <w:rsid w:val="00A5428F"/>
    <w:rsid w:val="00A542A3"/>
    <w:rsid w:val="00A54377"/>
    <w:rsid w:val="00A54E5C"/>
    <w:rsid w:val="00A55B7B"/>
    <w:rsid w:val="00A55F87"/>
    <w:rsid w:val="00A560CC"/>
    <w:rsid w:val="00A5783E"/>
    <w:rsid w:val="00A605D2"/>
    <w:rsid w:val="00A61182"/>
    <w:rsid w:val="00A6185B"/>
    <w:rsid w:val="00A61CB6"/>
    <w:rsid w:val="00A627B6"/>
    <w:rsid w:val="00A63084"/>
    <w:rsid w:val="00A64812"/>
    <w:rsid w:val="00A65618"/>
    <w:rsid w:val="00A65B6E"/>
    <w:rsid w:val="00A65F9C"/>
    <w:rsid w:val="00A6651D"/>
    <w:rsid w:val="00A67704"/>
    <w:rsid w:val="00A67F18"/>
    <w:rsid w:val="00A70297"/>
    <w:rsid w:val="00A704A9"/>
    <w:rsid w:val="00A70557"/>
    <w:rsid w:val="00A7066B"/>
    <w:rsid w:val="00A7098B"/>
    <w:rsid w:val="00A717F0"/>
    <w:rsid w:val="00A71E8F"/>
    <w:rsid w:val="00A729AF"/>
    <w:rsid w:val="00A72A3E"/>
    <w:rsid w:val="00A7398C"/>
    <w:rsid w:val="00A739B7"/>
    <w:rsid w:val="00A73A9A"/>
    <w:rsid w:val="00A73AFF"/>
    <w:rsid w:val="00A74508"/>
    <w:rsid w:val="00A76061"/>
    <w:rsid w:val="00A7661C"/>
    <w:rsid w:val="00A7699A"/>
    <w:rsid w:val="00A76A4F"/>
    <w:rsid w:val="00A76F4F"/>
    <w:rsid w:val="00A774BC"/>
    <w:rsid w:val="00A778FF"/>
    <w:rsid w:val="00A80EAF"/>
    <w:rsid w:val="00A81A6E"/>
    <w:rsid w:val="00A823AE"/>
    <w:rsid w:val="00A826FD"/>
    <w:rsid w:val="00A828ED"/>
    <w:rsid w:val="00A83A08"/>
    <w:rsid w:val="00A83D31"/>
    <w:rsid w:val="00A84E18"/>
    <w:rsid w:val="00A8529D"/>
    <w:rsid w:val="00A868FD"/>
    <w:rsid w:val="00A87ED0"/>
    <w:rsid w:val="00A87FD4"/>
    <w:rsid w:val="00A91244"/>
    <w:rsid w:val="00A917EB"/>
    <w:rsid w:val="00A91AF4"/>
    <w:rsid w:val="00A9349C"/>
    <w:rsid w:val="00A93D13"/>
    <w:rsid w:val="00A93F46"/>
    <w:rsid w:val="00A943DA"/>
    <w:rsid w:val="00A94621"/>
    <w:rsid w:val="00A952F3"/>
    <w:rsid w:val="00A95807"/>
    <w:rsid w:val="00A96395"/>
    <w:rsid w:val="00A96693"/>
    <w:rsid w:val="00A970A8"/>
    <w:rsid w:val="00AA18A2"/>
    <w:rsid w:val="00AA19BE"/>
    <w:rsid w:val="00AA2245"/>
    <w:rsid w:val="00AA3730"/>
    <w:rsid w:val="00AA3A8A"/>
    <w:rsid w:val="00AA3E62"/>
    <w:rsid w:val="00AA44D2"/>
    <w:rsid w:val="00AA4A22"/>
    <w:rsid w:val="00AA5B6A"/>
    <w:rsid w:val="00AA6057"/>
    <w:rsid w:val="00AA6899"/>
    <w:rsid w:val="00AA6C14"/>
    <w:rsid w:val="00AB1B3E"/>
    <w:rsid w:val="00AB1FEE"/>
    <w:rsid w:val="00AB2FF5"/>
    <w:rsid w:val="00AB30EB"/>
    <w:rsid w:val="00AB3924"/>
    <w:rsid w:val="00AB3C6A"/>
    <w:rsid w:val="00AB7282"/>
    <w:rsid w:val="00AB7D44"/>
    <w:rsid w:val="00AC0044"/>
    <w:rsid w:val="00AC0945"/>
    <w:rsid w:val="00AC0B82"/>
    <w:rsid w:val="00AC17AF"/>
    <w:rsid w:val="00AC2159"/>
    <w:rsid w:val="00AC296A"/>
    <w:rsid w:val="00AC4B90"/>
    <w:rsid w:val="00AC651B"/>
    <w:rsid w:val="00AC6658"/>
    <w:rsid w:val="00AC6F45"/>
    <w:rsid w:val="00AD02AE"/>
    <w:rsid w:val="00AD06F8"/>
    <w:rsid w:val="00AD1523"/>
    <w:rsid w:val="00AD1BEF"/>
    <w:rsid w:val="00AD316A"/>
    <w:rsid w:val="00AD3B15"/>
    <w:rsid w:val="00AD3D96"/>
    <w:rsid w:val="00AD402A"/>
    <w:rsid w:val="00AD460E"/>
    <w:rsid w:val="00AD47F3"/>
    <w:rsid w:val="00AD636B"/>
    <w:rsid w:val="00AD6967"/>
    <w:rsid w:val="00AD7BDF"/>
    <w:rsid w:val="00AD7EB2"/>
    <w:rsid w:val="00AD7EEA"/>
    <w:rsid w:val="00AE24E6"/>
    <w:rsid w:val="00AE4CB0"/>
    <w:rsid w:val="00AE6298"/>
    <w:rsid w:val="00AE631D"/>
    <w:rsid w:val="00AE6575"/>
    <w:rsid w:val="00AE6DA6"/>
    <w:rsid w:val="00AE7134"/>
    <w:rsid w:val="00AE74CE"/>
    <w:rsid w:val="00AF0C76"/>
    <w:rsid w:val="00AF0D0C"/>
    <w:rsid w:val="00AF1574"/>
    <w:rsid w:val="00AF2948"/>
    <w:rsid w:val="00AF41A2"/>
    <w:rsid w:val="00AF4EF0"/>
    <w:rsid w:val="00AF5167"/>
    <w:rsid w:val="00AF6167"/>
    <w:rsid w:val="00AF67BC"/>
    <w:rsid w:val="00AF6CB5"/>
    <w:rsid w:val="00AF71FF"/>
    <w:rsid w:val="00AF7227"/>
    <w:rsid w:val="00B01BA2"/>
    <w:rsid w:val="00B01BD6"/>
    <w:rsid w:val="00B01CD0"/>
    <w:rsid w:val="00B02D8A"/>
    <w:rsid w:val="00B03A5D"/>
    <w:rsid w:val="00B0423F"/>
    <w:rsid w:val="00B0431D"/>
    <w:rsid w:val="00B04536"/>
    <w:rsid w:val="00B04E09"/>
    <w:rsid w:val="00B0587F"/>
    <w:rsid w:val="00B068E6"/>
    <w:rsid w:val="00B0766E"/>
    <w:rsid w:val="00B0798C"/>
    <w:rsid w:val="00B10AA6"/>
    <w:rsid w:val="00B114BA"/>
    <w:rsid w:val="00B11845"/>
    <w:rsid w:val="00B11C98"/>
    <w:rsid w:val="00B13141"/>
    <w:rsid w:val="00B1389F"/>
    <w:rsid w:val="00B147A6"/>
    <w:rsid w:val="00B15F52"/>
    <w:rsid w:val="00B161A9"/>
    <w:rsid w:val="00B166FD"/>
    <w:rsid w:val="00B16F17"/>
    <w:rsid w:val="00B17425"/>
    <w:rsid w:val="00B17B5E"/>
    <w:rsid w:val="00B20491"/>
    <w:rsid w:val="00B220B5"/>
    <w:rsid w:val="00B2223C"/>
    <w:rsid w:val="00B226CF"/>
    <w:rsid w:val="00B241FD"/>
    <w:rsid w:val="00B242A3"/>
    <w:rsid w:val="00B24A68"/>
    <w:rsid w:val="00B273A2"/>
    <w:rsid w:val="00B27D3C"/>
    <w:rsid w:val="00B30923"/>
    <w:rsid w:val="00B325A3"/>
    <w:rsid w:val="00B338A0"/>
    <w:rsid w:val="00B33DF4"/>
    <w:rsid w:val="00B355DA"/>
    <w:rsid w:val="00B35853"/>
    <w:rsid w:val="00B366ED"/>
    <w:rsid w:val="00B3791F"/>
    <w:rsid w:val="00B4029E"/>
    <w:rsid w:val="00B40438"/>
    <w:rsid w:val="00B40C7D"/>
    <w:rsid w:val="00B4158A"/>
    <w:rsid w:val="00B41E70"/>
    <w:rsid w:val="00B43FC8"/>
    <w:rsid w:val="00B4546D"/>
    <w:rsid w:val="00B456E8"/>
    <w:rsid w:val="00B46A56"/>
    <w:rsid w:val="00B46C39"/>
    <w:rsid w:val="00B512E8"/>
    <w:rsid w:val="00B512FC"/>
    <w:rsid w:val="00B51F2E"/>
    <w:rsid w:val="00B52321"/>
    <w:rsid w:val="00B53930"/>
    <w:rsid w:val="00B5434B"/>
    <w:rsid w:val="00B54C7D"/>
    <w:rsid w:val="00B552A7"/>
    <w:rsid w:val="00B55ABC"/>
    <w:rsid w:val="00B564E6"/>
    <w:rsid w:val="00B62EFA"/>
    <w:rsid w:val="00B63EED"/>
    <w:rsid w:val="00B659AA"/>
    <w:rsid w:val="00B6710B"/>
    <w:rsid w:val="00B67136"/>
    <w:rsid w:val="00B67968"/>
    <w:rsid w:val="00B70E95"/>
    <w:rsid w:val="00B70F1E"/>
    <w:rsid w:val="00B71106"/>
    <w:rsid w:val="00B7189A"/>
    <w:rsid w:val="00B72D1A"/>
    <w:rsid w:val="00B732F4"/>
    <w:rsid w:val="00B74506"/>
    <w:rsid w:val="00B77826"/>
    <w:rsid w:val="00B77A9C"/>
    <w:rsid w:val="00B8009C"/>
    <w:rsid w:val="00B80E9D"/>
    <w:rsid w:val="00B81B35"/>
    <w:rsid w:val="00B81E15"/>
    <w:rsid w:val="00B82131"/>
    <w:rsid w:val="00B82ED5"/>
    <w:rsid w:val="00B83088"/>
    <w:rsid w:val="00B836A7"/>
    <w:rsid w:val="00B8451B"/>
    <w:rsid w:val="00B85556"/>
    <w:rsid w:val="00B85C47"/>
    <w:rsid w:val="00B86910"/>
    <w:rsid w:val="00B86C2C"/>
    <w:rsid w:val="00B875C0"/>
    <w:rsid w:val="00B877EB"/>
    <w:rsid w:val="00B87E35"/>
    <w:rsid w:val="00B905EE"/>
    <w:rsid w:val="00B915C7"/>
    <w:rsid w:val="00B916ED"/>
    <w:rsid w:val="00B91E50"/>
    <w:rsid w:val="00B923A7"/>
    <w:rsid w:val="00B93C0D"/>
    <w:rsid w:val="00B93DFE"/>
    <w:rsid w:val="00B9446C"/>
    <w:rsid w:val="00B953FF"/>
    <w:rsid w:val="00B95AF6"/>
    <w:rsid w:val="00B95E59"/>
    <w:rsid w:val="00B96DDE"/>
    <w:rsid w:val="00B9731A"/>
    <w:rsid w:val="00B977F7"/>
    <w:rsid w:val="00B97FD0"/>
    <w:rsid w:val="00BA03E2"/>
    <w:rsid w:val="00BA0E6F"/>
    <w:rsid w:val="00BA14BA"/>
    <w:rsid w:val="00BA36FC"/>
    <w:rsid w:val="00BA3FAE"/>
    <w:rsid w:val="00BA4F13"/>
    <w:rsid w:val="00BA5D03"/>
    <w:rsid w:val="00BA5E67"/>
    <w:rsid w:val="00BA76A4"/>
    <w:rsid w:val="00BA79FF"/>
    <w:rsid w:val="00BB1883"/>
    <w:rsid w:val="00BB1BDA"/>
    <w:rsid w:val="00BB1F9A"/>
    <w:rsid w:val="00BB20F4"/>
    <w:rsid w:val="00BB2338"/>
    <w:rsid w:val="00BB39EE"/>
    <w:rsid w:val="00BB4F2B"/>
    <w:rsid w:val="00BB5469"/>
    <w:rsid w:val="00BB5C4F"/>
    <w:rsid w:val="00BB7744"/>
    <w:rsid w:val="00BB78F6"/>
    <w:rsid w:val="00BC0C4F"/>
    <w:rsid w:val="00BC0CFC"/>
    <w:rsid w:val="00BC0E8B"/>
    <w:rsid w:val="00BC1972"/>
    <w:rsid w:val="00BC1F44"/>
    <w:rsid w:val="00BC2907"/>
    <w:rsid w:val="00BC2AA2"/>
    <w:rsid w:val="00BC2ABD"/>
    <w:rsid w:val="00BC39BA"/>
    <w:rsid w:val="00BC698D"/>
    <w:rsid w:val="00BC72C6"/>
    <w:rsid w:val="00BC793E"/>
    <w:rsid w:val="00BC7B26"/>
    <w:rsid w:val="00BD0CEA"/>
    <w:rsid w:val="00BD0DBF"/>
    <w:rsid w:val="00BD224F"/>
    <w:rsid w:val="00BD22B7"/>
    <w:rsid w:val="00BD25F8"/>
    <w:rsid w:val="00BD3AB6"/>
    <w:rsid w:val="00BD5176"/>
    <w:rsid w:val="00BD60FF"/>
    <w:rsid w:val="00BD75B3"/>
    <w:rsid w:val="00BE1894"/>
    <w:rsid w:val="00BE1A5B"/>
    <w:rsid w:val="00BE1CDE"/>
    <w:rsid w:val="00BE2F01"/>
    <w:rsid w:val="00BE37EC"/>
    <w:rsid w:val="00BE5DD4"/>
    <w:rsid w:val="00BE6491"/>
    <w:rsid w:val="00BE7A0F"/>
    <w:rsid w:val="00BF0523"/>
    <w:rsid w:val="00BF0BC8"/>
    <w:rsid w:val="00BF145F"/>
    <w:rsid w:val="00BF23EF"/>
    <w:rsid w:val="00BF273A"/>
    <w:rsid w:val="00BF3424"/>
    <w:rsid w:val="00BF44A8"/>
    <w:rsid w:val="00BF59E7"/>
    <w:rsid w:val="00BF5EC6"/>
    <w:rsid w:val="00BF6BDE"/>
    <w:rsid w:val="00BF74B7"/>
    <w:rsid w:val="00BF7D0E"/>
    <w:rsid w:val="00BF7DEC"/>
    <w:rsid w:val="00BF7E78"/>
    <w:rsid w:val="00C00500"/>
    <w:rsid w:val="00C011D4"/>
    <w:rsid w:val="00C02B98"/>
    <w:rsid w:val="00C0360F"/>
    <w:rsid w:val="00C05101"/>
    <w:rsid w:val="00C05376"/>
    <w:rsid w:val="00C05E57"/>
    <w:rsid w:val="00C065DD"/>
    <w:rsid w:val="00C06932"/>
    <w:rsid w:val="00C06FA5"/>
    <w:rsid w:val="00C07BAD"/>
    <w:rsid w:val="00C07CCA"/>
    <w:rsid w:val="00C1036A"/>
    <w:rsid w:val="00C10663"/>
    <w:rsid w:val="00C11378"/>
    <w:rsid w:val="00C11396"/>
    <w:rsid w:val="00C11866"/>
    <w:rsid w:val="00C13E41"/>
    <w:rsid w:val="00C13E72"/>
    <w:rsid w:val="00C15A13"/>
    <w:rsid w:val="00C16370"/>
    <w:rsid w:val="00C16A03"/>
    <w:rsid w:val="00C16B6D"/>
    <w:rsid w:val="00C16C19"/>
    <w:rsid w:val="00C16D18"/>
    <w:rsid w:val="00C17059"/>
    <w:rsid w:val="00C17262"/>
    <w:rsid w:val="00C17ABB"/>
    <w:rsid w:val="00C200AA"/>
    <w:rsid w:val="00C200CA"/>
    <w:rsid w:val="00C206BD"/>
    <w:rsid w:val="00C209EA"/>
    <w:rsid w:val="00C20C09"/>
    <w:rsid w:val="00C21551"/>
    <w:rsid w:val="00C2360C"/>
    <w:rsid w:val="00C23F69"/>
    <w:rsid w:val="00C24095"/>
    <w:rsid w:val="00C24A23"/>
    <w:rsid w:val="00C24C03"/>
    <w:rsid w:val="00C2569A"/>
    <w:rsid w:val="00C25D09"/>
    <w:rsid w:val="00C30902"/>
    <w:rsid w:val="00C31116"/>
    <w:rsid w:val="00C34305"/>
    <w:rsid w:val="00C35649"/>
    <w:rsid w:val="00C35A16"/>
    <w:rsid w:val="00C35D86"/>
    <w:rsid w:val="00C402DE"/>
    <w:rsid w:val="00C40451"/>
    <w:rsid w:val="00C4088D"/>
    <w:rsid w:val="00C40936"/>
    <w:rsid w:val="00C41375"/>
    <w:rsid w:val="00C41A2B"/>
    <w:rsid w:val="00C41B5D"/>
    <w:rsid w:val="00C41B73"/>
    <w:rsid w:val="00C423D7"/>
    <w:rsid w:val="00C424D3"/>
    <w:rsid w:val="00C424DE"/>
    <w:rsid w:val="00C4362E"/>
    <w:rsid w:val="00C44248"/>
    <w:rsid w:val="00C44ACB"/>
    <w:rsid w:val="00C44D23"/>
    <w:rsid w:val="00C44EAB"/>
    <w:rsid w:val="00C459CE"/>
    <w:rsid w:val="00C46DE0"/>
    <w:rsid w:val="00C46E79"/>
    <w:rsid w:val="00C47091"/>
    <w:rsid w:val="00C51706"/>
    <w:rsid w:val="00C51C28"/>
    <w:rsid w:val="00C53C75"/>
    <w:rsid w:val="00C5454F"/>
    <w:rsid w:val="00C55C3C"/>
    <w:rsid w:val="00C55CB5"/>
    <w:rsid w:val="00C56D48"/>
    <w:rsid w:val="00C60339"/>
    <w:rsid w:val="00C60938"/>
    <w:rsid w:val="00C6094B"/>
    <w:rsid w:val="00C609CE"/>
    <w:rsid w:val="00C61D05"/>
    <w:rsid w:val="00C61F48"/>
    <w:rsid w:val="00C62CD8"/>
    <w:rsid w:val="00C64AD4"/>
    <w:rsid w:val="00C656DC"/>
    <w:rsid w:val="00C667C2"/>
    <w:rsid w:val="00C66DAC"/>
    <w:rsid w:val="00C70734"/>
    <w:rsid w:val="00C70FFC"/>
    <w:rsid w:val="00C71BD8"/>
    <w:rsid w:val="00C7217B"/>
    <w:rsid w:val="00C748F8"/>
    <w:rsid w:val="00C748FD"/>
    <w:rsid w:val="00C7675B"/>
    <w:rsid w:val="00C80349"/>
    <w:rsid w:val="00C8049A"/>
    <w:rsid w:val="00C814C7"/>
    <w:rsid w:val="00C81E5A"/>
    <w:rsid w:val="00C82054"/>
    <w:rsid w:val="00C83394"/>
    <w:rsid w:val="00C8455F"/>
    <w:rsid w:val="00C8507B"/>
    <w:rsid w:val="00C861D7"/>
    <w:rsid w:val="00C86259"/>
    <w:rsid w:val="00C866A8"/>
    <w:rsid w:val="00C86785"/>
    <w:rsid w:val="00C879D6"/>
    <w:rsid w:val="00C87B02"/>
    <w:rsid w:val="00C91B28"/>
    <w:rsid w:val="00C925D1"/>
    <w:rsid w:val="00C92606"/>
    <w:rsid w:val="00C92B75"/>
    <w:rsid w:val="00C9339A"/>
    <w:rsid w:val="00C93955"/>
    <w:rsid w:val="00C9450C"/>
    <w:rsid w:val="00C949CA"/>
    <w:rsid w:val="00C9538D"/>
    <w:rsid w:val="00C954C7"/>
    <w:rsid w:val="00C95757"/>
    <w:rsid w:val="00C95BD6"/>
    <w:rsid w:val="00C96290"/>
    <w:rsid w:val="00C96292"/>
    <w:rsid w:val="00C96BB8"/>
    <w:rsid w:val="00CA1B9E"/>
    <w:rsid w:val="00CA1DF3"/>
    <w:rsid w:val="00CA2B15"/>
    <w:rsid w:val="00CA2C33"/>
    <w:rsid w:val="00CA3624"/>
    <w:rsid w:val="00CA3EDC"/>
    <w:rsid w:val="00CA487E"/>
    <w:rsid w:val="00CA601A"/>
    <w:rsid w:val="00CA67BF"/>
    <w:rsid w:val="00CA6E26"/>
    <w:rsid w:val="00CB0499"/>
    <w:rsid w:val="00CB0A29"/>
    <w:rsid w:val="00CB0CEE"/>
    <w:rsid w:val="00CB3CE5"/>
    <w:rsid w:val="00CB3FEA"/>
    <w:rsid w:val="00CB46A6"/>
    <w:rsid w:val="00CB47CC"/>
    <w:rsid w:val="00CB5EA1"/>
    <w:rsid w:val="00CB6869"/>
    <w:rsid w:val="00CB70F2"/>
    <w:rsid w:val="00CB7354"/>
    <w:rsid w:val="00CC0922"/>
    <w:rsid w:val="00CC0E59"/>
    <w:rsid w:val="00CC17B5"/>
    <w:rsid w:val="00CC1901"/>
    <w:rsid w:val="00CC2450"/>
    <w:rsid w:val="00CC2516"/>
    <w:rsid w:val="00CC55CC"/>
    <w:rsid w:val="00CC5754"/>
    <w:rsid w:val="00CC5B7D"/>
    <w:rsid w:val="00CC6A38"/>
    <w:rsid w:val="00CC7814"/>
    <w:rsid w:val="00CD009E"/>
    <w:rsid w:val="00CD0380"/>
    <w:rsid w:val="00CD063B"/>
    <w:rsid w:val="00CD0F10"/>
    <w:rsid w:val="00CD15A0"/>
    <w:rsid w:val="00CD1675"/>
    <w:rsid w:val="00CD2285"/>
    <w:rsid w:val="00CD256C"/>
    <w:rsid w:val="00CD3C33"/>
    <w:rsid w:val="00CD3E89"/>
    <w:rsid w:val="00CD44D9"/>
    <w:rsid w:val="00CD556D"/>
    <w:rsid w:val="00CD5E39"/>
    <w:rsid w:val="00CD678A"/>
    <w:rsid w:val="00CD7B80"/>
    <w:rsid w:val="00CD7D63"/>
    <w:rsid w:val="00CE04FD"/>
    <w:rsid w:val="00CE1073"/>
    <w:rsid w:val="00CE13E8"/>
    <w:rsid w:val="00CE1B3B"/>
    <w:rsid w:val="00CE246A"/>
    <w:rsid w:val="00CE2617"/>
    <w:rsid w:val="00CE2C57"/>
    <w:rsid w:val="00CE3D39"/>
    <w:rsid w:val="00CE45A5"/>
    <w:rsid w:val="00CE49EA"/>
    <w:rsid w:val="00CE5997"/>
    <w:rsid w:val="00CE673C"/>
    <w:rsid w:val="00CE6752"/>
    <w:rsid w:val="00CE68F0"/>
    <w:rsid w:val="00CE70C8"/>
    <w:rsid w:val="00CE7243"/>
    <w:rsid w:val="00CE7FE8"/>
    <w:rsid w:val="00CF132A"/>
    <w:rsid w:val="00CF1547"/>
    <w:rsid w:val="00CF1599"/>
    <w:rsid w:val="00CF168B"/>
    <w:rsid w:val="00CF1EA8"/>
    <w:rsid w:val="00CF29CF"/>
    <w:rsid w:val="00CF3602"/>
    <w:rsid w:val="00CF37F3"/>
    <w:rsid w:val="00CF562A"/>
    <w:rsid w:val="00CF5D17"/>
    <w:rsid w:val="00D0188B"/>
    <w:rsid w:val="00D024F9"/>
    <w:rsid w:val="00D02BCE"/>
    <w:rsid w:val="00D02C19"/>
    <w:rsid w:val="00D039CD"/>
    <w:rsid w:val="00D03F91"/>
    <w:rsid w:val="00D05AF3"/>
    <w:rsid w:val="00D0618A"/>
    <w:rsid w:val="00D06350"/>
    <w:rsid w:val="00D0682E"/>
    <w:rsid w:val="00D07798"/>
    <w:rsid w:val="00D102D6"/>
    <w:rsid w:val="00D12C0B"/>
    <w:rsid w:val="00D13501"/>
    <w:rsid w:val="00D13BBD"/>
    <w:rsid w:val="00D13FA4"/>
    <w:rsid w:val="00D14615"/>
    <w:rsid w:val="00D1492D"/>
    <w:rsid w:val="00D161CE"/>
    <w:rsid w:val="00D167B2"/>
    <w:rsid w:val="00D16801"/>
    <w:rsid w:val="00D17753"/>
    <w:rsid w:val="00D17D50"/>
    <w:rsid w:val="00D20539"/>
    <w:rsid w:val="00D20F23"/>
    <w:rsid w:val="00D21447"/>
    <w:rsid w:val="00D21B83"/>
    <w:rsid w:val="00D22583"/>
    <w:rsid w:val="00D2361C"/>
    <w:rsid w:val="00D256BD"/>
    <w:rsid w:val="00D25FCA"/>
    <w:rsid w:val="00D261B1"/>
    <w:rsid w:val="00D26D23"/>
    <w:rsid w:val="00D27180"/>
    <w:rsid w:val="00D31267"/>
    <w:rsid w:val="00D31975"/>
    <w:rsid w:val="00D31BCF"/>
    <w:rsid w:val="00D31E7C"/>
    <w:rsid w:val="00D324E9"/>
    <w:rsid w:val="00D34B67"/>
    <w:rsid w:val="00D4012C"/>
    <w:rsid w:val="00D40203"/>
    <w:rsid w:val="00D40D7C"/>
    <w:rsid w:val="00D41833"/>
    <w:rsid w:val="00D42C77"/>
    <w:rsid w:val="00D437F1"/>
    <w:rsid w:val="00D439AE"/>
    <w:rsid w:val="00D43BB8"/>
    <w:rsid w:val="00D4460E"/>
    <w:rsid w:val="00D44B92"/>
    <w:rsid w:val="00D468DD"/>
    <w:rsid w:val="00D47493"/>
    <w:rsid w:val="00D479D1"/>
    <w:rsid w:val="00D479F0"/>
    <w:rsid w:val="00D50BB5"/>
    <w:rsid w:val="00D50C65"/>
    <w:rsid w:val="00D50DED"/>
    <w:rsid w:val="00D52743"/>
    <w:rsid w:val="00D535A8"/>
    <w:rsid w:val="00D53ADD"/>
    <w:rsid w:val="00D53C30"/>
    <w:rsid w:val="00D547DA"/>
    <w:rsid w:val="00D54F2D"/>
    <w:rsid w:val="00D551BC"/>
    <w:rsid w:val="00D5766C"/>
    <w:rsid w:val="00D576E9"/>
    <w:rsid w:val="00D577AD"/>
    <w:rsid w:val="00D5795A"/>
    <w:rsid w:val="00D60379"/>
    <w:rsid w:val="00D60812"/>
    <w:rsid w:val="00D610E6"/>
    <w:rsid w:val="00D6187C"/>
    <w:rsid w:val="00D61CD7"/>
    <w:rsid w:val="00D62110"/>
    <w:rsid w:val="00D630EF"/>
    <w:rsid w:val="00D643BB"/>
    <w:rsid w:val="00D643F6"/>
    <w:rsid w:val="00D66C33"/>
    <w:rsid w:val="00D66F0E"/>
    <w:rsid w:val="00D67D96"/>
    <w:rsid w:val="00D7119E"/>
    <w:rsid w:val="00D72256"/>
    <w:rsid w:val="00D73C27"/>
    <w:rsid w:val="00D75BB1"/>
    <w:rsid w:val="00D76560"/>
    <w:rsid w:val="00D765F0"/>
    <w:rsid w:val="00D76FC9"/>
    <w:rsid w:val="00D773BD"/>
    <w:rsid w:val="00D774E2"/>
    <w:rsid w:val="00D779FC"/>
    <w:rsid w:val="00D80247"/>
    <w:rsid w:val="00D81C64"/>
    <w:rsid w:val="00D81EBF"/>
    <w:rsid w:val="00D82D93"/>
    <w:rsid w:val="00D8514E"/>
    <w:rsid w:val="00D85A42"/>
    <w:rsid w:val="00D85F3D"/>
    <w:rsid w:val="00D8652F"/>
    <w:rsid w:val="00D8680A"/>
    <w:rsid w:val="00D86FDF"/>
    <w:rsid w:val="00D918B7"/>
    <w:rsid w:val="00D93958"/>
    <w:rsid w:val="00D94957"/>
    <w:rsid w:val="00D958BA"/>
    <w:rsid w:val="00D9596D"/>
    <w:rsid w:val="00D95C18"/>
    <w:rsid w:val="00D9706F"/>
    <w:rsid w:val="00D97177"/>
    <w:rsid w:val="00D971B8"/>
    <w:rsid w:val="00D9772B"/>
    <w:rsid w:val="00D978FE"/>
    <w:rsid w:val="00D97ECD"/>
    <w:rsid w:val="00DA06EB"/>
    <w:rsid w:val="00DA1379"/>
    <w:rsid w:val="00DA391F"/>
    <w:rsid w:val="00DA59DE"/>
    <w:rsid w:val="00DA6A61"/>
    <w:rsid w:val="00DA78BF"/>
    <w:rsid w:val="00DB23FD"/>
    <w:rsid w:val="00DB3669"/>
    <w:rsid w:val="00DB4519"/>
    <w:rsid w:val="00DB6DCE"/>
    <w:rsid w:val="00DC135E"/>
    <w:rsid w:val="00DC25AE"/>
    <w:rsid w:val="00DC26A2"/>
    <w:rsid w:val="00DC307F"/>
    <w:rsid w:val="00DC393B"/>
    <w:rsid w:val="00DC3DA7"/>
    <w:rsid w:val="00DC4BD3"/>
    <w:rsid w:val="00DC4D61"/>
    <w:rsid w:val="00DC6411"/>
    <w:rsid w:val="00DC69A6"/>
    <w:rsid w:val="00DC7048"/>
    <w:rsid w:val="00DC7211"/>
    <w:rsid w:val="00DC72E0"/>
    <w:rsid w:val="00DC7ECE"/>
    <w:rsid w:val="00DD0277"/>
    <w:rsid w:val="00DD05F3"/>
    <w:rsid w:val="00DD1D74"/>
    <w:rsid w:val="00DD2444"/>
    <w:rsid w:val="00DD3051"/>
    <w:rsid w:val="00DD3216"/>
    <w:rsid w:val="00DD322B"/>
    <w:rsid w:val="00DD3FD8"/>
    <w:rsid w:val="00DD5278"/>
    <w:rsid w:val="00DD5B09"/>
    <w:rsid w:val="00DD61AB"/>
    <w:rsid w:val="00DD6B4A"/>
    <w:rsid w:val="00DD7BC2"/>
    <w:rsid w:val="00DE0530"/>
    <w:rsid w:val="00DE128E"/>
    <w:rsid w:val="00DE236C"/>
    <w:rsid w:val="00DE29AA"/>
    <w:rsid w:val="00DE2E3E"/>
    <w:rsid w:val="00DE3C1D"/>
    <w:rsid w:val="00DE541B"/>
    <w:rsid w:val="00DE5439"/>
    <w:rsid w:val="00DE5EA2"/>
    <w:rsid w:val="00DE65B2"/>
    <w:rsid w:val="00DE6948"/>
    <w:rsid w:val="00DE6BAA"/>
    <w:rsid w:val="00DE7351"/>
    <w:rsid w:val="00DF00BD"/>
    <w:rsid w:val="00DF01C2"/>
    <w:rsid w:val="00DF0C4E"/>
    <w:rsid w:val="00DF1D05"/>
    <w:rsid w:val="00DF2151"/>
    <w:rsid w:val="00DF22D3"/>
    <w:rsid w:val="00DF2B56"/>
    <w:rsid w:val="00DF300B"/>
    <w:rsid w:val="00DF3023"/>
    <w:rsid w:val="00DF5EA3"/>
    <w:rsid w:val="00DF6078"/>
    <w:rsid w:val="00DF6300"/>
    <w:rsid w:val="00DF6F33"/>
    <w:rsid w:val="00E003CF"/>
    <w:rsid w:val="00E00B0B"/>
    <w:rsid w:val="00E040DC"/>
    <w:rsid w:val="00E041D9"/>
    <w:rsid w:val="00E04FAF"/>
    <w:rsid w:val="00E050CD"/>
    <w:rsid w:val="00E062DE"/>
    <w:rsid w:val="00E06F84"/>
    <w:rsid w:val="00E128DD"/>
    <w:rsid w:val="00E13F1A"/>
    <w:rsid w:val="00E157EA"/>
    <w:rsid w:val="00E173B4"/>
    <w:rsid w:val="00E178CF"/>
    <w:rsid w:val="00E17DA9"/>
    <w:rsid w:val="00E207EB"/>
    <w:rsid w:val="00E214A2"/>
    <w:rsid w:val="00E214C6"/>
    <w:rsid w:val="00E21D9C"/>
    <w:rsid w:val="00E22DAA"/>
    <w:rsid w:val="00E2435E"/>
    <w:rsid w:val="00E24955"/>
    <w:rsid w:val="00E25659"/>
    <w:rsid w:val="00E26546"/>
    <w:rsid w:val="00E269D2"/>
    <w:rsid w:val="00E27B8C"/>
    <w:rsid w:val="00E304BD"/>
    <w:rsid w:val="00E30B81"/>
    <w:rsid w:val="00E314F8"/>
    <w:rsid w:val="00E316DA"/>
    <w:rsid w:val="00E3212C"/>
    <w:rsid w:val="00E330DE"/>
    <w:rsid w:val="00E34A2F"/>
    <w:rsid w:val="00E34CA2"/>
    <w:rsid w:val="00E35739"/>
    <w:rsid w:val="00E35872"/>
    <w:rsid w:val="00E40143"/>
    <w:rsid w:val="00E40910"/>
    <w:rsid w:val="00E41D96"/>
    <w:rsid w:val="00E4250F"/>
    <w:rsid w:val="00E4284B"/>
    <w:rsid w:val="00E439F2"/>
    <w:rsid w:val="00E43C09"/>
    <w:rsid w:val="00E449B9"/>
    <w:rsid w:val="00E456A0"/>
    <w:rsid w:val="00E45A1C"/>
    <w:rsid w:val="00E4771A"/>
    <w:rsid w:val="00E50020"/>
    <w:rsid w:val="00E51113"/>
    <w:rsid w:val="00E51357"/>
    <w:rsid w:val="00E51427"/>
    <w:rsid w:val="00E51827"/>
    <w:rsid w:val="00E52223"/>
    <w:rsid w:val="00E53D3B"/>
    <w:rsid w:val="00E54628"/>
    <w:rsid w:val="00E547CD"/>
    <w:rsid w:val="00E555B7"/>
    <w:rsid w:val="00E555E2"/>
    <w:rsid w:val="00E5560C"/>
    <w:rsid w:val="00E56368"/>
    <w:rsid w:val="00E60068"/>
    <w:rsid w:val="00E6011C"/>
    <w:rsid w:val="00E61834"/>
    <w:rsid w:val="00E61AD0"/>
    <w:rsid w:val="00E634D7"/>
    <w:rsid w:val="00E647E3"/>
    <w:rsid w:val="00E647F8"/>
    <w:rsid w:val="00E6549E"/>
    <w:rsid w:val="00E65628"/>
    <w:rsid w:val="00E658AF"/>
    <w:rsid w:val="00E66230"/>
    <w:rsid w:val="00E66711"/>
    <w:rsid w:val="00E67187"/>
    <w:rsid w:val="00E70A91"/>
    <w:rsid w:val="00E72607"/>
    <w:rsid w:val="00E73C29"/>
    <w:rsid w:val="00E745DD"/>
    <w:rsid w:val="00E74995"/>
    <w:rsid w:val="00E74D87"/>
    <w:rsid w:val="00E76F7E"/>
    <w:rsid w:val="00E81687"/>
    <w:rsid w:val="00E81DAA"/>
    <w:rsid w:val="00E82655"/>
    <w:rsid w:val="00E8349A"/>
    <w:rsid w:val="00E834D5"/>
    <w:rsid w:val="00E85942"/>
    <w:rsid w:val="00E85EF8"/>
    <w:rsid w:val="00E8721F"/>
    <w:rsid w:val="00E878A2"/>
    <w:rsid w:val="00E87B2C"/>
    <w:rsid w:val="00E902CC"/>
    <w:rsid w:val="00E90587"/>
    <w:rsid w:val="00E905A1"/>
    <w:rsid w:val="00E9073B"/>
    <w:rsid w:val="00E90D7F"/>
    <w:rsid w:val="00E919C9"/>
    <w:rsid w:val="00E92125"/>
    <w:rsid w:val="00E92688"/>
    <w:rsid w:val="00E93284"/>
    <w:rsid w:val="00E94854"/>
    <w:rsid w:val="00E95F2A"/>
    <w:rsid w:val="00E96154"/>
    <w:rsid w:val="00E96794"/>
    <w:rsid w:val="00E97DE6"/>
    <w:rsid w:val="00EA291F"/>
    <w:rsid w:val="00EA414E"/>
    <w:rsid w:val="00EA46E1"/>
    <w:rsid w:val="00EA4A1D"/>
    <w:rsid w:val="00EA4EC6"/>
    <w:rsid w:val="00EA4F37"/>
    <w:rsid w:val="00EA56F1"/>
    <w:rsid w:val="00EA594D"/>
    <w:rsid w:val="00EA59B1"/>
    <w:rsid w:val="00EA5D55"/>
    <w:rsid w:val="00EA655C"/>
    <w:rsid w:val="00EA7386"/>
    <w:rsid w:val="00EA7896"/>
    <w:rsid w:val="00EA7D2D"/>
    <w:rsid w:val="00EB0B3E"/>
    <w:rsid w:val="00EB15DA"/>
    <w:rsid w:val="00EB24F2"/>
    <w:rsid w:val="00EB27E9"/>
    <w:rsid w:val="00EB2DEE"/>
    <w:rsid w:val="00EB5922"/>
    <w:rsid w:val="00EB5C51"/>
    <w:rsid w:val="00EB65FD"/>
    <w:rsid w:val="00EB6796"/>
    <w:rsid w:val="00EB6E5F"/>
    <w:rsid w:val="00EC0CBF"/>
    <w:rsid w:val="00EC14DF"/>
    <w:rsid w:val="00EC21B0"/>
    <w:rsid w:val="00EC2923"/>
    <w:rsid w:val="00EC29F7"/>
    <w:rsid w:val="00EC4744"/>
    <w:rsid w:val="00EC66ED"/>
    <w:rsid w:val="00EC6A17"/>
    <w:rsid w:val="00EC6B62"/>
    <w:rsid w:val="00EC6E73"/>
    <w:rsid w:val="00EC74E4"/>
    <w:rsid w:val="00ED05D8"/>
    <w:rsid w:val="00ED0926"/>
    <w:rsid w:val="00ED10DD"/>
    <w:rsid w:val="00ED15FC"/>
    <w:rsid w:val="00ED25C3"/>
    <w:rsid w:val="00ED3931"/>
    <w:rsid w:val="00ED4265"/>
    <w:rsid w:val="00ED48FF"/>
    <w:rsid w:val="00ED4F1D"/>
    <w:rsid w:val="00ED50BF"/>
    <w:rsid w:val="00ED65E0"/>
    <w:rsid w:val="00ED6B8E"/>
    <w:rsid w:val="00ED6D95"/>
    <w:rsid w:val="00ED6F02"/>
    <w:rsid w:val="00ED72C1"/>
    <w:rsid w:val="00EE1C1D"/>
    <w:rsid w:val="00EE3DC2"/>
    <w:rsid w:val="00EE3E01"/>
    <w:rsid w:val="00EE4DCA"/>
    <w:rsid w:val="00EE5189"/>
    <w:rsid w:val="00EE545E"/>
    <w:rsid w:val="00EE59E7"/>
    <w:rsid w:val="00EE5CB3"/>
    <w:rsid w:val="00EE6D33"/>
    <w:rsid w:val="00EE7350"/>
    <w:rsid w:val="00EE766B"/>
    <w:rsid w:val="00EE77CD"/>
    <w:rsid w:val="00EE7C36"/>
    <w:rsid w:val="00EF02C4"/>
    <w:rsid w:val="00EF0E64"/>
    <w:rsid w:val="00EF193B"/>
    <w:rsid w:val="00EF1ECE"/>
    <w:rsid w:val="00EF201E"/>
    <w:rsid w:val="00EF610A"/>
    <w:rsid w:val="00EF68EE"/>
    <w:rsid w:val="00EF77AD"/>
    <w:rsid w:val="00F01400"/>
    <w:rsid w:val="00F0192F"/>
    <w:rsid w:val="00F027B2"/>
    <w:rsid w:val="00F0355B"/>
    <w:rsid w:val="00F04080"/>
    <w:rsid w:val="00F05AA4"/>
    <w:rsid w:val="00F05DE3"/>
    <w:rsid w:val="00F06512"/>
    <w:rsid w:val="00F07935"/>
    <w:rsid w:val="00F10108"/>
    <w:rsid w:val="00F14B47"/>
    <w:rsid w:val="00F154E9"/>
    <w:rsid w:val="00F165C5"/>
    <w:rsid w:val="00F175F1"/>
    <w:rsid w:val="00F17D24"/>
    <w:rsid w:val="00F21327"/>
    <w:rsid w:val="00F23814"/>
    <w:rsid w:val="00F23AC8"/>
    <w:rsid w:val="00F2598E"/>
    <w:rsid w:val="00F26372"/>
    <w:rsid w:val="00F26462"/>
    <w:rsid w:val="00F26E93"/>
    <w:rsid w:val="00F27298"/>
    <w:rsid w:val="00F27530"/>
    <w:rsid w:val="00F3061D"/>
    <w:rsid w:val="00F32065"/>
    <w:rsid w:val="00F35186"/>
    <w:rsid w:val="00F36F25"/>
    <w:rsid w:val="00F37217"/>
    <w:rsid w:val="00F3742E"/>
    <w:rsid w:val="00F40CD7"/>
    <w:rsid w:val="00F40D52"/>
    <w:rsid w:val="00F40D6D"/>
    <w:rsid w:val="00F41BB6"/>
    <w:rsid w:val="00F420A4"/>
    <w:rsid w:val="00F42173"/>
    <w:rsid w:val="00F43948"/>
    <w:rsid w:val="00F43B2E"/>
    <w:rsid w:val="00F44458"/>
    <w:rsid w:val="00F44BDA"/>
    <w:rsid w:val="00F45F98"/>
    <w:rsid w:val="00F46B51"/>
    <w:rsid w:val="00F46E5F"/>
    <w:rsid w:val="00F47E44"/>
    <w:rsid w:val="00F506C7"/>
    <w:rsid w:val="00F50BB2"/>
    <w:rsid w:val="00F50ECD"/>
    <w:rsid w:val="00F51399"/>
    <w:rsid w:val="00F52E21"/>
    <w:rsid w:val="00F537A6"/>
    <w:rsid w:val="00F53846"/>
    <w:rsid w:val="00F544E4"/>
    <w:rsid w:val="00F548BB"/>
    <w:rsid w:val="00F54FCD"/>
    <w:rsid w:val="00F559EF"/>
    <w:rsid w:val="00F561B7"/>
    <w:rsid w:val="00F565E1"/>
    <w:rsid w:val="00F56AE7"/>
    <w:rsid w:val="00F577FF"/>
    <w:rsid w:val="00F60A3C"/>
    <w:rsid w:val="00F60C61"/>
    <w:rsid w:val="00F6237C"/>
    <w:rsid w:val="00F62D4C"/>
    <w:rsid w:val="00F62E24"/>
    <w:rsid w:val="00F652DB"/>
    <w:rsid w:val="00F65A0C"/>
    <w:rsid w:val="00F6622B"/>
    <w:rsid w:val="00F66E4D"/>
    <w:rsid w:val="00F7114A"/>
    <w:rsid w:val="00F7116F"/>
    <w:rsid w:val="00F7120A"/>
    <w:rsid w:val="00F71ABF"/>
    <w:rsid w:val="00F71B38"/>
    <w:rsid w:val="00F722B4"/>
    <w:rsid w:val="00F72364"/>
    <w:rsid w:val="00F734AA"/>
    <w:rsid w:val="00F73897"/>
    <w:rsid w:val="00F7391E"/>
    <w:rsid w:val="00F73C63"/>
    <w:rsid w:val="00F749CF"/>
    <w:rsid w:val="00F75541"/>
    <w:rsid w:val="00F75E56"/>
    <w:rsid w:val="00F772CE"/>
    <w:rsid w:val="00F772D4"/>
    <w:rsid w:val="00F80D22"/>
    <w:rsid w:val="00F81771"/>
    <w:rsid w:val="00F81E67"/>
    <w:rsid w:val="00F82959"/>
    <w:rsid w:val="00F8331E"/>
    <w:rsid w:val="00F839CD"/>
    <w:rsid w:val="00F83CCF"/>
    <w:rsid w:val="00F83D62"/>
    <w:rsid w:val="00F83E5C"/>
    <w:rsid w:val="00F8449A"/>
    <w:rsid w:val="00F84581"/>
    <w:rsid w:val="00F85552"/>
    <w:rsid w:val="00F856F0"/>
    <w:rsid w:val="00F86BE9"/>
    <w:rsid w:val="00F8728D"/>
    <w:rsid w:val="00F87CF3"/>
    <w:rsid w:val="00F917BF"/>
    <w:rsid w:val="00F91B79"/>
    <w:rsid w:val="00F92FF8"/>
    <w:rsid w:val="00F93242"/>
    <w:rsid w:val="00F93728"/>
    <w:rsid w:val="00F93D21"/>
    <w:rsid w:val="00F95783"/>
    <w:rsid w:val="00F96DFD"/>
    <w:rsid w:val="00F97AC4"/>
    <w:rsid w:val="00F97EC8"/>
    <w:rsid w:val="00FA2BAB"/>
    <w:rsid w:val="00FA32B7"/>
    <w:rsid w:val="00FA40A1"/>
    <w:rsid w:val="00FA5348"/>
    <w:rsid w:val="00FA7038"/>
    <w:rsid w:val="00FA7BC4"/>
    <w:rsid w:val="00FB0D2E"/>
    <w:rsid w:val="00FB1206"/>
    <w:rsid w:val="00FB150C"/>
    <w:rsid w:val="00FB1AF0"/>
    <w:rsid w:val="00FB2168"/>
    <w:rsid w:val="00FB2399"/>
    <w:rsid w:val="00FB281B"/>
    <w:rsid w:val="00FB39FE"/>
    <w:rsid w:val="00FB3B79"/>
    <w:rsid w:val="00FB541A"/>
    <w:rsid w:val="00FB58A2"/>
    <w:rsid w:val="00FB685E"/>
    <w:rsid w:val="00FB6AD2"/>
    <w:rsid w:val="00FB75E4"/>
    <w:rsid w:val="00FB7616"/>
    <w:rsid w:val="00FB79C0"/>
    <w:rsid w:val="00FC1388"/>
    <w:rsid w:val="00FC212F"/>
    <w:rsid w:val="00FC28CC"/>
    <w:rsid w:val="00FC28CD"/>
    <w:rsid w:val="00FC2900"/>
    <w:rsid w:val="00FC2E48"/>
    <w:rsid w:val="00FC30BF"/>
    <w:rsid w:val="00FC3144"/>
    <w:rsid w:val="00FC3EE0"/>
    <w:rsid w:val="00FC4003"/>
    <w:rsid w:val="00FC4006"/>
    <w:rsid w:val="00FC4F13"/>
    <w:rsid w:val="00FC57BC"/>
    <w:rsid w:val="00FC5A03"/>
    <w:rsid w:val="00FC6B73"/>
    <w:rsid w:val="00FD0DF1"/>
    <w:rsid w:val="00FD346C"/>
    <w:rsid w:val="00FD3B47"/>
    <w:rsid w:val="00FD3FF5"/>
    <w:rsid w:val="00FD50AD"/>
    <w:rsid w:val="00FD57B4"/>
    <w:rsid w:val="00FD5A2F"/>
    <w:rsid w:val="00FD65F5"/>
    <w:rsid w:val="00FE0482"/>
    <w:rsid w:val="00FE0998"/>
    <w:rsid w:val="00FE0E4B"/>
    <w:rsid w:val="00FE1325"/>
    <w:rsid w:val="00FE1986"/>
    <w:rsid w:val="00FE20A0"/>
    <w:rsid w:val="00FE25A3"/>
    <w:rsid w:val="00FE278F"/>
    <w:rsid w:val="00FE2879"/>
    <w:rsid w:val="00FE2A9A"/>
    <w:rsid w:val="00FE378D"/>
    <w:rsid w:val="00FE37FA"/>
    <w:rsid w:val="00FE3F90"/>
    <w:rsid w:val="00FE5503"/>
    <w:rsid w:val="00FE68EE"/>
    <w:rsid w:val="00FE77E7"/>
    <w:rsid w:val="00FF079F"/>
    <w:rsid w:val="00FF1039"/>
    <w:rsid w:val="00FF17BE"/>
    <w:rsid w:val="00FF1B7C"/>
    <w:rsid w:val="00FF1DF3"/>
    <w:rsid w:val="00FF2437"/>
    <w:rsid w:val="00FF2BC6"/>
    <w:rsid w:val="00FF37BE"/>
    <w:rsid w:val="00FF466B"/>
    <w:rsid w:val="00FF5425"/>
    <w:rsid w:val="00FF5D96"/>
    <w:rsid w:val="00FF66AB"/>
    <w:rsid w:val="00FF6E73"/>
    <w:rsid w:val="00FF79B4"/>
    <w:rsid w:val="00FF7E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C3EF4A"/>
  <w15:chartTrackingRefBased/>
  <w15:docId w15:val="{30799950-5A6B-4FC5-8D51-440D928F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69A"/>
    <w:rPr>
      <w:sz w:val="24"/>
      <w:szCs w:val="24"/>
    </w:rPr>
  </w:style>
  <w:style w:type="paragraph" w:styleId="Ttulo1">
    <w:name w:val="heading 1"/>
    <w:basedOn w:val="Normal"/>
    <w:next w:val="Normal"/>
    <w:link w:val="Ttulo1Char"/>
    <w:uiPriority w:val="99"/>
    <w:qFormat/>
    <w:rsid w:val="00C2569A"/>
    <w:pPr>
      <w:keepNext/>
      <w:outlineLvl w:val="0"/>
    </w:pPr>
    <w:rPr>
      <w:b/>
      <w:bCs/>
    </w:rPr>
  </w:style>
  <w:style w:type="paragraph" w:styleId="Ttulo2">
    <w:name w:val="heading 2"/>
    <w:basedOn w:val="Normal"/>
    <w:next w:val="Normal"/>
    <w:link w:val="Ttulo2Char"/>
    <w:uiPriority w:val="99"/>
    <w:qFormat/>
    <w:rsid w:val="00C2569A"/>
    <w:pPr>
      <w:keepNext/>
      <w:jc w:val="both"/>
      <w:outlineLvl w:val="1"/>
    </w:pPr>
    <w:rPr>
      <w:szCs w:val="20"/>
    </w:rPr>
  </w:style>
  <w:style w:type="paragraph" w:styleId="Ttulo3">
    <w:name w:val="heading 3"/>
    <w:basedOn w:val="Normal"/>
    <w:next w:val="Normal"/>
    <w:link w:val="Ttulo3Char"/>
    <w:uiPriority w:val="99"/>
    <w:qFormat/>
    <w:rsid w:val="00C2569A"/>
    <w:pPr>
      <w:keepNext/>
      <w:ind w:firstLine="136"/>
      <w:outlineLvl w:val="2"/>
    </w:pPr>
    <w:rPr>
      <w:rFonts w:ascii="Arial" w:hAnsi="Arial" w:cs="Arial"/>
      <w:i/>
      <w:iCs/>
      <w:sz w:val="16"/>
      <w:szCs w:val="14"/>
    </w:rPr>
  </w:style>
  <w:style w:type="paragraph" w:styleId="Ttulo4">
    <w:name w:val="heading 4"/>
    <w:basedOn w:val="Normal"/>
    <w:next w:val="Normal"/>
    <w:link w:val="Ttulo4Char"/>
    <w:uiPriority w:val="99"/>
    <w:qFormat/>
    <w:rsid w:val="00C2569A"/>
    <w:pPr>
      <w:keepNext/>
      <w:ind w:firstLine="136"/>
      <w:jc w:val="center"/>
      <w:outlineLvl w:val="3"/>
    </w:pPr>
    <w:rPr>
      <w:rFonts w:ascii="Arial" w:hAnsi="Arial" w:cs="Arial"/>
      <w:b/>
      <w:bCs/>
      <w:i/>
      <w:iCs/>
      <w:sz w:val="16"/>
      <w:szCs w:val="14"/>
      <w:lang w:val="en-US"/>
    </w:rPr>
  </w:style>
  <w:style w:type="paragraph" w:styleId="Ttulo5">
    <w:name w:val="heading 5"/>
    <w:basedOn w:val="Normal"/>
    <w:next w:val="Normal"/>
    <w:link w:val="Ttulo5Char"/>
    <w:uiPriority w:val="99"/>
    <w:qFormat/>
    <w:rsid w:val="00C2569A"/>
    <w:pPr>
      <w:keepNext/>
      <w:autoSpaceDE w:val="0"/>
      <w:autoSpaceDN w:val="0"/>
      <w:adjustRightInd w:val="0"/>
      <w:jc w:val="both"/>
      <w:outlineLvl w:val="4"/>
    </w:pPr>
    <w:rPr>
      <w:b/>
    </w:rPr>
  </w:style>
  <w:style w:type="paragraph" w:styleId="Ttulo6">
    <w:name w:val="heading 6"/>
    <w:basedOn w:val="Normal"/>
    <w:next w:val="Normal"/>
    <w:link w:val="Ttulo6Char"/>
    <w:uiPriority w:val="99"/>
    <w:qFormat/>
    <w:rsid w:val="00C2569A"/>
    <w:pPr>
      <w:keepNext/>
      <w:outlineLvl w:val="5"/>
    </w:pPr>
    <w:rPr>
      <w:rFonts w:ascii="Arial" w:hAnsi="Arial" w:cs="Arial"/>
      <w:b/>
      <w:bCs/>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1214F0"/>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1214F0"/>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1214F0"/>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1214F0"/>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1214F0"/>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1214F0"/>
    <w:rPr>
      <w:rFonts w:ascii="Calibri" w:hAnsi="Calibri" w:cs="Times New Roman"/>
      <w:b/>
      <w:bCs/>
    </w:rPr>
  </w:style>
  <w:style w:type="paragraph" w:styleId="Recuodecorpodetexto3">
    <w:name w:val="Body Text Indent 3"/>
    <w:basedOn w:val="Normal"/>
    <w:link w:val="Recuodecorpodetexto3Char"/>
    <w:uiPriority w:val="99"/>
    <w:rsid w:val="00C2569A"/>
    <w:pPr>
      <w:ind w:left="3060"/>
    </w:pPr>
    <w:rPr>
      <w:b/>
      <w:bCs/>
      <w:i/>
      <w:iCs/>
    </w:rPr>
  </w:style>
  <w:style w:type="character" w:customStyle="1" w:styleId="Recuodecorpodetexto3Char">
    <w:name w:val="Recuo de corpo de texto 3 Char"/>
    <w:basedOn w:val="Fontepargpadro"/>
    <w:link w:val="Recuodecorpodetexto3"/>
    <w:uiPriority w:val="99"/>
    <w:semiHidden/>
    <w:locked/>
    <w:rsid w:val="001214F0"/>
    <w:rPr>
      <w:rFonts w:cs="Times New Roman"/>
      <w:sz w:val="16"/>
      <w:szCs w:val="16"/>
    </w:rPr>
  </w:style>
  <w:style w:type="paragraph" w:styleId="Cabealho">
    <w:name w:val="header"/>
    <w:basedOn w:val="Normal"/>
    <w:link w:val="CabealhoChar"/>
    <w:uiPriority w:val="99"/>
    <w:rsid w:val="00C2569A"/>
    <w:pPr>
      <w:widowControl w:val="0"/>
      <w:tabs>
        <w:tab w:val="center" w:pos="4419"/>
        <w:tab w:val="right" w:pos="8838"/>
      </w:tabs>
    </w:pPr>
    <w:rPr>
      <w:sz w:val="20"/>
      <w:szCs w:val="20"/>
      <w:lang w:eastAsia="en-US"/>
    </w:rPr>
  </w:style>
  <w:style w:type="character" w:customStyle="1" w:styleId="CabealhoChar">
    <w:name w:val="Cabeçalho Char"/>
    <w:basedOn w:val="Fontepargpadro"/>
    <w:link w:val="Cabealho"/>
    <w:uiPriority w:val="99"/>
    <w:semiHidden/>
    <w:locked/>
    <w:rsid w:val="001214F0"/>
    <w:rPr>
      <w:rFonts w:cs="Times New Roman"/>
      <w:sz w:val="24"/>
      <w:szCs w:val="24"/>
    </w:rPr>
  </w:style>
  <w:style w:type="paragraph" w:styleId="Recuodecorpodetexto">
    <w:name w:val="Body Text Indent"/>
    <w:basedOn w:val="Normal"/>
    <w:link w:val="RecuodecorpodetextoChar"/>
    <w:rsid w:val="00C2569A"/>
    <w:pPr>
      <w:ind w:firstLine="708"/>
      <w:jc w:val="both"/>
    </w:pPr>
  </w:style>
  <w:style w:type="character" w:customStyle="1" w:styleId="RecuodecorpodetextoChar">
    <w:name w:val="Recuo de corpo de texto Char"/>
    <w:basedOn w:val="Fontepargpadro"/>
    <w:link w:val="Recuodecorpodetexto"/>
    <w:locked/>
    <w:rsid w:val="00563922"/>
    <w:rPr>
      <w:rFonts w:cs="Times New Roman"/>
      <w:sz w:val="24"/>
      <w:szCs w:val="24"/>
    </w:rPr>
  </w:style>
  <w:style w:type="paragraph" w:styleId="Recuodecorpodetexto2">
    <w:name w:val="Body Text Indent 2"/>
    <w:basedOn w:val="Normal"/>
    <w:link w:val="Recuodecorpodetexto2Char"/>
    <w:uiPriority w:val="99"/>
    <w:rsid w:val="00C2569A"/>
    <w:pPr>
      <w:spacing w:after="120"/>
      <w:ind w:firstLine="709"/>
      <w:jc w:val="both"/>
    </w:pPr>
    <w:rPr>
      <w:szCs w:val="20"/>
    </w:rPr>
  </w:style>
  <w:style w:type="character" w:customStyle="1" w:styleId="Recuodecorpodetexto2Char">
    <w:name w:val="Recuo de corpo de texto 2 Char"/>
    <w:basedOn w:val="Fontepargpadro"/>
    <w:link w:val="Recuodecorpodetexto2"/>
    <w:uiPriority w:val="99"/>
    <w:locked/>
    <w:rsid w:val="00332895"/>
    <w:rPr>
      <w:rFonts w:cs="Times New Roman"/>
      <w:sz w:val="24"/>
    </w:rPr>
  </w:style>
  <w:style w:type="paragraph" w:customStyle="1" w:styleId="xl29">
    <w:name w:val="xl29"/>
    <w:basedOn w:val="Normal"/>
    <w:uiPriority w:val="99"/>
    <w:rsid w:val="00C2569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0">
    <w:name w:val="xl30"/>
    <w:basedOn w:val="Normal"/>
    <w:uiPriority w:val="99"/>
    <w:rsid w:val="00C2569A"/>
    <w:pPr>
      <w:pBdr>
        <w:top w:val="single" w:sz="4" w:space="0" w:color="auto"/>
        <w:lef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1">
    <w:name w:val="xl31"/>
    <w:basedOn w:val="Normal"/>
    <w:uiPriority w:val="99"/>
    <w:rsid w:val="00C2569A"/>
    <w:pPr>
      <w:pBdr>
        <w:top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2">
    <w:name w:val="xl32"/>
    <w:basedOn w:val="Normal"/>
    <w:uiPriority w:val="99"/>
    <w:rsid w:val="00C2569A"/>
    <w:pPr>
      <w:pBdr>
        <w:top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3">
    <w:name w:val="xl33"/>
    <w:basedOn w:val="Normal"/>
    <w:uiPriority w:val="99"/>
    <w:rsid w:val="00C2569A"/>
    <w:pPr>
      <w:pBdr>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4">
    <w:name w:val="xl34"/>
    <w:basedOn w:val="Normal"/>
    <w:uiPriority w:val="99"/>
    <w:rsid w:val="00C2569A"/>
    <w:pPr>
      <w:pBdr>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5">
    <w:name w:val="xl35"/>
    <w:basedOn w:val="Normal"/>
    <w:uiPriority w:val="99"/>
    <w:rsid w:val="00C2569A"/>
    <w:pPr>
      <w:pBdr>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6">
    <w:name w:val="xl36"/>
    <w:basedOn w:val="Normal"/>
    <w:uiPriority w:val="99"/>
    <w:rsid w:val="00C256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7">
    <w:name w:val="xl37"/>
    <w:basedOn w:val="Normal"/>
    <w:uiPriority w:val="99"/>
    <w:rsid w:val="00C256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8">
    <w:name w:val="xl38"/>
    <w:basedOn w:val="Normal"/>
    <w:uiPriority w:val="99"/>
    <w:rsid w:val="00C2569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9">
    <w:name w:val="xl39"/>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0">
    <w:name w:val="xl40"/>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1">
    <w:name w:val="xl41"/>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2">
    <w:name w:val="xl42"/>
    <w:basedOn w:val="Normal"/>
    <w:uiPriority w:val="99"/>
    <w:rsid w:val="00C2569A"/>
    <w:pPr>
      <w:pBdr>
        <w:top w:val="single" w:sz="4" w:space="0" w:color="auto"/>
        <w:bottom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3">
    <w:name w:val="xl43"/>
    <w:basedOn w:val="Normal"/>
    <w:uiPriority w:val="99"/>
    <w:rsid w:val="00C2569A"/>
    <w:pPr>
      <w:pBdr>
        <w:top w:val="single" w:sz="4" w:space="0" w:color="auto"/>
        <w:bottom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4">
    <w:name w:val="xl44"/>
    <w:basedOn w:val="Normal"/>
    <w:uiPriority w:val="99"/>
    <w:rsid w:val="00C2569A"/>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7">
    <w:name w:val="xl27"/>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28">
    <w:name w:val="xl28"/>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styleId="Rodap">
    <w:name w:val="footer"/>
    <w:basedOn w:val="Normal"/>
    <w:link w:val="RodapChar"/>
    <w:uiPriority w:val="99"/>
    <w:rsid w:val="00C2569A"/>
    <w:pPr>
      <w:tabs>
        <w:tab w:val="center" w:pos="4419"/>
        <w:tab w:val="right" w:pos="8838"/>
      </w:tabs>
    </w:pPr>
  </w:style>
  <w:style w:type="character" w:customStyle="1" w:styleId="RodapChar">
    <w:name w:val="Rodapé Char"/>
    <w:basedOn w:val="Fontepargpadro"/>
    <w:link w:val="Rodap"/>
    <w:uiPriority w:val="99"/>
    <w:semiHidden/>
    <w:locked/>
    <w:rsid w:val="001214F0"/>
    <w:rPr>
      <w:rFonts w:cs="Times New Roman"/>
      <w:sz w:val="24"/>
      <w:szCs w:val="24"/>
    </w:rPr>
  </w:style>
  <w:style w:type="character" w:styleId="Nmerodepgina">
    <w:name w:val="page number"/>
    <w:basedOn w:val="Fontepargpadro"/>
    <w:uiPriority w:val="99"/>
    <w:rsid w:val="00C2569A"/>
    <w:rPr>
      <w:rFonts w:cs="Times New Roman"/>
    </w:rPr>
  </w:style>
  <w:style w:type="paragraph" w:styleId="Corpodetexto">
    <w:name w:val="Body Text"/>
    <w:basedOn w:val="Normal"/>
    <w:link w:val="CorpodetextoChar"/>
    <w:uiPriority w:val="99"/>
    <w:rsid w:val="00C2569A"/>
    <w:pPr>
      <w:jc w:val="both"/>
    </w:pPr>
    <w:rPr>
      <w:szCs w:val="20"/>
    </w:rPr>
  </w:style>
  <w:style w:type="character" w:customStyle="1" w:styleId="CorpodetextoChar">
    <w:name w:val="Corpo de texto Char"/>
    <w:basedOn w:val="Fontepargpadro"/>
    <w:link w:val="Corpodetexto"/>
    <w:uiPriority w:val="99"/>
    <w:semiHidden/>
    <w:locked/>
    <w:rsid w:val="001214F0"/>
    <w:rPr>
      <w:rFonts w:cs="Times New Roman"/>
      <w:sz w:val="24"/>
      <w:szCs w:val="24"/>
    </w:rPr>
  </w:style>
  <w:style w:type="paragraph" w:styleId="Textodenotaderodap">
    <w:name w:val="footnote text"/>
    <w:basedOn w:val="Normal"/>
    <w:link w:val="TextodenotaderodapChar"/>
    <w:uiPriority w:val="99"/>
    <w:semiHidden/>
    <w:rsid w:val="00C2569A"/>
    <w:rPr>
      <w:sz w:val="20"/>
      <w:szCs w:val="20"/>
    </w:rPr>
  </w:style>
  <w:style w:type="character" w:customStyle="1" w:styleId="TextodenotaderodapChar">
    <w:name w:val="Texto de nota de rodapé Char"/>
    <w:basedOn w:val="Fontepargpadro"/>
    <w:link w:val="Textodenotaderodap"/>
    <w:uiPriority w:val="99"/>
    <w:semiHidden/>
    <w:locked/>
    <w:rsid w:val="001214F0"/>
    <w:rPr>
      <w:rFonts w:cs="Times New Roman"/>
      <w:sz w:val="20"/>
      <w:szCs w:val="20"/>
    </w:rPr>
  </w:style>
  <w:style w:type="paragraph" w:customStyle="1" w:styleId="xl24">
    <w:name w:val="xl24"/>
    <w:basedOn w:val="Normal"/>
    <w:uiPriority w:val="99"/>
    <w:rsid w:val="00C2569A"/>
    <w:pPr>
      <w:pBdr>
        <w:top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color w:val="000000"/>
      <w:sz w:val="14"/>
      <w:szCs w:val="14"/>
    </w:rPr>
  </w:style>
  <w:style w:type="paragraph" w:customStyle="1" w:styleId="xl25">
    <w:name w:val="xl25"/>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b/>
      <w:bCs/>
      <w:i/>
      <w:iCs/>
      <w:color w:val="000000"/>
      <w:sz w:val="18"/>
      <w:szCs w:val="18"/>
    </w:rPr>
  </w:style>
  <w:style w:type="paragraph" w:customStyle="1" w:styleId="xl26">
    <w:name w:val="xl26"/>
    <w:basedOn w:val="Normal"/>
    <w:uiPriority w:val="99"/>
    <w:rsid w:val="00C2569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color w:val="000000"/>
      <w:sz w:val="18"/>
      <w:szCs w:val="18"/>
    </w:rPr>
  </w:style>
  <w:style w:type="paragraph" w:customStyle="1" w:styleId="xl45">
    <w:name w:val="xl45"/>
    <w:basedOn w:val="Normal"/>
    <w:uiPriority w:val="99"/>
    <w:rsid w:val="00C2569A"/>
    <w:pPr>
      <w:pBdr>
        <w:bottom w:val="single" w:sz="4" w:space="0" w:color="auto"/>
      </w:pBdr>
      <w:spacing w:before="100" w:beforeAutospacing="1" w:after="100" w:afterAutospacing="1"/>
    </w:pPr>
    <w:rPr>
      <w:rFonts w:ascii="Arial" w:eastAsia="Arial Unicode MS" w:hAnsi="Arial" w:cs="Arial"/>
      <w:color w:val="000000"/>
      <w:sz w:val="16"/>
      <w:szCs w:val="16"/>
    </w:rPr>
  </w:style>
  <w:style w:type="paragraph" w:customStyle="1" w:styleId="xl46">
    <w:name w:val="xl46"/>
    <w:basedOn w:val="Normal"/>
    <w:uiPriority w:val="99"/>
    <w:rsid w:val="00C2569A"/>
    <w:pPr>
      <w:pBdr>
        <w:bottom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47">
    <w:name w:val="xl47"/>
    <w:basedOn w:val="Normal"/>
    <w:uiPriority w:val="99"/>
    <w:rsid w:val="00C2569A"/>
    <w:pPr>
      <w:pBdr>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48">
    <w:name w:val="xl48"/>
    <w:basedOn w:val="Normal"/>
    <w:uiPriority w:val="99"/>
    <w:rsid w:val="00C2569A"/>
    <w:pPr>
      <w:pBdr>
        <w:bottom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49">
    <w:name w:val="xl49"/>
    <w:basedOn w:val="Normal"/>
    <w:uiPriority w:val="99"/>
    <w:rsid w:val="00C2569A"/>
    <w:pPr>
      <w:pBdr>
        <w:bottom w:val="single" w:sz="4" w:space="0" w:color="auto"/>
      </w:pBdr>
      <w:spacing w:before="100" w:beforeAutospacing="1" w:after="100" w:afterAutospacing="1"/>
      <w:jc w:val="right"/>
      <w:textAlignment w:val="center"/>
    </w:pPr>
    <w:rPr>
      <w:rFonts w:ascii="Arial" w:eastAsia="Arial Unicode MS" w:hAnsi="Arial" w:cs="Arial"/>
      <w:sz w:val="16"/>
      <w:szCs w:val="16"/>
    </w:rPr>
  </w:style>
  <w:style w:type="paragraph" w:customStyle="1" w:styleId="xl50">
    <w:name w:val="xl50"/>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51">
    <w:name w:val="xl51"/>
    <w:basedOn w:val="Normal"/>
    <w:uiPriority w:val="99"/>
    <w:rsid w:val="00C2569A"/>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52">
    <w:name w:val="xl52"/>
    <w:basedOn w:val="Normal"/>
    <w:uiPriority w:val="99"/>
    <w:rsid w:val="00C2569A"/>
    <w:pPr>
      <w:pBdr>
        <w:top w:val="single" w:sz="4" w:space="0" w:color="auto"/>
        <w:bottom w:val="single" w:sz="4" w:space="0" w:color="auto"/>
      </w:pBdr>
      <w:spacing w:before="100" w:beforeAutospacing="1" w:after="100" w:afterAutospacing="1"/>
      <w:jc w:val="right"/>
      <w:textAlignment w:val="center"/>
    </w:pPr>
    <w:rPr>
      <w:rFonts w:ascii="Arial" w:eastAsia="Arial Unicode MS" w:hAnsi="Arial" w:cs="Arial"/>
      <w:sz w:val="16"/>
      <w:szCs w:val="16"/>
    </w:rPr>
  </w:style>
  <w:style w:type="paragraph" w:customStyle="1" w:styleId="xl53">
    <w:name w:val="xl53"/>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54">
    <w:name w:val="xl54"/>
    <w:basedOn w:val="Normal"/>
    <w:uiPriority w:val="99"/>
    <w:rsid w:val="00C2569A"/>
    <w:pPr>
      <w:spacing w:before="100" w:beforeAutospacing="1" w:after="100" w:afterAutospacing="1"/>
      <w:jc w:val="center"/>
    </w:pPr>
    <w:rPr>
      <w:rFonts w:ascii="Arial" w:eastAsia="Arial Unicode MS" w:hAnsi="Arial" w:cs="Arial"/>
      <w:sz w:val="16"/>
      <w:szCs w:val="16"/>
    </w:rPr>
  </w:style>
  <w:style w:type="paragraph" w:customStyle="1" w:styleId="xl55">
    <w:name w:val="xl55"/>
    <w:basedOn w:val="Normal"/>
    <w:uiPriority w:val="99"/>
    <w:rsid w:val="00C2569A"/>
    <w:pPr>
      <w:spacing w:before="100" w:beforeAutospacing="1" w:after="100" w:afterAutospacing="1"/>
    </w:pPr>
    <w:rPr>
      <w:rFonts w:eastAsia="Arial Unicode MS"/>
    </w:rPr>
  </w:style>
  <w:style w:type="paragraph" w:styleId="Textodebalo">
    <w:name w:val="Balloon Text"/>
    <w:basedOn w:val="Normal"/>
    <w:link w:val="TextodebaloChar"/>
    <w:uiPriority w:val="99"/>
    <w:semiHidden/>
    <w:rsid w:val="00C2569A"/>
    <w:rPr>
      <w:rFonts w:ascii="Tahoma" w:hAnsi="Tahoma" w:cs="Tahoma"/>
      <w:sz w:val="16"/>
      <w:szCs w:val="16"/>
    </w:rPr>
  </w:style>
  <w:style w:type="character" w:customStyle="1" w:styleId="TextodebaloChar">
    <w:name w:val="Texto de balão Char"/>
    <w:basedOn w:val="Fontepargpadro"/>
    <w:link w:val="Textodebalo"/>
    <w:uiPriority w:val="99"/>
    <w:semiHidden/>
    <w:locked/>
    <w:rsid w:val="001214F0"/>
    <w:rPr>
      <w:rFonts w:cs="Times New Roman"/>
      <w:sz w:val="2"/>
    </w:rPr>
  </w:style>
  <w:style w:type="character" w:styleId="Hyperlink">
    <w:name w:val="Hyperlink"/>
    <w:basedOn w:val="Fontepargpadro"/>
    <w:uiPriority w:val="99"/>
    <w:rsid w:val="00C2569A"/>
    <w:rPr>
      <w:rFonts w:cs="Times New Roman"/>
      <w:color w:val="0000FF"/>
      <w:u w:val="single"/>
    </w:rPr>
  </w:style>
  <w:style w:type="character" w:styleId="HiperlinkVisitado">
    <w:name w:val="FollowedHyperlink"/>
    <w:basedOn w:val="Fontepargpadro"/>
    <w:uiPriority w:val="99"/>
    <w:rsid w:val="00C2569A"/>
    <w:rPr>
      <w:rFonts w:cs="Times New Roman"/>
      <w:color w:val="606420"/>
      <w:u w:val="single"/>
    </w:rPr>
  </w:style>
  <w:style w:type="character" w:styleId="Refdenotaderodap">
    <w:name w:val="footnote reference"/>
    <w:basedOn w:val="Fontepargpadro"/>
    <w:uiPriority w:val="99"/>
    <w:semiHidden/>
    <w:unhideWhenUsed/>
    <w:rsid w:val="003B63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261365">
      <w:bodyDiv w:val="1"/>
      <w:marLeft w:val="0"/>
      <w:marRight w:val="0"/>
      <w:marTop w:val="0"/>
      <w:marBottom w:val="0"/>
      <w:divBdr>
        <w:top w:val="none" w:sz="0" w:space="0" w:color="auto"/>
        <w:left w:val="none" w:sz="0" w:space="0" w:color="auto"/>
        <w:bottom w:val="none" w:sz="0" w:space="0" w:color="auto"/>
        <w:right w:val="none" w:sz="0" w:space="0" w:color="auto"/>
      </w:divBdr>
    </w:div>
    <w:div w:id="303974828">
      <w:bodyDiv w:val="1"/>
      <w:marLeft w:val="0"/>
      <w:marRight w:val="0"/>
      <w:marTop w:val="0"/>
      <w:marBottom w:val="0"/>
      <w:divBdr>
        <w:top w:val="none" w:sz="0" w:space="0" w:color="auto"/>
        <w:left w:val="none" w:sz="0" w:space="0" w:color="auto"/>
        <w:bottom w:val="none" w:sz="0" w:space="0" w:color="auto"/>
        <w:right w:val="none" w:sz="0" w:space="0" w:color="auto"/>
      </w:divBdr>
    </w:div>
    <w:div w:id="531378346">
      <w:bodyDiv w:val="1"/>
      <w:marLeft w:val="0"/>
      <w:marRight w:val="0"/>
      <w:marTop w:val="0"/>
      <w:marBottom w:val="0"/>
      <w:divBdr>
        <w:top w:val="none" w:sz="0" w:space="0" w:color="auto"/>
        <w:left w:val="none" w:sz="0" w:space="0" w:color="auto"/>
        <w:bottom w:val="none" w:sz="0" w:space="0" w:color="auto"/>
        <w:right w:val="none" w:sz="0" w:space="0" w:color="auto"/>
      </w:divBdr>
    </w:div>
    <w:div w:id="901676486">
      <w:marLeft w:val="0"/>
      <w:marRight w:val="0"/>
      <w:marTop w:val="0"/>
      <w:marBottom w:val="0"/>
      <w:divBdr>
        <w:top w:val="none" w:sz="0" w:space="0" w:color="auto"/>
        <w:left w:val="none" w:sz="0" w:space="0" w:color="auto"/>
        <w:bottom w:val="none" w:sz="0" w:space="0" w:color="auto"/>
        <w:right w:val="none" w:sz="0" w:space="0" w:color="auto"/>
      </w:divBdr>
    </w:div>
    <w:div w:id="901676487">
      <w:marLeft w:val="0"/>
      <w:marRight w:val="0"/>
      <w:marTop w:val="0"/>
      <w:marBottom w:val="0"/>
      <w:divBdr>
        <w:top w:val="none" w:sz="0" w:space="0" w:color="auto"/>
        <w:left w:val="none" w:sz="0" w:space="0" w:color="auto"/>
        <w:bottom w:val="none" w:sz="0" w:space="0" w:color="auto"/>
        <w:right w:val="none" w:sz="0" w:space="0" w:color="auto"/>
      </w:divBdr>
    </w:div>
    <w:div w:id="901676488">
      <w:marLeft w:val="0"/>
      <w:marRight w:val="0"/>
      <w:marTop w:val="0"/>
      <w:marBottom w:val="0"/>
      <w:divBdr>
        <w:top w:val="none" w:sz="0" w:space="0" w:color="auto"/>
        <w:left w:val="none" w:sz="0" w:space="0" w:color="auto"/>
        <w:bottom w:val="none" w:sz="0" w:space="0" w:color="auto"/>
        <w:right w:val="none" w:sz="0" w:space="0" w:color="auto"/>
      </w:divBdr>
    </w:div>
    <w:div w:id="901676489">
      <w:marLeft w:val="0"/>
      <w:marRight w:val="0"/>
      <w:marTop w:val="0"/>
      <w:marBottom w:val="0"/>
      <w:divBdr>
        <w:top w:val="none" w:sz="0" w:space="0" w:color="auto"/>
        <w:left w:val="none" w:sz="0" w:space="0" w:color="auto"/>
        <w:bottom w:val="none" w:sz="0" w:space="0" w:color="auto"/>
        <w:right w:val="none" w:sz="0" w:space="0" w:color="auto"/>
      </w:divBdr>
    </w:div>
    <w:div w:id="901676490">
      <w:marLeft w:val="0"/>
      <w:marRight w:val="0"/>
      <w:marTop w:val="0"/>
      <w:marBottom w:val="0"/>
      <w:divBdr>
        <w:top w:val="none" w:sz="0" w:space="0" w:color="auto"/>
        <w:left w:val="none" w:sz="0" w:space="0" w:color="auto"/>
        <w:bottom w:val="none" w:sz="0" w:space="0" w:color="auto"/>
        <w:right w:val="none" w:sz="0" w:space="0" w:color="auto"/>
      </w:divBdr>
    </w:div>
    <w:div w:id="901676491">
      <w:marLeft w:val="0"/>
      <w:marRight w:val="0"/>
      <w:marTop w:val="0"/>
      <w:marBottom w:val="0"/>
      <w:divBdr>
        <w:top w:val="none" w:sz="0" w:space="0" w:color="auto"/>
        <w:left w:val="none" w:sz="0" w:space="0" w:color="auto"/>
        <w:bottom w:val="none" w:sz="0" w:space="0" w:color="auto"/>
        <w:right w:val="none" w:sz="0" w:space="0" w:color="auto"/>
      </w:divBdr>
    </w:div>
    <w:div w:id="901676492">
      <w:marLeft w:val="0"/>
      <w:marRight w:val="0"/>
      <w:marTop w:val="0"/>
      <w:marBottom w:val="0"/>
      <w:divBdr>
        <w:top w:val="none" w:sz="0" w:space="0" w:color="auto"/>
        <w:left w:val="none" w:sz="0" w:space="0" w:color="auto"/>
        <w:bottom w:val="none" w:sz="0" w:space="0" w:color="auto"/>
        <w:right w:val="none" w:sz="0" w:space="0" w:color="auto"/>
      </w:divBdr>
    </w:div>
    <w:div w:id="901676493">
      <w:marLeft w:val="0"/>
      <w:marRight w:val="0"/>
      <w:marTop w:val="0"/>
      <w:marBottom w:val="0"/>
      <w:divBdr>
        <w:top w:val="none" w:sz="0" w:space="0" w:color="auto"/>
        <w:left w:val="none" w:sz="0" w:space="0" w:color="auto"/>
        <w:bottom w:val="none" w:sz="0" w:space="0" w:color="auto"/>
        <w:right w:val="none" w:sz="0" w:space="0" w:color="auto"/>
      </w:divBdr>
    </w:div>
    <w:div w:id="901676494">
      <w:marLeft w:val="0"/>
      <w:marRight w:val="0"/>
      <w:marTop w:val="0"/>
      <w:marBottom w:val="0"/>
      <w:divBdr>
        <w:top w:val="none" w:sz="0" w:space="0" w:color="auto"/>
        <w:left w:val="none" w:sz="0" w:space="0" w:color="auto"/>
        <w:bottom w:val="none" w:sz="0" w:space="0" w:color="auto"/>
        <w:right w:val="none" w:sz="0" w:space="0" w:color="auto"/>
      </w:divBdr>
    </w:div>
    <w:div w:id="901676495">
      <w:marLeft w:val="0"/>
      <w:marRight w:val="0"/>
      <w:marTop w:val="0"/>
      <w:marBottom w:val="0"/>
      <w:divBdr>
        <w:top w:val="none" w:sz="0" w:space="0" w:color="auto"/>
        <w:left w:val="none" w:sz="0" w:space="0" w:color="auto"/>
        <w:bottom w:val="none" w:sz="0" w:space="0" w:color="auto"/>
        <w:right w:val="none" w:sz="0" w:space="0" w:color="auto"/>
      </w:divBdr>
    </w:div>
    <w:div w:id="901676496">
      <w:marLeft w:val="0"/>
      <w:marRight w:val="0"/>
      <w:marTop w:val="0"/>
      <w:marBottom w:val="0"/>
      <w:divBdr>
        <w:top w:val="none" w:sz="0" w:space="0" w:color="auto"/>
        <w:left w:val="none" w:sz="0" w:space="0" w:color="auto"/>
        <w:bottom w:val="none" w:sz="0" w:space="0" w:color="auto"/>
        <w:right w:val="none" w:sz="0" w:space="0" w:color="auto"/>
      </w:divBdr>
    </w:div>
    <w:div w:id="901676497">
      <w:marLeft w:val="0"/>
      <w:marRight w:val="0"/>
      <w:marTop w:val="0"/>
      <w:marBottom w:val="0"/>
      <w:divBdr>
        <w:top w:val="none" w:sz="0" w:space="0" w:color="auto"/>
        <w:left w:val="none" w:sz="0" w:space="0" w:color="auto"/>
        <w:bottom w:val="none" w:sz="0" w:space="0" w:color="auto"/>
        <w:right w:val="none" w:sz="0" w:space="0" w:color="auto"/>
      </w:divBdr>
    </w:div>
    <w:div w:id="901676498">
      <w:marLeft w:val="0"/>
      <w:marRight w:val="0"/>
      <w:marTop w:val="0"/>
      <w:marBottom w:val="0"/>
      <w:divBdr>
        <w:top w:val="none" w:sz="0" w:space="0" w:color="auto"/>
        <w:left w:val="none" w:sz="0" w:space="0" w:color="auto"/>
        <w:bottom w:val="none" w:sz="0" w:space="0" w:color="auto"/>
        <w:right w:val="none" w:sz="0" w:space="0" w:color="auto"/>
      </w:divBdr>
    </w:div>
    <w:div w:id="901676499">
      <w:marLeft w:val="0"/>
      <w:marRight w:val="0"/>
      <w:marTop w:val="0"/>
      <w:marBottom w:val="0"/>
      <w:divBdr>
        <w:top w:val="none" w:sz="0" w:space="0" w:color="auto"/>
        <w:left w:val="none" w:sz="0" w:space="0" w:color="auto"/>
        <w:bottom w:val="none" w:sz="0" w:space="0" w:color="auto"/>
        <w:right w:val="none" w:sz="0" w:space="0" w:color="auto"/>
      </w:divBdr>
    </w:div>
    <w:div w:id="901676500">
      <w:marLeft w:val="0"/>
      <w:marRight w:val="0"/>
      <w:marTop w:val="0"/>
      <w:marBottom w:val="0"/>
      <w:divBdr>
        <w:top w:val="none" w:sz="0" w:space="0" w:color="auto"/>
        <w:left w:val="none" w:sz="0" w:space="0" w:color="auto"/>
        <w:bottom w:val="none" w:sz="0" w:space="0" w:color="auto"/>
        <w:right w:val="none" w:sz="0" w:space="0" w:color="auto"/>
      </w:divBdr>
    </w:div>
    <w:div w:id="901676501">
      <w:marLeft w:val="0"/>
      <w:marRight w:val="0"/>
      <w:marTop w:val="0"/>
      <w:marBottom w:val="0"/>
      <w:divBdr>
        <w:top w:val="none" w:sz="0" w:space="0" w:color="auto"/>
        <w:left w:val="none" w:sz="0" w:space="0" w:color="auto"/>
        <w:bottom w:val="none" w:sz="0" w:space="0" w:color="auto"/>
        <w:right w:val="none" w:sz="0" w:space="0" w:color="auto"/>
      </w:divBdr>
    </w:div>
    <w:div w:id="901676502">
      <w:marLeft w:val="0"/>
      <w:marRight w:val="0"/>
      <w:marTop w:val="0"/>
      <w:marBottom w:val="0"/>
      <w:divBdr>
        <w:top w:val="none" w:sz="0" w:space="0" w:color="auto"/>
        <w:left w:val="none" w:sz="0" w:space="0" w:color="auto"/>
        <w:bottom w:val="none" w:sz="0" w:space="0" w:color="auto"/>
        <w:right w:val="none" w:sz="0" w:space="0" w:color="auto"/>
      </w:divBdr>
    </w:div>
    <w:div w:id="901676503">
      <w:marLeft w:val="0"/>
      <w:marRight w:val="0"/>
      <w:marTop w:val="0"/>
      <w:marBottom w:val="0"/>
      <w:divBdr>
        <w:top w:val="none" w:sz="0" w:space="0" w:color="auto"/>
        <w:left w:val="none" w:sz="0" w:space="0" w:color="auto"/>
        <w:bottom w:val="none" w:sz="0" w:space="0" w:color="auto"/>
        <w:right w:val="none" w:sz="0" w:space="0" w:color="auto"/>
      </w:divBdr>
    </w:div>
    <w:div w:id="901676504">
      <w:marLeft w:val="0"/>
      <w:marRight w:val="0"/>
      <w:marTop w:val="0"/>
      <w:marBottom w:val="0"/>
      <w:divBdr>
        <w:top w:val="none" w:sz="0" w:space="0" w:color="auto"/>
        <w:left w:val="none" w:sz="0" w:space="0" w:color="auto"/>
        <w:bottom w:val="none" w:sz="0" w:space="0" w:color="auto"/>
        <w:right w:val="none" w:sz="0" w:space="0" w:color="auto"/>
      </w:divBdr>
    </w:div>
    <w:div w:id="901676505">
      <w:marLeft w:val="0"/>
      <w:marRight w:val="0"/>
      <w:marTop w:val="0"/>
      <w:marBottom w:val="0"/>
      <w:divBdr>
        <w:top w:val="none" w:sz="0" w:space="0" w:color="auto"/>
        <w:left w:val="none" w:sz="0" w:space="0" w:color="auto"/>
        <w:bottom w:val="none" w:sz="0" w:space="0" w:color="auto"/>
        <w:right w:val="none" w:sz="0" w:space="0" w:color="auto"/>
      </w:divBdr>
    </w:div>
    <w:div w:id="901676506">
      <w:marLeft w:val="0"/>
      <w:marRight w:val="0"/>
      <w:marTop w:val="0"/>
      <w:marBottom w:val="0"/>
      <w:divBdr>
        <w:top w:val="none" w:sz="0" w:space="0" w:color="auto"/>
        <w:left w:val="none" w:sz="0" w:space="0" w:color="auto"/>
        <w:bottom w:val="none" w:sz="0" w:space="0" w:color="auto"/>
        <w:right w:val="none" w:sz="0" w:space="0" w:color="auto"/>
      </w:divBdr>
    </w:div>
    <w:div w:id="901676507">
      <w:marLeft w:val="0"/>
      <w:marRight w:val="0"/>
      <w:marTop w:val="0"/>
      <w:marBottom w:val="0"/>
      <w:divBdr>
        <w:top w:val="none" w:sz="0" w:space="0" w:color="auto"/>
        <w:left w:val="none" w:sz="0" w:space="0" w:color="auto"/>
        <w:bottom w:val="none" w:sz="0" w:space="0" w:color="auto"/>
        <w:right w:val="none" w:sz="0" w:space="0" w:color="auto"/>
      </w:divBdr>
    </w:div>
    <w:div w:id="901676508">
      <w:marLeft w:val="0"/>
      <w:marRight w:val="0"/>
      <w:marTop w:val="0"/>
      <w:marBottom w:val="0"/>
      <w:divBdr>
        <w:top w:val="none" w:sz="0" w:space="0" w:color="auto"/>
        <w:left w:val="none" w:sz="0" w:space="0" w:color="auto"/>
        <w:bottom w:val="none" w:sz="0" w:space="0" w:color="auto"/>
        <w:right w:val="none" w:sz="0" w:space="0" w:color="auto"/>
      </w:divBdr>
    </w:div>
    <w:div w:id="901676509">
      <w:marLeft w:val="0"/>
      <w:marRight w:val="0"/>
      <w:marTop w:val="0"/>
      <w:marBottom w:val="0"/>
      <w:divBdr>
        <w:top w:val="none" w:sz="0" w:space="0" w:color="auto"/>
        <w:left w:val="none" w:sz="0" w:space="0" w:color="auto"/>
        <w:bottom w:val="none" w:sz="0" w:space="0" w:color="auto"/>
        <w:right w:val="none" w:sz="0" w:space="0" w:color="auto"/>
      </w:divBdr>
    </w:div>
    <w:div w:id="901676510">
      <w:marLeft w:val="0"/>
      <w:marRight w:val="0"/>
      <w:marTop w:val="0"/>
      <w:marBottom w:val="0"/>
      <w:divBdr>
        <w:top w:val="none" w:sz="0" w:space="0" w:color="auto"/>
        <w:left w:val="none" w:sz="0" w:space="0" w:color="auto"/>
        <w:bottom w:val="none" w:sz="0" w:space="0" w:color="auto"/>
        <w:right w:val="none" w:sz="0" w:space="0" w:color="auto"/>
      </w:divBdr>
    </w:div>
    <w:div w:id="901676511">
      <w:marLeft w:val="0"/>
      <w:marRight w:val="0"/>
      <w:marTop w:val="0"/>
      <w:marBottom w:val="0"/>
      <w:divBdr>
        <w:top w:val="none" w:sz="0" w:space="0" w:color="auto"/>
        <w:left w:val="none" w:sz="0" w:space="0" w:color="auto"/>
        <w:bottom w:val="none" w:sz="0" w:space="0" w:color="auto"/>
        <w:right w:val="none" w:sz="0" w:space="0" w:color="auto"/>
      </w:divBdr>
    </w:div>
    <w:div w:id="901676512">
      <w:marLeft w:val="0"/>
      <w:marRight w:val="0"/>
      <w:marTop w:val="0"/>
      <w:marBottom w:val="0"/>
      <w:divBdr>
        <w:top w:val="none" w:sz="0" w:space="0" w:color="auto"/>
        <w:left w:val="none" w:sz="0" w:space="0" w:color="auto"/>
        <w:bottom w:val="none" w:sz="0" w:space="0" w:color="auto"/>
        <w:right w:val="none" w:sz="0" w:space="0" w:color="auto"/>
      </w:divBdr>
    </w:div>
    <w:div w:id="901676513">
      <w:marLeft w:val="0"/>
      <w:marRight w:val="0"/>
      <w:marTop w:val="0"/>
      <w:marBottom w:val="0"/>
      <w:divBdr>
        <w:top w:val="none" w:sz="0" w:space="0" w:color="auto"/>
        <w:left w:val="none" w:sz="0" w:space="0" w:color="auto"/>
        <w:bottom w:val="none" w:sz="0" w:space="0" w:color="auto"/>
        <w:right w:val="none" w:sz="0" w:space="0" w:color="auto"/>
      </w:divBdr>
    </w:div>
    <w:div w:id="901676514">
      <w:marLeft w:val="0"/>
      <w:marRight w:val="0"/>
      <w:marTop w:val="0"/>
      <w:marBottom w:val="0"/>
      <w:divBdr>
        <w:top w:val="none" w:sz="0" w:space="0" w:color="auto"/>
        <w:left w:val="none" w:sz="0" w:space="0" w:color="auto"/>
        <w:bottom w:val="none" w:sz="0" w:space="0" w:color="auto"/>
        <w:right w:val="none" w:sz="0" w:space="0" w:color="auto"/>
      </w:divBdr>
    </w:div>
    <w:div w:id="901676515">
      <w:marLeft w:val="0"/>
      <w:marRight w:val="0"/>
      <w:marTop w:val="0"/>
      <w:marBottom w:val="0"/>
      <w:divBdr>
        <w:top w:val="none" w:sz="0" w:space="0" w:color="auto"/>
        <w:left w:val="none" w:sz="0" w:space="0" w:color="auto"/>
        <w:bottom w:val="none" w:sz="0" w:space="0" w:color="auto"/>
        <w:right w:val="none" w:sz="0" w:space="0" w:color="auto"/>
      </w:divBdr>
    </w:div>
    <w:div w:id="901676516">
      <w:marLeft w:val="0"/>
      <w:marRight w:val="0"/>
      <w:marTop w:val="0"/>
      <w:marBottom w:val="0"/>
      <w:divBdr>
        <w:top w:val="none" w:sz="0" w:space="0" w:color="auto"/>
        <w:left w:val="none" w:sz="0" w:space="0" w:color="auto"/>
        <w:bottom w:val="none" w:sz="0" w:space="0" w:color="auto"/>
        <w:right w:val="none" w:sz="0" w:space="0" w:color="auto"/>
      </w:divBdr>
    </w:div>
    <w:div w:id="9016765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www.agrostat.agricultura.gov.br"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C217D6-57FC-4F01-B6BC-E8271D9B4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2182</TotalTime>
  <Pages>10</Pages>
  <Words>4602</Words>
  <Characters>24385</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Resultados do mês</vt:lpstr>
    </vt:vector>
  </TitlesOfParts>
  <Company>.</Company>
  <LinksUpToDate>false</LinksUpToDate>
  <CharactersWithSpaces>28930</CharactersWithSpaces>
  <SharedDoc>false</SharedDoc>
  <HLinks>
    <vt:vector size="6" baseType="variant">
      <vt:variant>
        <vt:i4>6553635</vt:i4>
      </vt:variant>
      <vt:variant>
        <vt:i4>0</vt:i4>
      </vt:variant>
      <vt:variant>
        <vt:i4>0</vt:i4>
      </vt:variant>
      <vt:variant>
        <vt:i4>5</vt:i4>
      </vt:variant>
      <vt:variant>
        <vt:lpwstr>http://www.agrostat.agricultura.gov.br/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Resultados do mês</dc:title>
  <dc:subject/>
  <dc:creator>.</dc:creator>
  <cp:keywords/>
  <cp:lastModifiedBy>Gastao Giometti</cp:lastModifiedBy>
  <cp:revision>55</cp:revision>
  <cp:lastPrinted>2015-01-09T11:18:00Z</cp:lastPrinted>
  <dcterms:created xsi:type="dcterms:W3CDTF">2019-08-08T20:58:00Z</dcterms:created>
  <dcterms:modified xsi:type="dcterms:W3CDTF">2019-08-14T13:57:00Z</dcterms:modified>
</cp:coreProperties>
</file>