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87B02" w:rsidRPr="00826906" w:rsidRDefault="00C87B02">
      <w:pPr>
        <w:pStyle w:val="Cabealho"/>
        <w:tabs>
          <w:tab w:val="clear" w:pos="4419"/>
          <w:tab w:val="clear" w:pos="8838"/>
        </w:tabs>
        <w:rPr>
          <w:rFonts w:ascii="Arial" w:hAnsi="Arial" w:cs="Arial"/>
          <w:b/>
        </w:rPr>
      </w:pPr>
      <w:r w:rsidRPr="00826906">
        <w:rPr>
          <w:rFonts w:ascii="Arial" w:hAnsi="Arial" w:cs="Arial"/>
          <w:b/>
        </w:rPr>
        <w:t>MINISTÉRIO DA AGRICULTURA, PECUÁRIA E ABASTECIMENTO</w:t>
      </w:r>
    </w:p>
    <w:p w:rsidR="00C87B02" w:rsidRPr="00826906" w:rsidRDefault="00C87B02">
      <w:pPr>
        <w:pStyle w:val="Cabealho"/>
        <w:tabs>
          <w:tab w:val="clear" w:pos="4419"/>
          <w:tab w:val="clear" w:pos="8838"/>
        </w:tabs>
        <w:rPr>
          <w:rFonts w:ascii="Arial" w:hAnsi="Arial" w:cs="Arial"/>
          <w:b/>
        </w:rPr>
      </w:pPr>
      <w:r w:rsidRPr="00826906">
        <w:rPr>
          <w:rFonts w:ascii="Arial" w:hAnsi="Arial" w:cs="Arial"/>
          <w:b/>
        </w:rPr>
        <w:t>Secretaria de</w:t>
      </w:r>
      <w:r w:rsidR="00902F2D">
        <w:rPr>
          <w:rFonts w:ascii="Arial" w:hAnsi="Arial" w:cs="Arial"/>
          <w:b/>
        </w:rPr>
        <w:t xml:space="preserve"> Comércio</w:t>
      </w:r>
      <w:r w:rsidRPr="00826906">
        <w:rPr>
          <w:rFonts w:ascii="Arial" w:hAnsi="Arial" w:cs="Arial"/>
          <w:b/>
        </w:rPr>
        <w:t xml:space="preserve"> </w:t>
      </w:r>
      <w:r w:rsidR="00902F2D">
        <w:rPr>
          <w:rFonts w:ascii="Arial" w:hAnsi="Arial" w:cs="Arial"/>
          <w:b/>
        </w:rPr>
        <w:t xml:space="preserve">e </w:t>
      </w:r>
      <w:r w:rsidRPr="00826906">
        <w:rPr>
          <w:rFonts w:ascii="Arial" w:hAnsi="Arial" w:cs="Arial"/>
          <w:b/>
        </w:rPr>
        <w:t xml:space="preserve">Relações Internacionais </w:t>
      </w:r>
    </w:p>
    <w:p w:rsidR="00C87B02" w:rsidRPr="00826906" w:rsidRDefault="00C87B02">
      <w:pPr>
        <w:pStyle w:val="Ttulo1"/>
        <w:rPr>
          <w:rFonts w:ascii="Arial" w:hAnsi="Arial" w:cs="Arial"/>
          <w:sz w:val="20"/>
          <w:szCs w:val="20"/>
        </w:rPr>
      </w:pPr>
    </w:p>
    <w:p w:rsidR="00C87B02" w:rsidRPr="00826906" w:rsidRDefault="00C87B02">
      <w:pPr>
        <w:pStyle w:val="Ttulo1"/>
        <w:rPr>
          <w:rFonts w:ascii="Arial" w:hAnsi="Arial" w:cs="Arial"/>
          <w:sz w:val="20"/>
          <w:szCs w:val="20"/>
        </w:rPr>
      </w:pPr>
      <w:r w:rsidRPr="00826906">
        <w:rPr>
          <w:rFonts w:ascii="Arial" w:hAnsi="Arial" w:cs="Arial"/>
          <w:sz w:val="20"/>
          <w:szCs w:val="20"/>
        </w:rPr>
        <w:t xml:space="preserve">Balança Comercial do Agronegócio – </w:t>
      </w:r>
      <w:r w:rsidR="00902F2D">
        <w:rPr>
          <w:rFonts w:ascii="Arial" w:hAnsi="Arial" w:cs="Arial"/>
          <w:sz w:val="20"/>
          <w:szCs w:val="20"/>
        </w:rPr>
        <w:t>Janeiro/2019</w:t>
      </w:r>
    </w:p>
    <w:p w:rsidR="008035E6" w:rsidRPr="00826906" w:rsidRDefault="008035E6" w:rsidP="008035E6">
      <w:pPr>
        <w:rPr>
          <w:rFonts w:ascii="Arial" w:hAnsi="Arial" w:cs="Arial"/>
        </w:rPr>
      </w:pPr>
    </w:p>
    <w:p w:rsidR="008035E6" w:rsidRPr="00826906" w:rsidRDefault="00902F2D" w:rsidP="008035E6">
      <w:pPr>
        <w:rPr>
          <w:rFonts w:ascii="Arial" w:hAnsi="Arial" w:cs="Arial"/>
        </w:rPr>
      </w:pPr>
      <w:r w:rsidRPr="00902F2D">
        <w:rPr>
          <w:noProof/>
        </w:rPr>
        <w:drawing>
          <wp:inline distT="0" distB="0" distL="0" distR="0" wp14:anchorId="133FE1A1" wp14:editId="2AF9E4DB">
            <wp:extent cx="6480175" cy="3051810"/>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6480175" cy="3051810"/>
                    </a:xfrm>
                    <a:prstGeom prst="rect">
                      <a:avLst/>
                    </a:prstGeom>
                  </pic:spPr>
                </pic:pic>
              </a:graphicData>
            </a:graphic>
          </wp:inline>
        </w:drawing>
      </w:r>
    </w:p>
    <w:p w:rsidR="00C87B02" w:rsidRPr="00826906" w:rsidRDefault="00C87B02">
      <w:pPr>
        <w:pStyle w:val="Ttulo5"/>
        <w:autoSpaceDE/>
        <w:autoSpaceDN/>
        <w:adjustRightInd/>
        <w:rPr>
          <w:rFonts w:ascii="Arial" w:hAnsi="Arial" w:cs="Arial"/>
          <w:sz w:val="20"/>
          <w:szCs w:val="20"/>
        </w:rPr>
      </w:pPr>
    </w:p>
    <w:p w:rsidR="00E04FAF" w:rsidRPr="00826906" w:rsidRDefault="00E04FAF">
      <w:pPr>
        <w:pStyle w:val="Ttulo5"/>
        <w:autoSpaceDE/>
        <w:autoSpaceDN/>
        <w:adjustRightInd/>
        <w:rPr>
          <w:rFonts w:ascii="Arial" w:hAnsi="Arial" w:cs="Arial"/>
          <w:sz w:val="20"/>
          <w:szCs w:val="20"/>
        </w:rPr>
      </w:pPr>
    </w:p>
    <w:p w:rsidR="00C87B02" w:rsidRPr="00826906" w:rsidRDefault="00C87B02">
      <w:pPr>
        <w:pStyle w:val="Ttulo5"/>
        <w:autoSpaceDE/>
        <w:autoSpaceDN/>
        <w:adjustRightInd/>
        <w:rPr>
          <w:rFonts w:ascii="Arial" w:hAnsi="Arial" w:cs="Arial"/>
          <w:sz w:val="20"/>
          <w:szCs w:val="20"/>
        </w:rPr>
      </w:pPr>
      <w:r w:rsidRPr="00826906">
        <w:rPr>
          <w:rFonts w:ascii="Arial" w:hAnsi="Arial" w:cs="Arial"/>
          <w:sz w:val="20"/>
          <w:szCs w:val="20"/>
        </w:rPr>
        <w:t xml:space="preserve">I </w:t>
      </w:r>
      <w:r w:rsidR="001D51EE" w:rsidRPr="00826906">
        <w:rPr>
          <w:rFonts w:ascii="Arial" w:hAnsi="Arial" w:cs="Arial"/>
          <w:sz w:val="20"/>
          <w:szCs w:val="20"/>
        </w:rPr>
        <w:t>–</w:t>
      </w:r>
      <w:r w:rsidRPr="00826906">
        <w:rPr>
          <w:rFonts w:ascii="Arial" w:hAnsi="Arial" w:cs="Arial"/>
          <w:sz w:val="20"/>
          <w:szCs w:val="20"/>
        </w:rPr>
        <w:t xml:space="preserve"> Resultados do mês</w:t>
      </w:r>
      <w:r w:rsidR="004215B4" w:rsidRPr="00826906">
        <w:rPr>
          <w:rFonts w:ascii="Arial" w:hAnsi="Arial" w:cs="Arial"/>
          <w:sz w:val="20"/>
          <w:szCs w:val="20"/>
        </w:rPr>
        <w:t xml:space="preserve"> (comparativo </w:t>
      </w:r>
      <w:r w:rsidR="00893DCA">
        <w:rPr>
          <w:rFonts w:ascii="Arial" w:hAnsi="Arial" w:cs="Arial"/>
          <w:sz w:val="20"/>
          <w:szCs w:val="20"/>
        </w:rPr>
        <w:t>Janeiro/2019</w:t>
      </w:r>
      <w:r w:rsidR="00D50BB5" w:rsidRPr="00826906">
        <w:rPr>
          <w:rFonts w:ascii="Arial" w:hAnsi="Arial" w:cs="Arial"/>
          <w:sz w:val="20"/>
          <w:szCs w:val="20"/>
        </w:rPr>
        <w:t xml:space="preserve"> – </w:t>
      </w:r>
      <w:r w:rsidR="00893DCA">
        <w:rPr>
          <w:rFonts w:ascii="Arial" w:hAnsi="Arial" w:cs="Arial"/>
          <w:sz w:val="20"/>
          <w:szCs w:val="20"/>
        </w:rPr>
        <w:t>Janeiro/2018</w:t>
      </w:r>
      <w:r w:rsidR="001D51EE" w:rsidRPr="00826906">
        <w:rPr>
          <w:rFonts w:ascii="Arial" w:hAnsi="Arial" w:cs="Arial"/>
          <w:sz w:val="20"/>
          <w:szCs w:val="20"/>
        </w:rPr>
        <w:t>)</w:t>
      </w:r>
    </w:p>
    <w:p w:rsidR="00A16A28" w:rsidRDefault="00A16A28" w:rsidP="00BA03E2">
      <w:pPr>
        <w:pStyle w:val="Recuodecorpodetexto"/>
        <w:rPr>
          <w:rFonts w:ascii="Arial" w:hAnsi="Arial" w:cs="Arial"/>
          <w:color w:val="000000" w:themeColor="text1"/>
          <w:sz w:val="20"/>
          <w:szCs w:val="20"/>
        </w:rPr>
      </w:pPr>
    </w:p>
    <w:p w:rsidR="00F13231" w:rsidRPr="00F13231" w:rsidRDefault="00F13231" w:rsidP="00F13231">
      <w:pPr>
        <w:jc w:val="both"/>
        <w:rPr>
          <w:sz w:val="22"/>
          <w:szCs w:val="22"/>
        </w:rPr>
      </w:pPr>
      <w:r w:rsidRPr="00F13231">
        <w:rPr>
          <w:sz w:val="22"/>
          <w:szCs w:val="22"/>
        </w:rPr>
        <w:t>As exportações brasileiras do agronegócio foram de US$ 6,63 bilhões em janeiro de 2019, o que correspondeu a um incremento de 7,4% em relação aos US$ 6,17 bilhões exportados em janeiro de 2018. O aumento das vendas externas ocorreu em função da elevação do índice de quantum das exportações, que subiu 8,9%. Por sua vez, o índice de preço das exportações brasileiras do agronegócio caiu 1,3%, reduzindo o impacto positivo da elevação da quantidade exportada.</w:t>
      </w:r>
    </w:p>
    <w:p w:rsidR="00F13231" w:rsidRPr="00F13231" w:rsidRDefault="00F13231" w:rsidP="00F13231">
      <w:pPr>
        <w:jc w:val="both"/>
        <w:rPr>
          <w:sz w:val="22"/>
          <w:szCs w:val="22"/>
        </w:rPr>
      </w:pPr>
    </w:p>
    <w:p w:rsidR="00F13231" w:rsidRPr="00F13231" w:rsidRDefault="00F13231" w:rsidP="00F13231">
      <w:pPr>
        <w:jc w:val="both"/>
        <w:rPr>
          <w:sz w:val="22"/>
          <w:szCs w:val="22"/>
        </w:rPr>
      </w:pPr>
      <w:r w:rsidRPr="00F13231">
        <w:rPr>
          <w:sz w:val="22"/>
          <w:szCs w:val="22"/>
        </w:rPr>
        <w:t>As exportações do agronegócio perderam participação relativa no mês de janeiro de 2019, diminuindo a participação de 36,2% em janeiro de 2018 para 35,7% em janeiro de 2019. A queda de 0,5 ponto percentual ocorreu em função do maior crescimento das exportações dos demais setores, que expandiram as vendas externas em 10,1% em comparação aos 7,4% de incremento nas exportações do agronegócio.</w:t>
      </w:r>
    </w:p>
    <w:p w:rsidR="00F13231" w:rsidRPr="00F13231" w:rsidRDefault="00F13231" w:rsidP="00F13231">
      <w:pPr>
        <w:jc w:val="both"/>
        <w:rPr>
          <w:sz w:val="22"/>
          <w:szCs w:val="22"/>
        </w:rPr>
      </w:pPr>
    </w:p>
    <w:p w:rsidR="00F13231" w:rsidRPr="00F13231" w:rsidRDefault="00F13231" w:rsidP="00F13231">
      <w:pPr>
        <w:jc w:val="both"/>
        <w:rPr>
          <w:sz w:val="22"/>
          <w:szCs w:val="22"/>
        </w:rPr>
      </w:pPr>
      <w:r w:rsidRPr="00F13231">
        <w:rPr>
          <w:sz w:val="22"/>
          <w:szCs w:val="22"/>
        </w:rPr>
        <w:t xml:space="preserve">As importações de produtos do agronegócio tiveram pequeno crescimento de 0,5%, subindo de US$ 1,236 bilhão em janeiro de 2018 para US$ 1,242 bilhão em janeiro de 2019. O índice de quantum das importações subiu 1,0% enquanto o índice de preço caiu 0,5%, resultando nessa expansão de 0,5% nas importações. </w:t>
      </w:r>
    </w:p>
    <w:p w:rsidR="00F13231" w:rsidRDefault="00F13231" w:rsidP="00BA03E2">
      <w:pPr>
        <w:pStyle w:val="Recuodecorpodetexto"/>
        <w:rPr>
          <w:rFonts w:ascii="Arial" w:hAnsi="Arial" w:cs="Arial"/>
          <w:color w:val="000000" w:themeColor="text1"/>
          <w:sz w:val="20"/>
          <w:szCs w:val="20"/>
        </w:rPr>
      </w:pPr>
    </w:p>
    <w:p w:rsidR="001A1062" w:rsidRPr="00826906" w:rsidRDefault="001A1062" w:rsidP="00437C17">
      <w:pPr>
        <w:pStyle w:val="Recuodecorpodetexto"/>
        <w:ind w:firstLine="0"/>
        <w:rPr>
          <w:rFonts w:ascii="Arial" w:hAnsi="Arial" w:cs="Arial"/>
          <w:color w:val="000000" w:themeColor="text1"/>
          <w:sz w:val="20"/>
          <w:szCs w:val="20"/>
        </w:rPr>
      </w:pPr>
    </w:p>
    <w:p w:rsidR="005F69F8" w:rsidRPr="00826906" w:rsidRDefault="005F69F8" w:rsidP="005F69F8">
      <w:pPr>
        <w:pStyle w:val="Ttulo5"/>
        <w:autoSpaceDE/>
        <w:autoSpaceDN/>
        <w:adjustRightInd/>
        <w:rPr>
          <w:rFonts w:ascii="Arial" w:hAnsi="Arial" w:cs="Arial"/>
          <w:sz w:val="20"/>
          <w:szCs w:val="20"/>
        </w:rPr>
      </w:pPr>
      <w:proofErr w:type="spellStart"/>
      <w:r w:rsidRPr="00826906">
        <w:rPr>
          <w:rFonts w:ascii="Arial" w:hAnsi="Arial" w:cs="Arial"/>
          <w:sz w:val="20"/>
          <w:szCs w:val="20"/>
        </w:rPr>
        <w:t>I.a</w:t>
      </w:r>
      <w:proofErr w:type="spellEnd"/>
      <w:r w:rsidRPr="00826906">
        <w:rPr>
          <w:rFonts w:ascii="Arial" w:hAnsi="Arial" w:cs="Arial"/>
          <w:sz w:val="20"/>
          <w:szCs w:val="20"/>
        </w:rPr>
        <w:t xml:space="preserve"> – Setores do Agronegócio</w:t>
      </w:r>
    </w:p>
    <w:p w:rsidR="008F18DE" w:rsidRDefault="008F18DE" w:rsidP="008F18DE">
      <w:pPr>
        <w:pStyle w:val="Recuodecorpodetexto"/>
        <w:rPr>
          <w:rFonts w:ascii="Arial" w:hAnsi="Arial" w:cs="Arial"/>
          <w:color w:val="000000" w:themeColor="text1"/>
          <w:sz w:val="20"/>
          <w:szCs w:val="20"/>
        </w:rPr>
      </w:pPr>
    </w:p>
    <w:p w:rsidR="00F13231" w:rsidRPr="00F13231" w:rsidRDefault="00F13231" w:rsidP="00F13231">
      <w:pPr>
        <w:jc w:val="both"/>
        <w:rPr>
          <w:sz w:val="22"/>
          <w:szCs w:val="22"/>
        </w:rPr>
      </w:pPr>
      <w:r w:rsidRPr="00F13231">
        <w:rPr>
          <w:sz w:val="22"/>
          <w:szCs w:val="22"/>
        </w:rPr>
        <w:t>Os cinco principais setores exportadores do agronegócio em janeiro de 2019 foram: produtos florestais (participação de 21,9%); complexo soja (participação de 20,1%); carnes (participação de 15,5%); cereais, farinhas e preparações (participação de 13,0%) e café (participação de 6,8%). Estes setores foram responsáveis por 77,3% do valor total exportado em produtos de agronegócio em janeiro de 2019. Em janeiro de 2018, os mesmos cinco setores foram responsáveis por 70,8% do valor total exportado. Ou seja, houve uma concentração da pauta exportadora do agronegócio na comparação entre os períodos.</w:t>
      </w:r>
    </w:p>
    <w:p w:rsidR="00F13231" w:rsidRPr="00F13231" w:rsidRDefault="00F13231" w:rsidP="00F13231">
      <w:pPr>
        <w:jc w:val="both"/>
        <w:rPr>
          <w:sz w:val="22"/>
          <w:szCs w:val="22"/>
        </w:rPr>
      </w:pPr>
    </w:p>
    <w:p w:rsidR="00F13231" w:rsidRPr="00F13231" w:rsidRDefault="00F13231" w:rsidP="00F13231">
      <w:pPr>
        <w:jc w:val="both"/>
        <w:rPr>
          <w:sz w:val="22"/>
          <w:szCs w:val="22"/>
        </w:rPr>
      </w:pPr>
      <w:r w:rsidRPr="00F13231">
        <w:rPr>
          <w:sz w:val="22"/>
          <w:szCs w:val="22"/>
        </w:rPr>
        <w:t xml:space="preserve">As exportações de produtos florestais foram de US$ 1,45 bilhão, recorde para os meses de janeiro. Com esse valor recorde, o setor assumiu pela primeira vez a posição de principal setor exportador do agronegócio. A exportações de celulose, principal produto exportado pelo setor, subiram de US$ 714,56 milhões em janeiro de 2018 para US$ 1,02 bilhão em janeiro de 2019 (+42,5%). Trata-se da primeira vez em que o Brasil exporta mais de um bilhão de dólares em celulose para os meses de janeiro. A quantidade exportada subiu 25,4% entre janeiro de 2018 e janeiro de 2019, atingindo a quantidade recorde de 1,73 milhão de toneladas exportadas, enquanto o preço médio de exportação do </w:t>
      </w:r>
      <w:r w:rsidRPr="00F13231">
        <w:rPr>
          <w:sz w:val="22"/>
          <w:szCs w:val="22"/>
        </w:rPr>
        <w:lastRenderedPageBreak/>
        <w:t xml:space="preserve">produto subiu 13,6% no período. Ainda no setor, as exportações de madeira e suas obras foram de US$ 255,19 milhões (-5,0%) enquanto as exportações de papel subiram 6,8%, chegando a US$ 177,43 milhões. </w:t>
      </w:r>
    </w:p>
    <w:p w:rsidR="00F13231" w:rsidRPr="00F13231" w:rsidRDefault="00F13231" w:rsidP="00F13231">
      <w:pPr>
        <w:jc w:val="both"/>
        <w:rPr>
          <w:sz w:val="22"/>
          <w:szCs w:val="22"/>
        </w:rPr>
      </w:pPr>
    </w:p>
    <w:p w:rsidR="00F13231" w:rsidRPr="00F13231" w:rsidRDefault="00F13231" w:rsidP="00F13231">
      <w:pPr>
        <w:jc w:val="both"/>
        <w:rPr>
          <w:sz w:val="22"/>
          <w:szCs w:val="22"/>
        </w:rPr>
      </w:pPr>
      <w:r w:rsidRPr="00F13231">
        <w:rPr>
          <w:sz w:val="22"/>
          <w:szCs w:val="22"/>
        </w:rPr>
        <w:t>As exportações do complexo soja subiram de US$ 1,03 bilhão em janeiro de 2018 para US$ 1,33 bilhão em janeiro de 2019 (+28,9%), recorde para os meses de janeiro.  As exportações de soja em grão também foram recorde para o mês de janeiro, tanto em quantidade quanto em valor exportado. As vendas externas do grão subiram de US$ 594,26 milhões em janeiro de 2018 para US$ 814,92 milhões em janeiro de 2019 (+37,1%), enquanto o volume embarcado subiu de 1,56 milhão de toneladas em janeiro de 2018 para 2,15 milhões de toneladas em janeiro de 2019.  Outros dois produtos exportados no setor foram: farelo de soja (US$ 481,68 milhões; +21,8%) e óleo de soja (US$ 33,09 milhões; -21,6%).</w:t>
      </w:r>
    </w:p>
    <w:p w:rsidR="00F13231" w:rsidRPr="00F13231" w:rsidRDefault="00F13231" w:rsidP="00F13231">
      <w:pPr>
        <w:jc w:val="both"/>
        <w:rPr>
          <w:sz w:val="22"/>
          <w:szCs w:val="22"/>
        </w:rPr>
      </w:pPr>
    </w:p>
    <w:p w:rsidR="00F13231" w:rsidRPr="00F13231" w:rsidRDefault="00F13231" w:rsidP="00F13231">
      <w:pPr>
        <w:jc w:val="both"/>
        <w:rPr>
          <w:sz w:val="22"/>
          <w:szCs w:val="22"/>
        </w:rPr>
      </w:pPr>
      <w:r w:rsidRPr="00F13231">
        <w:rPr>
          <w:sz w:val="22"/>
          <w:szCs w:val="22"/>
        </w:rPr>
        <w:t>As vendas externas de carnes tiveram retração em janeiro, diminuindo de US$ 1,19 bilhão para US$ 1,03 bilhão (-13,1%). A redução da quantidade exportada explica a queda das exportações do setor, embora o preço médio de exportação das carnes também tenha diminuído (-1,9%). A principal carne exportada em janeiro foi a carne bovina, com vendas externas de US$ 457,12 milhões (-11,8%). Na carne bovina, a queda dos preços de exportação em 11,2% explica em grande parte a redução do valor exportado. Na carne de frango, houve queda de 15,2% na quantidade exportada, fator que explica o recuo de 13,2% no valor das exportações do produto, que foi para US$ 445,44 milhões. Houve queda na quantidade exportada de carne de frango para os principais parceiros comerciais: Arábia Saudita (-28,3%); China (-2,8%); Japão (-24,1%); Emirados Árabes Unidos (-10,8%); Hong Kong (-47,4%). Ainda no setor, as exportações de carne suína foram de US$ 90,65 milhões (-17,9%) e de carne de peru US$ 7,41 milhões (-33,5%).</w:t>
      </w:r>
    </w:p>
    <w:p w:rsidR="00F13231" w:rsidRPr="00F13231" w:rsidRDefault="00F13231" w:rsidP="00F13231">
      <w:pPr>
        <w:jc w:val="both"/>
        <w:rPr>
          <w:sz w:val="22"/>
          <w:szCs w:val="22"/>
        </w:rPr>
      </w:pPr>
    </w:p>
    <w:p w:rsidR="00F13231" w:rsidRDefault="00F13231" w:rsidP="00F13231">
      <w:pPr>
        <w:jc w:val="both"/>
        <w:rPr>
          <w:sz w:val="22"/>
          <w:szCs w:val="22"/>
        </w:rPr>
      </w:pPr>
      <w:r w:rsidRPr="00F13231">
        <w:rPr>
          <w:sz w:val="22"/>
          <w:szCs w:val="22"/>
        </w:rPr>
        <w:t>As exportações de cereais, farinhas e preparações ficaram na quarta posição dentre os principais setores exportadores do agronegócio. O setor exportou US$ 864,61 milhões em janeiro de 2019, o que representou uma expansão de 58,5% em relação aos US$ 545,33 milhões exportados pelo setor em janeiro de 2018. O milho foi o principal cereal exportado, com US$ 734,08 milhões em exportações (+56,6%). A quantidade exportada de milho suplantou novamente 4 milhões de toneladas, volume só obtido em janeiro de 2016.</w:t>
      </w:r>
    </w:p>
    <w:p w:rsidR="00F13231" w:rsidRPr="00F13231" w:rsidRDefault="00F13231" w:rsidP="00F13231">
      <w:pPr>
        <w:jc w:val="both"/>
        <w:rPr>
          <w:sz w:val="22"/>
          <w:szCs w:val="22"/>
        </w:rPr>
      </w:pPr>
    </w:p>
    <w:p w:rsidR="00F13231" w:rsidRPr="00F13231" w:rsidRDefault="00F13231" w:rsidP="00F13231">
      <w:pPr>
        <w:jc w:val="both"/>
        <w:rPr>
          <w:sz w:val="22"/>
          <w:szCs w:val="22"/>
        </w:rPr>
      </w:pPr>
      <w:r w:rsidRPr="00F13231">
        <w:rPr>
          <w:sz w:val="22"/>
          <w:szCs w:val="22"/>
        </w:rPr>
        <w:t xml:space="preserve"> O quinto principal setor exportador em janeiro de 2019 foi o setor cafeeiro. As vendas externas de café foram de US$ 448,00 milhões (-1,0%), cifra superior à venda externa do complexo sucroalcooleiro (US$ 364,61 milhões; -42,5%), que em janeiro de 2018 ocupou a quinta posição dentre os principais setores exportadores do agronegócio com exportações de US$ 634,24 milhões. </w:t>
      </w:r>
    </w:p>
    <w:p w:rsidR="00F13231" w:rsidRPr="00F13231" w:rsidRDefault="00F13231" w:rsidP="00F13231">
      <w:pPr>
        <w:jc w:val="both"/>
        <w:rPr>
          <w:sz w:val="22"/>
          <w:szCs w:val="22"/>
        </w:rPr>
      </w:pPr>
    </w:p>
    <w:p w:rsidR="00F13231" w:rsidRDefault="00F13231" w:rsidP="00F13231">
      <w:pPr>
        <w:jc w:val="both"/>
        <w:rPr>
          <w:sz w:val="22"/>
          <w:szCs w:val="22"/>
        </w:rPr>
      </w:pPr>
      <w:r w:rsidRPr="00F13231">
        <w:rPr>
          <w:sz w:val="22"/>
          <w:szCs w:val="22"/>
        </w:rPr>
        <w:t xml:space="preserve">As exportações de café verde foram de US$ 408,42 milhões em janeiro de 2019 (-2,2%). O volume embarcado foi recorde para os meses de janeiro, com 182 mil toneladas (+15,9%). Todavia, o preço médio de exportação teve um recuo de US$ 2.660 por tonelada em janeiro de 2018 para US$ 2.244 em janeiro de 2019 (-15,6%). Além do café verde, o Brasil exportou US$ 35,65 milhões em café solúvel (+30,6%). </w:t>
      </w:r>
    </w:p>
    <w:p w:rsidR="00F13231" w:rsidRPr="00F13231" w:rsidRDefault="00F13231" w:rsidP="00F13231">
      <w:pPr>
        <w:jc w:val="both"/>
        <w:rPr>
          <w:sz w:val="22"/>
          <w:szCs w:val="22"/>
        </w:rPr>
      </w:pPr>
    </w:p>
    <w:p w:rsidR="00F13231" w:rsidRPr="00F13231" w:rsidRDefault="00F13231" w:rsidP="00F13231">
      <w:pPr>
        <w:jc w:val="both"/>
        <w:rPr>
          <w:sz w:val="22"/>
          <w:szCs w:val="22"/>
        </w:rPr>
      </w:pPr>
      <w:r w:rsidRPr="00F13231">
        <w:rPr>
          <w:sz w:val="22"/>
          <w:szCs w:val="22"/>
        </w:rPr>
        <w:t xml:space="preserve">Os vinte demais setores que compõem o agrupamento do agronegócio perderam participação em janeiro de 2019. Esses setores passaram de uma participação de 29,2% em janeiro de 2018 para 22,7% em janeiro de 2019, o que significou uma redução de 6,5 pontos percentuais. As exportações desses vinte setores caíram de US$ 1,80 bilhão em janeiro de 2018 para US$ 1,50 bilhão em janeiro de 2019 (-16,7%). </w:t>
      </w:r>
    </w:p>
    <w:p w:rsidR="00F13231" w:rsidRPr="00F13231" w:rsidRDefault="00F13231" w:rsidP="00F13231">
      <w:pPr>
        <w:jc w:val="both"/>
        <w:rPr>
          <w:sz w:val="22"/>
          <w:szCs w:val="22"/>
        </w:rPr>
      </w:pPr>
    </w:p>
    <w:p w:rsidR="00F13231" w:rsidRPr="00F13231" w:rsidRDefault="00F13231" w:rsidP="00F13231">
      <w:pPr>
        <w:jc w:val="both"/>
        <w:rPr>
          <w:sz w:val="22"/>
          <w:szCs w:val="22"/>
        </w:rPr>
      </w:pPr>
      <w:r w:rsidRPr="00F13231">
        <w:rPr>
          <w:sz w:val="22"/>
          <w:szCs w:val="22"/>
        </w:rPr>
        <w:t>As importações de produtos agropecuários foram de US$ 1,24 bilhão (+0,5%), conforme já mencionado no início do texto. Os principais produtos importados com cifras acima de US$ 30 milhões foram: trigo (US$ 140,49 milhões; +13,0%); papel (US$ 78,00 milhões; -3,6%); álcool etílico (US$ 65,61 milhões; -10,3%); vestuário e outros produtos têxteis (US$ 53,60 milhões; +7,0%); malte (US$ 51,14 milhões; +106,3%); salmões, frescos ou refrigerados (US$ 48,10 milhões; +4,1%); azeite de oliva (US$ 32,75 milhões; -12,2%); filés de peixe, congelados (US$ 31,37 milhões; +13,2%); e borracha natural (US$ 30,43 milhões; +2,1%). Esses produtos representavam 40% do valor importado pelo Brasil em produtos agropecuários em 2018, porcentagem que subiu para 42,8% em janeiro de 2019.</w:t>
      </w:r>
    </w:p>
    <w:p w:rsidR="0049174C" w:rsidRDefault="0049174C" w:rsidP="00437C17">
      <w:pPr>
        <w:pStyle w:val="Recuodecorpodetexto"/>
        <w:ind w:firstLine="0"/>
        <w:rPr>
          <w:rFonts w:ascii="Arial" w:hAnsi="Arial" w:cs="Arial"/>
          <w:sz w:val="20"/>
          <w:szCs w:val="20"/>
        </w:rPr>
      </w:pPr>
    </w:p>
    <w:p w:rsidR="0049174C" w:rsidRPr="00437C17" w:rsidRDefault="00902F2D" w:rsidP="00437C17">
      <w:pPr>
        <w:pStyle w:val="Recuodecorpodetexto"/>
        <w:ind w:firstLine="0"/>
        <w:rPr>
          <w:rFonts w:ascii="Arial" w:hAnsi="Arial" w:cs="Arial"/>
          <w:sz w:val="20"/>
          <w:szCs w:val="20"/>
        </w:rPr>
      </w:pPr>
      <w:r w:rsidRPr="00902F2D">
        <w:rPr>
          <w:noProof/>
        </w:rPr>
        <w:lastRenderedPageBreak/>
        <w:drawing>
          <wp:inline distT="0" distB="0" distL="0" distR="0" wp14:anchorId="424C0F8F" wp14:editId="709F83A3">
            <wp:extent cx="6480175" cy="3855085"/>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6480175" cy="3855085"/>
                    </a:xfrm>
                    <a:prstGeom prst="rect">
                      <a:avLst/>
                    </a:prstGeom>
                  </pic:spPr>
                </pic:pic>
              </a:graphicData>
            </a:graphic>
          </wp:inline>
        </w:drawing>
      </w:r>
    </w:p>
    <w:p w:rsidR="00AB3924" w:rsidRPr="00826906" w:rsidRDefault="00AB3924">
      <w:pPr>
        <w:rPr>
          <w:rFonts w:ascii="Arial" w:hAnsi="Arial" w:cs="Arial"/>
          <w:b/>
          <w:sz w:val="20"/>
          <w:szCs w:val="20"/>
        </w:rPr>
      </w:pPr>
    </w:p>
    <w:p w:rsidR="001D51EE" w:rsidRPr="00826906" w:rsidRDefault="006D7B33" w:rsidP="00E207EB">
      <w:pPr>
        <w:jc w:val="both"/>
        <w:rPr>
          <w:rFonts w:ascii="Arial" w:hAnsi="Arial" w:cs="Arial"/>
          <w:b/>
          <w:sz w:val="20"/>
          <w:szCs w:val="20"/>
        </w:rPr>
      </w:pPr>
      <w:proofErr w:type="spellStart"/>
      <w:r w:rsidRPr="00826906">
        <w:rPr>
          <w:rFonts w:ascii="Arial" w:hAnsi="Arial" w:cs="Arial"/>
          <w:b/>
          <w:sz w:val="20"/>
          <w:szCs w:val="20"/>
        </w:rPr>
        <w:t>I.b</w:t>
      </w:r>
      <w:proofErr w:type="spellEnd"/>
      <w:r w:rsidRPr="00826906">
        <w:rPr>
          <w:rFonts w:ascii="Arial" w:hAnsi="Arial" w:cs="Arial"/>
          <w:b/>
          <w:sz w:val="20"/>
          <w:szCs w:val="20"/>
        </w:rPr>
        <w:t xml:space="preserve"> – Blocos Econômicos e Regiões Geográficas</w:t>
      </w:r>
    </w:p>
    <w:p w:rsidR="006D7B33" w:rsidRDefault="006D7B33" w:rsidP="006D7B33">
      <w:pPr>
        <w:rPr>
          <w:rFonts w:ascii="Arial" w:hAnsi="Arial" w:cs="Arial"/>
        </w:rPr>
      </w:pPr>
    </w:p>
    <w:p w:rsidR="00F13231" w:rsidRPr="00F13231" w:rsidRDefault="00F13231" w:rsidP="00F13231">
      <w:pPr>
        <w:jc w:val="both"/>
        <w:rPr>
          <w:sz w:val="22"/>
          <w:szCs w:val="22"/>
        </w:rPr>
      </w:pPr>
      <w:r w:rsidRPr="00F13231">
        <w:rPr>
          <w:sz w:val="22"/>
          <w:szCs w:val="22"/>
        </w:rPr>
        <w:t>As exportações brasileiras do agronegócio subiram em quatro blocos ou regiões geográficas constantes da Tabela 2. O destaque novamente é a expansão das exportações para a Ásia, região que aumentou as aquisições em 26,8% no período em análise e, por conseguinte, elevou sua participação no valor total exportado pelo Brasil em produtos do agronegócio de 37,1% em janeiro de 2018 para 43,8% do total em janeiro de 2019. Três produtos tiveram destaque nas exportações para a Ásia: soja em grãos (US$ 767,77 milhões; +49,6%); celulose (US$ 534,08 milhões; +40,4%); milho (US$ 343,79 milhões; +170,4%). Esses três produtos representavam 44,6% do valor exportado pelo Brasil em produtos do agronegócio para a Ásia em janeiro de 2018. Em 2019, esses mesmos três produtos passaram a representar 56,7% do valor total exportado para o continente asiático.</w:t>
      </w:r>
    </w:p>
    <w:p w:rsidR="00F13231" w:rsidRPr="00F13231" w:rsidRDefault="00F13231" w:rsidP="00F13231">
      <w:pPr>
        <w:jc w:val="both"/>
        <w:rPr>
          <w:sz w:val="22"/>
          <w:szCs w:val="22"/>
        </w:rPr>
      </w:pPr>
    </w:p>
    <w:p w:rsidR="00F13231" w:rsidRPr="00F13231" w:rsidRDefault="00F13231" w:rsidP="00F13231">
      <w:pPr>
        <w:jc w:val="both"/>
        <w:rPr>
          <w:sz w:val="22"/>
          <w:szCs w:val="22"/>
        </w:rPr>
      </w:pPr>
      <w:r w:rsidRPr="00F13231">
        <w:rPr>
          <w:sz w:val="22"/>
          <w:szCs w:val="22"/>
        </w:rPr>
        <w:t>Outros blocos ou regiões geográficas que aumentaram as compras de produtos do agronegócio brasileiro foram: ALADI (US$ 340,70; +8,6%); Europa Oriental (US$ 189,64 milhões; +64,6%); e Oceania (US$ 22,23 milhões; +35,5%).</w:t>
      </w:r>
    </w:p>
    <w:p w:rsidR="0049174C" w:rsidRDefault="0049174C" w:rsidP="00B530C2">
      <w:pPr>
        <w:pStyle w:val="Recuodecorpodetexto"/>
        <w:ind w:firstLine="0"/>
        <w:rPr>
          <w:rFonts w:ascii="Arial" w:hAnsi="Arial" w:cs="Arial"/>
          <w:sz w:val="20"/>
          <w:szCs w:val="20"/>
        </w:rPr>
      </w:pPr>
    </w:p>
    <w:p w:rsidR="0049174C" w:rsidRPr="00127A7E" w:rsidRDefault="00902F2D" w:rsidP="00B530C2">
      <w:pPr>
        <w:pStyle w:val="Recuodecorpodetexto"/>
        <w:ind w:firstLine="0"/>
        <w:rPr>
          <w:rFonts w:ascii="Arial" w:hAnsi="Arial" w:cs="Arial"/>
          <w:sz w:val="20"/>
          <w:szCs w:val="20"/>
        </w:rPr>
      </w:pPr>
      <w:r w:rsidRPr="00902F2D">
        <w:rPr>
          <w:noProof/>
        </w:rPr>
        <w:drawing>
          <wp:inline distT="0" distB="0" distL="0" distR="0" wp14:anchorId="12F87223" wp14:editId="540A2B67">
            <wp:extent cx="6480175" cy="2348230"/>
            <wp:effectExtent l="0" t="0" r="0" b="0"/>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6480175" cy="2348230"/>
                    </a:xfrm>
                    <a:prstGeom prst="rect">
                      <a:avLst/>
                    </a:prstGeom>
                  </pic:spPr>
                </pic:pic>
              </a:graphicData>
            </a:graphic>
          </wp:inline>
        </w:drawing>
      </w:r>
    </w:p>
    <w:p w:rsidR="00826906" w:rsidRDefault="00826906" w:rsidP="00AB2FF5">
      <w:pPr>
        <w:rPr>
          <w:rFonts w:ascii="Arial" w:hAnsi="Arial" w:cs="Arial"/>
        </w:rPr>
      </w:pPr>
    </w:p>
    <w:p w:rsidR="00F13231" w:rsidRDefault="00F13231" w:rsidP="00AB2FF5">
      <w:pPr>
        <w:rPr>
          <w:rFonts w:ascii="Arial" w:hAnsi="Arial" w:cs="Arial"/>
        </w:rPr>
      </w:pPr>
    </w:p>
    <w:p w:rsidR="00F13231" w:rsidRDefault="00F13231" w:rsidP="00AB2FF5">
      <w:pPr>
        <w:rPr>
          <w:rFonts w:ascii="Arial" w:hAnsi="Arial" w:cs="Arial"/>
        </w:rPr>
      </w:pPr>
    </w:p>
    <w:p w:rsidR="00F13231" w:rsidRDefault="00F13231" w:rsidP="00AB2FF5">
      <w:pPr>
        <w:rPr>
          <w:rFonts w:ascii="Arial" w:hAnsi="Arial" w:cs="Arial"/>
        </w:rPr>
      </w:pPr>
    </w:p>
    <w:p w:rsidR="00F13231" w:rsidRDefault="00F13231" w:rsidP="00AB2FF5">
      <w:pPr>
        <w:rPr>
          <w:rFonts w:ascii="Arial" w:hAnsi="Arial" w:cs="Arial"/>
        </w:rPr>
      </w:pPr>
    </w:p>
    <w:p w:rsidR="00902F2D" w:rsidRDefault="00902F2D" w:rsidP="00AB2FF5">
      <w:pPr>
        <w:rPr>
          <w:rFonts w:ascii="Arial" w:hAnsi="Arial" w:cs="Arial"/>
          <w:b/>
          <w:sz w:val="20"/>
          <w:szCs w:val="20"/>
        </w:rPr>
      </w:pPr>
      <w:proofErr w:type="spellStart"/>
      <w:r w:rsidRPr="00902F2D">
        <w:rPr>
          <w:rFonts w:ascii="Arial" w:hAnsi="Arial" w:cs="Arial"/>
          <w:b/>
          <w:sz w:val="20"/>
          <w:szCs w:val="20"/>
        </w:rPr>
        <w:t>I.c</w:t>
      </w:r>
      <w:proofErr w:type="spellEnd"/>
      <w:r w:rsidRPr="00902F2D">
        <w:rPr>
          <w:rFonts w:ascii="Arial" w:hAnsi="Arial" w:cs="Arial"/>
          <w:b/>
          <w:sz w:val="20"/>
          <w:szCs w:val="20"/>
        </w:rPr>
        <w:t xml:space="preserve"> </w:t>
      </w:r>
      <w:r w:rsidR="00F13231">
        <w:rPr>
          <w:rFonts w:ascii="Arial" w:hAnsi="Arial" w:cs="Arial"/>
          <w:b/>
          <w:sz w:val="20"/>
          <w:szCs w:val="20"/>
        </w:rPr>
        <w:t>–</w:t>
      </w:r>
      <w:r w:rsidRPr="00902F2D">
        <w:rPr>
          <w:rFonts w:ascii="Arial" w:hAnsi="Arial" w:cs="Arial"/>
          <w:b/>
          <w:sz w:val="20"/>
          <w:szCs w:val="20"/>
        </w:rPr>
        <w:t xml:space="preserve"> Países</w:t>
      </w:r>
    </w:p>
    <w:p w:rsidR="00F13231" w:rsidRDefault="00F13231" w:rsidP="00AB2FF5">
      <w:pPr>
        <w:rPr>
          <w:rFonts w:ascii="Arial" w:hAnsi="Arial" w:cs="Arial"/>
          <w:b/>
          <w:sz w:val="20"/>
          <w:szCs w:val="20"/>
        </w:rPr>
      </w:pPr>
      <w:bookmarkStart w:id="0" w:name="_GoBack"/>
      <w:bookmarkEnd w:id="0"/>
    </w:p>
    <w:p w:rsidR="00F13231" w:rsidRPr="00F13231" w:rsidRDefault="00F13231" w:rsidP="00F13231">
      <w:pPr>
        <w:jc w:val="both"/>
        <w:rPr>
          <w:sz w:val="22"/>
          <w:szCs w:val="22"/>
        </w:rPr>
      </w:pPr>
      <w:r w:rsidRPr="00F13231">
        <w:rPr>
          <w:sz w:val="22"/>
          <w:szCs w:val="22"/>
        </w:rPr>
        <w:t>A China continua sendo a principal parceira do agronegócio brasileiro. As exportações para o país asiático subiram de US$ 1,16 bilhão em janeiro de 2018 para US$ 1,52 bilhão em janeiro de 2019 (+31,2%). Com tal expansão, a participação da China subiu 4,2 pontos percentuais, passando de 18,8% em janeiro de 2018 para 23,0% em janeiro de 2019.</w:t>
      </w:r>
    </w:p>
    <w:p w:rsidR="00F13231" w:rsidRPr="00F13231" w:rsidRDefault="00F13231" w:rsidP="00F13231">
      <w:pPr>
        <w:jc w:val="both"/>
        <w:rPr>
          <w:sz w:val="22"/>
          <w:szCs w:val="22"/>
        </w:rPr>
      </w:pPr>
      <w:r w:rsidRPr="00F13231">
        <w:rPr>
          <w:sz w:val="22"/>
          <w:szCs w:val="22"/>
        </w:rPr>
        <w:t xml:space="preserve"> </w:t>
      </w:r>
    </w:p>
    <w:p w:rsidR="00F13231" w:rsidRPr="00F13231" w:rsidRDefault="00F13231" w:rsidP="00F13231">
      <w:pPr>
        <w:jc w:val="both"/>
        <w:rPr>
          <w:sz w:val="22"/>
          <w:szCs w:val="22"/>
        </w:rPr>
      </w:pPr>
      <w:r w:rsidRPr="00F13231">
        <w:rPr>
          <w:sz w:val="22"/>
          <w:szCs w:val="22"/>
        </w:rPr>
        <w:t>A China adquiriu 91,6% da quantidade total de soja em grão exportada pelo Brasil em janeiro de 2019, ou 1,97 milhão de toneladas das 2,15 milhões de toneladas exportadas pelo Brasil em janeiro de 2019. A celulose foi o segundo principal produto exportado pelo Brasil à China. Foram adquiridas 622,66 mil toneladas pela China, ou 61% da quantidade total de celulose exportada pelo Brasil. Por outro lado, esses números revelam uma pauta concentrada em poucos produtos de exportação. Em janeiro de 2019, as vendas brasileiras de soja em grão e celulose para a China concentraram 73,6% do valor total exportado pelo Brasil em produtos do agronegócio para o país asiático.</w:t>
      </w:r>
    </w:p>
    <w:p w:rsidR="00F13231" w:rsidRPr="00F13231" w:rsidRDefault="00F13231" w:rsidP="00F13231">
      <w:pPr>
        <w:jc w:val="both"/>
        <w:rPr>
          <w:sz w:val="22"/>
          <w:szCs w:val="22"/>
        </w:rPr>
      </w:pPr>
    </w:p>
    <w:p w:rsidR="00F13231" w:rsidRPr="00F13231" w:rsidRDefault="00F13231" w:rsidP="00F13231">
      <w:pPr>
        <w:jc w:val="both"/>
        <w:rPr>
          <w:sz w:val="22"/>
          <w:szCs w:val="22"/>
        </w:rPr>
      </w:pPr>
      <w:r w:rsidRPr="00F13231">
        <w:rPr>
          <w:sz w:val="22"/>
          <w:szCs w:val="22"/>
        </w:rPr>
        <w:t xml:space="preserve">Outros países constantes da Tabela 3 que tiveram aumento de participação nas exportações brasileiras do agronegócio acima ou igual de 1 ponto percentual foram: Vietnã e Coreia do Sul. </w:t>
      </w:r>
    </w:p>
    <w:p w:rsidR="00F13231" w:rsidRPr="00F13231" w:rsidRDefault="00F13231" w:rsidP="00F13231">
      <w:pPr>
        <w:jc w:val="both"/>
        <w:rPr>
          <w:sz w:val="22"/>
          <w:szCs w:val="22"/>
        </w:rPr>
      </w:pPr>
    </w:p>
    <w:p w:rsidR="00F13231" w:rsidRPr="00F13231" w:rsidRDefault="00F13231" w:rsidP="00F13231">
      <w:pPr>
        <w:jc w:val="both"/>
        <w:rPr>
          <w:sz w:val="22"/>
          <w:szCs w:val="22"/>
        </w:rPr>
      </w:pPr>
      <w:r w:rsidRPr="00F13231">
        <w:rPr>
          <w:sz w:val="22"/>
          <w:szCs w:val="22"/>
        </w:rPr>
        <w:t>As exportações brasileiras de produtos do agronegócio para o Vietnã subiram de US$ 92,39 milhões em janeiro de 2018 para US$ 223,14 milhões em janeiro de 2019 (+141,5%). Com tal expansão, a participação do Vietnã subiu de 1,5% para 3,4% do valor total exportado pelo Brasil em produtos do agronegócio. A explicação para o forte aumento das exportações para o Vietnã está no incremento das exportações de milho ao país. Em janeiro de 2018, as exportações de milho brasileiro ao Vietnã foram de US$ 26,0 milhões, cifra que atingiu US$ 139,54 milhões em janeiro de 2019. Ademais, o Vietnã não havia importado soja em grão brasileira em janeiro de 2018 e adquiriu US$ 20,19 milhões em janeiro de 2019.</w:t>
      </w:r>
    </w:p>
    <w:p w:rsidR="00F13231" w:rsidRPr="00F13231" w:rsidRDefault="00F13231" w:rsidP="00F13231">
      <w:pPr>
        <w:jc w:val="both"/>
        <w:rPr>
          <w:sz w:val="22"/>
          <w:szCs w:val="22"/>
        </w:rPr>
      </w:pPr>
    </w:p>
    <w:p w:rsidR="00F13231" w:rsidRPr="00F13231" w:rsidRDefault="00F13231" w:rsidP="00F13231">
      <w:pPr>
        <w:jc w:val="both"/>
        <w:rPr>
          <w:sz w:val="22"/>
          <w:szCs w:val="22"/>
        </w:rPr>
      </w:pPr>
      <w:r w:rsidRPr="00F13231">
        <w:rPr>
          <w:sz w:val="22"/>
          <w:szCs w:val="22"/>
        </w:rPr>
        <w:t>A Coreia do Sul aumentou as importações de produtos do agronegócio brasileiro de US$ 136,14 milhões em janeiro de 2018 para US$ 213,72 milhões em janeiro de 2019 (+57,0%), passando, assim, de uma participação de 2,2% para 3,2% no valor das exportações brasileiras do agronegócio. As exportações de três produtos explicam esse incremento nas exportações brasileiro à Coreia do Sul: milho (US$ 55,99 milhões; +102,4%); celulose (US$ 50,89 milhões; +513,9%); e farelo de soja (US$ 48,71 milhões; +91,7%)</w:t>
      </w:r>
      <w:r>
        <w:rPr>
          <w:sz w:val="22"/>
          <w:szCs w:val="22"/>
        </w:rPr>
        <w:t>.</w:t>
      </w:r>
    </w:p>
    <w:p w:rsidR="00902F2D" w:rsidRDefault="00902F2D" w:rsidP="00AB2FF5">
      <w:pPr>
        <w:rPr>
          <w:rFonts w:ascii="Arial" w:hAnsi="Arial" w:cs="Arial"/>
        </w:rPr>
      </w:pPr>
    </w:p>
    <w:p w:rsidR="00902F2D" w:rsidRDefault="00902F2D" w:rsidP="00AB2FF5">
      <w:pPr>
        <w:rPr>
          <w:rFonts w:ascii="Arial" w:hAnsi="Arial" w:cs="Arial"/>
        </w:rPr>
      </w:pPr>
    </w:p>
    <w:p w:rsidR="00902F2D" w:rsidRDefault="00902F2D" w:rsidP="00AB2FF5">
      <w:pPr>
        <w:rPr>
          <w:rFonts w:ascii="Arial" w:hAnsi="Arial" w:cs="Arial"/>
        </w:rPr>
      </w:pPr>
      <w:r w:rsidRPr="00902F2D">
        <w:rPr>
          <w:noProof/>
        </w:rPr>
        <w:drawing>
          <wp:inline distT="0" distB="0" distL="0" distR="0" wp14:anchorId="4F464181" wp14:editId="4CE8011F">
            <wp:extent cx="6480175" cy="3879215"/>
            <wp:effectExtent l="0" t="0" r="0" b="6985"/>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6480175" cy="3879215"/>
                    </a:xfrm>
                    <a:prstGeom prst="rect">
                      <a:avLst/>
                    </a:prstGeom>
                  </pic:spPr>
                </pic:pic>
              </a:graphicData>
            </a:graphic>
          </wp:inline>
        </w:drawing>
      </w:r>
    </w:p>
    <w:p w:rsidR="00902F2D" w:rsidRPr="00826906" w:rsidRDefault="00902F2D" w:rsidP="00AB2FF5">
      <w:pPr>
        <w:rPr>
          <w:rFonts w:ascii="Arial" w:hAnsi="Arial" w:cs="Arial"/>
        </w:rPr>
      </w:pPr>
    </w:p>
    <w:p w:rsidR="00F13231" w:rsidRDefault="00F13231" w:rsidP="003B632E">
      <w:pPr>
        <w:autoSpaceDE w:val="0"/>
        <w:autoSpaceDN w:val="0"/>
        <w:adjustRightInd w:val="0"/>
        <w:jc w:val="both"/>
        <w:rPr>
          <w:rFonts w:ascii="Arial" w:hAnsi="Arial" w:cs="Arial"/>
          <w:b/>
          <w:sz w:val="20"/>
          <w:szCs w:val="20"/>
        </w:rPr>
      </w:pPr>
    </w:p>
    <w:p w:rsidR="00F13231" w:rsidRDefault="00F13231" w:rsidP="003B632E">
      <w:pPr>
        <w:autoSpaceDE w:val="0"/>
        <w:autoSpaceDN w:val="0"/>
        <w:adjustRightInd w:val="0"/>
        <w:jc w:val="both"/>
        <w:rPr>
          <w:rFonts w:ascii="Arial" w:hAnsi="Arial" w:cs="Arial"/>
          <w:b/>
          <w:sz w:val="20"/>
          <w:szCs w:val="20"/>
        </w:rPr>
      </w:pPr>
    </w:p>
    <w:p w:rsidR="00F13231" w:rsidRDefault="00F13231" w:rsidP="003B632E">
      <w:pPr>
        <w:autoSpaceDE w:val="0"/>
        <w:autoSpaceDN w:val="0"/>
        <w:adjustRightInd w:val="0"/>
        <w:jc w:val="both"/>
        <w:rPr>
          <w:rFonts w:ascii="Arial" w:hAnsi="Arial" w:cs="Arial"/>
          <w:b/>
          <w:sz w:val="20"/>
          <w:szCs w:val="20"/>
        </w:rPr>
      </w:pPr>
    </w:p>
    <w:p w:rsidR="003B632E" w:rsidRPr="00826906" w:rsidRDefault="003B632E" w:rsidP="003B632E">
      <w:pPr>
        <w:autoSpaceDE w:val="0"/>
        <w:autoSpaceDN w:val="0"/>
        <w:adjustRightInd w:val="0"/>
        <w:jc w:val="both"/>
        <w:rPr>
          <w:rFonts w:ascii="Arial" w:hAnsi="Arial" w:cs="Arial"/>
          <w:b/>
          <w:sz w:val="20"/>
          <w:szCs w:val="20"/>
        </w:rPr>
      </w:pPr>
      <w:r w:rsidRPr="00826906">
        <w:rPr>
          <w:rFonts w:ascii="Arial" w:hAnsi="Arial" w:cs="Arial"/>
          <w:b/>
          <w:sz w:val="20"/>
          <w:szCs w:val="20"/>
        </w:rPr>
        <w:t>II – Resultados do</w:t>
      </w:r>
      <w:r w:rsidR="00902F2D">
        <w:rPr>
          <w:rFonts w:ascii="Arial" w:hAnsi="Arial" w:cs="Arial"/>
          <w:b/>
          <w:sz w:val="20"/>
          <w:szCs w:val="20"/>
        </w:rPr>
        <w:t>s</w:t>
      </w:r>
      <w:r w:rsidRPr="00826906">
        <w:rPr>
          <w:rFonts w:ascii="Arial" w:hAnsi="Arial" w:cs="Arial"/>
          <w:b/>
          <w:sz w:val="20"/>
          <w:szCs w:val="20"/>
        </w:rPr>
        <w:t xml:space="preserve"> </w:t>
      </w:r>
      <w:r w:rsidR="00902F2D">
        <w:rPr>
          <w:rFonts w:ascii="Arial" w:hAnsi="Arial" w:cs="Arial"/>
          <w:b/>
          <w:sz w:val="20"/>
          <w:szCs w:val="20"/>
        </w:rPr>
        <w:t>Últimos Doze Meses</w:t>
      </w:r>
      <w:r w:rsidRPr="00826906">
        <w:rPr>
          <w:rFonts w:ascii="Arial" w:hAnsi="Arial" w:cs="Arial"/>
          <w:b/>
          <w:sz w:val="20"/>
          <w:szCs w:val="20"/>
        </w:rPr>
        <w:t xml:space="preserve"> (comparativo </w:t>
      </w:r>
      <w:r w:rsidR="00893DCA">
        <w:rPr>
          <w:rFonts w:ascii="Arial" w:hAnsi="Arial" w:cs="Arial"/>
          <w:b/>
          <w:sz w:val="20"/>
          <w:szCs w:val="20"/>
        </w:rPr>
        <w:t xml:space="preserve">Fevereiro de 2018 a </w:t>
      </w:r>
      <w:proofErr w:type="gramStart"/>
      <w:r w:rsidR="00893DCA">
        <w:rPr>
          <w:rFonts w:ascii="Arial" w:hAnsi="Arial" w:cs="Arial"/>
          <w:b/>
          <w:sz w:val="20"/>
          <w:szCs w:val="20"/>
        </w:rPr>
        <w:t>Janeiro</w:t>
      </w:r>
      <w:proofErr w:type="gramEnd"/>
      <w:r w:rsidR="00893DCA">
        <w:rPr>
          <w:rFonts w:ascii="Arial" w:hAnsi="Arial" w:cs="Arial"/>
          <w:b/>
          <w:sz w:val="20"/>
          <w:szCs w:val="20"/>
        </w:rPr>
        <w:t xml:space="preserve"> de 2019</w:t>
      </w:r>
      <w:r w:rsidRPr="00826906">
        <w:rPr>
          <w:rFonts w:ascii="Arial" w:hAnsi="Arial" w:cs="Arial"/>
          <w:b/>
          <w:sz w:val="20"/>
          <w:szCs w:val="20"/>
        </w:rPr>
        <w:t xml:space="preserve"> – </w:t>
      </w:r>
      <w:r w:rsidR="00902F2D">
        <w:rPr>
          <w:rFonts w:ascii="Arial" w:hAnsi="Arial" w:cs="Arial"/>
          <w:b/>
          <w:sz w:val="20"/>
          <w:szCs w:val="20"/>
        </w:rPr>
        <w:t>Fevereiro de 201</w:t>
      </w:r>
      <w:r w:rsidR="00893DCA">
        <w:rPr>
          <w:rFonts w:ascii="Arial" w:hAnsi="Arial" w:cs="Arial"/>
          <w:b/>
          <w:sz w:val="20"/>
          <w:szCs w:val="20"/>
        </w:rPr>
        <w:t>7</w:t>
      </w:r>
      <w:r w:rsidR="00902F2D">
        <w:rPr>
          <w:rFonts w:ascii="Arial" w:hAnsi="Arial" w:cs="Arial"/>
          <w:b/>
          <w:sz w:val="20"/>
          <w:szCs w:val="20"/>
        </w:rPr>
        <w:t xml:space="preserve"> a Janeiro de 201</w:t>
      </w:r>
      <w:r w:rsidR="00893DCA">
        <w:rPr>
          <w:rFonts w:ascii="Arial" w:hAnsi="Arial" w:cs="Arial"/>
          <w:b/>
          <w:sz w:val="20"/>
          <w:szCs w:val="20"/>
        </w:rPr>
        <w:t>8</w:t>
      </w:r>
      <w:r w:rsidRPr="00826906">
        <w:rPr>
          <w:rFonts w:ascii="Arial" w:hAnsi="Arial" w:cs="Arial"/>
          <w:b/>
          <w:sz w:val="20"/>
          <w:szCs w:val="20"/>
        </w:rPr>
        <w:t>)</w:t>
      </w:r>
    </w:p>
    <w:p w:rsidR="003B632E" w:rsidRPr="00826906" w:rsidRDefault="003B632E" w:rsidP="003B632E">
      <w:pPr>
        <w:autoSpaceDE w:val="0"/>
        <w:autoSpaceDN w:val="0"/>
        <w:adjustRightInd w:val="0"/>
        <w:jc w:val="both"/>
        <w:rPr>
          <w:rFonts w:ascii="Arial" w:hAnsi="Arial" w:cs="Arial"/>
          <w:b/>
          <w:sz w:val="20"/>
          <w:szCs w:val="20"/>
        </w:rPr>
      </w:pPr>
    </w:p>
    <w:p w:rsidR="00401F39" w:rsidRPr="00F13231" w:rsidRDefault="00401F39" w:rsidP="00F13231">
      <w:pPr>
        <w:jc w:val="both"/>
        <w:rPr>
          <w:sz w:val="22"/>
          <w:szCs w:val="22"/>
        </w:rPr>
      </w:pPr>
      <w:r w:rsidRPr="00F13231">
        <w:rPr>
          <w:sz w:val="22"/>
          <w:szCs w:val="22"/>
        </w:rPr>
        <w:t>Nos últimos doze meses, entre fevereiro de 2018 e janeiro de 2019, as exportações do agronegócio brasileiro alcançaram a cifra de US$ 102,14 bilhões, o que significou incremento de 6,0% em comparação aos US$ 96,32 bilhões exportados nos doze meses imediatamente anteriores. Esse valor representou 42,3% do total das vendas externas brasileiras no período, o que demonstra uma perda de participação em relação a fevereiro de 2017 e janeiro de 2018 (43,8%), apesar do crescimento verificado nos últimos doze meses. As importações de produtos do agronegócio totalizaram US$ 14,04 bilhões, com retração de 0,5% em relação ao período precedente. Como resultado, o saldo da balança comercial do agronegócio no acumulado dos últimos doze meses foi de US$ 88,10 bilhões (+7,2%).</w:t>
      </w:r>
    </w:p>
    <w:p w:rsidR="003B632E" w:rsidRDefault="003B632E" w:rsidP="003B632E">
      <w:pPr>
        <w:autoSpaceDE w:val="0"/>
        <w:autoSpaceDN w:val="0"/>
        <w:adjustRightInd w:val="0"/>
        <w:jc w:val="both"/>
        <w:rPr>
          <w:rFonts w:ascii="Arial" w:hAnsi="Arial" w:cs="Arial"/>
          <w:b/>
          <w:sz w:val="20"/>
          <w:szCs w:val="20"/>
        </w:rPr>
      </w:pPr>
    </w:p>
    <w:p w:rsidR="003B632E" w:rsidRPr="00826906" w:rsidRDefault="003B632E" w:rsidP="003B632E">
      <w:pPr>
        <w:pStyle w:val="Ttulo5"/>
        <w:autoSpaceDE/>
        <w:autoSpaceDN/>
        <w:adjustRightInd/>
        <w:rPr>
          <w:rFonts w:ascii="Arial" w:hAnsi="Arial" w:cs="Arial"/>
          <w:sz w:val="20"/>
          <w:szCs w:val="20"/>
        </w:rPr>
      </w:pPr>
      <w:proofErr w:type="spellStart"/>
      <w:r w:rsidRPr="00826906">
        <w:rPr>
          <w:rFonts w:ascii="Arial" w:hAnsi="Arial" w:cs="Arial"/>
          <w:sz w:val="20"/>
          <w:szCs w:val="20"/>
        </w:rPr>
        <w:t>II.a</w:t>
      </w:r>
      <w:proofErr w:type="spellEnd"/>
      <w:r w:rsidRPr="00826906">
        <w:rPr>
          <w:rFonts w:ascii="Arial" w:hAnsi="Arial" w:cs="Arial"/>
          <w:sz w:val="20"/>
          <w:szCs w:val="20"/>
        </w:rPr>
        <w:t xml:space="preserve"> – Setores do Agronegócio</w:t>
      </w:r>
    </w:p>
    <w:p w:rsidR="003B632E" w:rsidRDefault="003B632E" w:rsidP="003B632E">
      <w:pPr>
        <w:rPr>
          <w:rFonts w:ascii="Arial" w:hAnsi="Arial" w:cs="Arial"/>
        </w:rPr>
      </w:pPr>
    </w:p>
    <w:p w:rsidR="00401F39" w:rsidRPr="00F13231" w:rsidRDefault="00401F39" w:rsidP="00401F39">
      <w:pPr>
        <w:pStyle w:val="Recuodecorpodetexto"/>
        <w:ind w:firstLine="0"/>
        <w:rPr>
          <w:sz w:val="22"/>
          <w:szCs w:val="22"/>
        </w:rPr>
      </w:pPr>
      <w:r w:rsidRPr="00F13231">
        <w:rPr>
          <w:sz w:val="22"/>
          <w:szCs w:val="22"/>
        </w:rPr>
        <w:t>Os principais setores exportadores do agronegócio no período foram: complexo soja, com 40,3% de participação; carnes, com 14,2%; produtos florestais, com 14,1%; complexo sucroalcooleiro, com 7,0%; e cereais, farinhas e preparações, com 5,0%. É possível observar que houve concentração da pauta no período em relação aos cinco principais setores. Entre fevereiro de 2017 e janeiro de 2018, tais setores apresentaram participação de 79,1% do total exportado em produtos do agronegócio. Já nos últimos doze meses, os mesmos setores passaram a representar 80,8% das exportações do agronegócio brasileiro. Tal aumento de concentração se deve à expansão das vendas externas do complexo soja e produtos florestais, notadamente da soja em grãos, farelo de soja e celulose.</w:t>
      </w:r>
    </w:p>
    <w:p w:rsidR="00401F39" w:rsidRPr="00F13231" w:rsidRDefault="00401F39" w:rsidP="00401F39">
      <w:pPr>
        <w:pStyle w:val="Recuodecorpodetexto"/>
        <w:ind w:firstLine="0"/>
        <w:rPr>
          <w:sz w:val="22"/>
          <w:szCs w:val="22"/>
        </w:rPr>
      </w:pPr>
    </w:p>
    <w:p w:rsidR="00401F39" w:rsidRPr="00F13231" w:rsidRDefault="00401F39" w:rsidP="00401F39">
      <w:pPr>
        <w:pStyle w:val="Recuodecorpodetexto"/>
        <w:ind w:firstLine="0"/>
        <w:rPr>
          <w:sz w:val="22"/>
          <w:szCs w:val="22"/>
        </w:rPr>
      </w:pPr>
      <w:r w:rsidRPr="00F13231">
        <w:rPr>
          <w:sz w:val="22"/>
          <w:szCs w:val="22"/>
        </w:rPr>
        <w:t>As exportações do complexo soja, entre fevereiro de 2018 e janeiro de 2019, aumentaram em comparação ao período anterior de US$ 31,79 bilhões para US$ 41,20 bilhões (+29,6%). Verificou-se incremento de 22,1% no quantum comercializado, além de alta na cotação média dos produtos do setor à taxa de 6,2%. O principal item negociado pelo setor foi a soja em grãos, com o montante de US$ 33,40 bilhões e expansão de 28,8% em comparação a fevereiro de 2017 e janeiro de 2018 (US$ 25,94 bilhões). Esse aumento de receita foi resultado da elevação da quantidade embarcada do grão, que atingiu o patamar de 84,19 milhões de toneladas (+22,4%), além do incremento do preço médio do produto brasileiro no mercado internacional de 5,2%, chegando a US$ 397 por tonelada. As vendas externas de farelo de soja avançaram 40,4% nos últimos doze meses em razão da elevação de 22,2% no quantum comercializado do produto e do aumento da cotação média em 14,9%, totalizando US$ 6,78 bilhões. Já sobre o óleo de soja, a expansão da quantidade comercializada (+6,7%) compensou a retração do preço médio no período (-5,9%), possibilitando a manutenção da receita de exportação do produto em US$ 1,02 bilhão (+0,3%).</w:t>
      </w:r>
    </w:p>
    <w:p w:rsidR="00401F39" w:rsidRPr="00F13231" w:rsidRDefault="00401F39" w:rsidP="00401F39">
      <w:pPr>
        <w:pStyle w:val="Recuodecorpodetexto"/>
        <w:ind w:firstLine="0"/>
        <w:rPr>
          <w:sz w:val="22"/>
          <w:szCs w:val="22"/>
        </w:rPr>
      </w:pPr>
    </w:p>
    <w:p w:rsidR="00401F39" w:rsidRPr="00F13231" w:rsidRDefault="00401F39" w:rsidP="00401F39">
      <w:pPr>
        <w:pStyle w:val="Recuodecorpodetexto"/>
        <w:ind w:firstLine="0"/>
        <w:rPr>
          <w:sz w:val="22"/>
          <w:szCs w:val="22"/>
        </w:rPr>
      </w:pPr>
      <w:r w:rsidRPr="00F13231">
        <w:rPr>
          <w:sz w:val="22"/>
          <w:szCs w:val="22"/>
        </w:rPr>
        <w:t>As exportações de carnes alcançaram o montante de US$ 14,55 bilhões, o que significou retração de 5,8% em comparação ao valor comercializado nos doze meses imediatamente anteriores (US$ 15,45 bilhões). Em relação à quantidade, foram embarcadas 6,52 milhões de toneladas no período, observando-se diminuição de 2,4%, com queda no preço médio de 3,5%. O principal produto – e único a apresentar incremento de receita de exportação no período analisado -  foi a carne bovina, com 6,48 bilhões (+5,1%) e 1,64 milhão de t</w:t>
      </w:r>
      <w:r w:rsidR="004B739D" w:rsidRPr="00F13231">
        <w:rPr>
          <w:sz w:val="22"/>
          <w:szCs w:val="22"/>
        </w:rPr>
        <w:t>oneladas comercializadas (+9,8%)</w:t>
      </w:r>
      <w:r w:rsidRPr="00F13231">
        <w:rPr>
          <w:sz w:val="22"/>
          <w:szCs w:val="22"/>
        </w:rPr>
        <w:t>, apesar na queda no preço médio de 4,3%. As vendas externas de carne de frango caíram 5,5% em quantidade (3,97 milhões de toneladas) e 4,8% na cotação média, o que refletiu na diminuição de 10,1% no valor arrecadado (US$ 6,34 bilhões). As exportações de carne suína sofreram redução em valor (-26,1%), com a soma de US$ 1,17 bilhão. A quantidade embarcada decresceu 6,6% no período e o preço médio passou de US$ 2.350 por tonelada para US$ 1.860 por tonelada (-20,9%). As vendas externas de carne de peru diminuíram 31,6% em quantidade e atingiram a cifra de US$ 142,51 milhões nos últimos doze meses (-43,8%).</w:t>
      </w:r>
    </w:p>
    <w:p w:rsidR="00401F39" w:rsidRPr="00F13231" w:rsidRDefault="00401F39" w:rsidP="00401F39">
      <w:pPr>
        <w:pStyle w:val="Recuodecorpodetexto"/>
        <w:ind w:firstLine="0"/>
        <w:rPr>
          <w:sz w:val="22"/>
          <w:szCs w:val="22"/>
        </w:rPr>
      </w:pPr>
    </w:p>
    <w:p w:rsidR="00401F39" w:rsidRPr="00F13231" w:rsidRDefault="00401F39" w:rsidP="00401F39">
      <w:pPr>
        <w:pStyle w:val="Recuodecorpodetexto"/>
        <w:ind w:firstLine="0"/>
        <w:rPr>
          <w:sz w:val="22"/>
          <w:szCs w:val="22"/>
        </w:rPr>
      </w:pPr>
      <w:r w:rsidRPr="00F13231">
        <w:rPr>
          <w:sz w:val="22"/>
          <w:szCs w:val="22"/>
        </w:rPr>
        <w:t>Os produtos florestais aparecem na terceira colocação entre os maiores setores do agronegócio em valor exportado, com vendas de US$ 14,45 bilhões (+23,3%) e 25,12 milhões de toneladas negociadas (+11,3%). O principal item negociado foi a celulose, com 15,67 milhões de toneladas embarcadas (+14,0%). Com a expansão de 17,3% no preço médio, houve incremento de 33,8% no valor exportado, que atingiu a soma de US$ 8,66 bilhões. As vendas de madeiras e suas obras alcançaram o patamar de US$ 3,70 bilhões (+11,8%), com 7,39 milhões de toneladas negociadas (+10,9%) e aumento de 0,8% no preço médio dos produtos desse subsetor. Em relação às vendas externas de papel, houve queda de 4,8% em quantidade (2,07 milhões de toneladas), expansão 13,5% no preço médio e elevação de 8,1% na receita (US$ 2,09 bilhões).</w:t>
      </w:r>
    </w:p>
    <w:p w:rsidR="00401F39" w:rsidRPr="00F13231" w:rsidRDefault="00401F39" w:rsidP="00401F39">
      <w:pPr>
        <w:pStyle w:val="Recuodecorpodetexto"/>
        <w:ind w:firstLine="0"/>
        <w:rPr>
          <w:sz w:val="22"/>
          <w:szCs w:val="22"/>
        </w:rPr>
      </w:pPr>
    </w:p>
    <w:p w:rsidR="00401F39" w:rsidRPr="00F13231" w:rsidRDefault="00401F39" w:rsidP="00401F39">
      <w:pPr>
        <w:pStyle w:val="Recuodecorpodetexto"/>
        <w:ind w:firstLine="0"/>
        <w:rPr>
          <w:sz w:val="22"/>
          <w:szCs w:val="22"/>
        </w:rPr>
      </w:pPr>
      <w:r w:rsidRPr="00F13231">
        <w:rPr>
          <w:sz w:val="22"/>
          <w:szCs w:val="22"/>
        </w:rPr>
        <w:t xml:space="preserve">As exportações do complexo sucroalcooleiro decresceram de US$ 11,84 bilhões, entre fevereiro de 2017 e janeiro de 2018, para US$ 7,16 bilhões, entre fevereiro de 2018 e janeiro de 2019 (-39,5%), em razão da queda de 24,1% no quantum exportado, que atingiu 22,19 milhões de toneladas no período, e concomitante retração da cotação média </w:t>
      </w:r>
      <w:r w:rsidRPr="00F13231">
        <w:rPr>
          <w:sz w:val="22"/>
          <w:szCs w:val="22"/>
        </w:rPr>
        <w:lastRenderedPageBreak/>
        <w:t>dos produtos do setor (-20,3%). O preço médio do açúcar caiu 23,3% nos últimos doze meses em virtude do excesso de oferta verificado no mercado internacional atualmente, enquanto o volume comercializado decresceu 25,7%, puxando para baixo a receita de exportação, que caiu 43,1% e alcançou US$ 6,27 bilhões. O preço médio do álcool também caiu no período considerado, passando de US$ 701 por tonelada para os atuais US$ 659 por tonelada (-5,9%). As vendas em quantidade aumentaram 15,5%, resultando no valor exportado de US$ 875,30 milhões (+8,7%).</w:t>
      </w:r>
    </w:p>
    <w:p w:rsidR="00401F39" w:rsidRPr="00F13231" w:rsidRDefault="00401F39" w:rsidP="00401F39">
      <w:pPr>
        <w:pStyle w:val="Recuodecorpodetexto"/>
        <w:ind w:firstLine="0"/>
        <w:rPr>
          <w:sz w:val="22"/>
          <w:szCs w:val="22"/>
        </w:rPr>
      </w:pPr>
    </w:p>
    <w:p w:rsidR="00401F39" w:rsidRPr="00F13231" w:rsidRDefault="00401F39" w:rsidP="00401F39">
      <w:pPr>
        <w:pStyle w:val="Recuodecorpodetexto"/>
        <w:ind w:firstLine="0"/>
        <w:rPr>
          <w:sz w:val="22"/>
          <w:szCs w:val="22"/>
        </w:rPr>
      </w:pPr>
      <w:r w:rsidRPr="00F13231">
        <w:rPr>
          <w:sz w:val="22"/>
          <w:szCs w:val="22"/>
        </w:rPr>
        <w:t xml:space="preserve">Os cereais, farinhas e preparações ficaram na quinta colocação entre os setores do agronegócio no acumulado dos últimos doze meses, com vendas externas de US$ 5,12 bilhões e quantum comercializado de 26,98 milhões de toneladas, o que representou redução de 5,8% e 16,7%, respectivamente. O principal item negociado foi o milho, com exportações de US$ 4,30 bilhões ou 84,0% do total das vendas do setor no período.  Em comparação a fevereiro de 2017 e janeiro de 2018, verificou-se diminuição de 19,7% no quantum comercializado (24,75 milhões de toneladas) e elevação da cotação média do grão à taxa de 11,7%. Em consequência, a receita de exportação caiu 10,3% nesses últimos doze meses. </w:t>
      </w:r>
    </w:p>
    <w:p w:rsidR="00401F39" w:rsidRPr="00F13231" w:rsidRDefault="00401F39" w:rsidP="00401F39">
      <w:pPr>
        <w:pStyle w:val="Recuodecorpodetexto"/>
        <w:ind w:firstLine="0"/>
        <w:rPr>
          <w:sz w:val="22"/>
          <w:szCs w:val="22"/>
        </w:rPr>
      </w:pPr>
    </w:p>
    <w:p w:rsidR="00401F39" w:rsidRPr="00F13231" w:rsidRDefault="00401F39" w:rsidP="00401F39">
      <w:pPr>
        <w:pStyle w:val="Recuodecorpodetexto"/>
        <w:ind w:firstLine="0"/>
        <w:rPr>
          <w:sz w:val="22"/>
          <w:szCs w:val="22"/>
        </w:rPr>
      </w:pPr>
      <w:r w:rsidRPr="00F13231">
        <w:rPr>
          <w:sz w:val="22"/>
          <w:szCs w:val="22"/>
        </w:rPr>
        <w:t>Em relação às importações de produtos do agronegócio nos últimos doze meses, observou-se um montante de US$ 14,04 bilhões e recuo de 0,5% em comparação aos US$ 14,12 bilhões registrados entre fevereiro de 2017 e janeiro de 2018. Os principais itens adquiridos no mercado internacional, nesse período, foram: trigo (US$ 1,52 bilhão e +29,9%); papel (US$ 885,29 milhões e +2,7%); álcool etílico (US$ 735,79 milhões e -16,9%); vestuário e outros produtos têxteis de algodão (US$ 633,91 milhões e +16,4%); salmões frescos ou refrigerados (US$ 506,67 milhões e -0,7%); azeite de oliva (US$ 431,67 milhões e +22,9%); malte (US$ 431,37 milhões e +3,6%); vinho (US$ 375,26 milhões e +0,7%); borracha natural (US$ 343,81 milhões e</w:t>
      </w:r>
      <w:r w:rsidR="003F349D" w:rsidRPr="00F13231">
        <w:rPr>
          <w:sz w:val="22"/>
          <w:szCs w:val="22"/>
        </w:rPr>
        <w:t xml:space="preserve"> -15,8%); e óleo de </w:t>
      </w:r>
      <w:r w:rsidRPr="00F13231">
        <w:rPr>
          <w:sz w:val="22"/>
          <w:szCs w:val="22"/>
        </w:rPr>
        <w:t>palma (US$ 343,55 milhões e -8,9%).</w:t>
      </w:r>
    </w:p>
    <w:p w:rsidR="00401F39" w:rsidRPr="00F13231" w:rsidRDefault="00401F39" w:rsidP="003B632E">
      <w:pPr>
        <w:rPr>
          <w:sz w:val="22"/>
          <w:szCs w:val="22"/>
        </w:rPr>
      </w:pPr>
    </w:p>
    <w:p w:rsidR="000076AB" w:rsidRPr="00826906" w:rsidRDefault="00902F2D" w:rsidP="003B632E">
      <w:pPr>
        <w:rPr>
          <w:rFonts w:ascii="Arial" w:hAnsi="Arial" w:cs="Arial"/>
        </w:rPr>
      </w:pPr>
      <w:r w:rsidRPr="00902F2D">
        <w:rPr>
          <w:noProof/>
        </w:rPr>
        <w:drawing>
          <wp:inline distT="0" distB="0" distL="0" distR="0" wp14:anchorId="02CE5622" wp14:editId="4811DAB3">
            <wp:extent cx="6480175" cy="3855085"/>
            <wp:effectExtent l="0" t="0" r="0" b="0"/>
            <wp:docPr id="5"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6480175" cy="3855085"/>
                    </a:xfrm>
                    <a:prstGeom prst="rect">
                      <a:avLst/>
                    </a:prstGeom>
                  </pic:spPr>
                </pic:pic>
              </a:graphicData>
            </a:graphic>
          </wp:inline>
        </w:drawing>
      </w:r>
    </w:p>
    <w:p w:rsidR="003B632E" w:rsidRPr="00826906" w:rsidRDefault="003B632E" w:rsidP="003B632E">
      <w:pPr>
        <w:rPr>
          <w:rFonts w:ascii="Arial" w:hAnsi="Arial" w:cs="Arial"/>
        </w:rPr>
      </w:pPr>
    </w:p>
    <w:p w:rsidR="003B632E" w:rsidRPr="00826906" w:rsidRDefault="003B632E" w:rsidP="003B632E">
      <w:pPr>
        <w:pStyle w:val="Ttulo5"/>
        <w:autoSpaceDE/>
        <w:autoSpaceDN/>
        <w:adjustRightInd/>
        <w:rPr>
          <w:rFonts w:ascii="Arial" w:hAnsi="Arial" w:cs="Arial"/>
          <w:sz w:val="20"/>
          <w:szCs w:val="20"/>
        </w:rPr>
      </w:pPr>
      <w:bookmarkStart w:id="1" w:name="OLE_LINK1"/>
      <w:proofErr w:type="spellStart"/>
      <w:r w:rsidRPr="00826906">
        <w:rPr>
          <w:rFonts w:ascii="Arial" w:hAnsi="Arial" w:cs="Arial"/>
          <w:sz w:val="20"/>
          <w:szCs w:val="20"/>
        </w:rPr>
        <w:t>II.b</w:t>
      </w:r>
      <w:proofErr w:type="spellEnd"/>
      <w:r w:rsidRPr="00826906">
        <w:rPr>
          <w:rFonts w:ascii="Arial" w:hAnsi="Arial" w:cs="Arial"/>
          <w:sz w:val="20"/>
          <w:szCs w:val="20"/>
        </w:rPr>
        <w:t xml:space="preserve"> – Blocos Econômicos e Regiões Geográficas</w:t>
      </w:r>
    </w:p>
    <w:p w:rsidR="003B632E" w:rsidRDefault="003B632E" w:rsidP="003B632E">
      <w:pPr>
        <w:jc w:val="both"/>
        <w:rPr>
          <w:rFonts w:ascii="Arial" w:hAnsi="Arial" w:cs="Arial"/>
          <w:sz w:val="20"/>
          <w:szCs w:val="20"/>
        </w:rPr>
      </w:pPr>
    </w:p>
    <w:p w:rsidR="00401F39" w:rsidRPr="00F13231" w:rsidRDefault="00401F39" w:rsidP="00401F39">
      <w:pPr>
        <w:pStyle w:val="Recuodecorpodetexto"/>
        <w:ind w:firstLine="0"/>
        <w:rPr>
          <w:sz w:val="22"/>
          <w:szCs w:val="22"/>
        </w:rPr>
      </w:pPr>
      <w:r w:rsidRPr="00F13231">
        <w:rPr>
          <w:sz w:val="22"/>
          <w:szCs w:val="22"/>
        </w:rPr>
        <w:t>No âmbito das exportações do agronegócio por blocos econômicos e regiões geográficas, a Ásia segue no posto de principal destino dos produtos brasileiros. As vendas para o continente asiático atingiram a marca de US$ 52,33 bilhões, o que significou expansão de 17,8% em comparação aos valores registrados entre fevereiro de 2017 e janeiro de 2018 (US$ 44,43 bilhões). Dessa forma, a participação da região nas exportações de produtos do agronegócio brasileiro passou de 46,1% para 51,2%.</w:t>
      </w:r>
    </w:p>
    <w:p w:rsidR="00401F39" w:rsidRPr="00F13231" w:rsidRDefault="00401F39" w:rsidP="00401F39">
      <w:pPr>
        <w:pStyle w:val="Recuodecorpodetexto"/>
        <w:ind w:firstLine="0"/>
        <w:rPr>
          <w:sz w:val="22"/>
          <w:szCs w:val="22"/>
        </w:rPr>
      </w:pPr>
    </w:p>
    <w:p w:rsidR="00401F39" w:rsidRPr="00F13231" w:rsidRDefault="00401F39" w:rsidP="00401F39">
      <w:pPr>
        <w:pStyle w:val="Recuodecorpodetexto"/>
        <w:ind w:firstLine="0"/>
        <w:rPr>
          <w:sz w:val="22"/>
          <w:szCs w:val="22"/>
        </w:rPr>
      </w:pPr>
      <w:r w:rsidRPr="00F13231">
        <w:rPr>
          <w:sz w:val="22"/>
          <w:szCs w:val="22"/>
        </w:rPr>
        <w:t xml:space="preserve">O segundo principal bloco de destino das exportações agropecuárias brasileiras nos últimos doze meses, a União Europeia, apresentou incremento de 5,2% nas aquisições de mercadorias brasileiras, alcançando a cifra de US$ 17,80 bilhões, ante um total de US$ 16,93 bilhões nos doze meses imediatamente anteriores (-US$ 873,50 milhões). Mesmo </w:t>
      </w:r>
      <w:r w:rsidRPr="00F13231">
        <w:rPr>
          <w:sz w:val="22"/>
          <w:szCs w:val="22"/>
        </w:rPr>
        <w:lastRenderedPageBreak/>
        <w:t xml:space="preserve">com esse crescimento em valor, a participação da UE-28 nas exportações do agronegócio brasileiro caiu de 17,6% para 17,4%, uma vez que apresentou variação inferior à média verificada no período (+6,0%). </w:t>
      </w:r>
    </w:p>
    <w:p w:rsidR="000076AB" w:rsidRDefault="000076AB" w:rsidP="003B632E">
      <w:pPr>
        <w:jc w:val="both"/>
        <w:rPr>
          <w:rFonts w:ascii="Arial" w:hAnsi="Arial" w:cs="Arial"/>
          <w:sz w:val="20"/>
          <w:szCs w:val="20"/>
        </w:rPr>
      </w:pPr>
    </w:p>
    <w:p w:rsidR="00902F2D" w:rsidRPr="00826906" w:rsidRDefault="00902F2D" w:rsidP="003B632E">
      <w:pPr>
        <w:jc w:val="both"/>
        <w:rPr>
          <w:rFonts w:ascii="Arial" w:hAnsi="Arial" w:cs="Arial"/>
          <w:sz w:val="20"/>
          <w:szCs w:val="20"/>
        </w:rPr>
      </w:pPr>
    </w:p>
    <w:p w:rsidR="003B632E" w:rsidRPr="00826906" w:rsidRDefault="00902F2D" w:rsidP="003B632E">
      <w:pPr>
        <w:jc w:val="both"/>
        <w:rPr>
          <w:rFonts w:ascii="Arial" w:hAnsi="Arial" w:cs="Arial"/>
          <w:sz w:val="20"/>
          <w:szCs w:val="20"/>
        </w:rPr>
      </w:pPr>
      <w:r w:rsidRPr="00902F2D">
        <w:rPr>
          <w:noProof/>
        </w:rPr>
        <w:drawing>
          <wp:inline distT="0" distB="0" distL="0" distR="0" wp14:anchorId="4749F7AF" wp14:editId="1C0C00D1">
            <wp:extent cx="6480175" cy="2348230"/>
            <wp:effectExtent l="0" t="0" r="0" b="0"/>
            <wp:docPr id="6"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6480175" cy="2348230"/>
                    </a:xfrm>
                    <a:prstGeom prst="rect">
                      <a:avLst/>
                    </a:prstGeom>
                  </pic:spPr>
                </pic:pic>
              </a:graphicData>
            </a:graphic>
          </wp:inline>
        </w:drawing>
      </w:r>
    </w:p>
    <w:p w:rsidR="003B632E" w:rsidRPr="00826906" w:rsidRDefault="003B632E" w:rsidP="003B632E">
      <w:pPr>
        <w:pStyle w:val="Ttulo5"/>
        <w:autoSpaceDE/>
        <w:autoSpaceDN/>
        <w:adjustRightInd/>
        <w:rPr>
          <w:rFonts w:ascii="Arial" w:hAnsi="Arial" w:cs="Arial"/>
          <w:sz w:val="20"/>
          <w:szCs w:val="20"/>
        </w:rPr>
      </w:pPr>
    </w:p>
    <w:bookmarkEnd w:id="1"/>
    <w:p w:rsidR="000076AB" w:rsidRDefault="000076AB" w:rsidP="000076AB">
      <w:pPr>
        <w:pStyle w:val="Recuodecorpodetexto"/>
        <w:ind w:firstLine="0"/>
        <w:rPr>
          <w:rFonts w:ascii="Arial" w:hAnsi="Arial" w:cs="Arial"/>
          <w:sz w:val="20"/>
          <w:szCs w:val="20"/>
        </w:rPr>
      </w:pPr>
    </w:p>
    <w:p w:rsidR="000076AB" w:rsidRDefault="00056A9E" w:rsidP="00056A9E">
      <w:pPr>
        <w:pStyle w:val="Ttulo5"/>
        <w:autoSpaceDE/>
        <w:autoSpaceDN/>
        <w:adjustRightInd/>
        <w:rPr>
          <w:rFonts w:ascii="Arial" w:hAnsi="Arial" w:cs="Arial"/>
          <w:sz w:val="20"/>
          <w:szCs w:val="20"/>
        </w:rPr>
      </w:pPr>
      <w:proofErr w:type="spellStart"/>
      <w:r w:rsidRPr="00056A9E">
        <w:rPr>
          <w:rFonts w:ascii="Arial" w:hAnsi="Arial" w:cs="Arial"/>
          <w:sz w:val="20"/>
          <w:szCs w:val="20"/>
        </w:rPr>
        <w:t>II.c</w:t>
      </w:r>
      <w:proofErr w:type="spellEnd"/>
      <w:r w:rsidRPr="00056A9E">
        <w:rPr>
          <w:rFonts w:ascii="Arial" w:hAnsi="Arial" w:cs="Arial"/>
          <w:sz w:val="20"/>
          <w:szCs w:val="20"/>
        </w:rPr>
        <w:t xml:space="preserve"> </w:t>
      </w:r>
      <w:r w:rsidR="00401F39">
        <w:rPr>
          <w:rFonts w:ascii="Arial" w:hAnsi="Arial" w:cs="Arial"/>
          <w:sz w:val="20"/>
          <w:szCs w:val="20"/>
        </w:rPr>
        <w:t>–</w:t>
      </w:r>
      <w:r w:rsidRPr="00056A9E">
        <w:rPr>
          <w:rFonts w:ascii="Arial" w:hAnsi="Arial" w:cs="Arial"/>
          <w:sz w:val="20"/>
          <w:szCs w:val="20"/>
        </w:rPr>
        <w:t xml:space="preserve"> Países</w:t>
      </w:r>
    </w:p>
    <w:p w:rsidR="00401F39" w:rsidRDefault="00401F39" w:rsidP="00401F39"/>
    <w:p w:rsidR="00401F39" w:rsidRPr="00F13231" w:rsidRDefault="00401F39" w:rsidP="00401F39">
      <w:pPr>
        <w:pStyle w:val="Recuodecorpodetexto"/>
        <w:ind w:firstLine="0"/>
        <w:rPr>
          <w:sz w:val="22"/>
          <w:szCs w:val="22"/>
        </w:rPr>
      </w:pPr>
      <w:r w:rsidRPr="00F13231">
        <w:rPr>
          <w:sz w:val="22"/>
          <w:szCs w:val="22"/>
        </w:rPr>
        <w:t>No que se refere aos países, a China permaneceu como o principal destino das exportações do agronegócio brasileiro, com a cifra de US$ 35,96 bilhões, o que representou quase 69% das exportações agropecuárias brasileiras para a Ásia no período. Em relação ao período anterior, verificou-se expansão de 34,0% no valor exportado e aumento da participação chinesa de 7,3 pontos percentuais, chegando a 35,2% de market share. Os principais produtos responsáveis por esse incremento das exportações no período foram: soja em grãos (+US$ 7,06 bilhões); celulose (+US$ 947,46 milhões); carne bovina in natura (+US$ 530,57 milhões); e algodão não cardado nem penteado (+US$ 410,15 milhões).</w:t>
      </w:r>
    </w:p>
    <w:p w:rsidR="00401F39" w:rsidRPr="00F13231" w:rsidRDefault="00401F39" w:rsidP="00401F39">
      <w:pPr>
        <w:pStyle w:val="Recuodecorpodetexto"/>
        <w:ind w:firstLine="0"/>
        <w:rPr>
          <w:sz w:val="22"/>
          <w:szCs w:val="22"/>
        </w:rPr>
      </w:pPr>
    </w:p>
    <w:p w:rsidR="00401F39" w:rsidRPr="00F13231" w:rsidRDefault="00401F39" w:rsidP="00401F39">
      <w:pPr>
        <w:pStyle w:val="Recuodecorpodetexto"/>
        <w:ind w:firstLine="0"/>
        <w:rPr>
          <w:sz w:val="22"/>
          <w:szCs w:val="22"/>
        </w:rPr>
      </w:pPr>
      <w:r w:rsidRPr="00F13231">
        <w:rPr>
          <w:sz w:val="22"/>
          <w:szCs w:val="22"/>
        </w:rPr>
        <w:t>As exportações para os Estados Unidos, segundo principal destino entre fevereiro de 2018 e janeiro de 2019, decresceram de US$ 6,79 bilhões para US$ 6,74 bilhões (-0,6%). Com essa redução, a participação norte americana nas exportações brasileiras caiu de 7,0% para 6,6%. Os principais produtos agropecuários exportados para o mercado norte-americano nos últimos doze meses foram: celulose (US$ 1,07 bilhão); café verde (US$ 782,51 milhões); álcool etílico (US$ 493,88 milhões); e suco de laranja (US$ 489,02 milhões).</w:t>
      </w:r>
    </w:p>
    <w:p w:rsidR="00401F39" w:rsidRPr="00F13231" w:rsidRDefault="00401F39" w:rsidP="00401F39">
      <w:pPr>
        <w:pStyle w:val="Recuodecorpodetexto"/>
        <w:ind w:firstLine="0"/>
        <w:rPr>
          <w:sz w:val="22"/>
          <w:szCs w:val="22"/>
        </w:rPr>
      </w:pPr>
    </w:p>
    <w:p w:rsidR="00401F39" w:rsidRPr="00F13231" w:rsidRDefault="00401F39" w:rsidP="00401F39">
      <w:pPr>
        <w:pStyle w:val="Recuodecorpodetexto"/>
        <w:ind w:firstLine="0"/>
        <w:rPr>
          <w:sz w:val="22"/>
          <w:szCs w:val="22"/>
        </w:rPr>
      </w:pPr>
      <w:r w:rsidRPr="00F13231">
        <w:rPr>
          <w:sz w:val="22"/>
          <w:szCs w:val="22"/>
        </w:rPr>
        <w:t>O terceiro principal destino das exportações agropecuárias brasileiras foram os Países Baixos, com US$ 4,59 bilhões, o que significou aumento de 3,0% em comparação aos US$ 4,46 bilhões registrados entre fevereiro de 2017 e janeiro de 2018. Por causa do crescimento abaixo da média da variação das exportações no período (+6,0%), a participação desse parceiro comercial caiu 0,1 ponto percentual, atingindo 4,5%. Os produtos que se destacaram em relação ao crescimento das exportações, em valor, para esse mercado, foram: farelo de soja (+US$ 255,33 milhões); carne de frango in natura (+US$ 173,89 milhões); celulose (+US$ 140,38 milhões); e suco de laranja (+US$ 43,37 milhões).</w:t>
      </w:r>
    </w:p>
    <w:p w:rsidR="00401F39" w:rsidRPr="00F13231" w:rsidRDefault="00401F39" w:rsidP="00401F39">
      <w:pPr>
        <w:pStyle w:val="Recuodecorpodetexto"/>
        <w:ind w:firstLine="0"/>
        <w:rPr>
          <w:sz w:val="22"/>
          <w:szCs w:val="22"/>
        </w:rPr>
      </w:pPr>
    </w:p>
    <w:p w:rsidR="00401F39" w:rsidRPr="00F13231" w:rsidRDefault="00401F39" w:rsidP="00401F39">
      <w:pPr>
        <w:pStyle w:val="Recuodecorpodetexto"/>
        <w:ind w:firstLine="0"/>
        <w:rPr>
          <w:sz w:val="22"/>
          <w:szCs w:val="22"/>
        </w:rPr>
      </w:pPr>
      <w:r w:rsidRPr="00F13231">
        <w:rPr>
          <w:sz w:val="22"/>
          <w:szCs w:val="22"/>
        </w:rPr>
        <w:t>Em relação ao dinamismo das exportações, os principais destaques do período, conforme ilustrado na Tabela 9, foram: Turquia (US$ 1,38 bilhão e +70,2%); Vietnã (US$ 1,81 bilhão e +21,8%); Coreia do Sul (US$ 2,14 bilhões e +18,6%); Argentina (US$ 1,48 bilhão e +9,0%); e Bélgica (US$ 1,93 bilhão e +7,4%).</w:t>
      </w:r>
    </w:p>
    <w:p w:rsidR="00401F39" w:rsidRPr="00401F39" w:rsidRDefault="00401F39" w:rsidP="00401F39">
      <w:pPr>
        <w:pStyle w:val="Recuodecorpodetexto"/>
        <w:ind w:firstLine="0"/>
        <w:rPr>
          <w:rFonts w:ascii="Arial" w:hAnsi="Arial" w:cs="Arial"/>
          <w:sz w:val="20"/>
          <w:szCs w:val="20"/>
        </w:rPr>
      </w:pPr>
    </w:p>
    <w:p w:rsidR="00902F2D" w:rsidRDefault="00902F2D" w:rsidP="000076AB">
      <w:pPr>
        <w:pStyle w:val="Recuodecorpodetexto"/>
        <w:ind w:firstLine="0"/>
        <w:rPr>
          <w:noProof/>
        </w:rPr>
      </w:pPr>
    </w:p>
    <w:p w:rsidR="00401F39" w:rsidRPr="00826906" w:rsidRDefault="00902F2D" w:rsidP="003B632E">
      <w:pPr>
        <w:pStyle w:val="Recuodecorpodetexto"/>
        <w:ind w:firstLine="0"/>
        <w:rPr>
          <w:rFonts w:ascii="Arial" w:hAnsi="Arial" w:cs="Arial"/>
          <w:sz w:val="20"/>
          <w:szCs w:val="20"/>
        </w:rPr>
      </w:pPr>
      <w:r w:rsidRPr="00902F2D">
        <w:rPr>
          <w:noProof/>
        </w:rPr>
        <w:lastRenderedPageBreak/>
        <w:drawing>
          <wp:inline distT="0" distB="0" distL="0" distR="0" wp14:anchorId="55971AD5" wp14:editId="44A41BEA">
            <wp:extent cx="6480175" cy="3879215"/>
            <wp:effectExtent l="0" t="0" r="0" b="6985"/>
            <wp:docPr id="7"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6480175" cy="3879215"/>
                    </a:xfrm>
                    <a:prstGeom prst="rect">
                      <a:avLst/>
                    </a:prstGeom>
                  </pic:spPr>
                </pic:pic>
              </a:graphicData>
            </a:graphic>
          </wp:inline>
        </w:drawing>
      </w:r>
    </w:p>
    <w:p w:rsidR="003B632E" w:rsidRPr="00826906" w:rsidRDefault="003B632E" w:rsidP="003B632E">
      <w:pPr>
        <w:autoSpaceDE w:val="0"/>
        <w:autoSpaceDN w:val="0"/>
        <w:adjustRightInd w:val="0"/>
        <w:rPr>
          <w:rFonts w:ascii="Arial" w:hAnsi="Arial" w:cs="Arial"/>
          <w:sz w:val="20"/>
          <w:szCs w:val="20"/>
        </w:rPr>
      </w:pPr>
    </w:p>
    <w:p w:rsidR="007D7D4C" w:rsidRPr="00826906" w:rsidRDefault="007D7D4C">
      <w:pPr>
        <w:autoSpaceDE w:val="0"/>
        <w:autoSpaceDN w:val="0"/>
        <w:adjustRightInd w:val="0"/>
        <w:rPr>
          <w:rFonts w:ascii="Arial" w:hAnsi="Arial" w:cs="Arial"/>
          <w:sz w:val="20"/>
          <w:szCs w:val="20"/>
        </w:rPr>
      </w:pPr>
    </w:p>
    <w:p w:rsidR="00C87B02" w:rsidRPr="00826906" w:rsidRDefault="00C87B02">
      <w:pPr>
        <w:pStyle w:val="Ttulo4"/>
        <w:pBdr>
          <w:top w:val="single" w:sz="4" w:space="1" w:color="auto"/>
          <w:left w:val="single" w:sz="4" w:space="4" w:color="auto"/>
          <w:bottom w:val="single" w:sz="4" w:space="1" w:color="auto"/>
          <w:right w:val="single" w:sz="4" w:space="4" w:color="auto"/>
        </w:pBdr>
        <w:spacing w:after="80"/>
        <w:ind w:firstLine="0"/>
        <w:rPr>
          <w:i w:val="0"/>
          <w:sz w:val="20"/>
          <w:szCs w:val="20"/>
          <w:lang w:val="pt-BR"/>
        </w:rPr>
      </w:pPr>
      <w:r w:rsidRPr="00826906">
        <w:rPr>
          <w:i w:val="0"/>
          <w:sz w:val="20"/>
          <w:szCs w:val="20"/>
          <w:lang w:val="pt-BR"/>
        </w:rPr>
        <w:t>NOTA METODOLÓGICA</w:t>
      </w:r>
    </w:p>
    <w:p w:rsidR="00C87B02" w:rsidRPr="00826906" w:rsidRDefault="00C87B02" w:rsidP="00E316DA">
      <w:pPr>
        <w:pBdr>
          <w:top w:val="single" w:sz="4" w:space="1" w:color="auto"/>
          <w:left w:val="single" w:sz="4" w:space="4" w:color="auto"/>
          <w:bottom w:val="single" w:sz="4" w:space="1" w:color="auto"/>
          <w:right w:val="single" w:sz="4" w:space="4" w:color="auto"/>
        </w:pBdr>
        <w:autoSpaceDE w:val="0"/>
        <w:autoSpaceDN w:val="0"/>
        <w:adjustRightInd w:val="0"/>
        <w:ind w:firstLine="708"/>
        <w:jc w:val="both"/>
        <w:rPr>
          <w:rFonts w:ascii="Arial" w:hAnsi="Arial" w:cs="Arial"/>
          <w:sz w:val="20"/>
          <w:szCs w:val="20"/>
        </w:rPr>
      </w:pPr>
      <w:r w:rsidRPr="00826906">
        <w:rPr>
          <w:rFonts w:ascii="Arial" w:hAnsi="Arial" w:cs="Arial"/>
          <w:sz w:val="20"/>
          <w:szCs w:val="20"/>
        </w:rPr>
        <w:t>A classificação de produtos do agronegócio utilizada nesta nota foi atualizada de acordo com a Resolução CAMEX Nº 94, de 8/12/2012, que alterou a Nomenclatura Comum do MERCOSUL – NCM para adaptá-la em relação às modificações do Sistema Harmonizado de Designação e de Codificação de Mercadorias (SH-2012), que estabelece um método internacional para a classificação de mercadorias.</w:t>
      </w:r>
    </w:p>
    <w:p w:rsidR="00C87B02" w:rsidRPr="00826906" w:rsidRDefault="00C87B02" w:rsidP="00E316DA">
      <w:pPr>
        <w:pBdr>
          <w:top w:val="single" w:sz="4" w:space="1" w:color="auto"/>
          <w:left w:val="single" w:sz="4" w:space="4" w:color="auto"/>
          <w:bottom w:val="single" w:sz="4" w:space="1" w:color="auto"/>
          <w:right w:val="single" w:sz="4" w:space="4" w:color="auto"/>
        </w:pBdr>
        <w:autoSpaceDE w:val="0"/>
        <w:autoSpaceDN w:val="0"/>
        <w:adjustRightInd w:val="0"/>
        <w:ind w:firstLine="708"/>
        <w:jc w:val="both"/>
        <w:rPr>
          <w:rFonts w:ascii="Arial" w:hAnsi="Arial" w:cs="Arial"/>
          <w:sz w:val="20"/>
          <w:szCs w:val="20"/>
        </w:rPr>
      </w:pPr>
    </w:p>
    <w:p w:rsidR="00C87B02" w:rsidRPr="00826906" w:rsidRDefault="00C87B02" w:rsidP="00E316DA">
      <w:pPr>
        <w:pBdr>
          <w:top w:val="single" w:sz="4" w:space="1" w:color="auto"/>
          <w:left w:val="single" w:sz="4" w:space="4" w:color="auto"/>
          <w:bottom w:val="single" w:sz="4" w:space="1" w:color="auto"/>
          <w:right w:val="single" w:sz="4" w:space="4" w:color="auto"/>
        </w:pBdr>
        <w:autoSpaceDE w:val="0"/>
        <w:autoSpaceDN w:val="0"/>
        <w:adjustRightInd w:val="0"/>
        <w:ind w:firstLine="708"/>
        <w:jc w:val="both"/>
        <w:rPr>
          <w:rFonts w:ascii="Arial" w:hAnsi="Arial" w:cs="Arial"/>
          <w:sz w:val="20"/>
          <w:szCs w:val="20"/>
        </w:rPr>
      </w:pPr>
      <w:r w:rsidRPr="00826906">
        <w:rPr>
          <w:rFonts w:ascii="Arial" w:hAnsi="Arial" w:cs="Arial"/>
          <w:sz w:val="20"/>
          <w:szCs w:val="20"/>
        </w:rPr>
        <w:t xml:space="preserve">A Balança Comercial do Agronegócio utiliza uma classificação dos produtos do agronegócio que reúne 2.867 </w:t>
      </w:r>
      <w:proofErr w:type="spellStart"/>
      <w:r w:rsidRPr="00826906">
        <w:rPr>
          <w:rFonts w:ascii="Arial" w:hAnsi="Arial" w:cs="Arial"/>
          <w:sz w:val="20"/>
          <w:szCs w:val="20"/>
        </w:rPr>
        <w:t>NCM’s</w:t>
      </w:r>
      <w:proofErr w:type="spellEnd"/>
      <w:r w:rsidRPr="00826906">
        <w:rPr>
          <w:rFonts w:ascii="Arial" w:hAnsi="Arial" w:cs="Arial"/>
          <w:sz w:val="20"/>
          <w:szCs w:val="20"/>
        </w:rPr>
        <w:t xml:space="preserve"> em 25 setores. Essa é a mesma classificação utilizada no AGROSTAT BRASIL - base de dados </w:t>
      </w:r>
      <w:proofErr w:type="spellStart"/>
      <w:r w:rsidRPr="00826906">
        <w:rPr>
          <w:rFonts w:ascii="Arial" w:hAnsi="Arial" w:cs="Arial"/>
          <w:i/>
          <w:sz w:val="20"/>
          <w:szCs w:val="20"/>
        </w:rPr>
        <w:t>on</w:t>
      </w:r>
      <w:proofErr w:type="spellEnd"/>
      <w:r w:rsidRPr="00826906">
        <w:rPr>
          <w:rFonts w:ascii="Arial" w:hAnsi="Arial" w:cs="Arial"/>
          <w:i/>
          <w:sz w:val="20"/>
          <w:szCs w:val="20"/>
        </w:rPr>
        <w:t xml:space="preserve"> </w:t>
      </w:r>
      <w:proofErr w:type="spellStart"/>
      <w:r w:rsidRPr="00826906">
        <w:rPr>
          <w:rFonts w:ascii="Arial" w:hAnsi="Arial" w:cs="Arial"/>
          <w:i/>
          <w:sz w:val="20"/>
          <w:szCs w:val="20"/>
        </w:rPr>
        <w:t>line</w:t>
      </w:r>
      <w:proofErr w:type="spellEnd"/>
      <w:r w:rsidRPr="00826906">
        <w:rPr>
          <w:rFonts w:ascii="Arial" w:hAnsi="Arial" w:cs="Arial"/>
          <w:sz w:val="20"/>
          <w:szCs w:val="20"/>
        </w:rPr>
        <w:t xml:space="preserve"> que oferece uma visão detalhada e atualizada das exportações e importações brasileiras do agronegócio. Mais informações da metodologia e classificação podem ser consultadas no site: </w:t>
      </w:r>
      <w:hyperlink r:id="rId14" w:history="1">
        <w:r w:rsidRPr="00826906">
          <w:rPr>
            <w:rStyle w:val="Hyperlink"/>
            <w:rFonts w:ascii="Arial" w:hAnsi="Arial" w:cs="Arial"/>
            <w:sz w:val="20"/>
            <w:szCs w:val="20"/>
          </w:rPr>
          <w:t>agrostat.agricultura.gov.br</w:t>
        </w:r>
      </w:hyperlink>
      <w:r w:rsidRPr="00826906">
        <w:rPr>
          <w:rFonts w:ascii="Arial" w:hAnsi="Arial" w:cs="Arial"/>
          <w:sz w:val="20"/>
          <w:szCs w:val="20"/>
        </w:rPr>
        <w:t xml:space="preserve"> </w:t>
      </w:r>
    </w:p>
    <w:p w:rsidR="00C87B02" w:rsidRPr="00826906" w:rsidRDefault="00C87B02">
      <w:pPr>
        <w:pBdr>
          <w:top w:val="single" w:sz="4" w:space="1" w:color="auto"/>
          <w:left w:val="single" w:sz="4" w:space="4" w:color="auto"/>
          <w:bottom w:val="single" w:sz="4" w:space="1" w:color="auto"/>
          <w:right w:val="single" w:sz="4" w:space="4" w:color="auto"/>
        </w:pBdr>
        <w:autoSpaceDE w:val="0"/>
        <w:autoSpaceDN w:val="0"/>
        <w:adjustRightInd w:val="0"/>
        <w:ind w:firstLine="708"/>
        <w:jc w:val="both"/>
        <w:rPr>
          <w:rFonts w:ascii="Arial" w:hAnsi="Arial" w:cs="Arial"/>
          <w:sz w:val="20"/>
          <w:szCs w:val="20"/>
        </w:rPr>
      </w:pPr>
    </w:p>
    <w:p w:rsidR="00C87B02" w:rsidRPr="00826906" w:rsidRDefault="00C87B02">
      <w:pPr>
        <w:pStyle w:val="Ttulo2"/>
        <w:jc w:val="right"/>
        <w:rPr>
          <w:rFonts w:ascii="Arial" w:hAnsi="Arial" w:cs="Arial"/>
          <w:b/>
          <w:sz w:val="20"/>
        </w:rPr>
      </w:pPr>
    </w:p>
    <w:p w:rsidR="00C87B02" w:rsidRPr="00826906" w:rsidRDefault="00C87B02">
      <w:pPr>
        <w:pStyle w:val="Ttulo2"/>
        <w:jc w:val="right"/>
        <w:rPr>
          <w:rFonts w:ascii="Arial" w:hAnsi="Arial" w:cs="Arial"/>
          <w:b/>
          <w:sz w:val="20"/>
        </w:rPr>
      </w:pPr>
      <w:r w:rsidRPr="00826906">
        <w:rPr>
          <w:rFonts w:ascii="Arial" w:hAnsi="Arial" w:cs="Arial"/>
          <w:b/>
          <w:sz w:val="20"/>
        </w:rPr>
        <w:t>MAPA/S</w:t>
      </w:r>
      <w:r w:rsidR="00056A9E">
        <w:rPr>
          <w:rFonts w:ascii="Arial" w:hAnsi="Arial" w:cs="Arial"/>
          <w:b/>
          <w:sz w:val="20"/>
        </w:rPr>
        <w:t>C</w:t>
      </w:r>
      <w:r w:rsidRPr="00826906">
        <w:rPr>
          <w:rFonts w:ascii="Arial" w:hAnsi="Arial" w:cs="Arial"/>
          <w:b/>
          <w:sz w:val="20"/>
        </w:rPr>
        <w:t>RI/D</w:t>
      </w:r>
      <w:r w:rsidR="00056A9E">
        <w:rPr>
          <w:rFonts w:ascii="Arial" w:hAnsi="Arial" w:cs="Arial"/>
          <w:b/>
          <w:sz w:val="20"/>
        </w:rPr>
        <w:t>CNC</w:t>
      </w:r>
    </w:p>
    <w:p w:rsidR="00C87B02" w:rsidRPr="00826906" w:rsidRDefault="00C87B02">
      <w:pPr>
        <w:pStyle w:val="Recuodecorpodetexto"/>
        <w:jc w:val="right"/>
        <w:rPr>
          <w:rFonts w:ascii="Arial" w:hAnsi="Arial" w:cs="Arial"/>
          <w:sz w:val="20"/>
          <w:szCs w:val="20"/>
        </w:rPr>
      </w:pPr>
      <w:r w:rsidRPr="00826906">
        <w:rPr>
          <w:rFonts w:ascii="Arial" w:hAnsi="Arial" w:cs="Arial"/>
          <w:sz w:val="20"/>
          <w:szCs w:val="20"/>
        </w:rPr>
        <w:t xml:space="preserve"> </w:t>
      </w:r>
      <w:r w:rsidR="00056A9E">
        <w:rPr>
          <w:rFonts w:ascii="Arial" w:hAnsi="Arial" w:cs="Arial"/>
          <w:sz w:val="20"/>
          <w:szCs w:val="20"/>
        </w:rPr>
        <w:t>11/02</w:t>
      </w:r>
      <w:r w:rsidR="0049444C">
        <w:rPr>
          <w:rFonts w:ascii="Arial" w:hAnsi="Arial" w:cs="Arial"/>
          <w:sz w:val="20"/>
          <w:szCs w:val="20"/>
        </w:rPr>
        <w:t>/2019</w:t>
      </w:r>
    </w:p>
    <w:sectPr w:rsidR="00C87B02" w:rsidRPr="00826906" w:rsidSect="00C2569A">
      <w:footerReference w:type="even" r:id="rId15"/>
      <w:footerReference w:type="default" r:id="rId16"/>
      <w:pgSz w:w="11907" w:h="16840" w:code="9"/>
      <w:pgMar w:top="851" w:right="851" w:bottom="851" w:left="851" w:header="0" w:footer="0" w:gutter="0"/>
      <w:cols w:space="708"/>
      <w:titlePg/>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35186" w:rsidRDefault="00F35186">
      <w:r>
        <w:separator/>
      </w:r>
    </w:p>
  </w:endnote>
  <w:endnote w:type="continuationSeparator" w:id="0">
    <w:p w:rsidR="00F35186" w:rsidRDefault="00F351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4F40" w:rsidRDefault="008F4F40">
    <w:pPr>
      <w:pStyle w:val="Rodap"/>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8F4F40" w:rsidRDefault="008F4F40">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4F40" w:rsidRPr="000754DD" w:rsidRDefault="008F4F40">
    <w:pPr>
      <w:pStyle w:val="Rodap"/>
      <w:framePr w:wrap="around" w:vAnchor="text" w:hAnchor="margin" w:xAlign="center" w:y="1"/>
      <w:rPr>
        <w:rStyle w:val="Nmerodepgina"/>
        <w:rFonts w:ascii="Arial" w:hAnsi="Arial" w:cs="Arial"/>
        <w:sz w:val="16"/>
        <w:szCs w:val="16"/>
      </w:rPr>
    </w:pPr>
    <w:r w:rsidRPr="000754DD">
      <w:rPr>
        <w:rStyle w:val="Nmerodepgina"/>
        <w:rFonts w:ascii="Arial" w:hAnsi="Arial" w:cs="Arial"/>
        <w:sz w:val="16"/>
        <w:szCs w:val="16"/>
      </w:rPr>
      <w:fldChar w:fldCharType="begin"/>
    </w:r>
    <w:r w:rsidRPr="000754DD">
      <w:rPr>
        <w:rStyle w:val="Nmerodepgina"/>
        <w:rFonts w:ascii="Arial" w:hAnsi="Arial" w:cs="Arial"/>
        <w:sz w:val="16"/>
        <w:szCs w:val="16"/>
      </w:rPr>
      <w:instrText xml:space="preserve">PAGE  </w:instrText>
    </w:r>
    <w:r w:rsidRPr="000754DD">
      <w:rPr>
        <w:rStyle w:val="Nmerodepgina"/>
        <w:rFonts w:ascii="Arial" w:hAnsi="Arial" w:cs="Arial"/>
        <w:sz w:val="16"/>
        <w:szCs w:val="16"/>
      </w:rPr>
      <w:fldChar w:fldCharType="separate"/>
    </w:r>
    <w:r w:rsidR="00F13231">
      <w:rPr>
        <w:rStyle w:val="Nmerodepgina"/>
        <w:rFonts w:ascii="Arial" w:hAnsi="Arial" w:cs="Arial"/>
        <w:noProof/>
        <w:sz w:val="16"/>
        <w:szCs w:val="16"/>
      </w:rPr>
      <w:t>3</w:t>
    </w:r>
    <w:r w:rsidRPr="000754DD">
      <w:rPr>
        <w:rStyle w:val="Nmerodepgina"/>
        <w:rFonts w:ascii="Arial" w:hAnsi="Arial" w:cs="Arial"/>
        <w:sz w:val="16"/>
        <w:szCs w:val="16"/>
      </w:rPr>
      <w:fldChar w:fldCharType="end"/>
    </w:r>
  </w:p>
  <w:p w:rsidR="008F4F40" w:rsidRDefault="008F4F40">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35186" w:rsidRDefault="00F35186">
      <w:r>
        <w:separator/>
      </w:r>
    </w:p>
  </w:footnote>
  <w:footnote w:type="continuationSeparator" w:id="0">
    <w:p w:rsidR="00F35186" w:rsidRDefault="00F3518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9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644"/>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02A5"/>
    <w:rsid w:val="000014D2"/>
    <w:rsid w:val="0000209E"/>
    <w:rsid w:val="0000254E"/>
    <w:rsid w:val="000036C3"/>
    <w:rsid w:val="0000402A"/>
    <w:rsid w:val="00004903"/>
    <w:rsid w:val="00006103"/>
    <w:rsid w:val="00006262"/>
    <w:rsid w:val="00006ECB"/>
    <w:rsid w:val="00007083"/>
    <w:rsid w:val="000076AB"/>
    <w:rsid w:val="00007D32"/>
    <w:rsid w:val="00010A70"/>
    <w:rsid w:val="00013681"/>
    <w:rsid w:val="00013B15"/>
    <w:rsid w:val="00013C10"/>
    <w:rsid w:val="0001553F"/>
    <w:rsid w:val="000166CF"/>
    <w:rsid w:val="00017D67"/>
    <w:rsid w:val="00017F9E"/>
    <w:rsid w:val="00023523"/>
    <w:rsid w:val="00023700"/>
    <w:rsid w:val="00024620"/>
    <w:rsid w:val="000246E5"/>
    <w:rsid w:val="00024774"/>
    <w:rsid w:val="00025562"/>
    <w:rsid w:val="0002567E"/>
    <w:rsid w:val="0002592B"/>
    <w:rsid w:val="00026C30"/>
    <w:rsid w:val="00027B9D"/>
    <w:rsid w:val="00027CD6"/>
    <w:rsid w:val="00027FBF"/>
    <w:rsid w:val="000301F8"/>
    <w:rsid w:val="00030275"/>
    <w:rsid w:val="0003161E"/>
    <w:rsid w:val="00031A57"/>
    <w:rsid w:val="0003291F"/>
    <w:rsid w:val="000329DF"/>
    <w:rsid w:val="000348EF"/>
    <w:rsid w:val="00034D11"/>
    <w:rsid w:val="000354EE"/>
    <w:rsid w:val="00035920"/>
    <w:rsid w:val="00035927"/>
    <w:rsid w:val="00035E51"/>
    <w:rsid w:val="000400E7"/>
    <w:rsid w:val="00040781"/>
    <w:rsid w:val="00040AAD"/>
    <w:rsid w:val="00040CEE"/>
    <w:rsid w:val="0004141A"/>
    <w:rsid w:val="0004188A"/>
    <w:rsid w:val="00041926"/>
    <w:rsid w:val="00041C47"/>
    <w:rsid w:val="000421AD"/>
    <w:rsid w:val="00042DA0"/>
    <w:rsid w:val="00043C91"/>
    <w:rsid w:val="00045520"/>
    <w:rsid w:val="00045689"/>
    <w:rsid w:val="000456E0"/>
    <w:rsid w:val="0004621E"/>
    <w:rsid w:val="00047101"/>
    <w:rsid w:val="00047F65"/>
    <w:rsid w:val="00051416"/>
    <w:rsid w:val="00053736"/>
    <w:rsid w:val="000542D8"/>
    <w:rsid w:val="00055505"/>
    <w:rsid w:val="00056A9E"/>
    <w:rsid w:val="00056B26"/>
    <w:rsid w:val="00057E53"/>
    <w:rsid w:val="00060DB6"/>
    <w:rsid w:val="00060E48"/>
    <w:rsid w:val="00060ECE"/>
    <w:rsid w:val="00063D9B"/>
    <w:rsid w:val="00063DE6"/>
    <w:rsid w:val="00066372"/>
    <w:rsid w:val="00066406"/>
    <w:rsid w:val="000666A5"/>
    <w:rsid w:val="000676F5"/>
    <w:rsid w:val="00067C72"/>
    <w:rsid w:val="000708D1"/>
    <w:rsid w:val="00070FDC"/>
    <w:rsid w:val="0007199F"/>
    <w:rsid w:val="0007208F"/>
    <w:rsid w:val="000728BD"/>
    <w:rsid w:val="00072A5A"/>
    <w:rsid w:val="00072BF1"/>
    <w:rsid w:val="000735F0"/>
    <w:rsid w:val="00073B00"/>
    <w:rsid w:val="0007448A"/>
    <w:rsid w:val="00074CFD"/>
    <w:rsid w:val="00074FEC"/>
    <w:rsid w:val="000754DD"/>
    <w:rsid w:val="00076763"/>
    <w:rsid w:val="000777E6"/>
    <w:rsid w:val="00080CDD"/>
    <w:rsid w:val="000838F3"/>
    <w:rsid w:val="0008675A"/>
    <w:rsid w:val="00086BE6"/>
    <w:rsid w:val="00087349"/>
    <w:rsid w:val="00091B89"/>
    <w:rsid w:val="00092CA9"/>
    <w:rsid w:val="000930DA"/>
    <w:rsid w:val="00093FC9"/>
    <w:rsid w:val="0009438C"/>
    <w:rsid w:val="00094CD8"/>
    <w:rsid w:val="00094EAB"/>
    <w:rsid w:val="000950D3"/>
    <w:rsid w:val="00096E13"/>
    <w:rsid w:val="000976B6"/>
    <w:rsid w:val="000978BB"/>
    <w:rsid w:val="00097960"/>
    <w:rsid w:val="00097ADA"/>
    <w:rsid w:val="00097AEB"/>
    <w:rsid w:val="000A0879"/>
    <w:rsid w:val="000A0E3C"/>
    <w:rsid w:val="000A12CC"/>
    <w:rsid w:val="000A14AC"/>
    <w:rsid w:val="000A16C5"/>
    <w:rsid w:val="000A3C7F"/>
    <w:rsid w:val="000A412F"/>
    <w:rsid w:val="000A58CA"/>
    <w:rsid w:val="000A6462"/>
    <w:rsid w:val="000A6B29"/>
    <w:rsid w:val="000A7772"/>
    <w:rsid w:val="000B1245"/>
    <w:rsid w:val="000B1599"/>
    <w:rsid w:val="000B2CCF"/>
    <w:rsid w:val="000B4CB7"/>
    <w:rsid w:val="000B617B"/>
    <w:rsid w:val="000B6F56"/>
    <w:rsid w:val="000B778B"/>
    <w:rsid w:val="000C0B2D"/>
    <w:rsid w:val="000C101E"/>
    <w:rsid w:val="000C1354"/>
    <w:rsid w:val="000C4843"/>
    <w:rsid w:val="000C4CA1"/>
    <w:rsid w:val="000C4E0B"/>
    <w:rsid w:val="000C5899"/>
    <w:rsid w:val="000C5BC6"/>
    <w:rsid w:val="000C64AB"/>
    <w:rsid w:val="000C6B89"/>
    <w:rsid w:val="000D0A1C"/>
    <w:rsid w:val="000D0A49"/>
    <w:rsid w:val="000D1791"/>
    <w:rsid w:val="000D26FA"/>
    <w:rsid w:val="000D279E"/>
    <w:rsid w:val="000D39E2"/>
    <w:rsid w:val="000D4068"/>
    <w:rsid w:val="000D5591"/>
    <w:rsid w:val="000D5BE5"/>
    <w:rsid w:val="000E03A7"/>
    <w:rsid w:val="000E0754"/>
    <w:rsid w:val="000E1F98"/>
    <w:rsid w:val="000E3005"/>
    <w:rsid w:val="000E33C3"/>
    <w:rsid w:val="000E398E"/>
    <w:rsid w:val="000E39A2"/>
    <w:rsid w:val="000E3FFC"/>
    <w:rsid w:val="000E42AC"/>
    <w:rsid w:val="000E4AF7"/>
    <w:rsid w:val="000E4D0B"/>
    <w:rsid w:val="000E7154"/>
    <w:rsid w:val="000E7667"/>
    <w:rsid w:val="000E7821"/>
    <w:rsid w:val="000F20EC"/>
    <w:rsid w:val="000F2478"/>
    <w:rsid w:val="000F3A73"/>
    <w:rsid w:val="000F4768"/>
    <w:rsid w:val="000F5D88"/>
    <w:rsid w:val="000F67E1"/>
    <w:rsid w:val="000F6FB8"/>
    <w:rsid w:val="000F7529"/>
    <w:rsid w:val="000F7E4B"/>
    <w:rsid w:val="000F7E56"/>
    <w:rsid w:val="001002A5"/>
    <w:rsid w:val="001009DA"/>
    <w:rsid w:val="00102086"/>
    <w:rsid w:val="00102714"/>
    <w:rsid w:val="001028A9"/>
    <w:rsid w:val="00102FA0"/>
    <w:rsid w:val="00103608"/>
    <w:rsid w:val="00103A27"/>
    <w:rsid w:val="0010432D"/>
    <w:rsid w:val="00104345"/>
    <w:rsid w:val="00106AE7"/>
    <w:rsid w:val="0011004F"/>
    <w:rsid w:val="0011065F"/>
    <w:rsid w:val="0011143D"/>
    <w:rsid w:val="001120A0"/>
    <w:rsid w:val="0011278C"/>
    <w:rsid w:val="00112CB5"/>
    <w:rsid w:val="0011359A"/>
    <w:rsid w:val="00114060"/>
    <w:rsid w:val="001145E1"/>
    <w:rsid w:val="00114767"/>
    <w:rsid w:val="001148DB"/>
    <w:rsid w:val="00116244"/>
    <w:rsid w:val="00116DF6"/>
    <w:rsid w:val="001172F2"/>
    <w:rsid w:val="00120C53"/>
    <w:rsid w:val="00120FC3"/>
    <w:rsid w:val="001214F0"/>
    <w:rsid w:val="00121674"/>
    <w:rsid w:val="00121B82"/>
    <w:rsid w:val="001230EB"/>
    <w:rsid w:val="00123AEA"/>
    <w:rsid w:val="00123C08"/>
    <w:rsid w:val="00124184"/>
    <w:rsid w:val="00124275"/>
    <w:rsid w:val="001248CD"/>
    <w:rsid w:val="00125976"/>
    <w:rsid w:val="00127EF3"/>
    <w:rsid w:val="001302B1"/>
    <w:rsid w:val="00130896"/>
    <w:rsid w:val="00130BEF"/>
    <w:rsid w:val="00131883"/>
    <w:rsid w:val="00131C03"/>
    <w:rsid w:val="00132734"/>
    <w:rsid w:val="001343E9"/>
    <w:rsid w:val="00134A6E"/>
    <w:rsid w:val="00135398"/>
    <w:rsid w:val="00135405"/>
    <w:rsid w:val="00135BA2"/>
    <w:rsid w:val="001360B0"/>
    <w:rsid w:val="00136B69"/>
    <w:rsid w:val="00136D9F"/>
    <w:rsid w:val="00137206"/>
    <w:rsid w:val="00137272"/>
    <w:rsid w:val="0013770C"/>
    <w:rsid w:val="00140494"/>
    <w:rsid w:val="00140CC4"/>
    <w:rsid w:val="001410C3"/>
    <w:rsid w:val="00142592"/>
    <w:rsid w:val="00142F1E"/>
    <w:rsid w:val="00143382"/>
    <w:rsid w:val="00144082"/>
    <w:rsid w:val="0014413D"/>
    <w:rsid w:val="00144D60"/>
    <w:rsid w:val="0014572B"/>
    <w:rsid w:val="0014658F"/>
    <w:rsid w:val="0014766D"/>
    <w:rsid w:val="001479CC"/>
    <w:rsid w:val="00147F3E"/>
    <w:rsid w:val="0015012C"/>
    <w:rsid w:val="00150D5F"/>
    <w:rsid w:val="00151988"/>
    <w:rsid w:val="00153702"/>
    <w:rsid w:val="00155044"/>
    <w:rsid w:val="001553E1"/>
    <w:rsid w:val="0015622C"/>
    <w:rsid w:val="00156437"/>
    <w:rsid w:val="00157AFB"/>
    <w:rsid w:val="00161E99"/>
    <w:rsid w:val="001631E2"/>
    <w:rsid w:val="001653C9"/>
    <w:rsid w:val="001654D4"/>
    <w:rsid w:val="00165A56"/>
    <w:rsid w:val="001668BA"/>
    <w:rsid w:val="00166F09"/>
    <w:rsid w:val="00167040"/>
    <w:rsid w:val="00167101"/>
    <w:rsid w:val="00167A20"/>
    <w:rsid w:val="00171552"/>
    <w:rsid w:val="001715EE"/>
    <w:rsid w:val="00171A0D"/>
    <w:rsid w:val="00172239"/>
    <w:rsid w:val="0017334E"/>
    <w:rsid w:val="001737BF"/>
    <w:rsid w:val="001739E0"/>
    <w:rsid w:val="00173C33"/>
    <w:rsid w:val="001740EF"/>
    <w:rsid w:val="0017415F"/>
    <w:rsid w:val="00175DF5"/>
    <w:rsid w:val="00175FD4"/>
    <w:rsid w:val="001765E5"/>
    <w:rsid w:val="001768DC"/>
    <w:rsid w:val="00177C36"/>
    <w:rsid w:val="00180987"/>
    <w:rsid w:val="00181959"/>
    <w:rsid w:val="00181A5E"/>
    <w:rsid w:val="00181F12"/>
    <w:rsid w:val="001845DB"/>
    <w:rsid w:val="001855B7"/>
    <w:rsid w:val="001877D0"/>
    <w:rsid w:val="00187C56"/>
    <w:rsid w:val="0019065E"/>
    <w:rsid w:val="00191D61"/>
    <w:rsid w:val="00192430"/>
    <w:rsid w:val="00193C52"/>
    <w:rsid w:val="00193F46"/>
    <w:rsid w:val="0019506D"/>
    <w:rsid w:val="001950E2"/>
    <w:rsid w:val="001965D0"/>
    <w:rsid w:val="00196B83"/>
    <w:rsid w:val="001A002C"/>
    <w:rsid w:val="001A0A6C"/>
    <w:rsid w:val="001A0C5C"/>
    <w:rsid w:val="001A1062"/>
    <w:rsid w:val="001A1AD0"/>
    <w:rsid w:val="001A1F94"/>
    <w:rsid w:val="001A29EA"/>
    <w:rsid w:val="001A3C0C"/>
    <w:rsid w:val="001A47BE"/>
    <w:rsid w:val="001A4C12"/>
    <w:rsid w:val="001A551F"/>
    <w:rsid w:val="001A5F2C"/>
    <w:rsid w:val="001A69E4"/>
    <w:rsid w:val="001A7D65"/>
    <w:rsid w:val="001B0348"/>
    <w:rsid w:val="001B15A0"/>
    <w:rsid w:val="001B18D8"/>
    <w:rsid w:val="001B21EA"/>
    <w:rsid w:val="001B23D6"/>
    <w:rsid w:val="001B272C"/>
    <w:rsid w:val="001B290B"/>
    <w:rsid w:val="001B48AD"/>
    <w:rsid w:val="001B5153"/>
    <w:rsid w:val="001B5F0E"/>
    <w:rsid w:val="001B7C51"/>
    <w:rsid w:val="001B7EA7"/>
    <w:rsid w:val="001C10B3"/>
    <w:rsid w:val="001C182B"/>
    <w:rsid w:val="001C2AFB"/>
    <w:rsid w:val="001C2BE2"/>
    <w:rsid w:val="001C3C0D"/>
    <w:rsid w:val="001C499D"/>
    <w:rsid w:val="001C75BF"/>
    <w:rsid w:val="001C7639"/>
    <w:rsid w:val="001D1357"/>
    <w:rsid w:val="001D3304"/>
    <w:rsid w:val="001D35D6"/>
    <w:rsid w:val="001D3640"/>
    <w:rsid w:val="001D51EE"/>
    <w:rsid w:val="001D5DA7"/>
    <w:rsid w:val="001E005F"/>
    <w:rsid w:val="001E2DBF"/>
    <w:rsid w:val="001E3298"/>
    <w:rsid w:val="001E3EA2"/>
    <w:rsid w:val="001E4FEE"/>
    <w:rsid w:val="001E605F"/>
    <w:rsid w:val="001E649C"/>
    <w:rsid w:val="001F03E4"/>
    <w:rsid w:val="001F1E12"/>
    <w:rsid w:val="001F1E86"/>
    <w:rsid w:val="001F25CA"/>
    <w:rsid w:val="001F304D"/>
    <w:rsid w:val="001F39C4"/>
    <w:rsid w:val="001F59FD"/>
    <w:rsid w:val="001F6377"/>
    <w:rsid w:val="001F6BD9"/>
    <w:rsid w:val="00200422"/>
    <w:rsid w:val="00200C1F"/>
    <w:rsid w:val="00201721"/>
    <w:rsid w:val="00201EB6"/>
    <w:rsid w:val="0020228A"/>
    <w:rsid w:val="00202D83"/>
    <w:rsid w:val="00202E7D"/>
    <w:rsid w:val="002037B1"/>
    <w:rsid w:val="00203C2C"/>
    <w:rsid w:val="00204020"/>
    <w:rsid w:val="002048AD"/>
    <w:rsid w:val="0020496C"/>
    <w:rsid w:val="00204E09"/>
    <w:rsid w:val="00204E55"/>
    <w:rsid w:val="00205177"/>
    <w:rsid w:val="00206CCC"/>
    <w:rsid w:val="0020757C"/>
    <w:rsid w:val="002104CA"/>
    <w:rsid w:val="002106CF"/>
    <w:rsid w:val="0021144F"/>
    <w:rsid w:val="00211702"/>
    <w:rsid w:val="00214201"/>
    <w:rsid w:val="00214566"/>
    <w:rsid w:val="0021521E"/>
    <w:rsid w:val="0021634D"/>
    <w:rsid w:val="00216841"/>
    <w:rsid w:val="002175BC"/>
    <w:rsid w:val="00217690"/>
    <w:rsid w:val="0021787B"/>
    <w:rsid w:val="00220165"/>
    <w:rsid w:val="00224391"/>
    <w:rsid w:val="00224683"/>
    <w:rsid w:val="0022533F"/>
    <w:rsid w:val="002259FA"/>
    <w:rsid w:val="00230941"/>
    <w:rsid w:val="00230FEE"/>
    <w:rsid w:val="00231034"/>
    <w:rsid w:val="0023186C"/>
    <w:rsid w:val="00232DF4"/>
    <w:rsid w:val="00232F99"/>
    <w:rsid w:val="00233BE6"/>
    <w:rsid w:val="00233C69"/>
    <w:rsid w:val="0023409D"/>
    <w:rsid w:val="00234BDA"/>
    <w:rsid w:val="00235D98"/>
    <w:rsid w:val="002365E6"/>
    <w:rsid w:val="00236C8A"/>
    <w:rsid w:val="0023726D"/>
    <w:rsid w:val="00240914"/>
    <w:rsid w:val="00243565"/>
    <w:rsid w:val="00244DAD"/>
    <w:rsid w:val="00244FFD"/>
    <w:rsid w:val="00246FFB"/>
    <w:rsid w:val="0025029B"/>
    <w:rsid w:val="00252568"/>
    <w:rsid w:val="00253BAB"/>
    <w:rsid w:val="00253F6E"/>
    <w:rsid w:val="0025449A"/>
    <w:rsid w:val="00256A85"/>
    <w:rsid w:val="0025703A"/>
    <w:rsid w:val="00257972"/>
    <w:rsid w:val="00257CA9"/>
    <w:rsid w:val="00260952"/>
    <w:rsid w:val="00260A3D"/>
    <w:rsid w:val="00261D76"/>
    <w:rsid w:val="00262474"/>
    <w:rsid w:val="0026519E"/>
    <w:rsid w:val="00265916"/>
    <w:rsid w:val="00265B91"/>
    <w:rsid w:val="0026638C"/>
    <w:rsid w:val="00266F5A"/>
    <w:rsid w:val="00267384"/>
    <w:rsid w:val="00270FB8"/>
    <w:rsid w:val="00272B5F"/>
    <w:rsid w:val="00273ED5"/>
    <w:rsid w:val="00274325"/>
    <w:rsid w:val="002759C4"/>
    <w:rsid w:val="00275FD2"/>
    <w:rsid w:val="002765C2"/>
    <w:rsid w:val="0027693B"/>
    <w:rsid w:val="00277191"/>
    <w:rsid w:val="00280B61"/>
    <w:rsid w:val="00280D1E"/>
    <w:rsid w:val="00280F43"/>
    <w:rsid w:val="00281796"/>
    <w:rsid w:val="00281CB4"/>
    <w:rsid w:val="00282463"/>
    <w:rsid w:val="002825B3"/>
    <w:rsid w:val="00282A21"/>
    <w:rsid w:val="002834B5"/>
    <w:rsid w:val="002846ED"/>
    <w:rsid w:val="00286307"/>
    <w:rsid w:val="00286682"/>
    <w:rsid w:val="00286980"/>
    <w:rsid w:val="00286EB2"/>
    <w:rsid w:val="0028796C"/>
    <w:rsid w:val="00287BF8"/>
    <w:rsid w:val="00287C5B"/>
    <w:rsid w:val="002905B3"/>
    <w:rsid w:val="00292902"/>
    <w:rsid w:val="00292C37"/>
    <w:rsid w:val="00292F48"/>
    <w:rsid w:val="002954AE"/>
    <w:rsid w:val="002954F3"/>
    <w:rsid w:val="0029641D"/>
    <w:rsid w:val="00296626"/>
    <w:rsid w:val="002A0A91"/>
    <w:rsid w:val="002A451B"/>
    <w:rsid w:val="002A4B0B"/>
    <w:rsid w:val="002A50D8"/>
    <w:rsid w:val="002A5A16"/>
    <w:rsid w:val="002A5B80"/>
    <w:rsid w:val="002A5D48"/>
    <w:rsid w:val="002A699C"/>
    <w:rsid w:val="002A69F4"/>
    <w:rsid w:val="002A7051"/>
    <w:rsid w:val="002A707F"/>
    <w:rsid w:val="002A7318"/>
    <w:rsid w:val="002A750D"/>
    <w:rsid w:val="002A7843"/>
    <w:rsid w:val="002B0032"/>
    <w:rsid w:val="002B0264"/>
    <w:rsid w:val="002B0AA4"/>
    <w:rsid w:val="002B0BBC"/>
    <w:rsid w:val="002B1708"/>
    <w:rsid w:val="002B19C3"/>
    <w:rsid w:val="002B225F"/>
    <w:rsid w:val="002B3FF6"/>
    <w:rsid w:val="002B3FFA"/>
    <w:rsid w:val="002B40D1"/>
    <w:rsid w:val="002B4209"/>
    <w:rsid w:val="002B48DF"/>
    <w:rsid w:val="002B4BFF"/>
    <w:rsid w:val="002B5200"/>
    <w:rsid w:val="002B6586"/>
    <w:rsid w:val="002B728E"/>
    <w:rsid w:val="002B76D5"/>
    <w:rsid w:val="002C006D"/>
    <w:rsid w:val="002C0364"/>
    <w:rsid w:val="002C0938"/>
    <w:rsid w:val="002C2E49"/>
    <w:rsid w:val="002C2EBD"/>
    <w:rsid w:val="002C41FE"/>
    <w:rsid w:val="002C5A64"/>
    <w:rsid w:val="002C61C3"/>
    <w:rsid w:val="002C71CF"/>
    <w:rsid w:val="002D057E"/>
    <w:rsid w:val="002D15C6"/>
    <w:rsid w:val="002D198F"/>
    <w:rsid w:val="002D2497"/>
    <w:rsid w:val="002D35B6"/>
    <w:rsid w:val="002D37D5"/>
    <w:rsid w:val="002D4505"/>
    <w:rsid w:val="002D5693"/>
    <w:rsid w:val="002D58E0"/>
    <w:rsid w:val="002D6145"/>
    <w:rsid w:val="002D6B4E"/>
    <w:rsid w:val="002D6E77"/>
    <w:rsid w:val="002D7367"/>
    <w:rsid w:val="002E05B8"/>
    <w:rsid w:val="002E1A76"/>
    <w:rsid w:val="002E1D8A"/>
    <w:rsid w:val="002E2A6B"/>
    <w:rsid w:val="002E416C"/>
    <w:rsid w:val="002E50B6"/>
    <w:rsid w:val="002E50CA"/>
    <w:rsid w:val="002E5A8C"/>
    <w:rsid w:val="002E64B9"/>
    <w:rsid w:val="002E6B13"/>
    <w:rsid w:val="002E6CA1"/>
    <w:rsid w:val="002E7085"/>
    <w:rsid w:val="002E78F4"/>
    <w:rsid w:val="002F00B6"/>
    <w:rsid w:val="002F2AA2"/>
    <w:rsid w:val="002F37D6"/>
    <w:rsid w:val="002F4822"/>
    <w:rsid w:val="002F4B47"/>
    <w:rsid w:val="002F6408"/>
    <w:rsid w:val="002F69FB"/>
    <w:rsid w:val="002F6A42"/>
    <w:rsid w:val="002F6CE0"/>
    <w:rsid w:val="00301BFC"/>
    <w:rsid w:val="00301E82"/>
    <w:rsid w:val="00302D1E"/>
    <w:rsid w:val="0030347E"/>
    <w:rsid w:val="003054FC"/>
    <w:rsid w:val="0030680F"/>
    <w:rsid w:val="0031100B"/>
    <w:rsid w:val="003114C5"/>
    <w:rsid w:val="00311EF8"/>
    <w:rsid w:val="00311F32"/>
    <w:rsid w:val="00312E0B"/>
    <w:rsid w:val="00313A73"/>
    <w:rsid w:val="003146D2"/>
    <w:rsid w:val="00314BFA"/>
    <w:rsid w:val="00316822"/>
    <w:rsid w:val="00316C31"/>
    <w:rsid w:val="003202FE"/>
    <w:rsid w:val="003213EA"/>
    <w:rsid w:val="00321FD3"/>
    <w:rsid w:val="003222A3"/>
    <w:rsid w:val="003224EB"/>
    <w:rsid w:val="00322652"/>
    <w:rsid w:val="00323974"/>
    <w:rsid w:val="00323A54"/>
    <w:rsid w:val="00324322"/>
    <w:rsid w:val="003243CC"/>
    <w:rsid w:val="00324ECE"/>
    <w:rsid w:val="00324F68"/>
    <w:rsid w:val="003259EE"/>
    <w:rsid w:val="00327472"/>
    <w:rsid w:val="00330581"/>
    <w:rsid w:val="003306C9"/>
    <w:rsid w:val="00330D35"/>
    <w:rsid w:val="00332895"/>
    <w:rsid w:val="00334232"/>
    <w:rsid w:val="00334E38"/>
    <w:rsid w:val="00334ED4"/>
    <w:rsid w:val="00334FCC"/>
    <w:rsid w:val="00335352"/>
    <w:rsid w:val="00335889"/>
    <w:rsid w:val="00335DB5"/>
    <w:rsid w:val="00336A86"/>
    <w:rsid w:val="00341FEA"/>
    <w:rsid w:val="00343CAD"/>
    <w:rsid w:val="00345AEE"/>
    <w:rsid w:val="00350F51"/>
    <w:rsid w:val="0035125D"/>
    <w:rsid w:val="00352DE2"/>
    <w:rsid w:val="00353472"/>
    <w:rsid w:val="0035436D"/>
    <w:rsid w:val="00354FF6"/>
    <w:rsid w:val="00355FCD"/>
    <w:rsid w:val="00361C71"/>
    <w:rsid w:val="003630D6"/>
    <w:rsid w:val="0036317F"/>
    <w:rsid w:val="00364842"/>
    <w:rsid w:val="00367D6B"/>
    <w:rsid w:val="00370C77"/>
    <w:rsid w:val="00370F4A"/>
    <w:rsid w:val="00372F4E"/>
    <w:rsid w:val="003734AA"/>
    <w:rsid w:val="003743B9"/>
    <w:rsid w:val="00374794"/>
    <w:rsid w:val="00374A21"/>
    <w:rsid w:val="003766EA"/>
    <w:rsid w:val="0038134C"/>
    <w:rsid w:val="003820BA"/>
    <w:rsid w:val="003823A1"/>
    <w:rsid w:val="00382526"/>
    <w:rsid w:val="00382C83"/>
    <w:rsid w:val="00383C89"/>
    <w:rsid w:val="00383D01"/>
    <w:rsid w:val="00384177"/>
    <w:rsid w:val="003862C2"/>
    <w:rsid w:val="00386C6D"/>
    <w:rsid w:val="003909E2"/>
    <w:rsid w:val="00390CD1"/>
    <w:rsid w:val="00392E0F"/>
    <w:rsid w:val="00392FC0"/>
    <w:rsid w:val="003947CB"/>
    <w:rsid w:val="003949D8"/>
    <w:rsid w:val="00394ED0"/>
    <w:rsid w:val="003952C4"/>
    <w:rsid w:val="0039561C"/>
    <w:rsid w:val="003A0B29"/>
    <w:rsid w:val="003A0E82"/>
    <w:rsid w:val="003A1348"/>
    <w:rsid w:val="003A1858"/>
    <w:rsid w:val="003A47B8"/>
    <w:rsid w:val="003A510C"/>
    <w:rsid w:val="003A7A2A"/>
    <w:rsid w:val="003B049D"/>
    <w:rsid w:val="003B0ACC"/>
    <w:rsid w:val="003B0D74"/>
    <w:rsid w:val="003B1517"/>
    <w:rsid w:val="003B1EC6"/>
    <w:rsid w:val="003B2B76"/>
    <w:rsid w:val="003B3718"/>
    <w:rsid w:val="003B5497"/>
    <w:rsid w:val="003B6186"/>
    <w:rsid w:val="003B632E"/>
    <w:rsid w:val="003B6A83"/>
    <w:rsid w:val="003B6C9F"/>
    <w:rsid w:val="003B73D5"/>
    <w:rsid w:val="003B7B3B"/>
    <w:rsid w:val="003C13B7"/>
    <w:rsid w:val="003C1449"/>
    <w:rsid w:val="003C3151"/>
    <w:rsid w:val="003C3CF6"/>
    <w:rsid w:val="003C54E1"/>
    <w:rsid w:val="003C59B2"/>
    <w:rsid w:val="003C69D0"/>
    <w:rsid w:val="003D07AA"/>
    <w:rsid w:val="003D11F0"/>
    <w:rsid w:val="003D17C5"/>
    <w:rsid w:val="003D1872"/>
    <w:rsid w:val="003D27B6"/>
    <w:rsid w:val="003D302B"/>
    <w:rsid w:val="003D31BB"/>
    <w:rsid w:val="003D39F3"/>
    <w:rsid w:val="003D3D98"/>
    <w:rsid w:val="003D4CD5"/>
    <w:rsid w:val="003D5703"/>
    <w:rsid w:val="003D62F6"/>
    <w:rsid w:val="003D7895"/>
    <w:rsid w:val="003E091B"/>
    <w:rsid w:val="003E146F"/>
    <w:rsid w:val="003E165E"/>
    <w:rsid w:val="003E1EE3"/>
    <w:rsid w:val="003E2AF6"/>
    <w:rsid w:val="003E30EC"/>
    <w:rsid w:val="003E31CD"/>
    <w:rsid w:val="003E367B"/>
    <w:rsid w:val="003E4A98"/>
    <w:rsid w:val="003E53C5"/>
    <w:rsid w:val="003E56D8"/>
    <w:rsid w:val="003E7039"/>
    <w:rsid w:val="003F07E7"/>
    <w:rsid w:val="003F0A4D"/>
    <w:rsid w:val="003F150F"/>
    <w:rsid w:val="003F1C93"/>
    <w:rsid w:val="003F2069"/>
    <w:rsid w:val="003F3106"/>
    <w:rsid w:val="003F3114"/>
    <w:rsid w:val="003F349D"/>
    <w:rsid w:val="003F4615"/>
    <w:rsid w:val="003F49CC"/>
    <w:rsid w:val="003F5D9B"/>
    <w:rsid w:val="003F71CE"/>
    <w:rsid w:val="003F73EB"/>
    <w:rsid w:val="003F79EF"/>
    <w:rsid w:val="004004D6"/>
    <w:rsid w:val="004005E8"/>
    <w:rsid w:val="004005EF"/>
    <w:rsid w:val="004012D9"/>
    <w:rsid w:val="00401A32"/>
    <w:rsid w:val="00401F39"/>
    <w:rsid w:val="00402BD6"/>
    <w:rsid w:val="004033C1"/>
    <w:rsid w:val="00403F4D"/>
    <w:rsid w:val="00405739"/>
    <w:rsid w:val="0040583E"/>
    <w:rsid w:val="00405BFA"/>
    <w:rsid w:val="00405D60"/>
    <w:rsid w:val="00406822"/>
    <w:rsid w:val="00407255"/>
    <w:rsid w:val="004130A6"/>
    <w:rsid w:val="0041356D"/>
    <w:rsid w:val="00413ADB"/>
    <w:rsid w:val="00414AB5"/>
    <w:rsid w:val="0041502E"/>
    <w:rsid w:val="00415075"/>
    <w:rsid w:val="004150FC"/>
    <w:rsid w:val="0041600B"/>
    <w:rsid w:val="004169FB"/>
    <w:rsid w:val="004215B4"/>
    <w:rsid w:val="00421D62"/>
    <w:rsid w:val="00422301"/>
    <w:rsid w:val="00422C8B"/>
    <w:rsid w:val="004233BC"/>
    <w:rsid w:val="004238B9"/>
    <w:rsid w:val="00426013"/>
    <w:rsid w:val="0042676A"/>
    <w:rsid w:val="00426779"/>
    <w:rsid w:val="00427339"/>
    <w:rsid w:val="00430556"/>
    <w:rsid w:val="00431374"/>
    <w:rsid w:val="0043165A"/>
    <w:rsid w:val="00431DFE"/>
    <w:rsid w:val="004320F4"/>
    <w:rsid w:val="00432541"/>
    <w:rsid w:val="00433948"/>
    <w:rsid w:val="00433AE8"/>
    <w:rsid w:val="004343AC"/>
    <w:rsid w:val="00434639"/>
    <w:rsid w:val="00434E4E"/>
    <w:rsid w:val="00435123"/>
    <w:rsid w:val="00435284"/>
    <w:rsid w:val="0043540E"/>
    <w:rsid w:val="004360EB"/>
    <w:rsid w:val="00436328"/>
    <w:rsid w:val="00436E8A"/>
    <w:rsid w:val="004375F6"/>
    <w:rsid w:val="00437C17"/>
    <w:rsid w:val="004418ED"/>
    <w:rsid w:val="00443955"/>
    <w:rsid w:val="00445579"/>
    <w:rsid w:val="00445D12"/>
    <w:rsid w:val="00446752"/>
    <w:rsid w:val="00446BC7"/>
    <w:rsid w:val="0044758F"/>
    <w:rsid w:val="004476F8"/>
    <w:rsid w:val="00447760"/>
    <w:rsid w:val="00450323"/>
    <w:rsid w:val="004515A0"/>
    <w:rsid w:val="00452393"/>
    <w:rsid w:val="00452B1D"/>
    <w:rsid w:val="00452EA9"/>
    <w:rsid w:val="004556F3"/>
    <w:rsid w:val="00457723"/>
    <w:rsid w:val="00457AA1"/>
    <w:rsid w:val="00457DB3"/>
    <w:rsid w:val="00463C85"/>
    <w:rsid w:val="004645F5"/>
    <w:rsid w:val="0046493C"/>
    <w:rsid w:val="00465925"/>
    <w:rsid w:val="00466B47"/>
    <w:rsid w:val="004673C8"/>
    <w:rsid w:val="00470511"/>
    <w:rsid w:val="004717FE"/>
    <w:rsid w:val="004719BB"/>
    <w:rsid w:val="004719DB"/>
    <w:rsid w:val="004731CC"/>
    <w:rsid w:val="00473237"/>
    <w:rsid w:val="00473872"/>
    <w:rsid w:val="004742BC"/>
    <w:rsid w:val="0047504C"/>
    <w:rsid w:val="0047558D"/>
    <w:rsid w:val="00475ADE"/>
    <w:rsid w:val="004772A2"/>
    <w:rsid w:val="004776F1"/>
    <w:rsid w:val="00480B14"/>
    <w:rsid w:val="00480BCC"/>
    <w:rsid w:val="00481D08"/>
    <w:rsid w:val="00482630"/>
    <w:rsid w:val="00482E82"/>
    <w:rsid w:val="004831BB"/>
    <w:rsid w:val="00483AB6"/>
    <w:rsid w:val="00484481"/>
    <w:rsid w:val="0048481F"/>
    <w:rsid w:val="00485744"/>
    <w:rsid w:val="00486ECE"/>
    <w:rsid w:val="00487FB1"/>
    <w:rsid w:val="0049174C"/>
    <w:rsid w:val="00492292"/>
    <w:rsid w:val="0049292E"/>
    <w:rsid w:val="00492C73"/>
    <w:rsid w:val="004931C5"/>
    <w:rsid w:val="0049405D"/>
    <w:rsid w:val="0049444C"/>
    <w:rsid w:val="0049568A"/>
    <w:rsid w:val="00495E53"/>
    <w:rsid w:val="00496096"/>
    <w:rsid w:val="004A00D7"/>
    <w:rsid w:val="004A019B"/>
    <w:rsid w:val="004A0AD4"/>
    <w:rsid w:val="004A106D"/>
    <w:rsid w:val="004A12EB"/>
    <w:rsid w:val="004A1E44"/>
    <w:rsid w:val="004A31C4"/>
    <w:rsid w:val="004A4252"/>
    <w:rsid w:val="004A454D"/>
    <w:rsid w:val="004A5CAF"/>
    <w:rsid w:val="004A63D2"/>
    <w:rsid w:val="004A68FB"/>
    <w:rsid w:val="004A6A6F"/>
    <w:rsid w:val="004A77C5"/>
    <w:rsid w:val="004A78A2"/>
    <w:rsid w:val="004A7FE9"/>
    <w:rsid w:val="004B0525"/>
    <w:rsid w:val="004B0DEA"/>
    <w:rsid w:val="004B151F"/>
    <w:rsid w:val="004B1A1C"/>
    <w:rsid w:val="004B289F"/>
    <w:rsid w:val="004B336A"/>
    <w:rsid w:val="004B37C4"/>
    <w:rsid w:val="004B3949"/>
    <w:rsid w:val="004B5C0A"/>
    <w:rsid w:val="004B6007"/>
    <w:rsid w:val="004B6A3B"/>
    <w:rsid w:val="004B739D"/>
    <w:rsid w:val="004B7D09"/>
    <w:rsid w:val="004C1656"/>
    <w:rsid w:val="004C191A"/>
    <w:rsid w:val="004C1E56"/>
    <w:rsid w:val="004C28BB"/>
    <w:rsid w:val="004C30A8"/>
    <w:rsid w:val="004C38B2"/>
    <w:rsid w:val="004C3A69"/>
    <w:rsid w:val="004C41CC"/>
    <w:rsid w:val="004C4B68"/>
    <w:rsid w:val="004C5467"/>
    <w:rsid w:val="004C5F79"/>
    <w:rsid w:val="004C6E0A"/>
    <w:rsid w:val="004C6EE3"/>
    <w:rsid w:val="004D12C0"/>
    <w:rsid w:val="004D17C2"/>
    <w:rsid w:val="004D46C1"/>
    <w:rsid w:val="004E065A"/>
    <w:rsid w:val="004E0700"/>
    <w:rsid w:val="004E0FE6"/>
    <w:rsid w:val="004E10B6"/>
    <w:rsid w:val="004E3415"/>
    <w:rsid w:val="004E3776"/>
    <w:rsid w:val="004E51AB"/>
    <w:rsid w:val="004E60E3"/>
    <w:rsid w:val="004E71DB"/>
    <w:rsid w:val="004E74B2"/>
    <w:rsid w:val="004F0B9D"/>
    <w:rsid w:val="004F101C"/>
    <w:rsid w:val="004F4B16"/>
    <w:rsid w:val="004F4C23"/>
    <w:rsid w:val="004F5D9D"/>
    <w:rsid w:val="004F68B1"/>
    <w:rsid w:val="004F70EC"/>
    <w:rsid w:val="004F710D"/>
    <w:rsid w:val="00500160"/>
    <w:rsid w:val="005002E2"/>
    <w:rsid w:val="00500EAF"/>
    <w:rsid w:val="005012E3"/>
    <w:rsid w:val="0050139D"/>
    <w:rsid w:val="00501795"/>
    <w:rsid w:val="00501B3F"/>
    <w:rsid w:val="00502105"/>
    <w:rsid w:val="00502FFC"/>
    <w:rsid w:val="00503EF2"/>
    <w:rsid w:val="00504C04"/>
    <w:rsid w:val="005052A2"/>
    <w:rsid w:val="0050583C"/>
    <w:rsid w:val="005069AD"/>
    <w:rsid w:val="00506B9A"/>
    <w:rsid w:val="00506D6A"/>
    <w:rsid w:val="0050737E"/>
    <w:rsid w:val="00507E5C"/>
    <w:rsid w:val="005106CE"/>
    <w:rsid w:val="005137DD"/>
    <w:rsid w:val="00513DA7"/>
    <w:rsid w:val="005153C5"/>
    <w:rsid w:val="00515548"/>
    <w:rsid w:val="00515B3A"/>
    <w:rsid w:val="00517835"/>
    <w:rsid w:val="005209A5"/>
    <w:rsid w:val="00520C74"/>
    <w:rsid w:val="005211A7"/>
    <w:rsid w:val="00522B94"/>
    <w:rsid w:val="00525E76"/>
    <w:rsid w:val="00526112"/>
    <w:rsid w:val="00526F60"/>
    <w:rsid w:val="00530B31"/>
    <w:rsid w:val="0053113E"/>
    <w:rsid w:val="00531DCE"/>
    <w:rsid w:val="00531E2F"/>
    <w:rsid w:val="005326B6"/>
    <w:rsid w:val="00532F6C"/>
    <w:rsid w:val="005334B2"/>
    <w:rsid w:val="00533766"/>
    <w:rsid w:val="0053494E"/>
    <w:rsid w:val="00534954"/>
    <w:rsid w:val="0053642E"/>
    <w:rsid w:val="00537060"/>
    <w:rsid w:val="00540A2B"/>
    <w:rsid w:val="005416D7"/>
    <w:rsid w:val="00542256"/>
    <w:rsid w:val="00543648"/>
    <w:rsid w:val="00543885"/>
    <w:rsid w:val="00544917"/>
    <w:rsid w:val="005474C2"/>
    <w:rsid w:val="005476ED"/>
    <w:rsid w:val="00550BE0"/>
    <w:rsid w:val="00553174"/>
    <w:rsid w:val="00553574"/>
    <w:rsid w:val="00553C17"/>
    <w:rsid w:val="00554A36"/>
    <w:rsid w:val="00554BA8"/>
    <w:rsid w:val="00554FBD"/>
    <w:rsid w:val="00555759"/>
    <w:rsid w:val="005558D4"/>
    <w:rsid w:val="00556259"/>
    <w:rsid w:val="00560934"/>
    <w:rsid w:val="00561A9B"/>
    <w:rsid w:val="00561C8B"/>
    <w:rsid w:val="00561DCD"/>
    <w:rsid w:val="00562601"/>
    <w:rsid w:val="00562EC0"/>
    <w:rsid w:val="00563206"/>
    <w:rsid w:val="00563922"/>
    <w:rsid w:val="00563E31"/>
    <w:rsid w:val="00564C24"/>
    <w:rsid w:val="00564DCC"/>
    <w:rsid w:val="005656C2"/>
    <w:rsid w:val="00567CF5"/>
    <w:rsid w:val="0057119B"/>
    <w:rsid w:val="0057128D"/>
    <w:rsid w:val="005729B2"/>
    <w:rsid w:val="00573EDD"/>
    <w:rsid w:val="0057461A"/>
    <w:rsid w:val="005747FB"/>
    <w:rsid w:val="00574C37"/>
    <w:rsid w:val="00575079"/>
    <w:rsid w:val="00575363"/>
    <w:rsid w:val="00575449"/>
    <w:rsid w:val="005757C4"/>
    <w:rsid w:val="00575A5D"/>
    <w:rsid w:val="005765A4"/>
    <w:rsid w:val="00576A24"/>
    <w:rsid w:val="00576B4D"/>
    <w:rsid w:val="00577DF1"/>
    <w:rsid w:val="00580A75"/>
    <w:rsid w:val="00582727"/>
    <w:rsid w:val="00583441"/>
    <w:rsid w:val="0058410D"/>
    <w:rsid w:val="005842E1"/>
    <w:rsid w:val="00584359"/>
    <w:rsid w:val="005863B1"/>
    <w:rsid w:val="0058686F"/>
    <w:rsid w:val="00587010"/>
    <w:rsid w:val="0059163E"/>
    <w:rsid w:val="005919DE"/>
    <w:rsid w:val="00592638"/>
    <w:rsid w:val="00592C77"/>
    <w:rsid w:val="00594D75"/>
    <w:rsid w:val="00595490"/>
    <w:rsid w:val="00595A34"/>
    <w:rsid w:val="00595CE1"/>
    <w:rsid w:val="005A04FC"/>
    <w:rsid w:val="005A1ADA"/>
    <w:rsid w:val="005A1EEF"/>
    <w:rsid w:val="005A2565"/>
    <w:rsid w:val="005A2EF8"/>
    <w:rsid w:val="005A34B6"/>
    <w:rsid w:val="005A3524"/>
    <w:rsid w:val="005A51F4"/>
    <w:rsid w:val="005A707C"/>
    <w:rsid w:val="005B0013"/>
    <w:rsid w:val="005B04C0"/>
    <w:rsid w:val="005B0A08"/>
    <w:rsid w:val="005B1238"/>
    <w:rsid w:val="005B173D"/>
    <w:rsid w:val="005B30F3"/>
    <w:rsid w:val="005B5B16"/>
    <w:rsid w:val="005B6B2A"/>
    <w:rsid w:val="005C01FF"/>
    <w:rsid w:val="005C1DBC"/>
    <w:rsid w:val="005C1F05"/>
    <w:rsid w:val="005C2FE7"/>
    <w:rsid w:val="005C3C51"/>
    <w:rsid w:val="005C4401"/>
    <w:rsid w:val="005C493E"/>
    <w:rsid w:val="005C4D06"/>
    <w:rsid w:val="005C4DF4"/>
    <w:rsid w:val="005C54D4"/>
    <w:rsid w:val="005C6E9D"/>
    <w:rsid w:val="005C7E19"/>
    <w:rsid w:val="005D0B74"/>
    <w:rsid w:val="005D0E00"/>
    <w:rsid w:val="005D2202"/>
    <w:rsid w:val="005D2627"/>
    <w:rsid w:val="005D294F"/>
    <w:rsid w:val="005D349E"/>
    <w:rsid w:val="005D3EDB"/>
    <w:rsid w:val="005D497D"/>
    <w:rsid w:val="005D4D9F"/>
    <w:rsid w:val="005D535C"/>
    <w:rsid w:val="005D581A"/>
    <w:rsid w:val="005D71E2"/>
    <w:rsid w:val="005D7673"/>
    <w:rsid w:val="005E00C1"/>
    <w:rsid w:val="005E26F5"/>
    <w:rsid w:val="005E387F"/>
    <w:rsid w:val="005E396F"/>
    <w:rsid w:val="005E4BC9"/>
    <w:rsid w:val="005E4C1C"/>
    <w:rsid w:val="005E67DD"/>
    <w:rsid w:val="005E726E"/>
    <w:rsid w:val="005E783E"/>
    <w:rsid w:val="005F0EDC"/>
    <w:rsid w:val="005F216C"/>
    <w:rsid w:val="005F40B5"/>
    <w:rsid w:val="005F45DB"/>
    <w:rsid w:val="005F507B"/>
    <w:rsid w:val="005F5266"/>
    <w:rsid w:val="005F66A0"/>
    <w:rsid w:val="005F69F8"/>
    <w:rsid w:val="005F6A69"/>
    <w:rsid w:val="005F7682"/>
    <w:rsid w:val="006020C0"/>
    <w:rsid w:val="006022F2"/>
    <w:rsid w:val="006029F1"/>
    <w:rsid w:val="006033BB"/>
    <w:rsid w:val="00603A63"/>
    <w:rsid w:val="00603C16"/>
    <w:rsid w:val="0060433B"/>
    <w:rsid w:val="00604CE0"/>
    <w:rsid w:val="00604F97"/>
    <w:rsid w:val="00605CCD"/>
    <w:rsid w:val="006063EA"/>
    <w:rsid w:val="00606817"/>
    <w:rsid w:val="006078EA"/>
    <w:rsid w:val="00607CBD"/>
    <w:rsid w:val="00610997"/>
    <w:rsid w:val="006115FE"/>
    <w:rsid w:val="00611A3B"/>
    <w:rsid w:val="00611DCE"/>
    <w:rsid w:val="00613DE1"/>
    <w:rsid w:val="00615182"/>
    <w:rsid w:val="00615F17"/>
    <w:rsid w:val="00616501"/>
    <w:rsid w:val="00616C3F"/>
    <w:rsid w:val="00617839"/>
    <w:rsid w:val="006203F4"/>
    <w:rsid w:val="00623381"/>
    <w:rsid w:val="006237F7"/>
    <w:rsid w:val="00623A62"/>
    <w:rsid w:val="006248BE"/>
    <w:rsid w:val="0063124C"/>
    <w:rsid w:val="0063325D"/>
    <w:rsid w:val="006337C9"/>
    <w:rsid w:val="00634E94"/>
    <w:rsid w:val="00634F64"/>
    <w:rsid w:val="00635D33"/>
    <w:rsid w:val="006405ED"/>
    <w:rsid w:val="00640EC4"/>
    <w:rsid w:val="0064101C"/>
    <w:rsid w:val="006416FB"/>
    <w:rsid w:val="00641D1A"/>
    <w:rsid w:val="006425D4"/>
    <w:rsid w:val="006425F1"/>
    <w:rsid w:val="006430B7"/>
    <w:rsid w:val="0064386E"/>
    <w:rsid w:val="00643E9C"/>
    <w:rsid w:val="00645B96"/>
    <w:rsid w:val="00645E6B"/>
    <w:rsid w:val="006467C5"/>
    <w:rsid w:val="006469AF"/>
    <w:rsid w:val="00646F34"/>
    <w:rsid w:val="006479DC"/>
    <w:rsid w:val="00647DA6"/>
    <w:rsid w:val="0065028B"/>
    <w:rsid w:val="006507C0"/>
    <w:rsid w:val="006513EB"/>
    <w:rsid w:val="00651518"/>
    <w:rsid w:val="00653A3C"/>
    <w:rsid w:val="00653E16"/>
    <w:rsid w:val="00653EA3"/>
    <w:rsid w:val="00654F3D"/>
    <w:rsid w:val="00655FE1"/>
    <w:rsid w:val="0065655C"/>
    <w:rsid w:val="006568E2"/>
    <w:rsid w:val="0066066A"/>
    <w:rsid w:val="00661356"/>
    <w:rsid w:val="006619F8"/>
    <w:rsid w:val="00661A7D"/>
    <w:rsid w:val="0066245A"/>
    <w:rsid w:val="00664122"/>
    <w:rsid w:val="00664C23"/>
    <w:rsid w:val="00664EDE"/>
    <w:rsid w:val="0066542A"/>
    <w:rsid w:val="00665DC8"/>
    <w:rsid w:val="00666D8F"/>
    <w:rsid w:val="00667067"/>
    <w:rsid w:val="0066714E"/>
    <w:rsid w:val="00670C8A"/>
    <w:rsid w:val="00671808"/>
    <w:rsid w:val="00673DE8"/>
    <w:rsid w:val="006749F3"/>
    <w:rsid w:val="00674FDF"/>
    <w:rsid w:val="00676890"/>
    <w:rsid w:val="00682255"/>
    <w:rsid w:val="00683DAF"/>
    <w:rsid w:val="006843BB"/>
    <w:rsid w:val="00684A7F"/>
    <w:rsid w:val="00684AB5"/>
    <w:rsid w:val="00684DDA"/>
    <w:rsid w:val="00684DEC"/>
    <w:rsid w:val="00684FDD"/>
    <w:rsid w:val="00686CA6"/>
    <w:rsid w:val="006871A0"/>
    <w:rsid w:val="00692C0D"/>
    <w:rsid w:val="0069324B"/>
    <w:rsid w:val="00693F5B"/>
    <w:rsid w:val="00695337"/>
    <w:rsid w:val="00695E6E"/>
    <w:rsid w:val="006966D5"/>
    <w:rsid w:val="00696EFB"/>
    <w:rsid w:val="00697955"/>
    <w:rsid w:val="00697BF0"/>
    <w:rsid w:val="00697D83"/>
    <w:rsid w:val="00697F2A"/>
    <w:rsid w:val="006A01AB"/>
    <w:rsid w:val="006A06D6"/>
    <w:rsid w:val="006A1D97"/>
    <w:rsid w:val="006A2369"/>
    <w:rsid w:val="006A38B2"/>
    <w:rsid w:val="006A5836"/>
    <w:rsid w:val="006A7B5D"/>
    <w:rsid w:val="006B018A"/>
    <w:rsid w:val="006B0E1E"/>
    <w:rsid w:val="006B2564"/>
    <w:rsid w:val="006B25D6"/>
    <w:rsid w:val="006B2DCE"/>
    <w:rsid w:val="006B3017"/>
    <w:rsid w:val="006B43BC"/>
    <w:rsid w:val="006B4D07"/>
    <w:rsid w:val="006B53BB"/>
    <w:rsid w:val="006B56A9"/>
    <w:rsid w:val="006B5BF9"/>
    <w:rsid w:val="006C03D7"/>
    <w:rsid w:val="006C1071"/>
    <w:rsid w:val="006C1389"/>
    <w:rsid w:val="006C1BC1"/>
    <w:rsid w:val="006C37DB"/>
    <w:rsid w:val="006C46E0"/>
    <w:rsid w:val="006C4D3E"/>
    <w:rsid w:val="006C5B3E"/>
    <w:rsid w:val="006C615F"/>
    <w:rsid w:val="006C72EB"/>
    <w:rsid w:val="006C7F46"/>
    <w:rsid w:val="006D02DF"/>
    <w:rsid w:val="006D0B36"/>
    <w:rsid w:val="006D35ED"/>
    <w:rsid w:val="006D3D26"/>
    <w:rsid w:val="006D3DB2"/>
    <w:rsid w:val="006D43E1"/>
    <w:rsid w:val="006D50C1"/>
    <w:rsid w:val="006D5726"/>
    <w:rsid w:val="006D6CC0"/>
    <w:rsid w:val="006D7072"/>
    <w:rsid w:val="006D7B33"/>
    <w:rsid w:val="006E0361"/>
    <w:rsid w:val="006E1195"/>
    <w:rsid w:val="006E142C"/>
    <w:rsid w:val="006E145A"/>
    <w:rsid w:val="006E15E3"/>
    <w:rsid w:val="006E22EC"/>
    <w:rsid w:val="006E2387"/>
    <w:rsid w:val="006E24AD"/>
    <w:rsid w:val="006E26A0"/>
    <w:rsid w:val="006E510D"/>
    <w:rsid w:val="006E5173"/>
    <w:rsid w:val="006E5200"/>
    <w:rsid w:val="006E672C"/>
    <w:rsid w:val="006E773E"/>
    <w:rsid w:val="006E7AC8"/>
    <w:rsid w:val="006E7BC3"/>
    <w:rsid w:val="006E7BFD"/>
    <w:rsid w:val="006F0571"/>
    <w:rsid w:val="006F182E"/>
    <w:rsid w:val="006F3AE3"/>
    <w:rsid w:val="006F5B00"/>
    <w:rsid w:val="006F5D30"/>
    <w:rsid w:val="006F6D8D"/>
    <w:rsid w:val="006F71A9"/>
    <w:rsid w:val="006F7377"/>
    <w:rsid w:val="006F7D59"/>
    <w:rsid w:val="0070000E"/>
    <w:rsid w:val="0070014F"/>
    <w:rsid w:val="00700F57"/>
    <w:rsid w:val="00702E28"/>
    <w:rsid w:val="00703EFC"/>
    <w:rsid w:val="0070415B"/>
    <w:rsid w:val="0070418D"/>
    <w:rsid w:val="007043A6"/>
    <w:rsid w:val="0070444C"/>
    <w:rsid w:val="007051B7"/>
    <w:rsid w:val="00705217"/>
    <w:rsid w:val="007053D4"/>
    <w:rsid w:val="0070567E"/>
    <w:rsid w:val="00705A22"/>
    <w:rsid w:val="00705D3F"/>
    <w:rsid w:val="00706146"/>
    <w:rsid w:val="007066F2"/>
    <w:rsid w:val="00706976"/>
    <w:rsid w:val="00710BD6"/>
    <w:rsid w:val="00710C98"/>
    <w:rsid w:val="007122A8"/>
    <w:rsid w:val="00713508"/>
    <w:rsid w:val="00713608"/>
    <w:rsid w:val="007140B5"/>
    <w:rsid w:val="00716027"/>
    <w:rsid w:val="007162FA"/>
    <w:rsid w:val="00716332"/>
    <w:rsid w:val="00717443"/>
    <w:rsid w:val="00717C33"/>
    <w:rsid w:val="00717EB6"/>
    <w:rsid w:val="007211C8"/>
    <w:rsid w:val="0072273E"/>
    <w:rsid w:val="00724D08"/>
    <w:rsid w:val="00725BD7"/>
    <w:rsid w:val="00727264"/>
    <w:rsid w:val="0073050D"/>
    <w:rsid w:val="0073056F"/>
    <w:rsid w:val="0073167F"/>
    <w:rsid w:val="007321B4"/>
    <w:rsid w:val="00732AF2"/>
    <w:rsid w:val="007332D5"/>
    <w:rsid w:val="00734D98"/>
    <w:rsid w:val="00735795"/>
    <w:rsid w:val="0073628B"/>
    <w:rsid w:val="00736449"/>
    <w:rsid w:val="00737BA7"/>
    <w:rsid w:val="00741BBA"/>
    <w:rsid w:val="00741C21"/>
    <w:rsid w:val="00742623"/>
    <w:rsid w:val="00743211"/>
    <w:rsid w:val="0074579E"/>
    <w:rsid w:val="00746225"/>
    <w:rsid w:val="00746768"/>
    <w:rsid w:val="00750B82"/>
    <w:rsid w:val="007511D9"/>
    <w:rsid w:val="00751CB0"/>
    <w:rsid w:val="00753CD4"/>
    <w:rsid w:val="0075478E"/>
    <w:rsid w:val="0075509A"/>
    <w:rsid w:val="00755E97"/>
    <w:rsid w:val="00756A0B"/>
    <w:rsid w:val="00756D7C"/>
    <w:rsid w:val="00757359"/>
    <w:rsid w:val="00763458"/>
    <w:rsid w:val="007637C1"/>
    <w:rsid w:val="007646E7"/>
    <w:rsid w:val="00766856"/>
    <w:rsid w:val="007669F0"/>
    <w:rsid w:val="00766DEB"/>
    <w:rsid w:val="00770A47"/>
    <w:rsid w:val="00771D2A"/>
    <w:rsid w:val="007722FF"/>
    <w:rsid w:val="007731E5"/>
    <w:rsid w:val="00773A1B"/>
    <w:rsid w:val="0077430C"/>
    <w:rsid w:val="00774D6E"/>
    <w:rsid w:val="00776353"/>
    <w:rsid w:val="007763E4"/>
    <w:rsid w:val="0077732B"/>
    <w:rsid w:val="00777445"/>
    <w:rsid w:val="0077791D"/>
    <w:rsid w:val="007800C1"/>
    <w:rsid w:val="007801FC"/>
    <w:rsid w:val="00780C12"/>
    <w:rsid w:val="007811A2"/>
    <w:rsid w:val="00781286"/>
    <w:rsid w:val="007815E1"/>
    <w:rsid w:val="00783B2F"/>
    <w:rsid w:val="007840F1"/>
    <w:rsid w:val="0078520D"/>
    <w:rsid w:val="007917AC"/>
    <w:rsid w:val="007919AE"/>
    <w:rsid w:val="00792DC4"/>
    <w:rsid w:val="00792E5A"/>
    <w:rsid w:val="00793F51"/>
    <w:rsid w:val="007944D6"/>
    <w:rsid w:val="0079485F"/>
    <w:rsid w:val="00794E8F"/>
    <w:rsid w:val="00794FFA"/>
    <w:rsid w:val="00796077"/>
    <w:rsid w:val="00796ED6"/>
    <w:rsid w:val="0079756F"/>
    <w:rsid w:val="007A009E"/>
    <w:rsid w:val="007A03C6"/>
    <w:rsid w:val="007A095F"/>
    <w:rsid w:val="007A21EA"/>
    <w:rsid w:val="007A25F1"/>
    <w:rsid w:val="007A33FE"/>
    <w:rsid w:val="007A3900"/>
    <w:rsid w:val="007A3A36"/>
    <w:rsid w:val="007A405C"/>
    <w:rsid w:val="007A4626"/>
    <w:rsid w:val="007A59F1"/>
    <w:rsid w:val="007A5AFF"/>
    <w:rsid w:val="007A5FD1"/>
    <w:rsid w:val="007A62ED"/>
    <w:rsid w:val="007A7222"/>
    <w:rsid w:val="007B075C"/>
    <w:rsid w:val="007B35B2"/>
    <w:rsid w:val="007B4B22"/>
    <w:rsid w:val="007B5E02"/>
    <w:rsid w:val="007B654B"/>
    <w:rsid w:val="007B719B"/>
    <w:rsid w:val="007B7637"/>
    <w:rsid w:val="007B7819"/>
    <w:rsid w:val="007C0915"/>
    <w:rsid w:val="007C1C13"/>
    <w:rsid w:val="007C225E"/>
    <w:rsid w:val="007C2E24"/>
    <w:rsid w:val="007C35FD"/>
    <w:rsid w:val="007C3DE5"/>
    <w:rsid w:val="007C4F7F"/>
    <w:rsid w:val="007C541E"/>
    <w:rsid w:val="007C6CBD"/>
    <w:rsid w:val="007C6E1E"/>
    <w:rsid w:val="007C78C4"/>
    <w:rsid w:val="007C7A97"/>
    <w:rsid w:val="007D0604"/>
    <w:rsid w:val="007D152B"/>
    <w:rsid w:val="007D1C11"/>
    <w:rsid w:val="007D310E"/>
    <w:rsid w:val="007D4290"/>
    <w:rsid w:val="007D5905"/>
    <w:rsid w:val="007D5C34"/>
    <w:rsid w:val="007D5E9F"/>
    <w:rsid w:val="007D765E"/>
    <w:rsid w:val="007D7D4C"/>
    <w:rsid w:val="007E0D1C"/>
    <w:rsid w:val="007E195E"/>
    <w:rsid w:val="007E1CC3"/>
    <w:rsid w:val="007E28FE"/>
    <w:rsid w:val="007E3965"/>
    <w:rsid w:val="007E42A0"/>
    <w:rsid w:val="007E4986"/>
    <w:rsid w:val="007E49AF"/>
    <w:rsid w:val="007E58B4"/>
    <w:rsid w:val="007E5FEB"/>
    <w:rsid w:val="007E6383"/>
    <w:rsid w:val="007F0942"/>
    <w:rsid w:val="007F2AAD"/>
    <w:rsid w:val="007F39BA"/>
    <w:rsid w:val="007F4F2F"/>
    <w:rsid w:val="007F5863"/>
    <w:rsid w:val="007F63F2"/>
    <w:rsid w:val="007F6D79"/>
    <w:rsid w:val="007F6FE3"/>
    <w:rsid w:val="00800357"/>
    <w:rsid w:val="00800B28"/>
    <w:rsid w:val="008021A1"/>
    <w:rsid w:val="008027CA"/>
    <w:rsid w:val="008030F9"/>
    <w:rsid w:val="008035E6"/>
    <w:rsid w:val="00805618"/>
    <w:rsid w:val="00807432"/>
    <w:rsid w:val="00810BC5"/>
    <w:rsid w:val="00810D66"/>
    <w:rsid w:val="00813347"/>
    <w:rsid w:val="00813489"/>
    <w:rsid w:val="00814124"/>
    <w:rsid w:val="0081418F"/>
    <w:rsid w:val="008141ED"/>
    <w:rsid w:val="00814700"/>
    <w:rsid w:val="00820347"/>
    <w:rsid w:val="00820F85"/>
    <w:rsid w:val="008229D4"/>
    <w:rsid w:val="008230E8"/>
    <w:rsid w:val="008232CA"/>
    <w:rsid w:val="00823ADA"/>
    <w:rsid w:val="00823B3E"/>
    <w:rsid w:val="00824E01"/>
    <w:rsid w:val="00825103"/>
    <w:rsid w:val="00825C2F"/>
    <w:rsid w:val="00826338"/>
    <w:rsid w:val="00826906"/>
    <w:rsid w:val="00826965"/>
    <w:rsid w:val="00827260"/>
    <w:rsid w:val="00830765"/>
    <w:rsid w:val="00830AA3"/>
    <w:rsid w:val="00831416"/>
    <w:rsid w:val="00833D8C"/>
    <w:rsid w:val="0083425C"/>
    <w:rsid w:val="008351E1"/>
    <w:rsid w:val="008362ED"/>
    <w:rsid w:val="00836903"/>
    <w:rsid w:val="00836E39"/>
    <w:rsid w:val="00836F2A"/>
    <w:rsid w:val="00837798"/>
    <w:rsid w:val="00840E89"/>
    <w:rsid w:val="00842DFB"/>
    <w:rsid w:val="008449F7"/>
    <w:rsid w:val="00845DCD"/>
    <w:rsid w:val="0084665B"/>
    <w:rsid w:val="008474CD"/>
    <w:rsid w:val="00847F55"/>
    <w:rsid w:val="00850AA7"/>
    <w:rsid w:val="00850D44"/>
    <w:rsid w:val="00850E6D"/>
    <w:rsid w:val="00851631"/>
    <w:rsid w:val="0085234F"/>
    <w:rsid w:val="00853282"/>
    <w:rsid w:val="0085401B"/>
    <w:rsid w:val="008549FD"/>
    <w:rsid w:val="00855568"/>
    <w:rsid w:val="00855FFD"/>
    <w:rsid w:val="008560AA"/>
    <w:rsid w:val="00856101"/>
    <w:rsid w:val="0085725D"/>
    <w:rsid w:val="00857CC3"/>
    <w:rsid w:val="008608A3"/>
    <w:rsid w:val="008616E7"/>
    <w:rsid w:val="0086177F"/>
    <w:rsid w:val="00861D7A"/>
    <w:rsid w:val="00862470"/>
    <w:rsid w:val="008651E9"/>
    <w:rsid w:val="0086620F"/>
    <w:rsid w:val="00866AF3"/>
    <w:rsid w:val="00866C82"/>
    <w:rsid w:val="008672E6"/>
    <w:rsid w:val="008677E5"/>
    <w:rsid w:val="00867C57"/>
    <w:rsid w:val="00874311"/>
    <w:rsid w:val="00874A6B"/>
    <w:rsid w:val="00874EC5"/>
    <w:rsid w:val="00875741"/>
    <w:rsid w:val="00875B00"/>
    <w:rsid w:val="00875C31"/>
    <w:rsid w:val="00876E75"/>
    <w:rsid w:val="008775EA"/>
    <w:rsid w:val="008775F8"/>
    <w:rsid w:val="0087780F"/>
    <w:rsid w:val="00877CD3"/>
    <w:rsid w:val="008811E5"/>
    <w:rsid w:val="0088215D"/>
    <w:rsid w:val="008826D8"/>
    <w:rsid w:val="00882832"/>
    <w:rsid w:val="008832C1"/>
    <w:rsid w:val="00883EE7"/>
    <w:rsid w:val="00884F3F"/>
    <w:rsid w:val="00885016"/>
    <w:rsid w:val="00885243"/>
    <w:rsid w:val="00885D64"/>
    <w:rsid w:val="008867D4"/>
    <w:rsid w:val="00886823"/>
    <w:rsid w:val="00886BC0"/>
    <w:rsid w:val="0089075D"/>
    <w:rsid w:val="008913B9"/>
    <w:rsid w:val="008917A2"/>
    <w:rsid w:val="008938BD"/>
    <w:rsid w:val="008938D5"/>
    <w:rsid w:val="00893DCA"/>
    <w:rsid w:val="00894718"/>
    <w:rsid w:val="008964DA"/>
    <w:rsid w:val="0089703E"/>
    <w:rsid w:val="00897ED9"/>
    <w:rsid w:val="008A05B4"/>
    <w:rsid w:val="008A16AF"/>
    <w:rsid w:val="008A1A26"/>
    <w:rsid w:val="008A1D16"/>
    <w:rsid w:val="008A400D"/>
    <w:rsid w:val="008A48EB"/>
    <w:rsid w:val="008A600D"/>
    <w:rsid w:val="008A6118"/>
    <w:rsid w:val="008A7119"/>
    <w:rsid w:val="008A7EBA"/>
    <w:rsid w:val="008B07D3"/>
    <w:rsid w:val="008B131C"/>
    <w:rsid w:val="008B1E0A"/>
    <w:rsid w:val="008B1E53"/>
    <w:rsid w:val="008B22B6"/>
    <w:rsid w:val="008B3178"/>
    <w:rsid w:val="008B42C0"/>
    <w:rsid w:val="008B5CE8"/>
    <w:rsid w:val="008B5DEB"/>
    <w:rsid w:val="008B600B"/>
    <w:rsid w:val="008B6B63"/>
    <w:rsid w:val="008B7B94"/>
    <w:rsid w:val="008C1980"/>
    <w:rsid w:val="008C1A4B"/>
    <w:rsid w:val="008C1D6E"/>
    <w:rsid w:val="008C390E"/>
    <w:rsid w:val="008C3EC2"/>
    <w:rsid w:val="008C4304"/>
    <w:rsid w:val="008C4C74"/>
    <w:rsid w:val="008C4FFF"/>
    <w:rsid w:val="008C6BCA"/>
    <w:rsid w:val="008C6D79"/>
    <w:rsid w:val="008C71C7"/>
    <w:rsid w:val="008C7941"/>
    <w:rsid w:val="008D0AE2"/>
    <w:rsid w:val="008D0C17"/>
    <w:rsid w:val="008D4D27"/>
    <w:rsid w:val="008D4F19"/>
    <w:rsid w:val="008D6C81"/>
    <w:rsid w:val="008D7021"/>
    <w:rsid w:val="008E09E2"/>
    <w:rsid w:val="008E1610"/>
    <w:rsid w:val="008E1E4F"/>
    <w:rsid w:val="008E35C2"/>
    <w:rsid w:val="008E5112"/>
    <w:rsid w:val="008E74FA"/>
    <w:rsid w:val="008E7876"/>
    <w:rsid w:val="008E7C8C"/>
    <w:rsid w:val="008E7F8D"/>
    <w:rsid w:val="008E7FB7"/>
    <w:rsid w:val="008F132E"/>
    <w:rsid w:val="008F13C2"/>
    <w:rsid w:val="008F18DE"/>
    <w:rsid w:val="008F2EF0"/>
    <w:rsid w:val="008F3198"/>
    <w:rsid w:val="008F3F61"/>
    <w:rsid w:val="008F49A9"/>
    <w:rsid w:val="008F4F40"/>
    <w:rsid w:val="008F63CE"/>
    <w:rsid w:val="008F6657"/>
    <w:rsid w:val="008F7B0E"/>
    <w:rsid w:val="00901136"/>
    <w:rsid w:val="0090272A"/>
    <w:rsid w:val="00902823"/>
    <w:rsid w:val="00902F2D"/>
    <w:rsid w:val="009031A1"/>
    <w:rsid w:val="00904EBC"/>
    <w:rsid w:val="00905482"/>
    <w:rsid w:val="009065F0"/>
    <w:rsid w:val="0090713F"/>
    <w:rsid w:val="00910995"/>
    <w:rsid w:val="00910A4F"/>
    <w:rsid w:val="00912803"/>
    <w:rsid w:val="009137DC"/>
    <w:rsid w:val="0091402A"/>
    <w:rsid w:val="0091434B"/>
    <w:rsid w:val="00915AB5"/>
    <w:rsid w:val="00915D7D"/>
    <w:rsid w:val="00916501"/>
    <w:rsid w:val="00917C96"/>
    <w:rsid w:val="00920F9E"/>
    <w:rsid w:val="00921058"/>
    <w:rsid w:val="00921199"/>
    <w:rsid w:val="00923040"/>
    <w:rsid w:val="009233A1"/>
    <w:rsid w:val="0092386C"/>
    <w:rsid w:val="0092388F"/>
    <w:rsid w:val="0092470C"/>
    <w:rsid w:val="00924F1E"/>
    <w:rsid w:val="00924F61"/>
    <w:rsid w:val="00925627"/>
    <w:rsid w:val="009256FC"/>
    <w:rsid w:val="009324AF"/>
    <w:rsid w:val="00932E54"/>
    <w:rsid w:val="00933552"/>
    <w:rsid w:val="00935227"/>
    <w:rsid w:val="00940E00"/>
    <w:rsid w:val="009428F3"/>
    <w:rsid w:val="0094410E"/>
    <w:rsid w:val="009451A4"/>
    <w:rsid w:val="00945744"/>
    <w:rsid w:val="00946812"/>
    <w:rsid w:val="00947B6C"/>
    <w:rsid w:val="00947C7C"/>
    <w:rsid w:val="00950C83"/>
    <w:rsid w:val="00950F37"/>
    <w:rsid w:val="00951AB8"/>
    <w:rsid w:val="009524D4"/>
    <w:rsid w:val="0095253D"/>
    <w:rsid w:val="009532F9"/>
    <w:rsid w:val="0095391A"/>
    <w:rsid w:val="0095569D"/>
    <w:rsid w:val="009575C9"/>
    <w:rsid w:val="00957AF1"/>
    <w:rsid w:val="0096015F"/>
    <w:rsid w:val="0096044E"/>
    <w:rsid w:val="0096076D"/>
    <w:rsid w:val="009607F8"/>
    <w:rsid w:val="009613F6"/>
    <w:rsid w:val="009621AF"/>
    <w:rsid w:val="009629AE"/>
    <w:rsid w:val="009629DB"/>
    <w:rsid w:val="00964A83"/>
    <w:rsid w:val="00964B22"/>
    <w:rsid w:val="009667A2"/>
    <w:rsid w:val="00966B28"/>
    <w:rsid w:val="00966F68"/>
    <w:rsid w:val="009676F5"/>
    <w:rsid w:val="00967F78"/>
    <w:rsid w:val="00970F1D"/>
    <w:rsid w:val="0097115D"/>
    <w:rsid w:val="009713DE"/>
    <w:rsid w:val="00971EEE"/>
    <w:rsid w:val="00972FC0"/>
    <w:rsid w:val="00974CC4"/>
    <w:rsid w:val="0097555C"/>
    <w:rsid w:val="00975D71"/>
    <w:rsid w:val="00976A55"/>
    <w:rsid w:val="00980252"/>
    <w:rsid w:val="00980542"/>
    <w:rsid w:val="00980CD5"/>
    <w:rsid w:val="00981CE7"/>
    <w:rsid w:val="00982D21"/>
    <w:rsid w:val="00984915"/>
    <w:rsid w:val="00986F45"/>
    <w:rsid w:val="009872B2"/>
    <w:rsid w:val="0099046C"/>
    <w:rsid w:val="00990A43"/>
    <w:rsid w:val="00990CD5"/>
    <w:rsid w:val="009919E7"/>
    <w:rsid w:val="0099219C"/>
    <w:rsid w:val="00992989"/>
    <w:rsid w:val="009929C8"/>
    <w:rsid w:val="00993241"/>
    <w:rsid w:val="009936C3"/>
    <w:rsid w:val="0099535D"/>
    <w:rsid w:val="00997281"/>
    <w:rsid w:val="009A08B6"/>
    <w:rsid w:val="009A0F29"/>
    <w:rsid w:val="009A17C8"/>
    <w:rsid w:val="009A1E68"/>
    <w:rsid w:val="009A3692"/>
    <w:rsid w:val="009A499C"/>
    <w:rsid w:val="009A5127"/>
    <w:rsid w:val="009A5547"/>
    <w:rsid w:val="009A6296"/>
    <w:rsid w:val="009A688D"/>
    <w:rsid w:val="009A695F"/>
    <w:rsid w:val="009A7259"/>
    <w:rsid w:val="009A7774"/>
    <w:rsid w:val="009A7CAB"/>
    <w:rsid w:val="009B020F"/>
    <w:rsid w:val="009B0584"/>
    <w:rsid w:val="009B437D"/>
    <w:rsid w:val="009B58BE"/>
    <w:rsid w:val="009B5C2C"/>
    <w:rsid w:val="009C053F"/>
    <w:rsid w:val="009C1A09"/>
    <w:rsid w:val="009C1F8A"/>
    <w:rsid w:val="009C2965"/>
    <w:rsid w:val="009C4C42"/>
    <w:rsid w:val="009C6CBA"/>
    <w:rsid w:val="009C6E7A"/>
    <w:rsid w:val="009C7265"/>
    <w:rsid w:val="009C7A13"/>
    <w:rsid w:val="009C7F03"/>
    <w:rsid w:val="009D2063"/>
    <w:rsid w:val="009D2132"/>
    <w:rsid w:val="009D255F"/>
    <w:rsid w:val="009D2FA2"/>
    <w:rsid w:val="009D3F28"/>
    <w:rsid w:val="009D66B5"/>
    <w:rsid w:val="009D7A04"/>
    <w:rsid w:val="009E048A"/>
    <w:rsid w:val="009E31B8"/>
    <w:rsid w:val="009E4AAC"/>
    <w:rsid w:val="009E526E"/>
    <w:rsid w:val="009E5282"/>
    <w:rsid w:val="009E61B6"/>
    <w:rsid w:val="009E70DC"/>
    <w:rsid w:val="009E7F5C"/>
    <w:rsid w:val="009F0115"/>
    <w:rsid w:val="009F0DD1"/>
    <w:rsid w:val="009F17C4"/>
    <w:rsid w:val="009F1836"/>
    <w:rsid w:val="009F2CA1"/>
    <w:rsid w:val="009F3D33"/>
    <w:rsid w:val="009F47E4"/>
    <w:rsid w:val="009F4883"/>
    <w:rsid w:val="009F48D9"/>
    <w:rsid w:val="009F4BDE"/>
    <w:rsid w:val="009F5173"/>
    <w:rsid w:val="009F5563"/>
    <w:rsid w:val="009F5924"/>
    <w:rsid w:val="009F610B"/>
    <w:rsid w:val="009F6484"/>
    <w:rsid w:val="00A015D1"/>
    <w:rsid w:val="00A02588"/>
    <w:rsid w:val="00A02BB4"/>
    <w:rsid w:val="00A03186"/>
    <w:rsid w:val="00A054DF"/>
    <w:rsid w:val="00A0558C"/>
    <w:rsid w:val="00A05F29"/>
    <w:rsid w:val="00A0773C"/>
    <w:rsid w:val="00A10502"/>
    <w:rsid w:val="00A114E6"/>
    <w:rsid w:val="00A13A5D"/>
    <w:rsid w:val="00A14063"/>
    <w:rsid w:val="00A15217"/>
    <w:rsid w:val="00A16A06"/>
    <w:rsid w:val="00A16A28"/>
    <w:rsid w:val="00A17AAD"/>
    <w:rsid w:val="00A17CA3"/>
    <w:rsid w:val="00A21722"/>
    <w:rsid w:val="00A22329"/>
    <w:rsid w:val="00A224F9"/>
    <w:rsid w:val="00A235D0"/>
    <w:rsid w:val="00A23781"/>
    <w:rsid w:val="00A23D17"/>
    <w:rsid w:val="00A250FE"/>
    <w:rsid w:val="00A253AC"/>
    <w:rsid w:val="00A2572B"/>
    <w:rsid w:val="00A260FA"/>
    <w:rsid w:val="00A26301"/>
    <w:rsid w:val="00A26CA1"/>
    <w:rsid w:val="00A26DAB"/>
    <w:rsid w:val="00A278AC"/>
    <w:rsid w:val="00A30096"/>
    <w:rsid w:val="00A30794"/>
    <w:rsid w:val="00A30AE2"/>
    <w:rsid w:val="00A319A8"/>
    <w:rsid w:val="00A32233"/>
    <w:rsid w:val="00A324D9"/>
    <w:rsid w:val="00A32704"/>
    <w:rsid w:val="00A32BEE"/>
    <w:rsid w:val="00A334DE"/>
    <w:rsid w:val="00A348F6"/>
    <w:rsid w:val="00A34AFC"/>
    <w:rsid w:val="00A35215"/>
    <w:rsid w:val="00A3632C"/>
    <w:rsid w:val="00A367CC"/>
    <w:rsid w:val="00A369A1"/>
    <w:rsid w:val="00A408D1"/>
    <w:rsid w:val="00A41354"/>
    <w:rsid w:val="00A4281D"/>
    <w:rsid w:val="00A43002"/>
    <w:rsid w:val="00A433A3"/>
    <w:rsid w:val="00A44BC8"/>
    <w:rsid w:val="00A44DAA"/>
    <w:rsid w:val="00A4523C"/>
    <w:rsid w:val="00A4551E"/>
    <w:rsid w:val="00A45B45"/>
    <w:rsid w:val="00A52898"/>
    <w:rsid w:val="00A532A2"/>
    <w:rsid w:val="00A5428F"/>
    <w:rsid w:val="00A542A3"/>
    <w:rsid w:val="00A54377"/>
    <w:rsid w:val="00A54E5C"/>
    <w:rsid w:val="00A55B7B"/>
    <w:rsid w:val="00A55F87"/>
    <w:rsid w:val="00A5783E"/>
    <w:rsid w:val="00A605D2"/>
    <w:rsid w:val="00A61182"/>
    <w:rsid w:val="00A6185B"/>
    <w:rsid w:val="00A61CB6"/>
    <w:rsid w:val="00A627B6"/>
    <w:rsid w:val="00A64812"/>
    <w:rsid w:val="00A65618"/>
    <w:rsid w:val="00A65B6E"/>
    <w:rsid w:val="00A65F9C"/>
    <w:rsid w:val="00A6651D"/>
    <w:rsid w:val="00A67704"/>
    <w:rsid w:val="00A67F18"/>
    <w:rsid w:val="00A70297"/>
    <w:rsid w:val="00A704A9"/>
    <w:rsid w:val="00A70557"/>
    <w:rsid w:val="00A7098B"/>
    <w:rsid w:val="00A717F0"/>
    <w:rsid w:val="00A71E8F"/>
    <w:rsid w:val="00A72A3E"/>
    <w:rsid w:val="00A7398C"/>
    <w:rsid w:val="00A739B7"/>
    <w:rsid w:val="00A73A9A"/>
    <w:rsid w:val="00A73AFF"/>
    <w:rsid w:val="00A74508"/>
    <w:rsid w:val="00A76061"/>
    <w:rsid w:val="00A7661C"/>
    <w:rsid w:val="00A7699A"/>
    <w:rsid w:val="00A76A4F"/>
    <w:rsid w:val="00A76F4F"/>
    <w:rsid w:val="00A774BC"/>
    <w:rsid w:val="00A778FF"/>
    <w:rsid w:val="00A81A6E"/>
    <w:rsid w:val="00A823AE"/>
    <w:rsid w:val="00A826FD"/>
    <w:rsid w:val="00A828ED"/>
    <w:rsid w:val="00A83A08"/>
    <w:rsid w:val="00A84E18"/>
    <w:rsid w:val="00A8529D"/>
    <w:rsid w:val="00A868FD"/>
    <w:rsid w:val="00A87FD4"/>
    <w:rsid w:val="00A91244"/>
    <w:rsid w:val="00A917EB"/>
    <w:rsid w:val="00A91AF4"/>
    <w:rsid w:val="00A93D13"/>
    <w:rsid w:val="00A93F46"/>
    <w:rsid w:val="00A943DA"/>
    <w:rsid w:val="00A952F3"/>
    <w:rsid w:val="00A95807"/>
    <w:rsid w:val="00A96395"/>
    <w:rsid w:val="00A96693"/>
    <w:rsid w:val="00AA18A2"/>
    <w:rsid w:val="00AA19BE"/>
    <w:rsid w:val="00AA2245"/>
    <w:rsid w:val="00AA3730"/>
    <w:rsid w:val="00AA3A8A"/>
    <w:rsid w:val="00AA3E62"/>
    <w:rsid w:val="00AA44D2"/>
    <w:rsid w:val="00AA5B6A"/>
    <w:rsid w:val="00AA6057"/>
    <w:rsid w:val="00AA6899"/>
    <w:rsid w:val="00AB1FEE"/>
    <w:rsid w:val="00AB2FF5"/>
    <w:rsid w:val="00AB30EB"/>
    <w:rsid w:val="00AB3924"/>
    <w:rsid w:val="00AB3C6A"/>
    <w:rsid w:val="00AB7282"/>
    <w:rsid w:val="00AB7D44"/>
    <w:rsid w:val="00AC0044"/>
    <w:rsid w:val="00AC0945"/>
    <w:rsid w:val="00AC0B82"/>
    <w:rsid w:val="00AC2159"/>
    <w:rsid w:val="00AC296A"/>
    <w:rsid w:val="00AC4B90"/>
    <w:rsid w:val="00AC651B"/>
    <w:rsid w:val="00AC6658"/>
    <w:rsid w:val="00AD02AE"/>
    <w:rsid w:val="00AD06F8"/>
    <w:rsid w:val="00AD1523"/>
    <w:rsid w:val="00AD1BEF"/>
    <w:rsid w:val="00AD316A"/>
    <w:rsid w:val="00AD3B15"/>
    <w:rsid w:val="00AD3D96"/>
    <w:rsid w:val="00AD402A"/>
    <w:rsid w:val="00AD460E"/>
    <w:rsid w:val="00AD47F3"/>
    <w:rsid w:val="00AD636B"/>
    <w:rsid w:val="00AD6967"/>
    <w:rsid w:val="00AD7BDF"/>
    <w:rsid w:val="00AD7EB2"/>
    <w:rsid w:val="00AD7EEA"/>
    <w:rsid w:val="00AE4CB0"/>
    <w:rsid w:val="00AE631D"/>
    <w:rsid w:val="00AE6DA6"/>
    <w:rsid w:val="00AE7134"/>
    <w:rsid w:val="00AE74CE"/>
    <w:rsid w:val="00AF0C76"/>
    <w:rsid w:val="00AF0D0C"/>
    <w:rsid w:val="00AF2948"/>
    <w:rsid w:val="00AF41A2"/>
    <w:rsid w:val="00AF4EF0"/>
    <w:rsid w:val="00AF6167"/>
    <w:rsid w:val="00AF67BC"/>
    <w:rsid w:val="00AF6CB5"/>
    <w:rsid w:val="00AF71FF"/>
    <w:rsid w:val="00AF7227"/>
    <w:rsid w:val="00B01BA2"/>
    <w:rsid w:val="00B01BD6"/>
    <w:rsid w:val="00B01CD0"/>
    <w:rsid w:val="00B02D8A"/>
    <w:rsid w:val="00B03A5D"/>
    <w:rsid w:val="00B0431D"/>
    <w:rsid w:val="00B04E09"/>
    <w:rsid w:val="00B068E6"/>
    <w:rsid w:val="00B0766E"/>
    <w:rsid w:val="00B0798C"/>
    <w:rsid w:val="00B10AA6"/>
    <w:rsid w:val="00B114BA"/>
    <w:rsid w:val="00B11845"/>
    <w:rsid w:val="00B11C98"/>
    <w:rsid w:val="00B13141"/>
    <w:rsid w:val="00B1389F"/>
    <w:rsid w:val="00B147A6"/>
    <w:rsid w:val="00B15F52"/>
    <w:rsid w:val="00B161A9"/>
    <w:rsid w:val="00B166FD"/>
    <w:rsid w:val="00B16F17"/>
    <w:rsid w:val="00B17B5E"/>
    <w:rsid w:val="00B20491"/>
    <w:rsid w:val="00B220B5"/>
    <w:rsid w:val="00B2223C"/>
    <w:rsid w:val="00B226CF"/>
    <w:rsid w:val="00B241FD"/>
    <w:rsid w:val="00B242A3"/>
    <w:rsid w:val="00B24A68"/>
    <w:rsid w:val="00B273A2"/>
    <w:rsid w:val="00B27D3C"/>
    <w:rsid w:val="00B30923"/>
    <w:rsid w:val="00B338A0"/>
    <w:rsid w:val="00B33DF4"/>
    <w:rsid w:val="00B355DA"/>
    <w:rsid w:val="00B366ED"/>
    <w:rsid w:val="00B3791F"/>
    <w:rsid w:val="00B4029E"/>
    <w:rsid w:val="00B40438"/>
    <w:rsid w:val="00B40C7D"/>
    <w:rsid w:val="00B41E70"/>
    <w:rsid w:val="00B43FC8"/>
    <w:rsid w:val="00B4546D"/>
    <w:rsid w:val="00B456E8"/>
    <w:rsid w:val="00B46C39"/>
    <w:rsid w:val="00B512FC"/>
    <w:rsid w:val="00B51F2E"/>
    <w:rsid w:val="00B52321"/>
    <w:rsid w:val="00B530C2"/>
    <w:rsid w:val="00B53930"/>
    <w:rsid w:val="00B5434B"/>
    <w:rsid w:val="00B54C7D"/>
    <w:rsid w:val="00B552A7"/>
    <w:rsid w:val="00B55ABC"/>
    <w:rsid w:val="00B564E6"/>
    <w:rsid w:val="00B62EFA"/>
    <w:rsid w:val="00B63EED"/>
    <w:rsid w:val="00B659AA"/>
    <w:rsid w:val="00B6710B"/>
    <w:rsid w:val="00B67136"/>
    <w:rsid w:val="00B67968"/>
    <w:rsid w:val="00B70E95"/>
    <w:rsid w:val="00B71106"/>
    <w:rsid w:val="00B72D1A"/>
    <w:rsid w:val="00B732F4"/>
    <w:rsid w:val="00B74506"/>
    <w:rsid w:val="00B77826"/>
    <w:rsid w:val="00B77A9C"/>
    <w:rsid w:val="00B8009C"/>
    <w:rsid w:val="00B80E9D"/>
    <w:rsid w:val="00B81B35"/>
    <w:rsid w:val="00B81E15"/>
    <w:rsid w:val="00B83088"/>
    <w:rsid w:val="00B836A7"/>
    <w:rsid w:val="00B85C47"/>
    <w:rsid w:val="00B86910"/>
    <w:rsid w:val="00B875C0"/>
    <w:rsid w:val="00B877EB"/>
    <w:rsid w:val="00B87E35"/>
    <w:rsid w:val="00B915C7"/>
    <w:rsid w:val="00B916ED"/>
    <w:rsid w:val="00B91E50"/>
    <w:rsid w:val="00B923A7"/>
    <w:rsid w:val="00B93C0D"/>
    <w:rsid w:val="00B93DFE"/>
    <w:rsid w:val="00B9446C"/>
    <w:rsid w:val="00B953FF"/>
    <w:rsid w:val="00B95E59"/>
    <w:rsid w:val="00B96DDE"/>
    <w:rsid w:val="00B9731A"/>
    <w:rsid w:val="00B97FD0"/>
    <w:rsid w:val="00BA03E2"/>
    <w:rsid w:val="00BA0E6F"/>
    <w:rsid w:val="00BA14BA"/>
    <w:rsid w:val="00BA36FC"/>
    <w:rsid w:val="00BA3FAE"/>
    <w:rsid w:val="00BA4F13"/>
    <w:rsid w:val="00BA5D03"/>
    <w:rsid w:val="00BA5E67"/>
    <w:rsid w:val="00BA76A4"/>
    <w:rsid w:val="00BA79FF"/>
    <w:rsid w:val="00BB1883"/>
    <w:rsid w:val="00BB1BDA"/>
    <w:rsid w:val="00BB1F9A"/>
    <w:rsid w:val="00BB20F4"/>
    <w:rsid w:val="00BB2338"/>
    <w:rsid w:val="00BB39EE"/>
    <w:rsid w:val="00BB4F2B"/>
    <w:rsid w:val="00BB5469"/>
    <w:rsid w:val="00BB5C4F"/>
    <w:rsid w:val="00BB7744"/>
    <w:rsid w:val="00BB78F6"/>
    <w:rsid w:val="00BC0CFC"/>
    <w:rsid w:val="00BC0E8B"/>
    <w:rsid w:val="00BC1F44"/>
    <w:rsid w:val="00BC2907"/>
    <w:rsid w:val="00BC2AA2"/>
    <w:rsid w:val="00BC2ABD"/>
    <w:rsid w:val="00BC39BA"/>
    <w:rsid w:val="00BC698D"/>
    <w:rsid w:val="00BC72C6"/>
    <w:rsid w:val="00BC793E"/>
    <w:rsid w:val="00BC7B26"/>
    <w:rsid w:val="00BD0CEA"/>
    <w:rsid w:val="00BD0DBF"/>
    <w:rsid w:val="00BD22B7"/>
    <w:rsid w:val="00BD3AB6"/>
    <w:rsid w:val="00BD5176"/>
    <w:rsid w:val="00BD60FF"/>
    <w:rsid w:val="00BD75B3"/>
    <w:rsid w:val="00BE1894"/>
    <w:rsid w:val="00BE1A5B"/>
    <w:rsid w:val="00BE1CDE"/>
    <w:rsid w:val="00BE2F01"/>
    <w:rsid w:val="00BE37EC"/>
    <w:rsid w:val="00BE5DD4"/>
    <w:rsid w:val="00BE6491"/>
    <w:rsid w:val="00BE7A0F"/>
    <w:rsid w:val="00BF0523"/>
    <w:rsid w:val="00BF273A"/>
    <w:rsid w:val="00BF3424"/>
    <w:rsid w:val="00BF44A8"/>
    <w:rsid w:val="00BF59E7"/>
    <w:rsid w:val="00BF5EC6"/>
    <w:rsid w:val="00BF6BDE"/>
    <w:rsid w:val="00BF74B7"/>
    <w:rsid w:val="00BF7D0E"/>
    <w:rsid w:val="00BF7E78"/>
    <w:rsid w:val="00C00500"/>
    <w:rsid w:val="00C02B98"/>
    <w:rsid w:val="00C05376"/>
    <w:rsid w:val="00C05E57"/>
    <w:rsid w:val="00C065DD"/>
    <w:rsid w:val="00C06932"/>
    <w:rsid w:val="00C06FA5"/>
    <w:rsid w:val="00C07BAD"/>
    <w:rsid w:val="00C07CCA"/>
    <w:rsid w:val="00C1036A"/>
    <w:rsid w:val="00C10663"/>
    <w:rsid w:val="00C11396"/>
    <w:rsid w:val="00C11866"/>
    <w:rsid w:val="00C13E72"/>
    <w:rsid w:val="00C15A13"/>
    <w:rsid w:val="00C16370"/>
    <w:rsid w:val="00C16A03"/>
    <w:rsid w:val="00C16B6D"/>
    <w:rsid w:val="00C16C19"/>
    <w:rsid w:val="00C16D18"/>
    <w:rsid w:val="00C17059"/>
    <w:rsid w:val="00C17262"/>
    <w:rsid w:val="00C17ABB"/>
    <w:rsid w:val="00C200AA"/>
    <w:rsid w:val="00C200CA"/>
    <w:rsid w:val="00C20C09"/>
    <w:rsid w:val="00C2360C"/>
    <w:rsid w:val="00C23F69"/>
    <w:rsid w:val="00C24095"/>
    <w:rsid w:val="00C24C03"/>
    <w:rsid w:val="00C2569A"/>
    <w:rsid w:val="00C25D09"/>
    <w:rsid w:val="00C30902"/>
    <w:rsid w:val="00C31116"/>
    <w:rsid w:val="00C34305"/>
    <w:rsid w:val="00C35649"/>
    <w:rsid w:val="00C35A16"/>
    <w:rsid w:val="00C35D86"/>
    <w:rsid w:val="00C402DE"/>
    <w:rsid w:val="00C40451"/>
    <w:rsid w:val="00C4088D"/>
    <w:rsid w:val="00C40936"/>
    <w:rsid w:val="00C41375"/>
    <w:rsid w:val="00C41A2B"/>
    <w:rsid w:val="00C41B5D"/>
    <w:rsid w:val="00C41B73"/>
    <w:rsid w:val="00C423D7"/>
    <w:rsid w:val="00C424D3"/>
    <w:rsid w:val="00C424DE"/>
    <w:rsid w:val="00C4362E"/>
    <w:rsid w:val="00C44248"/>
    <w:rsid w:val="00C44D23"/>
    <w:rsid w:val="00C44EAB"/>
    <w:rsid w:val="00C459CE"/>
    <w:rsid w:val="00C46DE0"/>
    <w:rsid w:val="00C46E79"/>
    <w:rsid w:val="00C47091"/>
    <w:rsid w:val="00C51706"/>
    <w:rsid w:val="00C51C28"/>
    <w:rsid w:val="00C53C75"/>
    <w:rsid w:val="00C5454F"/>
    <w:rsid w:val="00C55CB5"/>
    <w:rsid w:val="00C56D48"/>
    <w:rsid w:val="00C60339"/>
    <w:rsid w:val="00C60938"/>
    <w:rsid w:val="00C6094B"/>
    <w:rsid w:val="00C609CE"/>
    <w:rsid w:val="00C61D05"/>
    <w:rsid w:val="00C61F48"/>
    <w:rsid w:val="00C62CD8"/>
    <w:rsid w:val="00C64AD4"/>
    <w:rsid w:val="00C656DC"/>
    <w:rsid w:val="00C667C2"/>
    <w:rsid w:val="00C66DAC"/>
    <w:rsid w:val="00C70734"/>
    <w:rsid w:val="00C70FFC"/>
    <w:rsid w:val="00C71BD8"/>
    <w:rsid w:val="00C748FD"/>
    <w:rsid w:val="00C80349"/>
    <w:rsid w:val="00C8049A"/>
    <w:rsid w:val="00C814C7"/>
    <w:rsid w:val="00C82054"/>
    <w:rsid w:val="00C83394"/>
    <w:rsid w:val="00C8455F"/>
    <w:rsid w:val="00C8507B"/>
    <w:rsid w:val="00C861D7"/>
    <w:rsid w:val="00C866A8"/>
    <w:rsid w:val="00C86785"/>
    <w:rsid w:val="00C879D6"/>
    <w:rsid w:val="00C87B02"/>
    <w:rsid w:val="00C91B28"/>
    <w:rsid w:val="00C925D1"/>
    <w:rsid w:val="00C92606"/>
    <w:rsid w:val="00C92B75"/>
    <w:rsid w:val="00C9339A"/>
    <w:rsid w:val="00C93955"/>
    <w:rsid w:val="00C9450C"/>
    <w:rsid w:val="00C949CA"/>
    <w:rsid w:val="00C9538D"/>
    <w:rsid w:val="00C954C7"/>
    <w:rsid w:val="00C95757"/>
    <w:rsid w:val="00C95BD6"/>
    <w:rsid w:val="00C96290"/>
    <w:rsid w:val="00C96292"/>
    <w:rsid w:val="00C96BB8"/>
    <w:rsid w:val="00CA1B9E"/>
    <w:rsid w:val="00CA1DF3"/>
    <w:rsid w:val="00CA2B15"/>
    <w:rsid w:val="00CA3624"/>
    <w:rsid w:val="00CA3EDC"/>
    <w:rsid w:val="00CA487E"/>
    <w:rsid w:val="00CA601A"/>
    <w:rsid w:val="00CA67BF"/>
    <w:rsid w:val="00CA6E26"/>
    <w:rsid w:val="00CB0A29"/>
    <w:rsid w:val="00CB0CEE"/>
    <w:rsid w:val="00CB3CE5"/>
    <w:rsid w:val="00CB3FEA"/>
    <w:rsid w:val="00CB46A6"/>
    <w:rsid w:val="00CB47CC"/>
    <w:rsid w:val="00CB5EA1"/>
    <w:rsid w:val="00CB6869"/>
    <w:rsid w:val="00CB70F2"/>
    <w:rsid w:val="00CB7354"/>
    <w:rsid w:val="00CC0922"/>
    <w:rsid w:val="00CC0E59"/>
    <w:rsid w:val="00CC17B5"/>
    <w:rsid w:val="00CC1901"/>
    <w:rsid w:val="00CC2450"/>
    <w:rsid w:val="00CC55CC"/>
    <w:rsid w:val="00CC5754"/>
    <w:rsid w:val="00CC5B7D"/>
    <w:rsid w:val="00CC6A38"/>
    <w:rsid w:val="00CC7814"/>
    <w:rsid w:val="00CD0380"/>
    <w:rsid w:val="00CD063B"/>
    <w:rsid w:val="00CD0F10"/>
    <w:rsid w:val="00CD15A0"/>
    <w:rsid w:val="00CD1675"/>
    <w:rsid w:val="00CD2285"/>
    <w:rsid w:val="00CD256C"/>
    <w:rsid w:val="00CD3C33"/>
    <w:rsid w:val="00CD3E89"/>
    <w:rsid w:val="00CD44D9"/>
    <w:rsid w:val="00CD556D"/>
    <w:rsid w:val="00CD7B80"/>
    <w:rsid w:val="00CD7D63"/>
    <w:rsid w:val="00CE04FD"/>
    <w:rsid w:val="00CE1073"/>
    <w:rsid w:val="00CE13E8"/>
    <w:rsid w:val="00CE1B3B"/>
    <w:rsid w:val="00CE246A"/>
    <w:rsid w:val="00CE2617"/>
    <w:rsid w:val="00CE2C57"/>
    <w:rsid w:val="00CE3D39"/>
    <w:rsid w:val="00CE45A5"/>
    <w:rsid w:val="00CE49EA"/>
    <w:rsid w:val="00CE5997"/>
    <w:rsid w:val="00CE673C"/>
    <w:rsid w:val="00CE6752"/>
    <w:rsid w:val="00CE68F0"/>
    <w:rsid w:val="00CE70C8"/>
    <w:rsid w:val="00CE7243"/>
    <w:rsid w:val="00CE7FE8"/>
    <w:rsid w:val="00CF1547"/>
    <w:rsid w:val="00CF1599"/>
    <w:rsid w:val="00CF168B"/>
    <w:rsid w:val="00CF1EA8"/>
    <w:rsid w:val="00CF29CF"/>
    <w:rsid w:val="00CF3602"/>
    <w:rsid w:val="00CF37F3"/>
    <w:rsid w:val="00CF562A"/>
    <w:rsid w:val="00CF5D17"/>
    <w:rsid w:val="00D0188B"/>
    <w:rsid w:val="00D02BCE"/>
    <w:rsid w:val="00D02C19"/>
    <w:rsid w:val="00D039CD"/>
    <w:rsid w:val="00D03F91"/>
    <w:rsid w:val="00D05AF3"/>
    <w:rsid w:val="00D0618A"/>
    <w:rsid w:val="00D06350"/>
    <w:rsid w:val="00D0682E"/>
    <w:rsid w:val="00D07798"/>
    <w:rsid w:val="00D102D6"/>
    <w:rsid w:val="00D13501"/>
    <w:rsid w:val="00D13BBD"/>
    <w:rsid w:val="00D13FA4"/>
    <w:rsid w:val="00D14615"/>
    <w:rsid w:val="00D1492D"/>
    <w:rsid w:val="00D161CE"/>
    <w:rsid w:val="00D167B2"/>
    <w:rsid w:val="00D16801"/>
    <w:rsid w:val="00D17753"/>
    <w:rsid w:val="00D17D50"/>
    <w:rsid w:val="00D20F23"/>
    <w:rsid w:val="00D21B83"/>
    <w:rsid w:val="00D22583"/>
    <w:rsid w:val="00D256BD"/>
    <w:rsid w:val="00D25FCA"/>
    <w:rsid w:val="00D261B1"/>
    <w:rsid w:val="00D26D23"/>
    <w:rsid w:val="00D27180"/>
    <w:rsid w:val="00D31267"/>
    <w:rsid w:val="00D31975"/>
    <w:rsid w:val="00D31BCF"/>
    <w:rsid w:val="00D31E7C"/>
    <w:rsid w:val="00D324E9"/>
    <w:rsid w:val="00D34B67"/>
    <w:rsid w:val="00D4012C"/>
    <w:rsid w:val="00D40203"/>
    <w:rsid w:val="00D40D7C"/>
    <w:rsid w:val="00D41833"/>
    <w:rsid w:val="00D42C77"/>
    <w:rsid w:val="00D437F1"/>
    <w:rsid w:val="00D439AE"/>
    <w:rsid w:val="00D44B92"/>
    <w:rsid w:val="00D47493"/>
    <w:rsid w:val="00D479D1"/>
    <w:rsid w:val="00D479F0"/>
    <w:rsid w:val="00D50BB5"/>
    <w:rsid w:val="00D50C65"/>
    <w:rsid w:val="00D50DED"/>
    <w:rsid w:val="00D52743"/>
    <w:rsid w:val="00D535A8"/>
    <w:rsid w:val="00D53ADD"/>
    <w:rsid w:val="00D53C30"/>
    <w:rsid w:val="00D547DA"/>
    <w:rsid w:val="00D54F2D"/>
    <w:rsid w:val="00D551BC"/>
    <w:rsid w:val="00D5766C"/>
    <w:rsid w:val="00D577AD"/>
    <w:rsid w:val="00D5795A"/>
    <w:rsid w:val="00D60379"/>
    <w:rsid w:val="00D60812"/>
    <w:rsid w:val="00D610E6"/>
    <w:rsid w:val="00D6187C"/>
    <w:rsid w:val="00D61CD7"/>
    <w:rsid w:val="00D62110"/>
    <w:rsid w:val="00D630EF"/>
    <w:rsid w:val="00D643F6"/>
    <w:rsid w:val="00D66C33"/>
    <w:rsid w:val="00D66F0E"/>
    <w:rsid w:val="00D67D96"/>
    <w:rsid w:val="00D7119E"/>
    <w:rsid w:val="00D72256"/>
    <w:rsid w:val="00D73C27"/>
    <w:rsid w:val="00D75BB1"/>
    <w:rsid w:val="00D76560"/>
    <w:rsid w:val="00D76FC9"/>
    <w:rsid w:val="00D773BD"/>
    <w:rsid w:val="00D774E2"/>
    <w:rsid w:val="00D779FC"/>
    <w:rsid w:val="00D80247"/>
    <w:rsid w:val="00D81C64"/>
    <w:rsid w:val="00D81EBF"/>
    <w:rsid w:val="00D82D93"/>
    <w:rsid w:val="00D8514E"/>
    <w:rsid w:val="00D85A42"/>
    <w:rsid w:val="00D85F3D"/>
    <w:rsid w:val="00D8652F"/>
    <w:rsid w:val="00D8680A"/>
    <w:rsid w:val="00D86FDF"/>
    <w:rsid w:val="00D918B7"/>
    <w:rsid w:val="00D93958"/>
    <w:rsid w:val="00D94957"/>
    <w:rsid w:val="00D958BA"/>
    <w:rsid w:val="00D95C18"/>
    <w:rsid w:val="00D97177"/>
    <w:rsid w:val="00D971B8"/>
    <w:rsid w:val="00D97ECD"/>
    <w:rsid w:val="00DA06EB"/>
    <w:rsid w:val="00DA391F"/>
    <w:rsid w:val="00DA59DE"/>
    <w:rsid w:val="00DA6A61"/>
    <w:rsid w:val="00DA78BF"/>
    <w:rsid w:val="00DB23FD"/>
    <w:rsid w:val="00DB3669"/>
    <w:rsid w:val="00DB4519"/>
    <w:rsid w:val="00DB6DCE"/>
    <w:rsid w:val="00DC135E"/>
    <w:rsid w:val="00DC25AE"/>
    <w:rsid w:val="00DC26A2"/>
    <w:rsid w:val="00DC307F"/>
    <w:rsid w:val="00DC393B"/>
    <w:rsid w:val="00DC3DA7"/>
    <w:rsid w:val="00DC4BD3"/>
    <w:rsid w:val="00DC6411"/>
    <w:rsid w:val="00DC69A6"/>
    <w:rsid w:val="00DC7211"/>
    <w:rsid w:val="00DC72E0"/>
    <w:rsid w:val="00DC7ECE"/>
    <w:rsid w:val="00DD1D74"/>
    <w:rsid w:val="00DD2444"/>
    <w:rsid w:val="00DD3051"/>
    <w:rsid w:val="00DD3216"/>
    <w:rsid w:val="00DD322B"/>
    <w:rsid w:val="00DD3FD8"/>
    <w:rsid w:val="00DD5278"/>
    <w:rsid w:val="00DD5B09"/>
    <w:rsid w:val="00DD61AB"/>
    <w:rsid w:val="00DD6B4A"/>
    <w:rsid w:val="00DD7BC2"/>
    <w:rsid w:val="00DE0530"/>
    <w:rsid w:val="00DE128E"/>
    <w:rsid w:val="00DE236C"/>
    <w:rsid w:val="00DE29AA"/>
    <w:rsid w:val="00DE2E3E"/>
    <w:rsid w:val="00DE3C1D"/>
    <w:rsid w:val="00DE541B"/>
    <w:rsid w:val="00DE5439"/>
    <w:rsid w:val="00DE5EA2"/>
    <w:rsid w:val="00DE65B2"/>
    <w:rsid w:val="00DE6948"/>
    <w:rsid w:val="00DE6BAA"/>
    <w:rsid w:val="00DE7351"/>
    <w:rsid w:val="00DF00BD"/>
    <w:rsid w:val="00DF01C2"/>
    <w:rsid w:val="00DF0C4E"/>
    <w:rsid w:val="00DF1D05"/>
    <w:rsid w:val="00DF2151"/>
    <w:rsid w:val="00DF300B"/>
    <w:rsid w:val="00DF3023"/>
    <w:rsid w:val="00DF5EA3"/>
    <w:rsid w:val="00DF6078"/>
    <w:rsid w:val="00DF6300"/>
    <w:rsid w:val="00E003CF"/>
    <w:rsid w:val="00E00B0B"/>
    <w:rsid w:val="00E040DC"/>
    <w:rsid w:val="00E041D9"/>
    <w:rsid w:val="00E04FAF"/>
    <w:rsid w:val="00E050CD"/>
    <w:rsid w:val="00E062DE"/>
    <w:rsid w:val="00E128DD"/>
    <w:rsid w:val="00E13F1A"/>
    <w:rsid w:val="00E207EB"/>
    <w:rsid w:val="00E214A2"/>
    <w:rsid w:val="00E214C6"/>
    <w:rsid w:val="00E21D9C"/>
    <w:rsid w:val="00E22DAA"/>
    <w:rsid w:val="00E2435E"/>
    <w:rsid w:val="00E24955"/>
    <w:rsid w:val="00E25659"/>
    <w:rsid w:val="00E26546"/>
    <w:rsid w:val="00E269D2"/>
    <w:rsid w:val="00E27B8C"/>
    <w:rsid w:val="00E304BD"/>
    <w:rsid w:val="00E30B81"/>
    <w:rsid w:val="00E314F8"/>
    <w:rsid w:val="00E316DA"/>
    <w:rsid w:val="00E34A2F"/>
    <w:rsid w:val="00E34CA2"/>
    <w:rsid w:val="00E35739"/>
    <w:rsid w:val="00E35872"/>
    <w:rsid w:val="00E40143"/>
    <w:rsid w:val="00E40910"/>
    <w:rsid w:val="00E41D96"/>
    <w:rsid w:val="00E4250F"/>
    <w:rsid w:val="00E4284B"/>
    <w:rsid w:val="00E439F2"/>
    <w:rsid w:val="00E43C09"/>
    <w:rsid w:val="00E449B9"/>
    <w:rsid w:val="00E456A0"/>
    <w:rsid w:val="00E45A1C"/>
    <w:rsid w:val="00E4771A"/>
    <w:rsid w:val="00E50020"/>
    <w:rsid w:val="00E51113"/>
    <w:rsid w:val="00E51357"/>
    <w:rsid w:val="00E51427"/>
    <w:rsid w:val="00E51827"/>
    <w:rsid w:val="00E52223"/>
    <w:rsid w:val="00E54628"/>
    <w:rsid w:val="00E555B7"/>
    <w:rsid w:val="00E555E2"/>
    <w:rsid w:val="00E5560C"/>
    <w:rsid w:val="00E56368"/>
    <w:rsid w:val="00E60068"/>
    <w:rsid w:val="00E6011C"/>
    <w:rsid w:val="00E61834"/>
    <w:rsid w:val="00E61AD0"/>
    <w:rsid w:val="00E634D7"/>
    <w:rsid w:val="00E647E3"/>
    <w:rsid w:val="00E647F8"/>
    <w:rsid w:val="00E6549E"/>
    <w:rsid w:val="00E65628"/>
    <w:rsid w:val="00E658AF"/>
    <w:rsid w:val="00E66230"/>
    <w:rsid w:val="00E66711"/>
    <w:rsid w:val="00E67187"/>
    <w:rsid w:val="00E70A91"/>
    <w:rsid w:val="00E72607"/>
    <w:rsid w:val="00E73C29"/>
    <w:rsid w:val="00E745DD"/>
    <w:rsid w:val="00E74D87"/>
    <w:rsid w:val="00E76F7E"/>
    <w:rsid w:val="00E81687"/>
    <w:rsid w:val="00E81DAA"/>
    <w:rsid w:val="00E82655"/>
    <w:rsid w:val="00E8349A"/>
    <w:rsid w:val="00E834D5"/>
    <w:rsid w:val="00E85942"/>
    <w:rsid w:val="00E85EF8"/>
    <w:rsid w:val="00E8721F"/>
    <w:rsid w:val="00E902CC"/>
    <w:rsid w:val="00E90587"/>
    <w:rsid w:val="00E905A1"/>
    <w:rsid w:val="00E9073B"/>
    <w:rsid w:val="00E90D7F"/>
    <w:rsid w:val="00E919C9"/>
    <w:rsid w:val="00E92125"/>
    <w:rsid w:val="00E93284"/>
    <w:rsid w:val="00E94854"/>
    <w:rsid w:val="00E95F2A"/>
    <w:rsid w:val="00E96154"/>
    <w:rsid w:val="00E96794"/>
    <w:rsid w:val="00E97DE6"/>
    <w:rsid w:val="00EA291F"/>
    <w:rsid w:val="00EA414E"/>
    <w:rsid w:val="00EA46E1"/>
    <w:rsid w:val="00EA4A1D"/>
    <w:rsid w:val="00EA4EC6"/>
    <w:rsid w:val="00EA4F37"/>
    <w:rsid w:val="00EA56F1"/>
    <w:rsid w:val="00EA594D"/>
    <w:rsid w:val="00EA59B1"/>
    <w:rsid w:val="00EA5D55"/>
    <w:rsid w:val="00EA655C"/>
    <w:rsid w:val="00EA7386"/>
    <w:rsid w:val="00EA7896"/>
    <w:rsid w:val="00EA7D2D"/>
    <w:rsid w:val="00EB0B3E"/>
    <w:rsid w:val="00EB15DA"/>
    <w:rsid w:val="00EB27E9"/>
    <w:rsid w:val="00EB2DEE"/>
    <w:rsid w:val="00EB5922"/>
    <w:rsid w:val="00EB5C51"/>
    <w:rsid w:val="00EB65FD"/>
    <w:rsid w:val="00EB6796"/>
    <w:rsid w:val="00EB6E5F"/>
    <w:rsid w:val="00EC0CBF"/>
    <w:rsid w:val="00EC14DF"/>
    <w:rsid w:val="00EC21B0"/>
    <w:rsid w:val="00EC2923"/>
    <w:rsid w:val="00EC29F7"/>
    <w:rsid w:val="00EC4744"/>
    <w:rsid w:val="00EC66ED"/>
    <w:rsid w:val="00EC6A17"/>
    <w:rsid w:val="00EC6B62"/>
    <w:rsid w:val="00EC6E73"/>
    <w:rsid w:val="00EC74E4"/>
    <w:rsid w:val="00ED05D8"/>
    <w:rsid w:val="00ED0926"/>
    <w:rsid w:val="00ED10DD"/>
    <w:rsid w:val="00ED15FC"/>
    <w:rsid w:val="00ED25C3"/>
    <w:rsid w:val="00ED48FF"/>
    <w:rsid w:val="00ED4F1D"/>
    <w:rsid w:val="00ED50BF"/>
    <w:rsid w:val="00ED65E0"/>
    <w:rsid w:val="00ED6B8E"/>
    <w:rsid w:val="00ED6D95"/>
    <w:rsid w:val="00ED6F02"/>
    <w:rsid w:val="00ED72C1"/>
    <w:rsid w:val="00EE1C1D"/>
    <w:rsid w:val="00EE3DC2"/>
    <w:rsid w:val="00EE3E01"/>
    <w:rsid w:val="00EE4DCA"/>
    <w:rsid w:val="00EE5189"/>
    <w:rsid w:val="00EE545E"/>
    <w:rsid w:val="00EE59E7"/>
    <w:rsid w:val="00EE5CB3"/>
    <w:rsid w:val="00EE6D33"/>
    <w:rsid w:val="00EE7350"/>
    <w:rsid w:val="00EE766B"/>
    <w:rsid w:val="00EE77CD"/>
    <w:rsid w:val="00EE7C36"/>
    <w:rsid w:val="00EF02C4"/>
    <w:rsid w:val="00EF193B"/>
    <w:rsid w:val="00EF1ECE"/>
    <w:rsid w:val="00EF201E"/>
    <w:rsid w:val="00EF610A"/>
    <w:rsid w:val="00EF68EE"/>
    <w:rsid w:val="00EF77AD"/>
    <w:rsid w:val="00F01400"/>
    <w:rsid w:val="00F0192F"/>
    <w:rsid w:val="00F027B2"/>
    <w:rsid w:val="00F04080"/>
    <w:rsid w:val="00F05AA4"/>
    <w:rsid w:val="00F05DE3"/>
    <w:rsid w:val="00F06512"/>
    <w:rsid w:val="00F07935"/>
    <w:rsid w:val="00F10108"/>
    <w:rsid w:val="00F13231"/>
    <w:rsid w:val="00F14B47"/>
    <w:rsid w:val="00F154E9"/>
    <w:rsid w:val="00F165C5"/>
    <w:rsid w:val="00F175F1"/>
    <w:rsid w:val="00F17D24"/>
    <w:rsid w:val="00F23814"/>
    <w:rsid w:val="00F23AC8"/>
    <w:rsid w:val="00F2598E"/>
    <w:rsid w:val="00F26372"/>
    <w:rsid w:val="00F26462"/>
    <w:rsid w:val="00F27298"/>
    <w:rsid w:val="00F27530"/>
    <w:rsid w:val="00F3061D"/>
    <w:rsid w:val="00F32065"/>
    <w:rsid w:val="00F35186"/>
    <w:rsid w:val="00F36F25"/>
    <w:rsid w:val="00F37217"/>
    <w:rsid w:val="00F3742E"/>
    <w:rsid w:val="00F40CD7"/>
    <w:rsid w:val="00F40D52"/>
    <w:rsid w:val="00F40D6D"/>
    <w:rsid w:val="00F41BB6"/>
    <w:rsid w:val="00F420A4"/>
    <w:rsid w:val="00F42173"/>
    <w:rsid w:val="00F43948"/>
    <w:rsid w:val="00F43B2E"/>
    <w:rsid w:val="00F44458"/>
    <w:rsid w:val="00F44BDA"/>
    <w:rsid w:val="00F46B51"/>
    <w:rsid w:val="00F46E5F"/>
    <w:rsid w:val="00F47E44"/>
    <w:rsid w:val="00F506C7"/>
    <w:rsid w:val="00F50BB2"/>
    <w:rsid w:val="00F50ECD"/>
    <w:rsid w:val="00F52E21"/>
    <w:rsid w:val="00F537A6"/>
    <w:rsid w:val="00F544E4"/>
    <w:rsid w:val="00F548BB"/>
    <w:rsid w:val="00F54FCD"/>
    <w:rsid w:val="00F559EF"/>
    <w:rsid w:val="00F561B7"/>
    <w:rsid w:val="00F565E1"/>
    <w:rsid w:val="00F56AE7"/>
    <w:rsid w:val="00F60A3C"/>
    <w:rsid w:val="00F60C61"/>
    <w:rsid w:val="00F6237C"/>
    <w:rsid w:val="00F62D4C"/>
    <w:rsid w:val="00F62E24"/>
    <w:rsid w:val="00F652DB"/>
    <w:rsid w:val="00F65A0C"/>
    <w:rsid w:val="00F6622B"/>
    <w:rsid w:val="00F66E4D"/>
    <w:rsid w:val="00F7114A"/>
    <w:rsid w:val="00F7116F"/>
    <w:rsid w:val="00F7120A"/>
    <w:rsid w:val="00F71ABF"/>
    <w:rsid w:val="00F71B38"/>
    <w:rsid w:val="00F722B4"/>
    <w:rsid w:val="00F72364"/>
    <w:rsid w:val="00F734AA"/>
    <w:rsid w:val="00F7391E"/>
    <w:rsid w:val="00F73C63"/>
    <w:rsid w:val="00F75541"/>
    <w:rsid w:val="00F75E56"/>
    <w:rsid w:val="00F772CE"/>
    <w:rsid w:val="00F772D4"/>
    <w:rsid w:val="00F80D22"/>
    <w:rsid w:val="00F81771"/>
    <w:rsid w:val="00F81E67"/>
    <w:rsid w:val="00F82959"/>
    <w:rsid w:val="00F8331E"/>
    <w:rsid w:val="00F839CD"/>
    <w:rsid w:val="00F83CCF"/>
    <w:rsid w:val="00F8449A"/>
    <w:rsid w:val="00F84581"/>
    <w:rsid w:val="00F85552"/>
    <w:rsid w:val="00F856F0"/>
    <w:rsid w:val="00F86BE9"/>
    <w:rsid w:val="00F8728D"/>
    <w:rsid w:val="00F87CF3"/>
    <w:rsid w:val="00F917BF"/>
    <w:rsid w:val="00F91B79"/>
    <w:rsid w:val="00F92FF8"/>
    <w:rsid w:val="00F93242"/>
    <w:rsid w:val="00F93D21"/>
    <w:rsid w:val="00F95783"/>
    <w:rsid w:val="00F96DFD"/>
    <w:rsid w:val="00F97AC4"/>
    <w:rsid w:val="00F97EC8"/>
    <w:rsid w:val="00FA32B7"/>
    <w:rsid w:val="00FA40A1"/>
    <w:rsid w:val="00FA5348"/>
    <w:rsid w:val="00FA7038"/>
    <w:rsid w:val="00FB0D2E"/>
    <w:rsid w:val="00FB1206"/>
    <w:rsid w:val="00FB150C"/>
    <w:rsid w:val="00FB1AF0"/>
    <w:rsid w:val="00FB2168"/>
    <w:rsid w:val="00FB2399"/>
    <w:rsid w:val="00FB281B"/>
    <w:rsid w:val="00FB3B79"/>
    <w:rsid w:val="00FB685E"/>
    <w:rsid w:val="00FB6AD2"/>
    <w:rsid w:val="00FB75E4"/>
    <w:rsid w:val="00FB7616"/>
    <w:rsid w:val="00FB79C0"/>
    <w:rsid w:val="00FC1388"/>
    <w:rsid w:val="00FC28CD"/>
    <w:rsid w:val="00FC2E48"/>
    <w:rsid w:val="00FC30BF"/>
    <w:rsid w:val="00FC3144"/>
    <w:rsid w:val="00FC3EE0"/>
    <w:rsid w:val="00FC4003"/>
    <w:rsid w:val="00FC4006"/>
    <w:rsid w:val="00FC4F13"/>
    <w:rsid w:val="00FC57BC"/>
    <w:rsid w:val="00FC5A03"/>
    <w:rsid w:val="00FC6B73"/>
    <w:rsid w:val="00FD346C"/>
    <w:rsid w:val="00FD3B47"/>
    <w:rsid w:val="00FD3FF5"/>
    <w:rsid w:val="00FD50AD"/>
    <w:rsid w:val="00FD57B4"/>
    <w:rsid w:val="00FD5A2F"/>
    <w:rsid w:val="00FE0482"/>
    <w:rsid w:val="00FE0E4B"/>
    <w:rsid w:val="00FE1325"/>
    <w:rsid w:val="00FE1986"/>
    <w:rsid w:val="00FE20A0"/>
    <w:rsid w:val="00FE25A3"/>
    <w:rsid w:val="00FE278F"/>
    <w:rsid w:val="00FE2879"/>
    <w:rsid w:val="00FE378D"/>
    <w:rsid w:val="00FE37FA"/>
    <w:rsid w:val="00FE68EE"/>
    <w:rsid w:val="00FF079F"/>
    <w:rsid w:val="00FF1039"/>
    <w:rsid w:val="00FF17BE"/>
    <w:rsid w:val="00FF1B7C"/>
    <w:rsid w:val="00FF1DF3"/>
    <w:rsid w:val="00FF2437"/>
    <w:rsid w:val="00FF2BC6"/>
    <w:rsid w:val="00FF37BE"/>
    <w:rsid w:val="00FF466B"/>
    <w:rsid w:val="00FF5D96"/>
    <w:rsid w:val="00FF66AB"/>
    <w:rsid w:val="00FF6E73"/>
    <w:rsid w:val="00FF79B4"/>
    <w:rsid w:val="00FF7E3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0799950-5A6B-4FC5-8D51-440D928F92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locked="1" w:uiPriority="0"/>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2569A"/>
    <w:rPr>
      <w:sz w:val="24"/>
      <w:szCs w:val="24"/>
    </w:rPr>
  </w:style>
  <w:style w:type="paragraph" w:styleId="Ttulo1">
    <w:name w:val="heading 1"/>
    <w:basedOn w:val="Normal"/>
    <w:next w:val="Normal"/>
    <w:link w:val="Ttulo1Char"/>
    <w:uiPriority w:val="99"/>
    <w:qFormat/>
    <w:rsid w:val="00C2569A"/>
    <w:pPr>
      <w:keepNext/>
      <w:outlineLvl w:val="0"/>
    </w:pPr>
    <w:rPr>
      <w:b/>
      <w:bCs/>
    </w:rPr>
  </w:style>
  <w:style w:type="paragraph" w:styleId="Ttulo2">
    <w:name w:val="heading 2"/>
    <w:basedOn w:val="Normal"/>
    <w:next w:val="Normal"/>
    <w:link w:val="Ttulo2Char"/>
    <w:uiPriority w:val="99"/>
    <w:qFormat/>
    <w:rsid w:val="00C2569A"/>
    <w:pPr>
      <w:keepNext/>
      <w:jc w:val="both"/>
      <w:outlineLvl w:val="1"/>
    </w:pPr>
    <w:rPr>
      <w:szCs w:val="20"/>
    </w:rPr>
  </w:style>
  <w:style w:type="paragraph" w:styleId="Ttulo3">
    <w:name w:val="heading 3"/>
    <w:basedOn w:val="Normal"/>
    <w:next w:val="Normal"/>
    <w:link w:val="Ttulo3Char"/>
    <w:uiPriority w:val="99"/>
    <w:qFormat/>
    <w:rsid w:val="00C2569A"/>
    <w:pPr>
      <w:keepNext/>
      <w:ind w:firstLine="136"/>
      <w:outlineLvl w:val="2"/>
    </w:pPr>
    <w:rPr>
      <w:rFonts w:ascii="Arial" w:hAnsi="Arial" w:cs="Arial"/>
      <w:i/>
      <w:iCs/>
      <w:sz w:val="16"/>
      <w:szCs w:val="14"/>
    </w:rPr>
  </w:style>
  <w:style w:type="paragraph" w:styleId="Ttulo4">
    <w:name w:val="heading 4"/>
    <w:basedOn w:val="Normal"/>
    <w:next w:val="Normal"/>
    <w:link w:val="Ttulo4Char"/>
    <w:uiPriority w:val="99"/>
    <w:qFormat/>
    <w:rsid w:val="00C2569A"/>
    <w:pPr>
      <w:keepNext/>
      <w:ind w:firstLine="136"/>
      <w:jc w:val="center"/>
      <w:outlineLvl w:val="3"/>
    </w:pPr>
    <w:rPr>
      <w:rFonts w:ascii="Arial" w:hAnsi="Arial" w:cs="Arial"/>
      <w:b/>
      <w:bCs/>
      <w:i/>
      <w:iCs/>
      <w:sz w:val="16"/>
      <w:szCs w:val="14"/>
      <w:lang w:val="en-US"/>
    </w:rPr>
  </w:style>
  <w:style w:type="paragraph" w:styleId="Ttulo5">
    <w:name w:val="heading 5"/>
    <w:basedOn w:val="Normal"/>
    <w:next w:val="Normal"/>
    <w:link w:val="Ttulo5Char"/>
    <w:uiPriority w:val="99"/>
    <w:qFormat/>
    <w:rsid w:val="00C2569A"/>
    <w:pPr>
      <w:keepNext/>
      <w:autoSpaceDE w:val="0"/>
      <w:autoSpaceDN w:val="0"/>
      <w:adjustRightInd w:val="0"/>
      <w:jc w:val="both"/>
      <w:outlineLvl w:val="4"/>
    </w:pPr>
    <w:rPr>
      <w:b/>
    </w:rPr>
  </w:style>
  <w:style w:type="paragraph" w:styleId="Ttulo6">
    <w:name w:val="heading 6"/>
    <w:basedOn w:val="Normal"/>
    <w:next w:val="Normal"/>
    <w:link w:val="Ttulo6Char"/>
    <w:uiPriority w:val="99"/>
    <w:qFormat/>
    <w:rsid w:val="00C2569A"/>
    <w:pPr>
      <w:keepNext/>
      <w:outlineLvl w:val="5"/>
    </w:pPr>
    <w:rPr>
      <w:rFonts w:ascii="Arial" w:hAnsi="Arial" w:cs="Arial"/>
      <w:b/>
      <w:bCs/>
      <w:sz w:val="16"/>
      <w:szCs w:val="1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9"/>
    <w:locked/>
    <w:rsid w:val="001214F0"/>
    <w:rPr>
      <w:rFonts w:ascii="Cambria" w:hAnsi="Cambria" w:cs="Times New Roman"/>
      <w:b/>
      <w:bCs/>
      <w:kern w:val="32"/>
      <w:sz w:val="32"/>
      <w:szCs w:val="32"/>
    </w:rPr>
  </w:style>
  <w:style w:type="character" w:customStyle="1" w:styleId="Ttulo2Char">
    <w:name w:val="Título 2 Char"/>
    <w:basedOn w:val="Fontepargpadro"/>
    <w:link w:val="Ttulo2"/>
    <w:uiPriority w:val="99"/>
    <w:semiHidden/>
    <w:locked/>
    <w:rsid w:val="001214F0"/>
    <w:rPr>
      <w:rFonts w:ascii="Cambria" w:hAnsi="Cambria" w:cs="Times New Roman"/>
      <w:b/>
      <w:bCs/>
      <w:i/>
      <w:iCs/>
      <w:sz w:val="28"/>
      <w:szCs w:val="28"/>
    </w:rPr>
  </w:style>
  <w:style w:type="character" w:customStyle="1" w:styleId="Ttulo3Char">
    <w:name w:val="Título 3 Char"/>
    <w:basedOn w:val="Fontepargpadro"/>
    <w:link w:val="Ttulo3"/>
    <w:uiPriority w:val="99"/>
    <w:semiHidden/>
    <w:locked/>
    <w:rsid w:val="001214F0"/>
    <w:rPr>
      <w:rFonts w:ascii="Cambria" w:hAnsi="Cambria" w:cs="Times New Roman"/>
      <w:b/>
      <w:bCs/>
      <w:sz w:val="26"/>
      <w:szCs w:val="26"/>
    </w:rPr>
  </w:style>
  <w:style w:type="character" w:customStyle="1" w:styleId="Ttulo4Char">
    <w:name w:val="Título 4 Char"/>
    <w:basedOn w:val="Fontepargpadro"/>
    <w:link w:val="Ttulo4"/>
    <w:uiPriority w:val="99"/>
    <w:semiHidden/>
    <w:locked/>
    <w:rsid w:val="001214F0"/>
    <w:rPr>
      <w:rFonts w:ascii="Calibri" w:hAnsi="Calibri" w:cs="Times New Roman"/>
      <w:b/>
      <w:bCs/>
      <w:sz w:val="28"/>
      <w:szCs w:val="28"/>
    </w:rPr>
  </w:style>
  <w:style w:type="character" w:customStyle="1" w:styleId="Ttulo5Char">
    <w:name w:val="Título 5 Char"/>
    <w:basedOn w:val="Fontepargpadro"/>
    <w:link w:val="Ttulo5"/>
    <w:uiPriority w:val="99"/>
    <w:semiHidden/>
    <w:locked/>
    <w:rsid w:val="001214F0"/>
    <w:rPr>
      <w:rFonts w:ascii="Calibri" w:hAnsi="Calibri" w:cs="Times New Roman"/>
      <w:b/>
      <w:bCs/>
      <w:i/>
      <w:iCs/>
      <w:sz w:val="26"/>
      <w:szCs w:val="26"/>
    </w:rPr>
  </w:style>
  <w:style w:type="character" w:customStyle="1" w:styleId="Ttulo6Char">
    <w:name w:val="Título 6 Char"/>
    <w:basedOn w:val="Fontepargpadro"/>
    <w:link w:val="Ttulo6"/>
    <w:uiPriority w:val="99"/>
    <w:semiHidden/>
    <w:locked/>
    <w:rsid w:val="001214F0"/>
    <w:rPr>
      <w:rFonts w:ascii="Calibri" w:hAnsi="Calibri" w:cs="Times New Roman"/>
      <w:b/>
      <w:bCs/>
    </w:rPr>
  </w:style>
  <w:style w:type="paragraph" w:styleId="Recuodecorpodetexto3">
    <w:name w:val="Body Text Indent 3"/>
    <w:basedOn w:val="Normal"/>
    <w:link w:val="Recuodecorpodetexto3Char"/>
    <w:uiPriority w:val="99"/>
    <w:rsid w:val="00C2569A"/>
    <w:pPr>
      <w:ind w:left="3060"/>
    </w:pPr>
    <w:rPr>
      <w:b/>
      <w:bCs/>
      <w:i/>
      <w:iCs/>
    </w:rPr>
  </w:style>
  <w:style w:type="character" w:customStyle="1" w:styleId="Recuodecorpodetexto3Char">
    <w:name w:val="Recuo de corpo de texto 3 Char"/>
    <w:basedOn w:val="Fontepargpadro"/>
    <w:link w:val="Recuodecorpodetexto3"/>
    <w:uiPriority w:val="99"/>
    <w:semiHidden/>
    <w:locked/>
    <w:rsid w:val="001214F0"/>
    <w:rPr>
      <w:rFonts w:cs="Times New Roman"/>
      <w:sz w:val="16"/>
      <w:szCs w:val="16"/>
    </w:rPr>
  </w:style>
  <w:style w:type="paragraph" w:styleId="Cabealho">
    <w:name w:val="header"/>
    <w:basedOn w:val="Normal"/>
    <w:link w:val="CabealhoChar"/>
    <w:uiPriority w:val="99"/>
    <w:rsid w:val="00C2569A"/>
    <w:pPr>
      <w:widowControl w:val="0"/>
      <w:tabs>
        <w:tab w:val="center" w:pos="4419"/>
        <w:tab w:val="right" w:pos="8838"/>
      </w:tabs>
    </w:pPr>
    <w:rPr>
      <w:sz w:val="20"/>
      <w:szCs w:val="20"/>
      <w:lang w:eastAsia="en-US"/>
    </w:rPr>
  </w:style>
  <w:style w:type="character" w:customStyle="1" w:styleId="CabealhoChar">
    <w:name w:val="Cabeçalho Char"/>
    <w:basedOn w:val="Fontepargpadro"/>
    <w:link w:val="Cabealho"/>
    <w:uiPriority w:val="99"/>
    <w:semiHidden/>
    <w:locked/>
    <w:rsid w:val="001214F0"/>
    <w:rPr>
      <w:rFonts w:cs="Times New Roman"/>
      <w:sz w:val="24"/>
      <w:szCs w:val="24"/>
    </w:rPr>
  </w:style>
  <w:style w:type="paragraph" w:styleId="Recuodecorpodetexto">
    <w:name w:val="Body Text Indent"/>
    <w:basedOn w:val="Normal"/>
    <w:link w:val="RecuodecorpodetextoChar"/>
    <w:rsid w:val="00C2569A"/>
    <w:pPr>
      <w:ind w:firstLine="708"/>
      <w:jc w:val="both"/>
    </w:pPr>
  </w:style>
  <w:style w:type="character" w:customStyle="1" w:styleId="RecuodecorpodetextoChar">
    <w:name w:val="Recuo de corpo de texto Char"/>
    <w:basedOn w:val="Fontepargpadro"/>
    <w:link w:val="Recuodecorpodetexto"/>
    <w:locked/>
    <w:rsid w:val="00563922"/>
    <w:rPr>
      <w:rFonts w:cs="Times New Roman"/>
      <w:sz w:val="24"/>
      <w:szCs w:val="24"/>
    </w:rPr>
  </w:style>
  <w:style w:type="paragraph" w:styleId="Recuodecorpodetexto2">
    <w:name w:val="Body Text Indent 2"/>
    <w:basedOn w:val="Normal"/>
    <w:link w:val="Recuodecorpodetexto2Char"/>
    <w:uiPriority w:val="99"/>
    <w:rsid w:val="00C2569A"/>
    <w:pPr>
      <w:spacing w:after="120"/>
      <w:ind w:firstLine="709"/>
      <w:jc w:val="both"/>
    </w:pPr>
    <w:rPr>
      <w:szCs w:val="20"/>
    </w:rPr>
  </w:style>
  <w:style w:type="character" w:customStyle="1" w:styleId="Recuodecorpodetexto2Char">
    <w:name w:val="Recuo de corpo de texto 2 Char"/>
    <w:basedOn w:val="Fontepargpadro"/>
    <w:link w:val="Recuodecorpodetexto2"/>
    <w:uiPriority w:val="99"/>
    <w:locked/>
    <w:rsid w:val="00332895"/>
    <w:rPr>
      <w:rFonts w:cs="Times New Roman"/>
      <w:sz w:val="24"/>
    </w:rPr>
  </w:style>
  <w:style w:type="paragraph" w:customStyle="1" w:styleId="xl29">
    <w:name w:val="xl29"/>
    <w:basedOn w:val="Normal"/>
    <w:uiPriority w:val="99"/>
    <w:rsid w:val="00C2569A"/>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b/>
      <w:bCs/>
      <w:i/>
      <w:iCs/>
      <w:sz w:val="14"/>
      <w:szCs w:val="14"/>
    </w:rPr>
  </w:style>
  <w:style w:type="paragraph" w:customStyle="1" w:styleId="xl30">
    <w:name w:val="xl30"/>
    <w:basedOn w:val="Normal"/>
    <w:uiPriority w:val="99"/>
    <w:rsid w:val="00C2569A"/>
    <w:pPr>
      <w:pBdr>
        <w:top w:val="single" w:sz="4" w:space="0" w:color="auto"/>
        <w:left w:val="single" w:sz="4" w:space="0" w:color="auto"/>
      </w:pBdr>
      <w:spacing w:before="100" w:beforeAutospacing="1" w:after="100" w:afterAutospacing="1"/>
      <w:jc w:val="center"/>
      <w:textAlignment w:val="center"/>
    </w:pPr>
    <w:rPr>
      <w:rFonts w:ascii="Arial" w:eastAsia="Arial Unicode MS" w:hAnsi="Arial" w:cs="Arial"/>
      <w:b/>
      <w:bCs/>
      <w:i/>
      <w:iCs/>
      <w:sz w:val="14"/>
      <w:szCs w:val="14"/>
    </w:rPr>
  </w:style>
  <w:style w:type="paragraph" w:customStyle="1" w:styleId="xl31">
    <w:name w:val="xl31"/>
    <w:basedOn w:val="Normal"/>
    <w:uiPriority w:val="99"/>
    <w:rsid w:val="00C2569A"/>
    <w:pPr>
      <w:pBdr>
        <w:top w:val="single" w:sz="4" w:space="0" w:color="auto"/>
      </w:pBdr>
      <w:spacing w:before="100" w:beforeAutospacing="1" w:after="100" w:afterAutospacing="1"/>
      <w:jc w:val="center"/>
      <w:textAlignment w:val="center"/>
    </w:pPr>
    <w:rPr>
      <w:rFonts w:ascii="Arial" w:eastAsia="Arial Unicode MS" w:hAnsi="Arial" w:cs="Arial"/>
      <w:b/>
      <w:bCs/>
      <w:i/>
      <w:iCs/>
      <w:sz w:val="14"/>
      <w:szCs w:val="14"/>
    </w:rPr>
  </w:style>
  <w:style w:type="paragraph" w:customStyle="1" w:styleId="xl32">
    <w:name w:val="xl32"/>
    <w:basedOn w:val="Normal"/>
    <w:uiPriority w:val="99"/>
    <w:rsid w:val="00C2569A"/>
    <w:pPr>
      <w:pBdr>
        <w:top w:val="single" w:sz="4" w:space="0" w:color="auto"/>
        <w:right w:val="single" w:sz="4" w:space="0" w:color="auto"/>
      </w:pBdr>
      <w:spacing w:before="100" w:beforeAutospacing="1" w:after="100" w:afterAutospacing="1"/>
      <w:jc w:val="center"/>
      <w:textAlignment w:val="center"/>
    </w:pPr>
    <w:rPr>
      <w:rFonts w:ascii="Arial" w:eastAsia="Arial Unicode MS" w:hAnsi="Arial" w:cs="Arial"/>
      <w:b/>
      <w:bCs/>
      <w:i/>
      <w:iCs/>
      <w:sz w:val="14"/>
      <w:szCs w:val="14"/>
    </w:rPr>
  </w:style>
  <w:style w:type="paragraph" w:customStyle="1" w:styleId="xl33">
    <w:name w:val="xl33"/>
    <w:basedOn w:val="Normal"/>
    <w:uiPriority w:val="99"/>
    <w:rsid w:val="00C2569A"/>
    <w:pPr>
      <w:pBdr>
        <w:left w:val="single" w:sz="4" w:space="0" w:color="auto"/>
        <w:bottom w:val="single" w:sz="4" w:space="0" w:color="auto"/>
      </w:pBdr>
      <w:spacing w:before="100" w:beforeAutospacing="1" w:after="100" w:afterAutospacing="1"/>
      <w:jc w:val="center"/>
      <w:textAlignment w:val="center"/>
    </w:pPr>
    <w:rPr>
      <w:rFonts w:ascii="Arial" w:eastAsia="Arial Unicode MS" w:hAnsi="Arial" w:cs="Arial"/>
      <w:b/>
      <w:bCs/>
      <w:i/>
      <w:iCs/>
      <w:sz w:val="14"/>
      <w:szCs w:val="14"/>
    </w:rPr>
  </w:style>
  <w:style w:type="paragraph" w:customStyle="1" w:styleId="xl34">
    <w:name w:val="xl34"/>
    <w:basedOn w:val="Normal"/>
    <w:uiPriority w:val="99"/>
    <w:rsid w:val="00C2569A"/>
    <w:pPr>
      <w:pBdr>
        <w:bottom w:val="single" w:sz="4" w:space="0" w:color="auto"/>
      </w:pBdr>
      <w:spacing w:before="100" w:beforeAutospacing="1" w:after="100" w:afterAutospacing="1"/>
      <w:jc w:val="center"/>
      <w:textAlignment w:val="center"/>
    </w:pPr>
    <w:rPr>
      <w:rFonts w:ascii="Arial" w:eastAsia="Arial Unicode MS" w:hAnsi="Arial" w:cs="Arial"/>
      <w:b/>
      <w:bCs/>
      <w:i/>
      <w:iCs/>
      <w:sz w:val="14"/>
      <w:szCs w:val="14"/>
    </w:rPr>
  </w:style>
  <w:style w:type="paragraph" w:customStyle="1" w:styleId="xl35">
    <w:name w:val="xl35"/>
    <w:basedOn w:val="Normal"/>
    <w:uiPriority w:val="99"/>
    <w:rsid w:val="00C2569A"/>
    <w:pPr>
      <w:pBdr>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b/>
      <w:bCs/>
      <w:i/>
      <w:iCs/>
      <w:sz w:val="14"/>
      <w:szCs w:val="14"/>
    </w:rPr>
  </w:style>
  <w:style w:type="paragraph" w:customStyle="1" w:styleId="xl36">
    <w:name w:val="xl36"/>
    <w:basedOn w:val="Normal"/>
    <w:uiPriority w:val="99"/>
    <w:rsid w:val="00C2569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b/>
      <w:bCs/>
      <w:i/>
      <w:iCs/>
      <w:sz w:val="14"/>
      <w:szCs w:val="14"/>
    </w:rPr>
  </w:style>
  <w:style w:type="paragraph" w:customStyle="1" w:styleId="xl37">
    <w:name w:val="xl37"/>
    <w:basedOn w:val="Normal"/>
    <w:uiPriority w:val="99"/>
    <w:rsid w:val="00C2569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b/>
      <w:bCs/>
      <w:i/>
      <w:iCs/>
      <w:sz w:val="14"/>
      <w:szCs w:val="14"/>
    </w:rPr>
  </w:style>
  <w:style w:type="paragraph" w:customStyle="1" w:styleId="xl38">
    <w:name w:val="xl38"/>
    <w:basedOn w:val="Normal"/>
    <w:uiPriority w:val="99"/>
    <w:rsid w:val="00C2569A"/>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eastAsia="Arial Unicode MS" w:hAnsi="Arial" w:cs="Arial"/>
      <w:b/>
      <w:bCs/>
      <w:i/>
      <w:iCs/>
      <w:sz w:val="14"/>
      <w:szCs w:val="14"/>
    </w:rPr>
  </w:style>
  <w:style w:type="paragraph" w:customStyle="1" w:styleId="xl39">
    <w:name w:val="xl39"/>
    <w:basedOn w:val="Normal"/>
    <w:uiPriority w:val="99"/>
    <w:rsid w:val="00C2569A"/>
    <w:pPr>
      <w:spacing w:before="100" w:beforeAutospacing="1" w:after="100" w:afterAutospacing="1"/>
      <w:textAlignment w:val="center"/>
    </w:pPr>
    <w:rPr>
      <w:rFonts w:ascii="Arial" w:eastAsia="Arial Unicode MS" w:hAnsi="Arial" w:cs="Arial"/>
      <w:sz w:val="14"/>
      <w:szCs w:val="14"/>
    </w:rPr>
  </w:style>
  <w:style w:type="paragraph" w:customStyle="1" w:styleId="xl40">
    <w:name w:val="xl40"/>
    <w:basedOn w:val="Normal"/>
    <w:uiPriority w:val="99"/>
    <w:rsid w:val="00C2569A"/>
    <w:pPr>
      <w:spacing w:before="100" w:beforeAutospacing="1" w:after="100" w:afterAutospacing="1"/>
      <w:textAlignment w:val="center"/>
    </w:pPr>
    <w:rPr>
      <w:rFonts w:ascii="Arial" w:eastAsia="Arial Unicode MS" w:hAnsi="Arial" w:cs="Arial"/>
      <w:sz w:val="14"/>
      <w:szCs w:val="14"/>
    </w:rPr>
  </w:style>
  <w:style w:type="paragraph" w:customStyle="1" w:styleId="xl41">
    <w:name w:val="xl41"/>
    <w:basedOn w:val="Normal"/>
    <w:uiPriority w:val="99"/>
    <w:rsid w:val="00C2569A"/>
    <w:pPr>
      <w:spacing w:before="100" w:beforeAutospacing="1" w:after="100" w:afterAutospacing="1"/>
      <w:textAlignment w:val="center"/>
    </w:pPr>
    <w:rPr>
      <w:rFonts w:ascii="Arial" w:eastAsia="Arial Unicode MS" w:hAnsi="Arial" w:cs="Arial"/>
      <w:sz w:val="14"/>
      <w:szCs w:val="14"/>
    </w:rPr>
  </w:style>
  <w:style w:type="paragraph" w:customStyle="1" w:styleId="xl42">
    <w:name w:val="xl42"/>
    <w:basedOn w:val="Normal"/>
    <w:uiPriority w:val="99"/>
    <w:rsid w:val="00C2569A"/>
    <w:pPr>
      <w:pBdr>
        <w:top w:val="single" w:sz="4" w:space="0" w:color="auto"/>
        <w:bottom w:val="single" w:sz="4" w:space="0" w:color="auto"/>
      </w:pBdr>
      <w:spacing w:before="100" w:beforeAutospacing="1" w:after="100" w:afterAutospacing="1"/>
      <w:textAlignment w:val="center"/>
    </w:pPr>
    <w:rPr>
      <w:rFonts w:ascii="Arial" w:eastAsia="Arial Unicode MS" w:hAnsi="Arial" w:cs="Arial"/>
      <w:b/>
      <w:bCs/>
      <w:sz w:val="14"/>
      <w:szCs w:val="14"/>
    </w:rPr>
  </w:style>
  <w:style w:type="paragraph" w:customStyle="1" w:styleId="xl43">
    <w:name w:val="xl43"/>
    <w:basedOn w:val="Normal"/>
    <w:uiPriority w:val="99"/>
    <w:rsid w:val="00C2569A"/>
    <w:pPr>
      <w:pBdr>
        <w:top w:val="single" w:sz="4" w:space="0" w:color="auto"/>
        <w:bottom w:val="single" w:sz="4" w:space="0" w:color="auto"/>
      </w:pBdr>
      <w:spacing w:before="100" w:beforeAutospacing="1" w:after="100" w:afterAutospacing="1"/>
      <w:textAlignment w:val="center"/>
    </w:pPr>
    <w:rPr>
      <w:rFonts w:ascii="Arial" w:eastAsia="Arial Unicode MS" w:hAnsi="Arial" w:cs="Arial"/>
      <w:b/>
      <w:bCs/>
      <w:sz w:val="14"/>
      <w:szCs w:val="14"/>
    </w:rPr>
  </w:style>
  <w:style w:type="paragraph" w:customStyle="1" w:styleId="xl44">
    <w:name w:val="xl44"/>
    <w:basedOn w:val="Normal"/>
    <w:uiPriority w:val="99"/>
    <w:rsid w:val="00C2569A"/>
    <w:pPr>
      <w:pBdr>
        <w:top w:val="single" w:sz="4" w:space="0" w:color="auto"/>
        <w:bottom w:val="single" w:sz="4" w:space="0" w:color="auto"/>
      </w:pBdr>
      <w:spacing w:before="100" w:beforeAutospacing="1" w:after="100" w:afterAutospacing="1"/>
      <w:jc w:val="center"/>
      <w:textAlignment w:val="center"/>
    </w:pPr>
    <w:rPr>
      <w:rFonts w:ascii="Arial" w:eastAsia="Arial Unicode MS" w:hAnsi="Arial" w:cs="Arial"/>
      <w:b/>
      <w:bCs/>
      <w:sz w:val="14"/>
      <w:szCs w:val="14"/>
    </w:rPr>
  </w:style>
  <w:style w:type="paragraph" w:customStyle="1" w:styleId="xl27">
    <w:name w:val="xl27"/>
    <w:basedOn w:val="Normal"/>
    <w:uiPriority w:val="99"/>
    <w:rsid w:val="00C2569A"/>
    <w:pPr>
      <w:spacing w:before="100" w:beforeAutospacing="1" w:after="100" w:afterAutospacing="1"/>
      <w:textAlignment w:val="center"/>
    </w:pPr>
    <w:rPr>
      <w:rFonts w:ascii="Arial" w:eastAsia="Arial Unicode MS" w:hAnsi="Arial" w:cs="Arial"/>
      <w:sz w:val="14"/>
      <w:szCs w:val="14"/>
    </w:rPr>
  </w:style>
  <w:style w:type="paragraph" w:customStyle="1" w:styleId="xl28">
    <w:name w:val="xl28"/>
    <w:basedOn w:val="Normal"/>
    <w:uiPriority w:val="99"/>
    <w:rsid w:val="00C2569A"/>
    <w:pPr>
      <w:spacing w:before="100" w:beforeAutospacing="1" w:after="100" w:afterAutospacing="1"/>
      <w:textAlignment w:val="center"/>
    </w:pPr>
    <w:rPr>
      <w:rFonts w:ascii="Arial" w:eastAsia="Arial Unicode MS" w:hAnsi="Arial" w:cs="Arial"/>
      <w:sz w:val="14"/>
      <w:szCs w:val="14"/>
    </w:rPr>
  </w:style>
  <w:style w:type="paragraph" w:styleId="Rodap">
    <w:name w:val="footer"/>
    <w:basedOn w:val="Normal"/>
    <w:link w:val="RodapChar"/>
    <w:uiPriority w:val="99"/>
    <w:rsid w:val="00C2569A"/>
    <w:pPr>
      <w:tabs>
        <w:tab w:val="center" w:pos="4419"/>
        <w:tab w:val="right" w:pos="8838"/>
      </w:tabs>
    </w:pPr>
  </w:style>
  <w:style w:type="character" w:customStyle="1" w:styleId="RodapChar">
    <w:name w:val="Rodapé Char"/>
    <w:basedOn w:val="Fontepargpadro"/>
    <w:link w:val="Rodap"/>
    <w:uiPriority w:val="99"/>
    <w:semiHidden/>
    <w:locked/>
    <w:rsid w:val="001214F0"/>
    <w:rPr>
      <w:rFonts w:cs="Times New Roman"/>
      <w:sz w:val="24"/>
      <w:szCs w:val="24"/>
    </w:rPr>
  </w:style>
  <w:style w:type="character" w:styleId="Nmerodepgina">
    <w:name w:val="page number"/>
    <w:basedOn w:val="Fontepargpadro"/>
    <w:uiPriority w:val="99"/>
    <w:rsid w:val="00C2569A"/>
    <w:rPr>
      <w:rFonts w:cs="Times New Roman"/>
    </w:rPr>
  </w:style>
  <w:style w:type="paragraph" w:styleId="Corpodetexto">
    <w:name w:val="Body Text"/>
    <w:basedOn w:val="Normal"/>
    <w:link w:val="CorpodetextoChar"/>
    <w:uiPriority w:val="99"/>
    <w:rsid w:val="00C2569A"/>
    <w:pPr>
      <w:jc w:val="both"/>
    </w:pPr>
    <w:rPr>
      <w:szCs w:val="20"/>
    </w:rPr>
  </w:style>
  <w:style w:type="character" w:customStyle="1" w:styleId="CorpodetextoChar">
    <w:name w:val="Corpo de texto Char"/>
    <w:basedOn w:val="Fontepargpadro"/>
    <w:link w:val="Corpodetexto"/>
    <w:uiPriority w:val="99"/>
    <w:semiHidden/>
    <w:locked/>
    <w:rsid w:val="001214F0"/>
    <w:rPr>
      <w:rFonts w:cs="Times New Roman"/>
      <w:sz w:val="24"/>
      <w:szCs w:val="24"/>
    </w:rPr>
  </w:style>
  <w:style w:type="paragraph" w:styleId="Textodenotaderodap">
    <w:name w:val="footnote text"/>
    <w:basedOn w:val="Normal"/>
    <w:link w:val="TextodenotaderodapChar"/>
    <w:uiPriority w:val="99"/>
    <w:semiHidden/>
    <w:rsid w:val="00C2569A"/>
    <w:rPr>
      <w:sz w:val="20"/>
      <w:szCs w:val="20"/>
    </w:rPr>
  </w:style>
  <w:style w:type="character" w:customStyle="1" w:styleId="TextodenotaderodapChar">
    <w:name w:val="Texto de nota de rodapé Char"/>
    <w:basedOn w:val="Fontepargpadro"/>
    <w:link w:val="Textodenotaderodap"/>
    <w:uiPriority w:val="99"/>
    <w:semiHidden/>
    <w:locked/>
    <w:rsid w:val="001214F0"/>
    <w:rPr>
      <w:rFonts w:cs="Times New Roman"/>
      <w:sz w:val="20"/>
      <w:szCs w:val="20"/>
    </w:rPr>
  </w:style>
  <w:style w:type="paragraph" w:customStyle="1" w:styleId="xl24">
    <w:name w:val="xl24"/>
    <w:basedOn w:val="Normal"/>
    <w:uiPriority w:val="99"/>
    <w:rsid w:val="00C2569A"/>
    <w:pPr>
      <w:pBdr>
        <w:top w:val="single" w:sz="4" w:space="0" w:color="auto"/>
        <w:right w:val="single" w:sz="4" w:space="0" w:color="auto"/>
      </w:pBdr>
      <w:spacing w:before="100" w:beforeAutospacing="1" w:after="100" w:afterAutospacing="1"/>
      <w:jc w:val="center"/>
      <w:textAlignment w:val="center"/>
    </w:pPr>
    <w:rPr>
      <w:rFonts w:ascii="Arial" w:eastAsia="Arial Unicode MS" w:hAnsi="Arial" w:cs="Arial"/>
      <w:b/>
      <w:bCs/>
      <w:i/>
      <w:iCs/>
      <w:color w:val="000000"/>
      <w:sz w:val="14"/>
      <w:szCs w:val="14"/>
    </w:rPr>
  </w:style>
  <w:style w:type="paragraph" w:customStyle="1" w:styleId="xl25">
    <w:name w:val="xl25"/>
    <w:basedOn w:val="Normal"/>
    <w:uiPriority w:val="99"/>
    <w:rsid w:val="00C2569A"/>
    <w:pPr>
      <w:pBdr>
        <w:top w:val="single" w:sz="4" w:space="0" w:color="auto"/>
        <w:bottom w:val="single" w:sz="4" w:space="0" w:color="auto"/>
      </w:pBdr>
      <w:spacing w:before="100" w:beforeAutospacing="1" w:after="100" w:afterAutospacing="1"/>
      <w:jc w:val="center"/>
    </w:pPr>
    <w:rPr>
      <w:rFonts w:ascii="Arial" w:eastAsia="Arial Unicode MS" w:hAnsi="Arial" w:cs="Arial"/>
      <w:b/>
      <w:bCs/>
      <w:i/>
      <w:iCs/>
      <w:color w:val="000000"/>
      <w:sz w:val="18"/>
      <w:szCs w:val="18"/>
    </w:rPr>
  </w:style>
  <w:style w:type="paragraph" w:customStyle="1" w:styleId="xl26">
    <w:name w:val="xl26"/>
    <w:basedOn w:val="Normal"/>
    <w:uiPriority w:val="99"/>
    <w:rsid w:val="00C2569A"/>
    <w:pPr>
      <w:pBdr>
        <w:top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b/>
      <w:bCs/>
      <w:i/>
      <w:iCs/>
      <w:color w:val="000000"/>
      <w:sz w:val="18"/>
      <w:szCs w:val="18"/>
    </w:rPr>
  </w:style>
  <w:style w:type="paragraph" w:customStyle="1" w:styleId="xl45">
    <w:name w:val="xl45"/>
    <w:basedOn w:val="Normal"/>
    <w:uiPriority w:val="99"/>
    <w:rsid w:val="00C2569A"/>
    <w:pPr>
      <w:pBdr>
        <w:bottom w:val="single" w:sz="4" w:space="0" w:color="auto"/>
      </w:pBdr>
      <w:spacing w:before="100" w:beforeAutospacing="1" w:after="100" w:afterAutospacing="1"/>
    </w:pPr>
    <w:rPr>
      <w:rFonts w:ascii="Arial" w:eastAsia="Arial Unicode MS" w:hAnsi="Arial" w:cs="Arial"/>
      <w:color w:val="000000"/>
      <w:sz w:val="16"/>
      <w:szCs w:val="16"/>
    </w:rPr>
  </w:style>
  <w:style w:type="paragraph" w:customStyle="1" w:styleId="xl46">
    <w:name w:val="xl46"/>
    <w:basedOn w:val="Normal"/>
    <w:uiPriority w:val="99"/>
    <w:rsid w:val="00C2569A"/>
    <w:pPr>
      <w:pBdr>
        <w:bottom w:val="single" w:sz="4" w:space="0" w:color="auto"/>
      </w:pBdr>
      <w:spacing w:before="100" w:beforeAutospacing="1" w:after="100" w:afterAutospacing="1"/>
      <w:jc w:val="right"/>
    </w:pPr>
    <w:rPr>
      <w:rFonts w:ascii="Arial" w:eastAsia="Arial Unicode MS" w:hAnsi="Arial" w:cs="Arial"/>
      <w:sz w:val="16"/>
      <w:szCs w:val="16"/>
    </w:rPr>
  </w:style>
  <w:style w:type="paragraph" w:customStyle="1" w:styleId="xl47">
    <w:name w:val="xl47"/>
    <w:basedOn w:val="Normal"/>
    <w:uiPriority w:val="99"/>
    <w:rsid w:val="00C2569A"/>
    <w:pPr>
      <w:pBdr>
        <w:bottom w:val="single" w:sz="4" w:space="0" w:color="auto"/>
      </w:pBdr>
      <w:spacing w:before="100" w:beforeAutospacing="1" w:after="100" w:afterAutospacing="1"/>
      <w:jc w:val="center"/>
    </w:pPr>
    <w:rPr>
      <w:rFonts w:ascii="Arial" w:eastAsia="Arial Unicode MS" w:hAnsi="Arial" w:cs="Arial"/>
      <w:sz w:val="16"/>
      <w:szCs w:val="16"/>
    </w:rPr>
  </w:style>
  <w:style w:type="paragraph" w:customStyle="1" w:styleId="xl48">
    <w:name w:val="xl48"/>
    <w:basedOn w:val="Normal"/>
    <w:uiPriority w:val="99"/>
    <w:rsid w:val="00C2569A"/>
    <w:pPr>
      <w:pBdr>
        <w:bottom w:val="single" w:sz="4" w:space="0" w:color="auto"/>
      </w:pBdr>
      <w:spacing w:before="100" w:beforeAutospacing="1" w:after="100" w:afterAutospacing="1"/>
      <w:jc w:val="center"/>
      <w:textAlignment w:val="center"/>
    </w:pPr>
    <w:rPr>
      <w:rFonts w:ascii="Arial" w:eastAsia="Arial Unicode MS" w:hAnsi="Arial" w:cs="Arial"/>
      <w:b/>
      <w:bCs/>
      <w:sz w:val="16"/>
      <w:szCs w:val="16"/>
    </w:rPr>
  </w:style>
  <w:style w:type="paragraph" w:customStyle="1" w:styleId="xl49">
    <w:name w:val="xl49"/>
    <w:basedOn w:val="Normal"/>
    <w:uiPriority w:val="99"/>
    <w:rsid w:val="00C2569A"/>
    <w:pPr>
      <w:pBdr>
        <w:bottom w:val="single" w:sz="4" w:space="0" w:color="auto"/>
      </w:pBdr>
      <w:spacing w:before="100" w:beforeAutospacing="1" w:after="100" w:afterAutospacing="1"/>
      <w:jc w:val="right"/>
      <w:textAlignment w:val="center"/>
    </w:pPr>
    <w:rPr>
      <w:rFonts w:ascii="Arial" w:eastAsia="Arial Unicode MS" w:hAnsi="Arial" w:cs="Arial"/>
      <w:sz w:val="16"/>
      <w:szCs w:val="16"/>
    </w:rPr>
  </w:style>
  <w:style w:type="paragraph" w:customStyle="1" w:styleId="xl50">
    <w:name w:val="xl50"/>
    <w:basedOn w:val="Normal"/>
    <w:uiPriority w:val="99"/>
    <w:rsid w:val="00C2569A"/>
    <w:pPr>
      <w:pBdr>
        <w:top w:val="single" w:sz="4" w:space="0" w:color="auto"/>
        <w:bottom w:val="single" w:sz="4" w:space="0" w:color="auto"/>
      </w:pBdr>
      <w:spacing w:before="100" w:beforeAutospacing="1" w:after="100" w:afterAutospacing="1"/>
      <w:jc w:val="center"/>
    </w:pPr>
    <w:rPr>
      <w:rFonts w:ascii="Arial" w:eastAsia="Arial Unicode MS" w:hAnsi="Arial" w:cs="Arial"/>
      <w:sz w:val="16"/>
      <w:szCs w:val="16"/>
    </w:rPr>
  </w:style>
  <w:style w:type="paragraph" w:customStyle="1" w:styleId="xl51">
    <w:name w:val="xl51"/>
    <w:basedOn w:val="Normal"/>
    <w:uiPriority w:val="99"/>
    <w:rsid w:val="00C2569A"/>
    <w:pPr>
      <w:pBdr>
        <w:top w:val="single" w:sz="4" w:space="0" w:color="auto"/>
        <w:bottom w:val="single" w:sz="4" w:space="0" w:color="auto"/>
      </w:pBdr>
      <w:spacing w:before="100" w:beforeAutospacing="1" w:after="100" w:afterAutospacing="1"/>
      <w:jc w:val="center"/>
      <w:textAlignment w:val="center"/>
    </w:pPr>
    <w:rPr>
      <w:rFonts w:ascii="Arial" w:eastAsia="Arial Unicode MS" w:hAnsi="Arial" w:cs="Arial"/>
      <w:sz w:val="16"/>
      <w:szCs w:val="16"/>
    </w:rPr>
  </w:style>
  <w:style w:type="paragraph" w:customStyle="1" w:styleId="xl52">
    <w:name w:val="xl52"/>
    <w:basedOn w:val="Normal"/>
    <w:uiPriority w:val="99"/>
    <w:rsid w:val="00C2569A"/>
    <w:pPr>
      <w:pBdr>
        <w:top w:val="single" w:sz="4" w:space="0" w:color="auto"/>
        <w:bottom w:val="single" w:sz="4" w:space="0" w:color="auto"/>
      </w:pBdr>
      <w:spacing w:before="100" w:beforeAutospacing="1" w:after="100" w:afterAutospacing="1"/>
      <w:jc w:val="right"/>
      <w:textAlignment w:val="center"/>
    </w:pPr>
    <w:rPr>
      <w:rFonts w:ascii="Arial" w:eastAsia="Arial Unicode MS" w:hAnsi="Arial" w:cs="Arial"/>
      <w:sz w:val="16"/>
      <w:szCs w:val="16"/>
    </w:rPr>
  </w:style>
  <w:style w:type="paragraph" w:customStyle="1" w:styleId="xl53">
    <w:name w:val="xl53"/>
    <w:basedOn w:val="Normal"/>
    <w:uiPriority w:val="99"/>
    <w:rsid w:val="00C2569A"/>
    <w:pPr>
      <w:pBdr>
        <w:top w:val="single" w:sz="4" w:space="0" w:color="auto"/>
        <w:bottom w:val="single" w:sz="4" w:space="0" w:color="auto"/>
      </w:pBdr>
      <w:spacing w:before="100" w:beforeAutospacing="1" w:after="100" w:afterAutospacing="1"/>
      <w:jc w:val="center"/>
    </w:pPr>
    <w:rPr>
      <w:rFonts w:ascii="Arial" w:eastAsia="Arial Unicode MS" w:hAnsi="Arial" w:cs="Arial"/>
      <w:sz w:val="16"/>
      <w:szCs w:val="16"/>
    </w:rPr>
  </w:style>
  <w:style w:type="paragraph" w:customStyle="1" w:styleId="xl54">
    <w:name w:val="xl54"/>
    <w:basedOn w:val="Normal"/>
    <w:uiPriority w:val="99"/>
    <w:rsid w:val="00C2569A"/>
    <w:pPr>
      <w:spacing w:before="100" w:beforeAutospacing="1" w:after="100" w:afterAutospacing="1"/>
      <w:jc w:val="center"/>
    </w:pPr>
    <w:rPr>
      <w:rFonts w:ascii="Arial" w:eastAsia="Arial Unicode MS" w:hAnsi="Arial" w:cs="Arial"/>
      <w:sz w:val="16"/>
      <w:szCs w:val="16"/>
    </w:rPr>
  </w:style>
  <w:style w:type="paragraph" w:customStyle="1" w:styleId="xl55">
    <w:name w:val="xl55"/>
    <w:basedOn w:val="Normal"/>
    <w:uiPriority w:val="99"/>
    <w:rsid w:val="00C2569A"/>
    <w:pPr>
      <w:spacing w:before="100" w:beforeAutospacing="1" w:after="100" w:afterAutospacing="1"/>
    </w:pPr>
    <w:rPr>
      <w:rFonts w:eastAsia="Arial Unicode MS"/>
    </w:rPr>
  </w:style>
  <w:style w:type="paragraph" w:styleId="Textodebalo">
    <w:name w:val="Balloon Text"/>
    <w:basedOn w:val="Normal"/>
    <w:link w:val="TextodebaloChar"/>
    <w:uiPriority w:val="99"/>
    <w:semiHidden/>
    <w:rsid w:val="00C2569A"/>
    <w:rPr>
      <w:rFonts w:ascii="Tahoma" w:hAnsi="Tahoma" w:cs="Tahoma"/>
      <w:sz w:val="16"/>
      <w:szCs w:val="16"/>
    </w:rPr>
  </w:style>
  <w:style w:type="character" w:customStyle="1" w:styleId="TextodebaloChar">
    <w:name w:val="Texto de balão Char"/>
    <w:basedOn w:val="Fontepargpadro"/>
    <w:link w:val="Textodebalo"/>
    <w:uiPriority w:val="99"/>
    <w:semiHidden/>
    <w:locked/>
    <w:rsid w:val="001214F0"/>
    <w:rPr>
      <w:rFonts w:cs="Times New Roman"/>
      <w:sz w:val="2"/>
    </w:rPr>
  </w:style>
  <w:style w:type="character" w:styleId="Hyperlink">
    <w:name w:val="Hyperlink"/>
    <w:basedOn w:val="Fontepargpadro"/>
    <w:uiPriority w:val="99"/>
    <w:rsid w:val="00C2569A"/>
    <w:rPr>
      <w:rFonts w:cs="Times New Roman"/>
      <w:color w:val="0000FF"/>
      <w:u w:val="single"/>
    </w:rPr>
  </w:style>
  <w:style w:type="character" w:styleId="HiperlinkVisitado">
    <w:name w:val="FollowedHyperlink"/>
    <w:basedOn w:val="Fontepargpadro"/>
    <w:uiPriority w:val="99"/>
    <w:rsid w:val="00C2569A"/>
    <w:rPr>
      <w:rFonts w:cs="Times New Roman"/>
      <w:color w:val="606420"/>
      <w:u w:val="single"/>
    </w:rPr>
  </w:style>
  <w:style w:type="character" w:styleId="Refdenotaderodap">
    <w:name w:val="footnote reference"/>
    <w:basedOn w:val="Fontepargpadro"/>
    <w:uiPriority w:val="99"/>
    <w:semiHidden/>
    <w:unhideWhenUsed/>
    <w:rsid w:val="003B632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5261365">
      <w:bodyDiv w:val="1"/>
      <w:marLeft w:val="0"/>
      <w:marRight w:val="0"/>
      <w:marTop w:val="0"/>
      <w:marBottom w:val="0"/>
      <w:divBdr>
        <w:top w:val="none" w:sz="0" w:space="0" w:color="auto"/>
        <w:left w:val="none" w:sz="0" w:space="0" w:color="auto"/>
        <w:bottom w:val="none" w:sz="0" w:space="0" w:color="auto"/>
        <w:right w:val="none" w:sz="0" w:space="0" w:color="auto"/>
      </w:divBdr>
    </w:div>
    <w:div w:id="303974828">
      <w:bodyDiv w:val="1"/>
      <w:marLeft w:val="0"/>
      <w:marRight w:val="0"/>
      <w:marTop w:val="0"/>
      <w:marBottom w:val="0"/>
      <w:divBdr>
        <w:top w:val="none" w:sz="0" w:space="0" w:color="auto"/>
        <w:left w:val="none" w:sz="0" w:space="0" w:color="auto"/>
        <w:bottom w:val="none" w:sz="0" w:space="0" w:color="auto"/>
        <w:right w:val="none" w:sz="0" w:space="0" w:color="auto"/>
      </w:divBdr>
    </w:div>
    <w:div w:id="531378346">
      <w:bodyDiv w:val="1"/>
      <w:marLeft w:val="0"/>
      <w:marRight w:val="0"/>
      <w:marTop w:val="0"/>
      <w:marBottom w:val="0"/>
      <w:divBdr>
        <w:top w:val="none" w:sz="0" w:space="0" w:color="auto"/>
        <w:left w:val="none" w:sz="0" w:space="0" w:color="auto"/>
        <w:bottom w:val="none" w:sz="0" w:space="0" w:color="auto"/>
        <w:right w:val="none" w:sz="0" w:space="0" w:color="auto"/>
      </w:divBdr>
    </w:div>
    <w:div w:id="901676486">
      <w:marLeft w:val="0"/>
      <w:marRight w:val="0"/>
      <w:marTop w:val="0"/>
      <w:marBottom w:val="0"/>
      <w:divBdr>
        <w:top w:val="none" w:sz="0" w:space="0" w:color="auto"/>
        <w:left w:val="none" w:sz="0" w:space="0" w:color="auto"/>
        <w:bottom w:val="none" w:sz="0" w:space="0" w:color="auto"/>
        <w:right w:val="none" w:sz="0" w:space="0" w:color="auto"/>
      </w:divBdr>
    </w:div>
    <w:div w:id="901676487">
      <w:marLeft w:val="0"/>
      <w:marRight w:val="0"/>
      <w:marTop w:val="0"/>
      <w:marBottom w:val="0"/>
      <w:divBdr>
        <w:top w:val="none" w:sz="0" w:space="0" w:color="auto"/>
        <w:left w:val="none" w:sz="0" w:space="0" w:color="auto"/>
        <w:bottom w:val="none" w:sz="0" w:space="0" w:color="auto"/>
        <w:right w:val="none" w:sz="0" w:space="0" w:color="auto"/>
      </w:divBdr>
    </w:div>
    <w:div w:id="901676488">
      <w:marLeft w:val="0"/>
      <w:marRight w:val="0"/>
      <w:marTop w:val="0"/>
      <w:marBottom w:val="0"/>
      <w:divBdr>
        <w:top w:val="none" w:sz="0" w:space="0" w:color="auto"/>
        <w:left w:val="none" w:sz="0" w:space="0" w:color="auto"/>
        <w:bottom w:val="none" w:sz="0" w:space="0" w:color="auto"/>
        <w:right w:val="none" w:sz="0" w:space="0" w:color="auto"/>
      </w:divBdr>
    </w:div>
    <w:div w:id="901676489">
      <w:marLeft w:val="0"/>
      <w:marRight w:val="0"/>
      <w:marTop w:val="0"/>
      <w:marBottom w:val="0"/>
      <w:divBdr>
        <w:top w:val="none" w:sz="0" w:space="0" w:color="auto"/>
        <w:left w:val="none" w:sz="0" w:space="0" w:color="auto"/>
        <w:bottom w:val="none" w:sz="0" w:space="0" w:color="auto"/>
        <w:right w:val="none" w:sz="0" w:space="0" w:color="auto"/>
      </w:divBdr>
    </w:div>
    <w:div w:id="901676490">
      <w:marLeft w:val="0"/>
      <w:marRight w:val="0"/>
      <w:marTop w:val="0"/>
      <w:marBottom w:val="0"/>
      <w:divBdr>
        <w:top w:val="none" w:sz="0" w:space="0" w:color="auto"/>
        <w:left w:val="none" w:sz="0" w:space="0" w:color="auto"/>
        <w:bottom w:val="none" w:sz="0" w:space="0" w:color="auto"/>
        <w:right w:val="none" w:sz="0" w:space="0" w:color="auto"/>
      </w:divBdr>
    </w:div>
    <w:div w:id="901676491">
      <w:marLeft w:val="0"/>
      <w:marRight w:val="0"/>
      <w:marTop w:val="0"/>
      <w:marBottom w:val="0"/>
      <w:divBdr>
        <w:top w:val="none" w:sz="0" w:space="0" w:color="auto"/>
        <w:left w:val="none" w:sz="0" w:space="0" w:color="auto"/>
        <w:bottom w:val="none" w:sz="0" w:space="0" w:color="auto"/>
        <w:right w:val="none" w:sz="0" w:space="0" w:color="auto"/>
      </w:divBdr>
    </w:div>
    <w:div w:id="901676492">
      <w:marLeft w:val="0"/>
      <w:marRight w:val="0"/>
      <w:marTop w:val="0"/>
      <w:marBottom w:val="0"/>
      <w:divBdr>
        <w:top w:val="none" w:sz="0" w:space="0" w:color="auto"/>
        <w:left w:val="none" w:sz="0" w:space="0" w:color="auto"/>
        <w:bottom w:val="none" w:sz="0" w:space="0" w:color="auto"/>
        <w:right w:val="none" w:sz="0" w:space="0" w:color="auto"/>
      </w:divBdr>
    </w:div>
    <w:div w:id="901676493">
      <w:marLeft w:val="0"/>
      <w:marRight w:val="0"/>
      <w:marTop w:val="0"/>
      <w:marBottom w:val="0"/>
      <w:divBdr>
        <w:top w:val="none" w:sz="0" w:space="0" w:color="auto"/>
        <w:left w:val="none" w:sz="0" w:space="0" w:color="auto"/>
        <w:bottom w:val="none" w:sz="0" w:space="0" w:color="auto"/>
        <w:right w:val="none" w:sz="0" w:space="0" w:color="auto"/>
      </w:divBdr>
    </w:div>
    <w:div w:id="901676494">
      <w:marLeft w:val="0"/>
      <w:marRight w:val="0"/>
      <w:marTop w:val="0"/>
      <w:marBottom w:val="0"/>
      <w:divBdr>
        <w:top w:val="none" w:sz="0" w:space="0" w:color="auto"/>
        <w:left w:val="none" w:sz="0" w:space="0" w:color="auto"/>
        <w:bottom w:val="none" w:sz="0" w:space="0" w:color="auto"/>
        <w:right w:val="none" w:sz="0" w:space="0" w:color="auto"/>
      </w:divBdr>
    </w:div>
    <w:div w:id="901676495">
      <w:marLeft w:val="0"/>
      <w:marRight w:val="0"/>
      <w:marTop w:val="0"/>
      <w:marBottom w:val="0"/>
      <w:divBdr>
        <w:top w:val="none" w:sz="0" w:space="0" w:color="auto"/>
        <w:left w:val="none" w:sz="0" w:space="0" w:color="auto"/>
        <w:bottom w:val="none" w:sz="0" w:space="0" w:color="auto"/>
        <w:right w:val="none" w:sz="0" w:space="0" w:color="auto"/>
      </w:divBdr>
    </w:div>
    <w:div w:id="901676496">
      <w:marLeft w:val="0"/>
      <w:marRight w:val="0"/>
      <w:marTop w:val="0"/>
      <w:marBottom w:val="0"/>
      <w:divBdr>
        <w:top w:val="none" w:sz="0" w:space="0" w:color="auto"/>
        <w:left w:val="none" w:sz="0" w:space="0" w:color="auto"/>
        <w:bottom w:val="none" w:sz="0" w:space="0" w:color="auto"/>
        <w:right w:val="none" w:sz="0" w:space="0" w:color="auto"/>
      </w:divBdr>
    </w:div>
    <w:div w:id="901676497">
      <w:marLeft w:val="0"/>
      <w:marRight w:val="0"/>
      <w:marTop w:val="0"/>
      <w:marBottom w:val="0"/>
      <w:divBdr>
        <w:top w:val="none" w:sz="0" w:space="0" w:color="auto"/>
        <w:left w:val="none" w:sz="0" w:space="0" w:color="auto"/>
        <w:bottom w:val="none" w:sz="0" w:space="0" w:color="auto"/>
        <w:right w:val="none" w:sz="0" w:space="0" w:color="auto"/>
      </w:divBdr>
    </w:div>
    <w:div w:id="901676498">
      <w:marLeft w:val="0"/>
      <w:marRight w:val="0"/>
      <w:marTop w:val="0"/>
      <w:marBottom w:val="0"/>
      <w:divBdr>
        <w:top w:val="none" w:sz="0" w:space="0" w:color="auto"/>
        <w:left w:val="none" w:sz="0" w:space="0" w:color="auto"/>
        <w:bottom w:val="none" w:sz="0" w:space="0" w:color="auto"/>
        <w:right w:val="none" w:sz="0" w:space="0" w:color="auto"/>
      </w:divBdr>
    </w:div>
    <w:div w:id="901676499">
      <w:marLeft w:val="0"/>
      <w:marRight w:val="0"/>
      <w:marTop w:val="0"/>
      <w:marBottom w:val="0"/>
      <w:divBdr>
        <w:top w:val="none" w:sz="0" w:space="0" w:color="auto"/>
        <w:left w:val="none" w:sz="0" w:space="0" w:color="auto"/>
        <w:bottom w:val="none" w:sz="0" w:space="0" w:color="auto"/>
        <w:right w:val="none" w:sz="0" w:space="0" w:color="auto"/>
      </w:divBdr>
    </w:div>
    <w:div w:id="901676500">
      <w:marLeft w:val="0"/>
      <w:marRight w:val="0"/>
      <w:marTop w:val="0"/>
      <w:marBottom w:val="0"/>
      <w:divBdr>
        <w:top w:val="none" w:sz="0" w:space="0" w:color="auto"/>
        <w:left w:val="none" w:sz="0" w:space="0" w:color="auto"/>
        <w:bottom w:val="none" w:sz="0" w:space="0" w:color="auto"/>
        <w:right w:val="none" w:sz="0" w:space="0" w:color="auto"/>
      </w:divBdr>
    </w:div>
    <w:div w:id="901676501">
      <w:marLeft w:val="0"/>
      <w:marRight w:val="0"/>
      <w:marTop w:val="0"/>
      <w:marBottom w:val="0"/>
      <w:divBdr>
        <w:top w:val="none" w:sz="0" w:space="0" w:color="auto"/>
        <w:left w:val="none" w:sz="0" w:space="0" w:color="auto"/>
        <w:bottom w:val="none" w:sz="0" w:space="0" w:color="auto"/>
        <w:right w:val="none" w:sz="0" w:space="0" w:color="auto"/>
      </w:divBdr>
    </w:div>
    <w:div w:id="901676502">
      <w:marLeft w:val="0"/>
      <w:marRight w:val="0"/>
      <w:marTop w:val="0"/>
      <w:marBottom w:val="0"/>
      <w:divBdr>
        <w:top w:val="none" w:sz="0" w:space="0" w:color="auto"/>
        <w:left w:val="none" w:sz="0" w:space="0" w:color="auto"/>
        <w:bottom w:val="none" w:sz="0" w:space="0" w:color="auto"/>
        <w:right w:val="none" w:sz="0" w:space="0" w:color="auto"/>
      </w:divBdr>
    </w:div>
    <w:div w:id="901676503">
      <w:marLeft w:val="0"/>
      <w:marRight w:val="0"/>
      <w:marTop w:val="0"/>
      <w:marBottom w:val="0"/>
      <w:divBdr>
        <w:top w:val="none" w:sz="0" w:space="0" w:color="auto"/>
        <w:left w:val="none" w:sz="0" w:space="0" w:color="auto"/>
        <w:bottom w:val="none" w:sz="0" w:space="0" w:color="auto"/>
        <w:right w:val="none" w:sz="0" w:space="0" w:color="auto"/>
      </w:divBdr>
    </w:div>
    <w:div w:id="901676504">
      <w:marLeft w:val="0"/>
      <w:marRight w:val="0"/>
      <w:marTop w:val="0"/>
      <w:marBottom w:val="0"/>
      <w:divBdr>
        <w:top w:val="none" w:sz="0" w:space="0" w:color="auto"/>
        <w:left w:val="none" w:sz="0" w:space="0" w:color="auto"/>
        <w:bottom w:val="none" w:sz="0" w:space="0" w:color="auto"/>
        <w:right w:val="none" w:sz="0" w:space="0" w:color="auto"/>
      </w:divBdr>
    </w:div>
    <w:div w:id="901676505">
      <w:marLeft w:val="0"/>
      <w:marRight w:val="0"/>
      <w:marTop w:val="0"/>
      <w:marBottom w:val="0"/>
      <w:divBdr>
        <w:top w:val="none" w:sz="0" w:space="0" w:color="auto"/>
        <w:left w:val="none" w:sz="0" w:space="0" w:color="auto"/>
        <w:bottom w:val="none" w:sz="0" w:space="0" w:color="auto"/>
        <w:right w:val="none" w:sz="0" w:space="0" w:color="auto"/>
      </w:divBdr>
    </w:div>
    <w:div w:id="901676506">
      <w:marLeft w:val="0"/>
      <w:marRight w:val="0"/>
      <w:marTop w:val="0"/>
      <w:marBottom w:val="0"/>
      <w:divBdr>
        <w:top w:val="none" w:sz="0" w:space="0" w:color="auto"/>
        <w:left w:val="none" w:sz="0" w:space="0" w:color="auto"/>
        <w:bottom w:val="none" w:sz="0" w:space="0" w:color="auto"/>
        <w:right w:val="none" w:sz="0" w:space="0" w:color="auto"/>
      </w:divBdr>
    </w:div>
    <w:div w:id="901676507">
      <w:marLeft w:val="0"/>
      <w:marRight w:val="0"/>
      <w:marTop w:val="0"/>
      <w:marBottom w:val="0"/>
      <w:divBdr>
        <w:top w:val="none" w:sz="0" w:space="0" w:color="auto"/>
        <w:left w:val="none" w:sz="0" w:space="0" w:color="auto"/>
        <w:bottom w:val="none" w:sz="0" w:space="0" w:color="auto"/>
        <w:right w:val="none" w:sz="0" w:space="0" w:color="auto"/>
      </w:divBdr>
    </w:div>
    <w:div w:id="901676508">
      <w:marLeft w:val="0"/>
      <w:marRight w:val="0"/>
      <w:marTop w:val="0"/>
      <w:marBottom w:val="0"/>
      <w:divBdr>
        <w:top w:val="none" w:sz="0" w:space="0" w:color="auto"/>
        <w:left w:val="none" w:sz="0" w:space="0" w:color="auto"/>
        <w:bottom w:val="none" w:sz="0" w:space="0" w:color="auto"/>
        <w:right w:val="none" w:sz="0" w:space="0" w:color="auto"/>
      </w:divBdr>
    </w:div>
    <w:div w:id="901676509">
      <w:marLeft w:val="0"/>
      <w:marRight w:val="0"/>
      <w:marTop w:val="0"/>
      <w:marBottom w:val="0"/>
      <w:divBdr>
        <w:top w:val="none" w:sz="0" w:space="0" w:color="auto"/>
        <w:left w:val="none" w:sz="0" w:space="0" w:color="auto"/>
        <w:bottom w:val="none" w:sz="0" w:space="0" w:color="auto"/>
        <w:right w:val="none" w:sz="0" w:space="0" w:color="auto"/>
      </w:divBdr>
    </w:div>
    <w:div w:id="901676510">
      <w:marLeft w:val="0"/>
      <w:marRight w:val="0"/>
      <w:marTop w:val="0"/>
      <w:marBottom w:val="0"/>
      <w:divBdr>
        <w:top w:val="none" w:sz="0" w:space="0" w:color="auto"/>
        <w:left w:val="none" w:sz="0" w:space="0" w:color="auto"/>
        <w:bottom w:val="none" w:sz="0" w:space="0" w:color="auto"/>
        <w:right w:val="none" w:sz="0" w:space="0" w:color="auto"/>
      </w:divBdr>
    </w:div>
    <w:div w:id="901676511">
      <w:marLeft w:val="0"/>
      <w:marRight w:val="0"/>
      <w:marTop w:val="0"/>
      <w:marBottom w:val="0"/>
      <w:divBdr>
        <w:top w:val="none" w:sz="0" w:space="0" w:color="auto"/>
        <w:left w:val="none" w:sz="0" w:space="0" w:color="auto"/>
        <w:bottom w:val="none" w:sz="0" w:space="0" w:color="auto"/>
        <w:right w:val="none" w:sz="0" w:space="0" w:color="auto"/>
      </w:divBdr>
    </w:div>
    <w:div w:id="901676512">
      <w:marLeft w:val="0"/>
      <w:marRight w:val="0"/>
      <w:marTop w:val="0"/>
      <w:marBottom w:val="0"/>
      <w:divBdr>
        <w:top w:val="none" w:sz="0" w:space="0" w:color="auto"/>
        <w:left w:val="none" w:sz="0" w:space="0" w:color="auto"/>
        <w:bottom w:val="none" w:sz="0" w:space="0" w:color="auto"/>
        <w:right w:val="none" w:sz="0" w:space="0" w:color="auto"/>
      </w:divBdr>
    </w:div>
    <w:div w:id="901676513">
      <w:marLeft w:val="0"/>
      <w:marRight w:val="0"/>
      <w:marTop w:val="0"/>
      <w:marBottom w:val="0"/>
      <w:divBdr>
        <w:top w:val="none" w:sz="0" w:space="0" w:color="auto"/>
        <w:left w:val="none" w:sz="0" w:space="0" w:color="auto"/>
        <w:bottom w:val="none" w:sz="0" w:space="0" w:color="auto"/>
        <w:right w:val="none" w:sz="0" w:space="0" w:color="auto"/>
      </w:divBdr>
    </w:div>
    <w:div w:id="901676514">
      <w:marLeft w:val="0"/>
      <w:marRight w:val="0"/>
      <w:marTop w:val="0"/>
      <w:marBottom w:val="0"/>
      <w:divBdr>
        <w:top w:val="none" w:sz="0" w:space="0" w:color="auto"/>
        <w:left w:val="none" w:sz="0" w:space="0" w:color="auto"/>
        <w:bottom w:val="none" w:sz="0" w:space="0" w:color="auto"/>
        <w:right w:val="none" w:sz="0" w:space="0" w:color="auto"/>
      </w:divBdr>
    </w:div>
    <w:div w:id="901676515">
      <w:marLeft w:val="0"/>
      <w:marRight w:val="0"/>
      <w:marTop w:val="0"/>
      <w:marBottom w:val="0"/>
      <w:divBdr>
        <w:top w:val="none" w:sz="0" w:space="0" w:color="auto"/>
        <w:left w:val="none" w:sz="0" w:space="0" w:color="auto"/>
        <w:bottom w:val="none" w:sz="0" w:space="0" w:color="auto"/>
        <w:right w:val="none" w:sz="0" w:space="0" w:color="auto"/>
      </w:divBdr>
    </w:div>
    <w:div w:id="901676516">
      <w:marLeft w:val="0"/>
      <w:marRight w:val="0"/>
      <w:marTop w:val="0"/>
      <w:marBottom w:val="0"/>
      <w:divBdr>
        <w:top w:val="none" w:sz="0" w:space="0" w:color="auto"/>
        <w:left w:val="none" w:sz="0" w:space="0" w:color="auto"/>
        <w:bottom w:val="none" w:sz="0" w:space="0" w:color="auto"/>
        <w:right w:val="none" w:sz="0" w:space="0" w:color="auto"/>
      </w:divBdr>
    </w:div>
    <w:div w:id="901676517">
      <w:marLeft w:val="0"/>
      <w:marRight w:val="0"/>
      <w:marTop w:val="0"/>
      <w:marBottom w:val="0"/>
      <w:divBdr>
        <w:top w:val="none" w:sz="0" w:space="0" w:color="auto"/>
        <w:left w:val="none" w:sz="0" w:space="0" w:color="auto"/>
        <w:bottom w:val="none" w:sz="0" w:space="0" w:color="auto"/>
        <w:right w:val="none" w:sz="0" w:space="0" w:color="auto"/>
      </w:divBdr>
    </w:div>
    <w:div w:id="19452638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http://www.agrostat.agricultura.gov.br"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2227BAC-93FC-4B54-9C70-FE9335A986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184</TotalTime>
  <Pages>8</Pages>
  <Words>3453</Words>
  <Characters>18545</Characters>
  <Application>Microsoft Office Word</Application>
  <DocSecurity>0</DocSecurity>
  <Lines>154</Lines>
  <Paragraphs>43</Paragraphs>
  <ScaleCrop>false</ScaleCrop>
  <HeadingPairs>
    <vt:vector size="2" baseType="variant">
      <vt:variant>
        <vt:lpstr>Título</vt:lpstr>
      </vt:variant>
      <vt:variant>
        <vt:i4>1</vt:i4>
      </vt:variant>
    </vt:vector>
  </HeadingPairs>
  <TitlesOfParts>
    <vt:vector size="1" baseType="lpstr">
      <vt:lpstr>Resultados do mês</vt:lpstr>
    </vt:vector>
  </TitlesOfParts>
  <Company>.</Company>
  <LinksUpToDate>false</LinksUpToDate>
  <CharactersWithSpaces>21955</CharactersWithSpaces>
  <SharedDoc>false</SharedDoc>
  <HLinks>
    <vt:vector size="6" baseType="variant">
      <vt:variant>
        <vt:i4>6553635</vt:i4>
      </vt:variant>
      <vt:variant>
        <vt:i4>0</vt:i4>
      </vt:variant>
      <vt:variant>
        <vt:i4>0</vt:i4>
      </vt:variant>
      <vt:variant>
        <vt:i4>5</vt:i4>
      </vt:variant>
      <vt:variant>
        <vt:lpwstr>http://www.agrostat.agricultura.gov.br/</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Resultados do mês</dc:title>
  <dc:subject/>
  <dc:creator>.</dc:creator>
  <cp:keywords/>
  <cp:lastModifiedBy>Gastao Giometti</cp:lastModifiedBy>
  <cp:revision>7</cp:revision>
  <cp:lastPrinted>2015-01-09T11:18:00Z</cp:lastPrinted>
  <dcterms:created xsi:type="dcterms:W3CDTF">2019-02-11T12:43:00Z</dcterms:created>
  <dcterms:modified xsi:type="dcterms:W3CDTF">2019-02-11T15:51:00Z</dcterms:modified>
</cp:coreProperties>
</file>