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200B3" w14:textId="41C0E320" w:rsidR="00C21CE0" w:rsidRPr="009A094C" w:rsidRDefault="00C21CE0" w:rsidP="001E3E6F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MINISTÉRIO DA AGRICULTURA</w:t>
      </w:r>
      <w:r w:rsidR="00674876">
        <w:rPr>
          <w:b/>
          <w:bCs/>
        </w:rPr>
        <w:t xml:space="preserve"> E </w:t>
      </w:r>
      <w:r w:rsidRPr="009A094C">
        <w:rPr>
          <w:b/>
          <w:bCs/>
        </w:rPr>
        <w:t>PECUÁRIA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23E75AEE" w:rsidR="00692A0D" w:rsidRDefault="009A094C" w:rsidP="00EA2E8B">
      <w:pPr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1C2663">
        <w:rPr>
          <w:b/>
          <w:bCs/>
        </w:rPr>
        <w:t>SETEMBRO</w:t>
      </w:r>
      <w:r w:rsidRPr="00C21CE0">
        <w:rPr>
          <w:b/>
          <w:bCs/>
        </w:rPr>
        <w:t>/</w:t>
      </w:r>
      <w:r w:rsidR="00830FA5">
        <w:rPr>
          <w:b/>
          <w:bCs/>
        </w:rPr>
        <w:t>2024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461D5BD2" w14:textId="0D38BD8E" w:rsidR="00C21CE0" w:rsidRDefault="001C2663" w:rsidP="00BA3003">
      <w:pPr>
        <w:jc w:val="both"/>
      </w:pPr>
      <w:r w:rsidRPr="001C2663">
        <w:rPr>
          <w:noProof/>
        </w:rPr>
        <w:drawing>
          <wp:inline distT="0" distB="0" distL="0" distR="0" wp14:anchorId="54CCB824" wp14:editId="602907D2">
            <wp:extent cx="6188710" cy="2809875"/>
            <wp:effectExtent l="0" t="0" r="2540" b="9525"/>
            <wp:docPr id="2025596028" name="Imagem 1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96028" name="Imagem 1" descr="Uma imagem contendo Diagram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9113" w14:textId="252C5217" w:rsidR="001B31E4" w:rsidRDefault="001B31E4" w:rsidP="00BA3003">
      <w:pPr>
        <w:jc w:val="both"/>
        <w:rPr>
          <w:b/>
          <w:bCs/>
        </w:rPr>
      </w:pPr>
    </w:p>
    <w:p w14:paraId="276506CD" w14:textId="04525828" w:rsid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proofErr w:type="gramStart"/>
      <w:r w:rsidR="001C2663">
        <w:rPr>
          <w:b/>
          <w:bCs/>
        </w:rPr>
        <w:t>Setembro</w:t>
      </w:r>
      <w:proofErr w:type="gramEnd"/>
      <w:r w:rsidRPr="00C21CE0">
        <w:rPr>
          <w:b/>
          <w:bCs/>
        </w:rPr>
        <w:t>/</w:t>
      </w:r>
      <w:r w:rsidR="00830FA5">
        <w:rPr>
          <w:b/>
          <w:bCs/>
        </w:rPr>
        <w:t>2024</w:t>
      </w:r>
      <w:r w:rsidRPr="00C21CE0">
        <w:rPr>
          <w:b/>
          <w:bCs/>
        </w:rPr>
        <w:t xml:space="preserve"> – </w:t>
      </w:r>
      <w:r w:rsidR="001C2663">
        <w:rPr>
          <w:b/>
          <w:bCs/>
        </w:rPr>
        <w:t>Setembro</w:t>
      </w:r>
      <w:r w:rsidRPr="00C21CE0">
        <w:rPr>
          <w:b/>
          <w:bCs/>
        </w:rPr>
        <w:t>/</w:t>
      </w:r>
      <w:r w:rsidR="00830FA5">
        <w:rPr>
          <w:b/>
          <w:bCs/>
        </w:rPr>
        <w:t>2023</w:t>
      </w:r>
      <w:r w:rsidRPr="00C21CE0">
        <w:rPr>
          <w:b/>
          <w:bCs/>
        </w:rPr>
        <w:t>)</w:t>
      </w:r>
    </w:p>
    <w:p w14:paraId="0F962381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 xml:space="preserve">As exportações brasileiras do agronegócio registraram um valor recorde neste mês de setembro de 2024, com US$ 14,19 bilhões em vendas externas (+3,6%). A análise das estatísticas revela queda nos embarques de soja em grão e milho (- US$ 1,42 bilhão) que foram mais que compensados pela elevação nas exportações de: café verde (+ US$ 496,94 milhões); celulose (+ US$ 392,92 milhões); carne bovina </w:t>
      </w:r>
      <w:r w:rsidRPr="006F6C78">
        <w:rPr>
          <w:rFonts w:ascii="Calibri" w:hAnsi="Calibri" w:cs="Calibri"/>
          <w:i/>
          <w:iCs/>
          <w:sz w:val="24"/>
          <w:szCs w:val="24"/>
        </w:rPr>
        <w:t>in natura</w:t>
      </w:r>
      <w:r w:rsidRPr="006F6C78">
        <w:rPr>
          <w:rFonts w:ascii="Calibri" w:hAnsi="Calibri" w:cs="Calibri"/>
          <w:sz w:val="24"/>
          <w:szCs w:val="24"/>
        </w:rPr>
        <w:t xml:space="preserve"> (+ US$ 251,39 milhões); açúcar de cana em bruto (+ US$ 200,48 milhões); e carne de frango </w:t>
      </w:r>
      <w:r w:rsidRPr="006F6C78">
        <w:rPr>
          <w:rFonts w:ascii="Calibri" w:hAnsi="Calibri" w:cs="Calibri"/>
          <w:i/>
          <w:iCs/>
          <w:sz w:val="24"/>
          <w:szCs w:val="24"/>
        </w:rPr>
        <w:t>in natura</w:t>
      </w:r>
      <w:r w:rsidRPr="006F6C78">
        <w:rPr>
          <w:rFonts w:ascii="Calibri" w:hAnsi="Calibri" w:cs="Calibri"/>
          <w:sz w:val="24"/>
          <w:szCs w:val="24"/>
        </w:rPr>
        <w:t xml:space="preserve"> (+ 141,41 milhões). Estes cinco produtos arrolados aumentaram as vendas externas em US$ 1,48 bilhão. </w:t>
      </w:r>
    </w:p>
    <w:p w14:paraId="0DDCD838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 xml:space="preserve">O índice de preço das exportações brasileiras do agronegócio subiu 1,3% na análise do mês depois de ficar vários meses no campo negativo. Em setembro de 2024, o índice de preço dos alimentos da FAO registrou uma elevação de 3% em relação ao mês anterior. Em comparação com setembro de 2023, o índice foi 2,1% superior, mas ainda 22,4% abaixo do pico de 160,3 pontos alcançado em março de 2022.  Quase todos os produtos tiveram elevação em setembro, com aumentos variando de 0,4% para o índice de preço das carnes até 10,4% para o açúcar.  O índice de preços dos cereais subiu 3,0% em comparação com agosto, depois de declinar por três meses consecutivos, todavia os preços dos cereais ainda se encontram 10,2% abaixo dos de setembro de 2023. Preocupações em relação a condições climáticas adversas em alguns países exportadores foram as causas da elevação dos preços. O índice de preço dos alimentos do Banco Mundial confirma a tendência de elevação dos preços em setembro. Houve aumento de 3,1% em setembro na comparação com o mês anterior. </w:t>
      </w:r>
    </w:p>
    <w:p w14:paraId="6C5F9357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lastRenderedPageBreak/>
        <w:t xml:space="preserve">Além da elevação no índice de preço, houve aumento no índice de </w:t>
      </w:r>
      <w:r w:rsidRPr="006F6C78">
        <w:rPr>
          <w:rFonts w:ascii="Calibri" w:hAnsi="Calibri" w:cs="Calibri"/>
          <w:i/>
          <w:iCs/>
          <w:sz w:val="24"/>
          <w:szCs w:val="24"/>
        </w:rPr>
        <w:t xml:space="preserve">quantum </w:t>
      </w:r>
      <w:r w:rsidRPr="006F6C78">
        <w:rPr>
          <w:rFonts w:ascii="Calibri" w:hAnsi="Calibri" w:cs="Calibri"/>
          <w:sz w:val="24"/>
          <w:szCs w:val="24"/>
        </w:rPr>
        <w:t xml:space="preserve">das exportações (+2,3%). As vendas externas de grãos diminuíram de 15,44 milhões de toneladas em setembro de 2023 para 12,92 milhões de toneladas em setembro de 2024 (-2,52 milhões de toneladas), grande parte dessa queda ocorreu devido a redução dos embarques de milho. Por outro lado, houve elevação no volume exportado de café verde (+36,8%), açúcar (+24,0%), papel (+23,5%), carnes (+21,8%). </w:t>
      </w:r>
    </w:p>
    <w:p w14:paraId="20A5F3B2" w14:textId="27D56F2C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>As importações de produtos agropecuários foram de US$ 1,64 bilhão, número que significou um aumento de 24,7% em comparação com o US$ 1,32 bilhão importado em setembro de 2023. Além dessas aquisições, houve compras internacionais de inúmeros insumos necessários à produção agropecuária no Brasil: fertilizantes (US$ 1,51 bilhão); defensivos (US$ 636,26 milhões); nutrição animal (US$ 252,77 milhões); máquinas e implementos agrícolas (US$ 97,29 milhões).</w:t>
      </w:r>
      <w:r w:rsidRPr="006F6C78">
        <w:rPr>
          <w:rStyle w:val="Refdenotaderodap"/>
          <w:rFonts w:ascii="Calibri" w:hAnsi="Calibri" w:cs="Calibri"/>
          <w:sz w:val="24"/>
          <w:szCs w:val="24"/>
        </w:rPr>
        <w:footnoteReference w:id="1"/>
      </w:r>
    </w:p>
    <w:p w14:paraId="6C6F1A86" w14:textId="3DFE87ED" w:rsidR="00F15DD5" w:rsidRPr="00535CFB" w:rsidRDefault="00F15DD5" w:rsidP="00F15DD5">
      <w:pPr>
        <w:jc w:val="both"/>
        <w:rPr>
          <w:b/>
          <w:bCs/>
        </w:rPr>
      </w:pPr>
      <w:proofErr w:type="spellStart"/>
      <w:r w:rsidRPr="00535CFB">
        <w:rPr>
          <w:b/>
          <w:bCs/>
        </w:rPr>
        <w:t>I.a</w:t>
      </w:r>
      <w:proofErr w:type="spellEnd"/>
      <w:r w:rsidRPr="00535CFB">
        <w:rPr>
          <w:b/>
          <w:bCs/>
        </w:rPr>
        <w:t xml:space="preserve"> – Setores do Agronegócio</w:t>
      </w:r>
    </w:p>
    <w:p w14:paraId="3C2144C1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 xml:space="preserve">Nesse mês de setembro de 2024, seis setores exportaram mais de US$ 1 bilhão: complexo soja (US$ 3,40 bilhões; </w:t>
      </w:r>
      <w:r>
        <w:rPr>
          <w:rFonts w:ascii="Calibri" w:hAnsi="Calibri" w:cs="Calibri"/>
          <w:sz w:val="24"/>
          <w:szCs w:val="24"/>
        </w:rPr>
        <w:t>24,0</w:t>
      </w:r>
      <w:r w:rsidRPr="006F6C78">
        <w:rPr>
          <w:rFonts w:ascii="Calibri" w:hAnsi="Calibri" w:cs="Calibri"/>
          <w:sz w:val="24"/>
          <w:szCs w:val="24"/>
        </w:rPr>
        <w:t>%); carnes (US$ 2,53 bilhões; 17,</w:t>
      </w:r>
      <w:r>
        <w:rPr>
          <w:rFonts w:ascii="Calibri" w:hAnsi="Calibri" w:cs="Calibri"/>
          <w:sz w:val="24"/>
          <w:szCs w:val="24"/>
        </w:rPr>
        <w:t>8</w:t>
      </w:r>
      <w:r w:rsidRPr="006F6C78">
        <w:rPr>
          <w:rFonts w:ascii="Calibri" w:hAnsi="Calibri" w:cs="Calibri"/>
          <w:sz w:val="24"/>
          <w:szCs w:val="24"/>
        </w:rPr>
        <w:t>%); complexo sucroalcooleiro (US$ 1,92 bilhão; 13,5%); produtos florestais (US$ 1,60 bilhão; 11,3%); cereais, farinhas e preparações (US$ 1,38 bilhão; 9,</w:t>
      </w:r>
      <w:r>
        <w:rPr>
          <w:rFonts w:ascii="Calibri" w:hAnsi="Calibri" w:cs="Calibri"/>
          <w:sz w:val="24"/>
          <w:szCs w:val="24"/>
        </w:rPr>
        <w:t>7</w:t>
      </w:r>
      <w:r w:rsidRPr="006F6C78">
        <w:rPr>
          <w:rFonts w:ascii="Calibri" w:hAnsi="Calibri" w:cs="Calibri"/>
          <w:sz w:val="24"/>
          <w:szCs w:val="24"/>
        </w:rPr>
        <w:t>%); café (US$ 1,18 bilhão; 8,3%). Os seis setores acima mencionados registraram participação de 84,</w:t>
      </w:r>
      <w:r>
        <w:rPr>
          <w:rFonts w:ascii="Calibri" w:hAnsi="Calibri" w:cs="Calibri"/>
          <w:sz w:val="24"/>
          <w:szCs w:val="24"/>
        </w:rPr>
        <w:t>6</w:t>
      </w:r>
      <w:r w:rsidRPr="006F6C78">
        <w:rPr>
          <w:rFonts w:ascii="Calibri" w:hAnsi="Calibri" w:cs="Calibri"/>
          <w:sz w:val="24"/>
          <w:szCs w:val="24"/>
        </w:rPr>
        <w:t>% na pauta exportadora do agronegócio brasileiro. No mesmo mês de setembro de 2023, os referidos setores tiveram participação de 86,5% na pauta exportadora. Os demais setores aumentaram as vendas externas de US$ 1,84 bilhão em setembro de 2023 para US$ 2,19 bilhões em setembro de 2024 (+18,9%). Nesses demais setores, os produtos que mais contribuíram para a elevação das vendas externas foram: fumo não manufaturado (+ US$ 81,02 milhões); bovinos vivos (+ US$ 64,29 milhões); sucos de laranja (+ US$ 52,51 milhões); e feijões secos (+ US$ 36,47 milhões). Estes quatro produtos foram responsáveis por US$ 234,29 milhões no aumento das exportações brasileiras do agronegócio em setembro de 2024.</w:t>
      </w:r>
    </w:p>
    <w:p w14:paraId="635781F8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>O complexo soja é o principal setor exportador do agronegócio brasileiro. Em setembro de 2024, o setor exportou US$ 3,40 bilhões (-20,3%).  As vendas externas de soja em grãos declinaram de US$ 3,30 bilhões em setembro de 2023 para US$ 2,60 bilhões em setembro de 2024 (-21,2%). A queda dos preços médios de exportação foi o principal fator responsável pela redução das vendas externas da oleaginosas, com registros de -17,5% no período em análise. A cotação da soja em grãos continua caindo no mercado internacional. Em setembro de 2024, a cotação recuou para um patamar inferior a US$ 400 por tonelada, chegando a US$ 391,31</w:t>
      </w:r>
      <w:r w:rsidRPr="006F6C78">
        <w:rPr>
          <w:rStyle w:val="Refdenotaderodap"/>
          <w:rFonts w:ascii="Calibri" w:hAnsi="Calibri" w:cs="Calibri"/>
          <w:sz w:val="24"/>
          <w:szCs w:val="24"/>
        </w:rPr>
        <w:footnoteReference w:id="2"/>
      </w:r>
      <w:r w:rsidRPr="006F6C78">
        <w:rPr>
          <w:rFonts w:ascii="Calibri" w:hAnsi="Calibri" w:cs="Calibri"/>
          <w:sz w:val="24"/>
          <w:szCs w:val="24"/>
        </w:rPr>
        <w:t xml:space="preserve">, menor cotação desde agosto de 2020. Por sua vez, os preços futuros subiram em setembro, impulsionados pelos baixos índices pluviométricos no Brasil e chuvas no </w:t>
      </w:r>
      <w:proofErr w:type="spellStart"/>
      <w:r w:rsidRPr="006F6C78">
        <w:rPr>
          <w:rFonts w:ascii="Calibri" w:hAnsi="Calibri" w:cs="Calibri"/>
          <w:sz w:val="24"/>
          <w:szCs w:val="24"/>
        </w:rPr>
        <w:t>meio-oeste</w:t>
      </w:r>
      <w:proofErr w:type="spellEnd"/>
      <w:r w:rsidRPr="006F6C78">
        <w:rPr>
          <w:rFonts w:ascii="Calibri" w:hAnsi="Calibri" w:cs="Calibri"/>
          <w:sz w:val="24"/>
          <w:szCs w:val="24"/>
        </w:rPr>
        <w:t xml:space="preserve"> dos Estados Unidos.</w:t>
      </w:r>
      <w:r w:rsidRPr="006F6C78">
        <w:rPr>
          <w:rStyle w:val="Refdenotaderodap"/>
          <w:rFonts w:ascii="Calibri" w:hAnsi="Calibri" w:cs="Calibri"/>
          <w:sz w:val="24"/>
          <w:szCs w:val="24"/>
        </w:rPr>
        <w:footnoteReference w:id="3"/>
      </w:r>
      <w:r w:rsidRPr="006F6C78">
        <w:rPr>
          <w:rFonts w:ascii="Calibri" w:hAnsi="Calibri" w:cs="Calibri"/>
          <w:sz w:val="24"/>
          <w:szCs w:val="24"/>
        </w:rPr>
        <w:t xml:space="preserve"> Além dos preços mais baixos, houve queda de 4,5% no volume exportado em setembro de 2024. Os principais países importadores da soja em grão do Brasil foram: China (US$ 1,83 bilhão; -30,6%; 70,6% do volume exportado pelo Brasil); União Europeia (US$ </w:t>
      </w:r>
      <w:r w:rsidRPr="006F6C78">
        <w:rPr>
          <w:rFonts w:ascii="Calibri" w:hAnsi="Calibri" w:cs="Calibri"/>
          <w:sz w:val="24"/>
          <w:szCs w:val="24"/>
        </w:rPr>
        <w:lastRenderedPageBreak/>
        <w:t xml:space="preserve">196,99 milhões; +163,9%; 7,5% do volume exportado); Tailândia (US$ 134,97 milhões; +83,8%; </w:t>
      </w:r>
      <w:r>
        <w:rPr>
          <w:rFonts w:ascii="Calibri" w:hAnsi="Calibri" w:cs="Calibri"/>
          <w:sz w:val="24"/>
          <w:szCs w:val="24"/>
        </w:rPr>
        <w:t>5,2</w:t>
      </w:r>
      <w:r w:rsidRPr="006F6C78">
        <w:rPr>
          <w:rFonts w:ascii="Calibri" w:hAnsi="Calibri" w:cs="Calibri"/>
          <w:sz w:val="24"/>
          <w:szCs w:val="24"/>
        </w:rPr>
        <w:t>% do volume exportado); Taiwan (US$ 102,43 milhões; -12,0%; 3,9% do volume exportado).</w:t>
      </w:r>
    </w:p>
    <w:p w14:paraId="2F21E97A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>As vendas externas de farelo de soja diminuíram de US$ 813,95 milhões em setembro de 2023 para US$ 717,00 milhões em setembro de 2024 (-11,9%). Houve, também, queda de preço internacional do farelo de soja no período em análise: -18,3%. Esta queda nos preços médios de exportação foi compensada, em parte, pela expansão de 7,8% no volume embarcado no mês. Os principais mercados importadores foram: União Europeia (US$ 329,89 milhões; -29,2%); Indonésia (US$ 122,15 milhões; +38,6%); Tailândia (US$ 76,74 milhões; +6,5%). Por fim, as vendas externas de óleo de soja continuam caindo, atingindo US$ 85,18 milhões em setembro de 2024 (-45,6%). No caso do óleo, o aumento da mistura de óleo no biodiesel colaborou com a redução da disponibilidade de excedente exportável</w:t>
      </w:r>
      <w:r w:rsidRPr="006F6C78">
        <w:rPr>
          <w:rStyle w:val="Refdenotaderodap"/>
          <w:rFonts w:ascii="Calibri" w:hAnsi="Calibri" w:cs="Calibri"/>
          <w:sz w:val="24"/>
          <w:szCs w:val="24"/>
        </w:rPr>
        <w:footnoteReference w:id="4"/>
      </w:r>
      <w:r w:rsidRPr="006F6C78">
        <w:rPr>
          <w:rFonts w:ascii="Calibri" w:hAnsi="Calibri" w:cs="Calibri"/>
          <w:sz w:val="24"/>
          <w:szCs w:val="24"/>
        </w:rPr>
        <w:t>. Os principais mercados importadores de óleo de soja foram: Índia (US$ 45,63 milhões; -22,2%) e China (US$ 21,75 milhões; quase não houve exportação para a China em setembro de 202</w:t>
      </w:r>
      <w:r>
        <w:rPr>
          <w:rFonts w:ascii="Calibri" w:hAnsi="Calibri" w:cs="Calibri"/>
          <w:sz w:val="24"/>
          <w:szCs w:val="24"/>
        </w:rPr>
        <w:t>3</w:t>
      </w:r>
      <w:r w:rsidRPr="006F6C78">
        <w:rPr>
          <w:rFonts w:ascii="Calibri" w:hAnsi="Calibri" w:cs="Calibri"/>
          <w:sz w:val="24"/>
          <w:szCs w:val="24"/>
        </w:rPr>
        <w:t xml:space="preserve">). </w:t>
      </w:r>
    </w:p>
    <w:p w14:paraId="4306B3C1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 xml:space="preserve">As vendas externas de carnes tiveram um bom desempenho em setembro de 2024. Foram US$ 2,53 bilhões embarcados, cifra 28,8% superior na comparação com o mesmo mês do ano anterior, ou, em termos absolutos, uma elevação de US$ 564,79 milhões. Segundo a FAO, houve elevação do índice de preço das carnes, 4,8% acima do valor de um ano atrás, este número foi impulsionado pelos preços mais elevados da carne de frango, reflexo principalmente </w:t>
      </w:r>
      <w:proofErr w:type="gramStart"/>
      <w:r w:rsidRPr="006F6C78">
        <w:rPr>
          <w:rFonts w:ascii="Calibri" w:hAnsi="Calibri" w:cs="Calibri"/>
          <w:sz w:val="24"/>
          <w:szCs w:val="24"/>
        </w:rPr>
        <w:t>da forte</w:t>
      </w:r>
      <w:proofErr w:type="gramEnd"/>
      <w:r w:rsidRPr="006F6C78">
        <w:rPr>
          <w:rFonts w:ascii="Calibri" w:hAnsi="Calibri" w:cs="Calibri"/>
          <w:sz w:val="24"/>
          <w:szCs w:val="24"/>
        </w:rPr>
        <w:t xml:space="preserve"> procura de importação de carne de frango brasileira, após a flexibilização das restrições comerciais relacionadas com a doença de Newcastle. Além de preços melhores, o volume exportado pelo Brasil cresceu 21,8% no período. </w:t>
      </w:r>
    </w:p>
    <w:p w14:paraId="732AC30F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 xml:space="preserve">A carne com maior valor exportado pelo Brasil foi a bovina. Em setembro de 2024, as vendas externas de carne bovina atingiram US$ 1,25 bilhão (+29,2%). As exportações de carne bovina </w:t>
      </w:r>
      <w:r w:rsidRPr="006F6C78">
        <w:rPr>
          <w:rFonts w:ascii="Calibri" w:hAnsi="Calibri" w:cs="Calibri"/>
          <w:i/>
          <w:iCs/>
          <w:sz w:val="24"/>
          <w:szCs w:val="24"/>
        </w:rPr>
        <w:t>in natura</w:t>
      </w:r>
      <w:r w:rsidRPr="006F6C78">
        <w:rPr>
          <w:rFonts w:ascii="Calibri" w:hAnsi="Calibri" w:cs="Calibri"/>
          <w:sz w:val="24"/>
          <w:szCs w:val="24"/>
        </w:rPr>
        <w:t xml:space="preserve"> bateram recorde de volume embarcado de toda a série histórica, com 251,76 mil toneladas (+29,1%) ou o equivalente a US$ 1,14 bilhão (+28,4%). Segundo a FAO, os preços internacionais da carne bovina permaneceram praticamente estáveis, uma vez que as ofertas limitadas dos principais países produtores foram suficientes para satisfazer a procura global de importações. Os principais mercados importadores da carne bovina </w:t>
      </w:r>
      <w:r w:rsidRPr="006F6C78">
        <w:rPr>
          <w:rFonts w:ascii="Calibri" w:hAnsi="Calibri" w:cs="Calibri"/>
          <w:i/>
          <w:iCs/>
          <w:sz w:val="24"/>
          <w:szCs w:val="24"/>
        </w:rPr>
        <w:t xml:space="preserve">in natura </w:t>
      </w:r>
      <w:r w:rsidRPr="006F6C78">
        <w:rPr>
          <w:rFonts w:ascii="Calibri" w:hAnsi="Calibri" w:cs="Calibri"/>
          <w:sz w:val="24"/>
          <w:szCs w:val="24"/>
        </w:rPr>
        <w:t>brasileira foram: China (US$ 599,29 milhões; -0,3%); Estados Unidos (US$ 101,04 milhões; +458,0%); União Europeia (US$ 53,00 milhões; +66,2%); e Chile (US$ 40,24 milhões; +46,9%).</w:t>
      </w:r>
    </w:p>
    <w:p w14:paraId="4A8A0F62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 xml:space="preserve">As exportações de carne de frango </w:t>
      </w:r>
      <w:r w:rsidRPr="006F6C78">
        <w:rPr>
          <w:rFonts w:ascii="Calibri" w:hAnsi="Calibri" w:cs="Calibri"/>
          <w:i/>
          <w:iCs/>
          <w:sz w:val="24"/>
          <w:szCs w:val="24"/>
        </w:rPr>
        <w:t>in natura</w:t>
      </w:r>
      <w:r w:rsidRPr="006F6C78">
        <w:rPr>
          <w:rFonts w:ascii="Calibri" w:hAnsi="Calibri" w:cs="Calibri"/>
          <w:sz w:val="24"/>
          <w:szCs w:val="24"/>
        </w:rPr>
        <w:t xml:space="preserve"> subiram de US$ 679,</w:t>
      </w:r>
      <w:r>
        <w:rPr>
          <w:rFonts w:ascii="Calibri" w:hAnsi="Calibri" w:cs="Calibri"/>
          <w:sz w:val="24"/>
          <w:szCs w:val="24"/>
        </w:rPr>
        <w:t>90</w:t>
      </w:r>
      <w:r w:rsidRPr="006F6C78">
        <w:rPr>
          <w:rFonts w:ascii="Calibri" w:hAnsi="Calibri" w:cs="Calibri"/>
          <w:sz w:val="24"/>
          <w:szCs w:val="24"/>
        </w:rPr>
        <w:t xml:space="preserve"> milhões em setembro de 2023 para US$ 821,31 milhões em setembro de 2024 (+20,8%), um montante recorde para os meses de setembro. O resultado foi obtido devido ao incremento dos preços médios de exportação, que subiram 10,5% e, também, em função da elevação de quantidade embarcada, +9,3%, que atingiu o volume recorde de 414,59 mil toneladas para os meses de setembro. Os cinco principais mercados importadores foram: Emirados Árabes Unidos (US$ 92,21 milhões; +36,5%); China (US$ 76,24 milhões; -38,0%); Arábia Saudita (US$ 7</w:t>
      </w:r>
      <w:r>
        <w:rPr>
          <w:rFonts w:ascii="Calibri" w:hAnsi="Calibri" w:cs="Calibri"/>
          <w:sz w:val="24"/>
          <w:szCs w:val="24"/>
        </w:rPr>
        <w:t>3</w:t>
      </w:r>
      <w:r w:rsidRPr="006F6C78">
        <w:rPr>
          <w:rFonts w:ascii="Calibri" w:hAnsi="Calibri" w:cs="Calibri"/>
          <w:sz w:val="24"/>
          <w:szCs w:val="24"/>
        </w:rPr>
        <w:t xml:space="preserve">,81 milhões; +20,1%); Japão (US$ 71,24 milhões; +40,4%); e México (US$ 61,15 milhões; +77,7%). </w:t>
      </w:r>
    </w:p>
    <w:p w14:paraId="2D7D0309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lastRenderedPageBreak/>
        <w:t>Ainda no setor cárneo, as vendas externas de carne suína bateram recorde de valor, chegando a US$ 281,13 milhões (+16,9%). O recorde de valor exportado ocorreu em função do crescimento do volume embarcado, que também foi recorde (117,76 mil toneladas; +</w:t>
      </w:r>
      <w:r>
        <w:rPr>
          <w:rFonts w:ascii="Calibri" w:hAnsi="Calibri" w:cs="Calibri"/>
          <w:sz w:val="24"/>
          <w:szCs w:val="24"/>
        </w:rPr>
        <w:t>8,8</w:t>
      </w:r>
      <w:r w:rsidRPr="006F6C78">
        <w:rPr>
          <w:rFonts w:ascii="Calibri" w:hAnsi="Calibri" w:cs="Calibri"/>
          <w:sz w:val="24"/>
          <w:szCs w:val="24"/>
        </w:rPr>
        <w:t xml:space="preserve">%). Os principais mercados de destino da carne suína </w:t>
      </w:r>
      <w:r w:rsidRPr="006F6C78">
        <w:rPr>
          <w:rFonts w:ascii="Calibri" w:hAnsi="Calibri" w:cs="Calibri"/>
          <w:i/>
          <w:iCs/>
          <w:sz w:val="24"/>
          <w:szCs w:val="24"/>
        </w:rPr>
        <w:t xml:space="preserve">in natura </w:t>
      </w:r>
      <w:r w:rsidRPr="006F6C78">
        <w:rPr>
          <w:rFonts w:ascii="Calibri" w:hAnsi="Calibri" w:cs="Calibri"/>
          <w:sz w:val="24"/>
          <w:szCs w:val="24"/>
        </w:rPr>
        <w:t xml:space="preserve">brasileira foram: Filipinas (US$ 63,09 milhões; +128,8%); China (US$ 34,15 milhões; -39,8%); Japão (US$ 30,36 milhões; +100,8%); Chile (US$ 23,76 milhões; +74,3%).  </w:t>
      </w:r>
    </w:p>
    <w:p w14:paraId="2FEA4158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>O complexo sucroalcooleiro exportou US$ 1,92 bilh</w:t>
      </w:r>
      <w:r>
        <w:rPr>
          <w:rFonts w:ascii="Calibri" w:hAnsi="Calibri" w:cs="Calibri"/>
          <w:sz w:val="24"/>
          <w:szCs w:val="24"/>
        </w:rPr>
        <w:t>ão</w:t>
      </w:r>
      <w:r w:rsidRPr="006F6C78">
        <w:rPr>
          <w:rFonts w:ascii="Calibri" w:hAnsi="Calibri" w:cs="Calibri"/>
          <w:sz w:val="24"/>
          <w:szCs w:val="24"/>
        </w:rPr>
        <w:t xml:space="preserve"> em setembro de 2024 (+6,4%). O principal produto do setor é o açúcar, responsável por </w:t>
      </w:r>
      <w:r>
        <w:rPr>
          <w:rFonts w:ascii="Calibri" w:hAnsi="Calibri" w:cs="Calibri"/>
          <w:sz w:val="24"/>
          <w:szCs w:val="24"/>
        </w:rPr>
        <w:t>quase 95</w:t>
      </w:r>
      <w:r w:rsidRPr="006F6C78">
        <w:rPr>
          <w:rFonts w:ascii="Calibri" w:hAnsi="Calibri" w:cs="Calibri"/>
          <w:sz w:val="24"/>
          <w:szCs w:val="24"/>
        </w:rPr>
        <w:t>% das vendas externas do complexo sucroalcooleiro. Em setembro de 2024, os embarques de açúcar de cana em bruto atingiram o volume recorde de 3,47 milhões de toneladas (+25,9%) para os meses de setembro. Mesmo a queda de 9,</w:t>
      </w:r>
      <w:r>
        <w:rPr>
          <w:rFonts w:ascii="Calibri" w:hAnsi="Calibri" w:cs="Calibri"/>
          <w:sz w:val="24"/>
          <w:szCs w:val="24"/>
        </w:rPr>
        <w:t>0</w:t>
      </w:r>
      <w:r w:rsidRPr="006F6C78">
        <w:rPr>
          <w:rFonts w:ascii="Calibri" w:hAnsi="Calibri" w:cs="Calibri"/>
          <w:sz w:val="24"/>
          <w:szCs w:val="24"/>
        </w:rPr>
        <w:t>% no preço médio de exportação não impediu o estabelecimento de um novo recorde de valor exportado para os meses de setembro: US$ 1,57 bilhão (+14,6%). É importante lembrar que este volume exportado ocorre num momento em que o Brasil atingiu a maior produção de açúcar da história com 45,68 milhões de toneladas (safra 2023/2024). Para a atual safra, 2024/2025, a projeção é de novo recorde de produção, com praticamente 46,0 milhões de toneladas</w:t>
      </w:r>
      <w:r w:rsidRPr="006F6C78">
        <w:rPr>
          <w:rStyle w:val="Refdenotaderodap"/>
          <w:rFonts w:ascii="Calibri" w:hAnsi="Calibri" w:cs="Calibri"/>
          <w:sz w:val="24"/>
          <w:szCs w:val="24"/>
        </w:rPr>
        <w:footnoteReference w:id="5"/>
      </w:r>
      <w:r w:rsidRPr="006F6C78">
        <w:rPr>
          <w:rFonts w:ascii="Calibri" w:hAnsi="Calibri" w:cs="Calibri"/>
          <w:sz w:val="24"/>
          <w:szCs w:val="24"/>
        </w:rPr>
        <w:t>. Quatro mercados importaram mais de US$ 100 milhões em açúcar de cana em bruto do Brasil: China (US$ 205,74 milhões; -33,9%); Indonésia (US$ 202,53 milhões; +75,9%); Argélia (US$ 152,81 milhões; +134,0%); Egito (US$ 144,43 milhões; +6,3%).  Além do açúcar, também houve exportação de US$ 99,66</w:t>
      </w:r>
      <w:r>
        <w:rPr>
          <w:rFonts w:ascii="Calibri" w:hAnsi="Calibri" w:cs="Calibri"/>
          <w:sz w:val="24"/>
          <w:szCs w:val="24"/>
        </w:rPr>
        <w:t xml:space="preserve"> milhões</w:t>
      </w:r>
      <w:r w:rsidRPr="006F6C78">
        <w:rPr>
          <w:rFonts w:ascii="Calibri" w:hAnsi="Calibri" w:cs="Calibri"/>
          <w:sz w:val="24"/>
          <w:szCs w:val="24"/>
        </w:rPr>
        <w:t xml:space="preserve"> de álcool (-44,0%). </w:t>
      </w:r>
    </w:p>
    <w:p w14:paraId="48D994FA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>Os produtos florestais incluem celulose, papel e madeiras e suas obras. Nesse mês de setembro de 2024, estes produtos exportaram US$ 1,60 bilhão (+43,4%). A celulose é o único produto do setor que atingiu o montante de bilhão em vendas, com US$ 1,04 bilhão exportados. A cifra é recorde para os meses de setembro. Os mercados mais industrializados são os maiores importadores de celulose: China (US$ 450,13 milhões; +22,0%); União Europeia (US$ 233,41 milhões; +102,0%); Estados Unidos (US$ 151,97 milhões; +122,8%). Além da celulose, o setor exportou: madeiras e suas obras (US$ 357,09 milhões; +17,7%) e papel (US$ 210,84 milhões; +22,5%).</w:t>
      </w:r>
    </w:p>
    <w:p w14:paraId="5E3503A6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>O milho é o principal produto de exportação do setor de cereais, farinhas e preparações. Nesse mês de setembro de 2024, o setor embarcou US$ 1,</w:t>
      </w:r>
      <w:r>
        <w:rPr>
          <w:rFonts w:ascii="Calibri" w:hAnsi="Calibri" w:cs="Calibri"/>
          <w:sz w:val="24"/>
          <w:szCs w:val="24"/>
        </w:rPr>
        <w:t>38</w:t>
      </w:r>
      <w:r w:rsidRPr="006F6C78">
        <w:rPr>
          <w:rFonts w:ascii="Calibri" w:hAnsi="Calibri" w:cs="Calibri"/>
          <w:sz w:val="24"/>
          <w:szCs w:val="24"/>
        </w:rPr>
        <w:t xml:space="preserve"> bilhão ao exterior (-33,3%), sendo mais de 90% de milho. As exportações de milho recuaram de US$ 1,97 bilhão em setembro de 2023 para US$ 1,26 bilhão em setembro de 2024 (-36,3%). A queda ocorreu em função da redução de 26,6% no volume embarcado, que diminuiu de 8,74 milhões de toneladas para 6,42 milhões de toneladas, e, também, devido ao preço médio de exportação, que caiu para US$ 195,5 por tonelada ou 13,2% inferior na comparação com o mesmo mês de 2023. Cinco mercados importadores adquiriram mais de US$ 100 milhões: Egito (US$ 181,16 milhões; +503,0%); Vietnã (US$ 169,90 milhões; +16,5%); Japão (US$ 150,60 milhões; -4,8%); Irã (US$ 113,63 milhões; -8,6%); e Coreia do Sul (US$ 110,43 milhões; +33,5%). É interessante observar a forte redução das exportações de milho para a China. Em setembro de 2023, o país asiático adquiriu 3,29 milhões de toneladas do cereal, número que diminuiu para 151,32 mil toneladas em setembro de 2024 (-95,4%). Como se sabe, a China é o segundo maior país produtor de milho no mundo, somente atrás dos Estados Unidos. A produção chinesa na safra 2023/2024 foi estimada em 288,84 milhões de toneladas. Um número cerca de 11 milhões de toneladas superior à safra anterior. </w:t>
      </w:r>
    </w:p>
    <w:p w14:paraId="32D9E66D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lastRenderedPageBreak/>
        <w:t>Por fim, na sexta posição entre os principais setores exportadores do agronegócio aparece o setor cafeeiro. As vendas externas do setor atingiram o maior valor de toda a série: US$ 1,18 bilhão. O mercado internacional está preocupado com a reduzida oferta global de café, devido a problemas climáticos no Brasil e no Vietnã</w:t>
      </w:r>
      <w:r w:rsidRPr="006F6C78">
        <w:rPr>
          <w:rStyle w:val="Refdenotaderodap"/>
          <w:rFonts w:ascii="Calibri" w:hAnsi="Calibri" w:cs="Calibri"/>
          <w:sz w:val="24"/>
          <w:szCs w:val="24"/>
        </w:rPr>
        <w:footnoteReference w:id="6"/>
      </w:r>
      <w:r w:rsidRPr="006F6C78">
        <w:rPr>
          <w:rFonts w:ascii="Calibri" w:hAnsi="Calibri" w:cs="Calibri"/>
          <w:sz w:val="24"/>
          <w:szCs w:val="24"/>
        </w:rPr>
        <w:t>. As exportações de café verde subiram impressionante</w:t>
      </w:r>
      <w:r>
        <w:rPr>
          <w:rFonts w:ascii="Calibri" w:hAnsi="Calibri" w:cs="Calibri"/>
          <w:sz w:val="24"/>
          <w:szCs w:val="24"/>
        </w:rPr>
        <w:t>s</w:t>
      </w:r>
      <w:r w:rsidRPr="006F6C78">
        <w:rPr>
          <w:rFonts w:ascii="Calibri" w:hAnsi="Calibri" w:cs="Calibri"/>
          <w:sz w:val="24"/>
          <w:szCs w:val="24"/>
        </w:rPr>
        <w:t xml:space="preserve"> 86,6%, chegando a US$ 1,07 bilhão, em função da elevação da quantidade exportada (+36,8%) e do preço médio de exportação (+36,4%). Os maiores importadores de café foram: União Europeia (US$ 557,38 milhões; +151,5%); Estados Unidos (US$ 148,77 milhões; +75,5%); e Japão (US$ 51,73 milhões; +8,4%). Ainda no setor, as exportações de café solúvel aumentaram de US$ 59,18 milhões em setembro de 2023 para US$ 99,47 milhões em setembro de 2024 (+68,1%). Três mercados adquiriram mais de US$ 10 milhões: Estados Unidos (US$ 16,89 milhões; +17,9%); União Europeia (US$ 16,05 milhões; +108,2%); e Indonésia (US$ 13,18 milhões; +587,3%). </w:t>
      </w:r>
    </w:p>
    <w:p w14:paraId="6C69A562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>Fez</w:t>
      </w:r>
      <w:r>
        <w:rPr>
          <w:rFonts w:ascii="Calibri" w:hAnsi="Calibri" w:cs="Calibri"/>
          <w:sz w:val="24"/>
          <w:szCs w:val="24"/>
        </w:rPr>
        <w:t>-se</w:t>
      </w:r>
      <w:r w:rsidRPr="006F6C78">
        <w:rPr>
          <w:rFonts w:ascii="Calibri" w:hAnsi="Calibri" w:cs="Calibri"/>
          <w:sz w:val="24"/>
          <w:szCs w:val="24"/>
        </w:rPr>
        <w:t xml:space="preserve"> acima a análise dos seis principais setores exportadores do agronegócio brasileiro, responsável por 84,</w:t>
      </w:r>
      <w:r>
        <w:rPr>
          <w:rFonts w:ascii="Calibri" w:hAnsi="Calibri" w:cs="Calibri"/>
          <w:sz w:val="24"/>
          <w:szCs w:val="24"/>
        </w:rPr>
        <w:t>6</w:t>
      </w:r>
      <w:r w:rsidRPr="006F6C78">
        <w:rPr>
          <w:rFonts w:ascii="Calibri" w:hAnsi="Calibri" w:cs="Calibri"/>
          <w:sz w:val="24"/>
          <w:szCs w:val="24"/>
        </w:rPr>
        <w:t xml:space="preserve">% do valor total exportado pelo Brasil em produtos do agronegócio. Numa análise levando em consideração os dez principais produtos exportados (soja em grãos, açúcar de cana em bruto, milho, carne bovina </w:t>
      </w:r>
      <w:r w:rsidRPr="006F6C78">
        <w:rPr>
          <w:rFonts w:ascii="Calibri" w:hAnsi="Calibri" w:cs="Calibri"/>
          <w:i/>
          <w:iCs/>
          <w:sz w:val="24"/>
          <w:szCs w:val="24"/>
        </w:rPr>
        <w:t xml:space="preserve">in natura, </w:t>
      </w:r>
      <w:r w:rsidRPr="006F6C78">
        <w:rPr>
          <w:rFonts w:ascii="Calibri" w:hAnsi="Calibri" w:cs="Calibri"/>
          <w:sz w:val="24"/>
          <w:szCs w:val="24"/>
        </w:rPr>
        <w:t xml:space="preserve">café verde, celulose, carne de frango </w:t>
      </w:r>
      <w:r w:rsidRPr="006F6C78">
        <w:rPr>
          <w:rFonts w:ascii="Calibri" w:hAnsi="Calibri" w:cs="Calibri"/>
          <w:i/>
          <w:iCs/>
          <w:sz w:val="24"/>
          <w:szCs w:val="24"/>
        </w:rPr>
        <w:t>in natura</w:t>
      </w:r>
      <w:r w:rsidRPr="006F6C78">
        <w:rPr>
          <w:rFonts w:ascii="Calibri" w:hAnsi="Calibri" w:cs="Calibri"/>
          <w:sz w:val="24"/>
          <w:szCs w:val="24"/>
        </w:rPr>
        <w:t>, farelo de soja, algodão não cardado nem penteado, sucos de laranja)</w:t>
      </w:r>
      <w:r>
        <w:rPr>
          <w:rFonts w:ascii="Calibri" w:hAnsi="Calibri" w:cs="Calibri"/>
          <w:sz w:val="24"/>
          <w:szCs w:val="24"/>
        </w:rPr>
        <w:t>,</w:t>
      </w:r>
      <w:r w:rsidRPr="006F6C78">
        <w:rPr>
          <w:rFonts w:ascii="Calibri" w:hAnsi="Calibri" w:cs="Calibri"/>
          <w:sz w:val="24"/>
          <w:szCs w:val="24"/>
        </w:rPr>
        <w:t xml:space="preserve"> observa</w:t>
      </w:r>
      <w:r>
        <w:rPr>
          <w:rFonts w:ascii="Calibri" w:hAnsi="Calibri" w:cs="Calibri"/>
          <w:sz w:val="24"/>
          <w:szCs w:val="24"/>
        </w:rPr>
        <w:t>m</w:t>
      </w:r>
      <w:r w:rsidRPr="006F6C78">
        <w:rPr>
          <w:rFonts w:ascii="Calibri" w:hAnsi="Calibri" w:cs="Calibri"/>
          <w:sz w:val="24"/>
          <w:szCs w:val="24"/>
        </w:rPr>
        <w:t>-se vendas externas de US$ 10,80 bilhões em setembro de 2024</w:t>
      </w:r>
      <w:r>
        <w:rPr>
          <w:rFonts w:ascii="Calibri" w:hAnsi="Calibri" w:cs="Calibri"/>
          <w:sz w:val="24"/>
          <w:szCs w:val="24"/>
        </w:rPr>
        <w:t>, o que</w:t>
      </w:r>
      <w:r w:rsidRPr="006F6C78">
        <w:rPr>
          <w:rFonts w:ascii="Calibri" w:hAnsi="Calibri" w:cs="Calibri"/>
          <w:sz w:val="24"/>
          <w:szCs w:val="24"/>
        </w:rPr>
        <w:t xml:space="preserve"> representou 76,1% do valor exportado pelo Brasil em produtos do agronegócio</w:t>
      </w:r>
      <w:r>
        <w:rPr>
          <w:rFonts w:ascii="Calibri" w:hAnsi="Calibri" w:cs="Calibri"/>
          <w:sz w:val="24"/>
          <w:szCs w:val="24"/>
        </w:rPr>
        <w:t>.</w:t>
      </w:r>
      <w:r w:rsidRPr="006F6C7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</w:t>
      </w:r>
      <w:r w:rsidRPr="006F6C78">
        <w:rPr>
          <w:rFonts w:ascii="Calibri" w:hAnsi="Calibri" w:cs="Calibri"/>
          <w:sz w:val="24"/>
          <w:szCs w:val="24"/>
        </w:rPr>
        <w:t xml:space="preserve">o mesmo mês do ano </w:t>
      </w:r>
      <w:r>
        <w:rPr>
          <w:rFonts w:ascii="Calibri" w:hAnsi="Calibri" w:cs="Calibri"/>
          <w:sz w:val="24"/>
          <w:szCs w:val="24"/>
        </w:rPr>
        <w:t>anterior</w:t>
      </w:r>
      <w:r w:rsidRPr="006F6C78">
        <w:rPr>
          <w:rFonts w:ascii="Calibri" w:hAnsi="Calibri" w:cs="Calibri"/>
          <w:sz w:val="24"/>
          <w:szCs w:val="24"/>
        </w:rPr>
        <w:t xml:space="preserve">, a participação desses mesmos </w:t>
      </w:r>
      <w:proofErr w:type="gramStart"/>
      <w:r w:rsidRPr="006F6C78">
        <w:rPr>
          <w:rFonts w:ascii="Calibri" w:hAnsi="Calibri" w:cs="Calibri"/>
          <w:sz w:val="24"/>
          <w:szCs w:val="24"/>
        </w:rPr>
        <w:t xml:space="preserve">dez produtos </w:t>
      </w:r>
      <w:r>
        <w:rPr>
          <w:rFonts w:ascii="Calibri" w:hAnsi="Calibri" w:cs="Calibri"/>
          <w:sz w:val="24"/>
          <w:szCs w:val="24"/>
        </w:rPr>
        <w:t>foi</w:t>
      </w:r>
      <w:proofErr w:type="gramEnd"/>
      <w:r w:rsidRPr="006F6C78">
        <w:rPr>
          <w:rFonts w:ascii="Calibri" w:hAnsi="Calibri" w:cs="Calibri"/>
          <w:sz w:val="24"/>
          <w:szCs w:val="24"/>
        </w:rPr>
        <w:t xml:space="preserve"> de 79,0%. Com efeito, pode-se dizer que houve uma desconcentração da pauta exportadora do agronegócio no período em análise. Depois dos dez principais produtos exportados, destacaram-se por aumento do valor absoluto comercializado: fumo não manufaturado (US$ 265,05 milhões; +44,0% ou + US$ 81,02 milhões); </w:t>
      </w:r>
      <w:r>
        <w:rPr>
          <w:rFonts w:ascii="Calibri" w:hAnsi="Calibri" w:cs="Calibri"/>
          <w:sz w:val="24"/>
          <w:szCs w:val="24"/>
        </w:rPr>
        <w:t>miudezas de frango</w:t>
      </w:r>
      <w:r w:rsidRPr="006F6C78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+</w:t>
      </w:r>
      <w:r w:rsidRPr="006F6C78">
        <w:rPr>
          <w:rFonts w:ascii="Calibri" w:hAnsi="Calibri" w:cs="Calibri"/>
          <w:sz w:val="24"/>
          <w:szCs w:val="24"/>
        </w:rPr>
        <w:t xml:space="preserve">US$ </w:t>
      </w:r>
      <w:r>
        <w:rPr>
          <w:rFonts w:ascii="Calibri" w:hAnsi="Calibri" w:cs="Calibri"/>
          <w:sz w:val="24"/>
          <w:szCs w:val="24"/>
        </w:rPr>
        <w:t>77,94</w:t>
      </w:r>
      <w:r w:rsidRPr="006F6C78">
        <w:rPr>
          <w:rFonts w:ascii="Calibri" w:hAnsi="Calibri" w:cs="Calibri"/>
          <w:sz w:val="24"/>
          <w:szCs w:val="24"/>
        </w:rPr>
        <w:t xml:space="preserve"> milhões</w:t>
      </w:r>
      <w:r>
        <w:rPr>
          <w:rFonts w:ascii="Calibri" w:hAnsi="Calibri" w:cs="Calibri"/>
          <w:sz w:val="24"/>
          <w:szCs w:val="24"/>
        </w:rPr>
        <w:t>)</w:t>
      </w:r>
      <w:r w:rsidRPr="006F6C78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Calibri" w:hAnsi="Calibri" w:cs="Calibri"/>
          <w:sz w:val="24"/>
          <w:szCs w:val="24"/>
        </w:rPr>
        <w:t>bovinos vivos</w:t>
      </w:r>
      <w:r w:rsidRPr="006F6C78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 xml:space="preserve">+US$ 64,29 </w:t>
      </w:r>
      <w:r w:rsidRPr="006F6C78">
        <w:rPr>
          <w:rFonts w:ascii="Calibri" w:hAnsi="Calibri" w:cs="Calibri"/>
          <w:sz w:val="24"/>
          <w:szCs w:val="24"/>
        </w:rPr>
        <w:t>milhões</w:t>
      </w:r>
      <w:r>
        <w:rPr>
          <w:rFonts w:ascii="Calibri" w:hAnsi="Calibri" w:cs="Calibri"/>
          <w:sz w:val="24"/>
          <w:szCs w:val="24"/>
        </w:rPr>
        <w:t>)</w:t>
      </w:r>
      <w:r w:rsidRPr="006F6C78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sementes de oleaginosas (exclui soja)</w:t>
      </w:r>
      <w:r w:rsidRPr="006F6C78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+</w:t>
      </w:r>
      <w:r w:rsidRPr="006F6C78">
        <w:rPr>
          <w:rFonts w:ascii="Calibri" w:hAnsi="Calibri" w:cs="Calibri"/>
          <w:sz w:val="24"/>
          <w:szCs w:val="24"/>
        </w:rPr>
        <w:t xml:space="preserve">US$ </w:t>
      </w:r>
      <w:r>
        <w:rPr>
          <w:rFonts w:ascii="Calibri" w:hAnsi="Calibri" w:cs="Calibri"/>
          <w:sz w:val="24"/>
          <w:szCs w:val="24"/>
        </w:rPr>
        <w:t>47,81</w:t>
      </w:r>
      <w:r w:rsidRPr="006F6C78">
        <w:rPr>
          <w:rFonts w:ascii="Calibri" w:hAnsi="Calibri" w:cs="Calibri"/>
          <w:sz w:val="24"/>
          <w:szCs w:val="24"/>
        </w:rPr>
        <w:t xml:space="preserve"> milhões</w:t>
      </w:r>
      <w:r>
        <w:rPr>
          <w:rFonts w:ascii="Calibri" w:hAnsi="Calibri" w:cs="Calibri"/>
          <w:sz w:val="24"/>
          <w:szCs w:val="24"/>
        </w:rPr>
        <w:t>)</w:t>
      </w:r>
      <w:r w:rsidRPr="006F6C78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Calibri" w:hAnsi="Calibri" w:cs="Calibri"/>
          <w:sz w:val="24"/>
          <w:szCs w:val="24"/>
        </w:rPr>
        <w:t>carne suína in natura</w:t>
      </w:r>
      <w:r w:rsidRPr="006F6C78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+</w:t>
      </w:r>
      <w:r w:rsidRPr="006F6C78">
        <w:rPr>
          <w:rFonts w:ascii="Calibri" w:hAnsi="Calibri" w:cs="Calibri"/>
          <w:sz w:val="24"/>
          <w:szCs w:val="24"/>
        </w:rPr>
        <w:t xml:space="preserve">US$ </w:t>
      </w:r>
      <w:r>
        <w:rPr>
          <w:rFonts w:ascii="Calibri" w:hAnsi="Calibri" w:cs="Calibri"/>
          <w:sz w:val="24"/>
          <w:szCs w:val="24"/>
        </w:rPr>
        <w:t>40,66</w:t>
      </w:r>
      <w:r w:rsidRPr="006F6C78">
        <w:rPr>
          <w:rFonts w:ascii="Calibri" w:hAnsi="Calibri" w:cs="Calibri"/>
          <w:sz w:val="24"/>
          <w:szCs w:val="24"/>
        </w:rPr>
        <w:t xml:space="preserve"> milhões</w:t>
      </w:r>
      <w:r>
        <w:rPr>
          <w:rFonts w:ascii="Calibri" w:hAnsi="Calibri" w:cs="Calibri"/>
          <w:sz w:val="24"/>
          <w:szCs w:val="24"/>
        </w:rPr>
        <w:t>)</w:t>
      </w:r>
      <w:r w:rsidRPr="006F6C78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Calibri" w:hAnsi="Calibri" w:cs="Calibri"/>
          <w:sz w:val="24"/>
          <w:szCs w:val="24"/>
        </w:rPr>
        <w:t>e café solúvel</w:t>
      </w:r>
      <w:r w:rsidRPr="006F6C78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+</w:t>
      </w:r>
      <w:r w:rsidRPr="006F6C78">
        <w:rPr>
          <w:rFonts w:ascii="Calibri" w:hAnsi="Calibri" w:cs="Calibri"/>
          <w:sz w:val="24"/>
          <w:szCs w:val="24"/>
        </w:rPr>
        <w:t xml:space="preserve">US$ </w:t>
      </w:r>
      <w:r>
        <w:rPr>
          <w:rFonts w:ascii="Calibri" w:hAnsi="Calibri" w:cs="Calibri"/>
          <w:sz w:val="24"/>
          <w:szCs w:val="24"/>
        </w:rPr>
        <w:t xml:space="preserve">40,30 </w:t>
      </w:r>
      <w:r w:rsidRPr="006F6C78">
        <w:rPr>
          <w:rFonts w:ascii="Calibri" w:hAnsi="Calibri" w:cs="Calibri"/>
          <w:sz w:val="24"/>
          <w:szCs w:val="24"/>
        </w:rPr>
        <w:t>milhões). As vendas externas de bovin</w:t>
      </w:r>
      <w:r>
        <w:rPr>
          <w:rFonts w:ascii="Calibri" w:hAnsi="Calibri" w:cs="Calibri"/>
          <w:sz w:val="24"/>
          <w:szCs w:val="24"/>
        </w:rPr>
        <w:t>o</w:t>
      </w:r>
      <w:r w:rsidRPr="006F6C78">
        <w:rPr>
          <w:rFonts w:ascii="Calibri" w:hAnsi="Calibri" w:cs="Calibri"/>
          <w:sz w:val="24"/>
          <w:szCs w:val="24"/>
        </w:rPr>
        <w:t xml:space="preserve">s vivos, café solúvel, sementes de oleaginosas (exclui soja) e feijões secos bateram recorde de valor exportado da série histórica. </w:t>
      </w:r>
    </w:p>
    <w:p w14:paraId="2BFA8CE0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 xml:space="preserve">As importações de produtos do agropecuários foram de US$ 1,64 bilhão em setembro de 2024 (+ 24,7%). Além dessas importações, diversos outros insumos foram adquiridos para viabilizar a produção do agronegócio no Brasil. Uma relação não extensiva foi apresentada na parte inicial deste texto. Os principais produtos agropecuários importados pelo Brasil em setembro de 2024 foram: trigo (US$ 149,16 milhões; +30,9%); </w:t>
      </w:r>
      <w:r>
        <w:rPr>
          <w:rFonts w:ascii="Calibri" w:hAnsi="Calibri" w:cs="Calibri"/>
          <w:sz w:val="24"/>
          <w:szCs w:val="24"/>
        </w:rPr>
        <w:t xml:space="preserve">papel (US$ 90,22 milhões; +15,3%); </w:t>
      </w:r>
      <w:r w:rsidRPr="006F6C78">
        <w:rPr>
          <w:rFonts w:ascii="Calibri" w:hAnsi="Calibri" w:cs="Calibri"/>
          <w:sz w:val="24"/>
          <w:szCs w:val="24"/>
        </w:rPr>
        <w:t>azeite de oliva (US$ 68,24 milhões; +39,3%); salmões (US$ 67,76 milhões; +19,7%); malte (US$ 58,77 milhões; -10,2%); vinho (US$ 51,81 milhões; +32,7%); arroz (US$ 48,</w:t>
      </w:r>
      <w:r>
        <w:rPr>
          <w:rFonts w:ascii="Calibri" w:hAnsi="Calibri" w:cs="Calibri"/>
          <w:sz w:val="24"/>
          <w:szCs w:val="24"/>
        </w:rPr>
        <w:t>94</w:t>
      </w:r>
      <w:r w:rsidRPr="006F6C78">
        <w:rPr>
          <w:rFonts w:ascii="Calibri" w:hAnsi="Calibri" w:cs="Calibri"/>
          <w:sz w:val="24"/>
          <w:szCs w:val="24"/>
        </w:rPr>
        <w:t xml:space="preserve"> milhões; +8,1%)</w:t>
      </w:r>
      <w:r>
        <w:rPr>
          <w:rFonts w:ascii="Calibri" w:hAnsi="Calibri" w:cs="Calibri"/>
          <w:sz w:val="24"/>
          <w:szCs w:val="24"/>
        </w:rPr>
        <w:t>; leite em pó (US$ 48,63 milhões; +4,6%); e óleo de palma (US$ 39,96 milhões; +45,2%)</w:t>
      </w:r>
      <w:r w:rsidRPr="006F6C78">
        <w:rPr>
          <w:rFonts w:ascii="Calibri" w:hAnsi="Calibri" w:cs="Calibri"/>
          <w:sz w:val="24"/>
          <w:szCs w:val="24"/>
        </w:rPr>
        <w:t xml:space="preserve">. </w:t>
      </w:r>
    </w:p>
    <w:p w14:paraId="7EA901D4" w14:textId="49E39D95" w:rsidR="001C2663" w:rsidRPr="0055277C" w:rsidRDefault="001C2663" w:rsidP="001C2663">
      <w:pPr>
        <w:jc w:val="both"/>
        <w:rPr>
          <w:iCs/>
        </w:rPr>
      </w:pPr>
    </w:p>
    <w:p w14:paraId="23129B37" w14:textId="5B9F05A9" w:rsidR="00ED45B4" w:rsidRDefault="00ED45B4" w:rsidP="00BD370B">
      <w:pPr>
        <w:jc w:val="both"/>
      </w:pPr>
    </w:p>
    <w:p w14:paraId="6FC3713F" w14:textId="1D4E02F5" w:rsidR="00080C6A" w:rsidRDefault="009F1416" w:rsidP="00826BB9">
      <w:pPr>
        <w:jc w:val="both"/>
      </w:pPr>
      <w:r w:rsidRPr="009F1416">
        <w:rPr>
          <w:noProof/>
        </w:rPr>
        <w:lastRenderedPageBreak/>
        <w:drawing>
          <wp:inline distT="0" distB="0" distL="0" distR="0" wp14:anchorId="54D432B7" wp14:editId="1CCBA56D">
            <wp:extent cx="6188710" cy="3987800"/>
            <wp:effectExtent l="0" t="0" r="2540" b="0"/>
            <wp:docPr id="1534427483" name="Imagem 1" descr="Interface gráfica do usuári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27483" name="Imagem 1" descr="Interface gráfica do usuário, Tabel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264FF" w14:textId="77777777" w:rsidR="00802DDC" w:rsidRPr="00A00D39" w:rsidRDefault="00802DDC" w:rsidP="00826BB9">
      <w:pPr>
        <w:jc w:val="both"/>
      </w:pPr>
    </w:p>
    <w:p w14:paraId="40A34FE9" w14:textId="57B77C03" w:rsidR="00826BB9" w:rsidRDefault="00826BB9" w:rsidP="00826BB9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I.b</w:t>
      </w:r>
      <w:proofErr w:type="spellEnd"/>
      <w:r w:rsidRPr="00C21CE0">
        <w:rPr>
          <w:b/>
          <w:bCs/>
        </w:rPr>
        <w:t xml:space="preserve"> – Blocos Econômicos e Regiões Geográficas</w:t>
      </w:r>
    </w:p>
    <w:p w14:paraId="2ED4985B" w14:textId="4773953C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 xml:space="preserve">A Ásia é a principal região importadora do agronegócio brasileiro, tendo adquirido US$ 6,33 bilhões em setembro de 2024 (-17,9%). O valor representou 44,6% do valor total exportado pelo setor. Os cinco principais produtos exportados para a Ásia foram: soja em grãos (US$ 2,23 bilhões; -24,5%); carne bovina </w:t>
      </w:r>
      <w:r w:rsidRPr="006F6C78">
        <w:rPr>
          <w:rFonts w:ascii="Calibri" w:hAnsi="Calibri" w:cs="Calibri"/>
          <w:i/>
          <w:iCs/>
          <w:sz w:val="24"/>
          <w:szCs w:val="24"/>
        </w:rPr>
        <w:t>in natura</w:t>
      </w:r>
      <w:r w:rsidRPr="006F6C78">
        <w:rPr>
          <w:rFonts w:ascii="Calibri" w:hAnsi="Calibri" w:cs="Calibri"/>
          <w:sz w:val="24"/>
          <w:szCs w:val="24"/>
        </w:rPr>
        <w:t xml:space="preserve"> (US$ 673,39 milhões; +4,0%); milho (US$ 610,65 milhões; -50,7%); açúcar de cana em bruto (US$ 562,98 milhões; -17,3%); e celulose (US$ 507,18 milhões; +24,7%). A queda nas exportações de grãos (soja em grãos e milho) teve queda agregada de US$ 1,35 bilhão, praticamente o mesmo valor da queda geral das vendas à Ásia, que foi de US$ 1,38 bilhão.</w:t>
      </w:r>
    </w:p>
    <w:p w14:paraId="2CE5B041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>Por sua vez, as vendas à União Europeia subiram de US$ 1,74 bilhão em setembro de 2023 para US$ 2,14 bilh</w:t>
      </w:r>
      <w:r>
        <w:rPr>
          <w:rFonts w:ascii="Calibri" w:hAnsi="Calibri" w:cs="Calibri"/>
          <w:sz w:val="24"/>
          <w:szCs w:val="24"/>
        </w:rPr>
        <w:t>ões</w:t>
      </w:r>
      <w:r w:rsidRPr="006F6C78">
        <w:rPr>
          <w:rFonts w:ascii="Calibri" w:hAnsi="Calibri" w:cs="Calibri"/>
          <w:sz w:val="24"/>
          <w:szCs w:val="24"/>
        </w:rPr>
        <w:t xml:space="preserve"> em setembro de 2024 (+22,9%). Este incremento result</w:t>
      </w:r>
      <w:r>
        <w:rPr>
          <w:rFonts w:ascii="Calibri" w:hAnsi="Calibri" w:cs="Calibri"/>
          <w:sz w:val="24"/>
          <w:szCs w:val="24"/>
        </w:rPr>
        <w:t>ou</w:t>
      </w:r>
      <w:r w:rsidRPr="006F6C78">
        <w:rPr>
          <w:rFonts w:ascii="Calibri" w:hAnsi="Calibri" w:cs="Calibri"/>
          <w:sz w:val="24"/>
          <w:szCs w:val="24"/>
        </w:rPr>
        <w:t xml:space="preserve"> em elevação de 2,4 pontos percentuais de participação do bloco, que ficou com </w:t>
      </w:r>
      <w:r>
        <w:rPr>
          <w:rFonts w:ascii="Calibri" w:hAnsi="Calibri" w:cs="Calibri"/>
          <w:sz w:val="24"/>
          <w:szCs w:val="24"/>
        </w:rPr>
        <w:t>1</w:t>
      </w:r>
      <w:r w:rsidRPr="006F6C78">
        <w:rPr>
          <w:rFonts w:ascii="Calibri" w:hAnsi="Calibri" w:cs="Calibri"/>
          <w:sz w:val="24"/>
          <w:szCs w:val="24"/>
        </w:rPr>
        <w:t xml:space="preserve">5,1% de </w:t>
      </w:r>
      <w:proofErr w:type="spellStart"/>
      <w:r w:rsidRPr="00FC6BC6">
        <w:rPr>
          <w:rFonts w:ascii="Calibri" w:hAnsi="Calibri" w:cs="Calibri"/>
          <w:i/>
          <w:iCs/>
          <w:sz w:val="24"/>
          <w:szCs w:val="24"/>
        </w:rPr>
        <w:t>share</w:t>
      </w:r>
      <w:proofErr w:type="spellEnd"/>
      <w:r w:rsidRPr="006F6C78">
        <w:rPr>
          <w:rFonts w:ascii="Calibri" w:hAnsi="Calibri" w:cs="Calibri"/>
          <w:sz w:val="24"/>
          <w:szCs w:val="24"/>
        </w:rPr>
        <w:t xml:space="preserve"> no período em análise. Três produtos explicam o aumento das exportações ao bloco europeu: café verde (US$ 557,38 milhões; +151,5% ou + US$ 335,80 milhões de elevação em valores absolutos); celulose (US$ 233,41</w:t>
      </w:r>
      <w:r>
        <w:rPr>
          <w:rFonts w:ascii="Calibri" w:hAnsi="Calibri" w:cs="Calibri"/>
          <w:sz w:val="24"/>
          <w:szCs w:val="24"/>
        </w:rPr>
        <w:t xml:space="preserve"> </w:t>
      </w:r>
      <w:r w:rsidRPr="006F6C78">
        <w:rPr>
          <w:rFonts w:ascii="Calibri" w:hAnsi="Calibri" w:cs="Calibri"/>
          <w:sz w:val="24"/>
          <w:szCs w:val="24"/>
        </w:rPr>
        <w:t xml:space="preserve">milhões; +102,0% ou + US$ 117,85 milhões em valores absolutos); e soja em grãos (US$ 196,99 milhões; +163,9% ou + US$ 122,35 milhões em valores absolutos). </w:t>
      </w:r>
    </w:p>
    <w:p w14:paraId="34B80F43" w14:textId="346B4805" w:rsidR="001C2663" w:rsidRDefault="0055277C" w:rsidP="001C2663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 xml:space="preserve">A região geográfica com maior elevação de participação relativa nas exportações brasileiras do agronegócio foi a África. O continente subiu as aquisições de US$ 879,48 milhões em setembro de 2023 para US$ 1,34 bilhão em setembro de 2024 (+52,9%), passando de um </w:t>
      </w:r>
      <w:proofErr w:type="spellStart"/>
      <w:r w:rsidRPr="006F6C78">
        <w:rPr>
          <w:rFonts w:ascii="Calibri" w:hAnsi="Calibri" w:cs="Calibri"/>
          <w:i/>
          <w:iCs/>
          <w:sz w:val="24"/>
          <w:szCs w:val="24"/>
        </w:rPr>
        <w:t>market</w:t>
      </w:r>
      <w:proofErr w:type="spellEnd"/>
      <w:r w:rsidRPr="006F6C78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6F6C78">
        <w:rPr>
          <w:rFonts w:ascii="Calibri" w:hAnsi="Calibri" w:cs="Calibri"/>
          <w:i/>
          <w:iCs/>
          <w:sz w:val="24"/>
          <w:szCs w:val="24"/>
        </w:rPr>
        <w:t>share</w:t>
      </w:r>
      <w:proofErr w:type="spellEnd"/>
      <w:r w:rsidRPr="006F6C78">
        <w:rPr>
          <w:rFonts w:ascii="Calibri" w:hAnsi="Calibri" w:cs="Calibri"/>
          <w:sz w:val="24"/>
          <w:szCs w:val="24"/>
        </w:rPr>
        <w:t xml:space="preserve"> de 6,4</w:t>
      </w:r>
      <w:r>
        <w:rPr>
          <w:rFonts w:ascii="Calibri" w:hAnsi="Calibri" w:cs="Calibri"/>
          <w:sz w:val="24"/>
          <w:szCs w:val="24"/>
        </w:rPr>
        <w:t>%</w:t>
      </w:r>
      <w:r w:rsidRPr="006F6C78">
        <w:rPr>
          <w:rFonts w:ascii="Calibri" w:hAnsi="Calibri" w:cs="Calibri"/>
          <w:sz w:val="24"/>
          <w:szCs w:val="24"/>
        </w:rPr>
        <w:t xml:space="preserve"> em setembro de 2023 para 9,5</w:t>
      </w:r>
      <w:r>
        <w:rPr>
          <w:rFonts w:ascii="Calibri" w:hAnsi="Calibri" w:cs="Calibri"/>
          <w:sz w:val="24"/>
          <w:szCs w:val="24"/>
        </w:rPr>
        <w:t>%</w:t>
      </w:r>
      <w:r w:rsidRPr="006F6C78">
        <w:rPr>
          <w:rFonts w:ascii="Calibri" w:hAnsi="Calibri" w:cs="Calibri"/>
          <w:sz w:val="24"/>
          <w:szCs w:val="24"/>
        </w:rPr>
        <w:t xml:space="preserve"> em setembro de 2024 (+ 3,1 pontos percentuais). Dois produtos explicam uma parte significativa do incremento da participação relativa da África: açúcar de cana em </w:t>
      </w:r>
      <w:r w:rsidRPr="006F6C78">
        <w:rPr>
          <w:rFonts w:ascii="Calibri" w:hAnsi="Calibri" w:cs="Calibri"/>
          <w:sz w:val="24"/>
          <w:szCs w:val="24"/>
        </w:rPr>
        <w:lastRenderedPageBreak/>
        <w:t>bruto (US$ 499,13 milhões; +</w:t>
      </w:r>
      <w:r>
        <w:rPr>
          <w:rFonts w:ascii="Calibri" w:hAnsi="Calibri" w:cs="Calibri"/>
          <w:sz w:val="24"/>
          <w:szCs w:val="24"/>
        </w:rPr>
        <w:t>46,6</w:t>
      </w:r>
      <w:r w:rsidRPr="006F6C78">
        <w:rPr>
          <w:rFonts w:ascii="Calibri" w:hAnsi="Calibri" w:cs="Calibri"/>
          <w:sz w:val="24"/>
          <w:szCs w:val="24"/>
        </w:rPr>
        <w:t>% ou + US$ 158,59 milhões em valores absolutos) e milho (US$ 287,58 milhões; +142,1% ou + US$ 16</w:t>
      </w:r>
      <w:r>
        <w:rPr>
          <w:rFonts w:ascii="Calibri" w:hAnsi="Calibri" w:cs="Calibri"/>
          <w:sz w:val="24"/>
          <w:szCs w:val="24"/>
        </w:rPr>
        <w:t>8</w:t>
      </w:r>
      <w:r w:rsidRPr="006F6C78">
        <w:rPr>
          <w:rFonts w:ascii="Calibri" w:hAnsi="Calibri" w:cs="Calibri"/>
          <w:sz w:val="24"/>
          <w:szCs w:val="24"/>
        </w:rPr>
        <w:t xml:space="preserve">,78 milhões em valores absolutos). </w:t>
      </w:r>
    </w:p>
    <w:p w14:paraId="109B7064" w14:textId="3E74D976" w:rsidR="00ED1236" w:rsidRDefault="009F1416" w:rsidP="0066725D">
      <w:pPr>
        <w:jc w:val="both"/>
      </w:pPr>
      <w:r w:rsidRPr="009F1416">
        <w:rPr>
          <w:noProof/>
        </w:rPr>
        <w:drawing>
          <wp:inline distT="0" distB="0" distL="0" distR="0" wp14:anchorId="23C74FEC" wp14:editId="49CD0812">
            <wp:extent cx="6188710" cy="2475230"/>
            <wp:effectExtent l="0" t="0" r="2540" b="1270"/>
            <wp:docPr id="428981841" name="Imagem 1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981841" name="Imagem 1" descr="Interface gráfica do usuário, Texto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3B577" w14:textId="55EDFBA8" w:rsidR="0066725D" w:rsidRDefault="0066725D" w:rsidP="0066725D">
      <w:pPr>
        <w:jc w:val="both"/>
        <w:rPr>
          <w:b/>
          <w:bCs/>
        </w:rPr>
      </w:pPr>
      <w:proofErr w:type="spellStart"/>
      <w:r w:rsidRPr="009A094C">
        <w:rPr>
          <w:b/>
          <w:bCs/>
        </w:rPr>
        <w:t>I.</w:t>
      </w:r>
      <w:r>
        <w:rPr>
          <w:b/>
          <w:bCs/>
        </w:rPr>
        <w:t>c</w:t>
      </w:r>
      <w:proofErr w:type="spellEnd"/>
      <w:r w:rsidRPr="009A094C">
        <w:rPr>
          <w:b/>
          <w:bCs/>
        </w:rPr>
        <w:t xml:space="preserve"> – </w:t>
      </w:r>
      <w:r>
        <w:rPr>
          <w:b/>
          <w:bCs/>
        </w:rPr>
        <w:t>Países</w:t>
      </w:r>
    </w:p>
    <w:p w14:paraId="197C6B14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 xml:space="preserve">A Tabela 3 – Exportações do Agronegócio por Países – possui as estatísticas dos vinte principais países importadores de produtos do agronegócio brasileiro em setembro de 2023 e 2024. Estes vinte mercados foram responsáveis por 72,7% de todo o valor exportado pelo Brasil em produtos do setor. A queda da participação da China diminuiu o </w:t>
      </w:r>
      <w:proofErr w:type="spellStart"/>
      <w:r w:rsidRPr="006F6C78">
        <w:rPr>
          <w:rFonts w:ascii="Calibri" w:hAnsi="Calibri" w:cs="Calibri"/>
          <w:sz w:val="24"/>
          <w:szCs w:val="24"/>
        </w:rPr>
        <w:t>market</w:t>
      </w:r>
      <w:proofErr w:type="spellEnd"/>
      <w:r w:rsidRPr="006F6C7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F6C78">
        <w:rPr>
          <w:rFonts w:ascii="Calibri" w:hAnsi="Calibri" w:cs="Calibri"/>
          <w:sz w:val="24"/>
          <w:szCs w:val="24"/>
        </w:rPr>
        <w:t>share</w:t>
      </w:r>
      <w:proofErr w:type="spellEnd"/>
      <w:r w:rsidRPr="006F6C78">
        <w:rPr>
          <w:rFonts w:ascii="Calibri" w:hAnsi="Calibri" w:cs="Calibri"/>
          <w:sz w:val="24"/>
          <w:szCs w:val="24"/>
        </w:rPr>
        <w:t xml:space="preserve"> desses vinte mercados, que em setembro de 2023 possuíam 74,8% de participação nas vendas externas do agronegócio brasileiro. </w:t>
      </w:r>
    </w:p>
    <w:p w14:paraId="55248D8B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 xml:space="preserve">Em setembro de 2024, a China reduziu em 32,4% as aquisições de produtos do agronegócio brasileiro, importando US$ 3,50 bilhões. A queda nas vendas reduziu a participação da China para 24,7% ou cerca de um quarto de todo o valor exportado pelo agronegócio brasileiro. Os dois principais produtos que explicam, em grande parte, a redução das vendas à China foram a soja em grãos e o milho. No caso da soja em grãos, as exportações diminuíram de US$ 2,63 bilhões em setembro de 2023 para US$ 1,83 bilhão em setembro de 2024 (-30,6% ou – US$ 805,11 </w:t>
      </w:r>
      <w:r>
        <w:rPr>
          <w:rFonts w:ascii="Calibri" w:hAnsi="Calibri" w:cs="Calibri"/>
          <w:sz w:val="24"/>
          <w:szCs w:val="24"/>
        </w:rPr>
        <w:t xml:space="preserve">milhões </w:t>
      </w:r>
      <w:r w:rsidRPr="006F6C78">
        <w:rPr>
          <w:rFonts w:ascii="Calibri" w:hAnsi="Calibri" w:cs="Calibri"/>
          <w:sz w:val="24"/>
          <w:szCs w:val="24"/>
        </w:rPr>
        <w:t xml:space="preserve">em </w:t>
      </w:r>
      <w:r>
        <w:rPr>
          <w:rFonts w:ascii="Calibri" w:hAnsi="Calibri" w:cs="Calibri"/>
          <w:sz w:val="24"/>
          <w:szCs w:val="24"/>
        </w:rPr>
        <w:t>termos</w:t>
      </w:r>
      <w:r w:rsidRPr="006F6C78">
        <w:rPr>
          <w:rFonts w:ascii="Calibri" w:hAnsi="Calibri" w:cs="Calibri"/>
          <w:sz w:val="24"/>
          <w:szCs w:val="24"/>
        </w:rPr>
        <w:t xml:space="preserve"> absolutos). Houve redução do volume exportado da oleaginosa em 15,3%, que diminuiu </w:t>
      </w:r>
      <w:r>
        <w:rPr>
          <w:rFonts w:ascii="Calibri" w:hAnsi="Calibri" w:cs="Calibri"/>
          <w:sz w:val="24"/>
          <w:szCs w:val="24"/>
        </w:rPr>
        <w:t>a quantidade</w:t>
      </w:r>
      <w:r w:rsidRPr="006F6C78">
        <w:rPr>
          <w:rFonts w:ascii="Calibri" w:hAnsi="Calibri" w:cs="Calibri"/>
          <w:sz w:val="24"/>
          <w:szCs w:val="24"/>
        </w:rPr>
        <w:t xml:space="preserve"> de 5,09 milhões de toneladas em setembro de 2023 para 4,31 milhões de toneladas em setembro de 2024. Apesar da queda, a China ainda participou com 70,6% do volume total exportado pelo Brasil de soja em grãos. É importante salientar que houve queda (-4,5%) no volume exportado pelo Brasil para todos os países em setembro e que no acumulado do ano há aumento de volume exportado para a China, análise que será feita no referido período. Outro fator que levou a redução das exportações para a China foi a brusca diminuição das exportações de milho. Em setembro de 2023, a China importou US$ 723,57 milhões de milho ou o equivalente a 3,29 milhões de toneladas. Como a China é a segunda maior produtora do cereal e aumento</w:t>
      </w:r>
      <w:r>
        <w:rPr>
          <w:rFonts w:ascii="Calibri" w:hAnsi="Calibri" w:cs="Calibri"/>
          <w:sz w:val="24"/>
          <w:szCs w:val="24"/>
        </w:rPr>
        <w:t>u</w:t>
      </w:r>
      <w:r w:rsidRPr="006F6C78">
        <w:rPr>
          <w:rFonts w:ascii="Calibri" w:hAnsi="Calibri" w:cs="Calibri"/>
          <w:sz w:val="24"/>
          <w:szCs w:val="24"/>
        </w:rPr>
        <w:t xml:space="preserve"> a oferta doméstica em 11 milhões de toneladas, as vendas de milho para o mercado chinês diminuíram para US$ 29,23 milhões ou o equivalente a 151,32 mil toneladas em setembro de 2024. Em termos absolutos, a queda das exportações de milho foi de US$ 694,34 milhões. Somente a soma da redução das exportações desses dois grãos (soja e milho), já explica a queda de US$ 1,50 bilhão nas vendas à China. </w:t>
      </w:r>
    </w:p>
    <w:p w14:paraId="7656FEEF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 xml:space="preserve">Os Estados Unidos aumentaram as aquisições de produtos do agronegócio brasileiro de US$ 746,34 milhões em setembro de 2023 para US$ 1,14 bilhão em setembro de 2024 (+52,4%). Três produtos </w:t>
      </w:r>
      <w:r w:rsidRPr="006F6C78">
        <w:rPr>
          <w:rFonts w:ascii="Calibri" w:hAnsi="Calibri" w:cs="Calibri"/>
          <w:sz w:val="24"/>
          <w:szCs w:val="24"/>
        </w:rPr>
        <w:lastRenderedPageBreak/>
        <w:t xml:space="preserve">tiveram aquisições acima de cem milhões de dólares: celulose (US$ 151,97 milhões; +122,8% com elevação de 55,9% na quantidade embarcada e de 42,9% nos preços médios de exportação); café verde (US$ 148,77 milhões; +75,5% com elevação de 25,3% na quantidade embarcada e de 40,0% nos preços médios de exportação); e carne bovina </w:t>
      </w:r>
      <w:r w:rsidRPr="006F6C78">
        <w:rPr>
          <w:rFonts w:ascii="Calibri" w:hAnsi="Calibri" w:cs="Calibri"/>
          <w:i/>
          <w:iCs/>
          <w:sz w:val="24"/>
          <w:szCs w:val="24"/>
        </w:rPr>
        <w:t>in natura</w:t>
      </w:r>
      <w:r w:rsidRPr="006F6C78">
        <w:rPr>
          <w:rFonts w:ascii="Calibri" w:hAnsi="Calibri" w:cs="Calibri"/>
          <w:sz w:val="24"/>
          <w:szCs w:val="24"/>
        </w:rPr>
        <w:t xml:space="preserve"> (US$ 101,04</w:t>
      </w:r>
      <w:r>
        <w:rPr>
          <w:rFonts w:ascii="Calibri" w:hAnsi="Calibri" w:cs="Calibri"/>
          <w:sz w:val="24"/>
          <w:szCs w:val="24"/>
        </w:rPr>
        <w:t xml:space="preserve"> milhões</w:t>
      </w:r>
      <w:r w:rsidRPr="006F6C78">
        <w:rPr>
          <w:rFonts w:ascii="Calibri" w:hAnsi="Calibri" w:cs="Calibri"/>
          <w:sz w:val="24"/>
          <w:szCs w:val="24"/>
        </w:rPr>
        <w:t xml:space="preserve">; +458,0% com elevação de 465,8% na quantidade embarcada e queda de 1,4% nos preços médios de exportação). Outros produtos com aumento absoluto de mais de US$ 10 milhões das exportações aos Estados Unidos foram: fumo não manufaturado (US$ 50,21 milhões; +273,0% ou + US$ 36,75 milhões em valores absolutos); açúcar refinado (US$ 38,40 milhões; +120,7% ou + US$ 21,00 milhões em valores absolutos); açúcar de cana em bruto (US$ 52,74 milhões; +39,0% ou + US$ 14,80 milhões em valores absolutos); e carne bovina industrializada (US$ 37,83 milhões; +44,6% ou + US$ 11,67 milhões em valores absolutos). </w:t>
      </w:r>
    </w:p>
    <w:p w14:paraId="027F172E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>O Egito aumento a participação nas exportações brasileiras do agronegócio em 1,</w:t>
      </w:r>
      <w:r>
        <w:rPr>
          <w:rFonts w:ascii="Calibri" w:hAnsi="Calibri" w:cs="Calibri"/>
          <w:sz w:val="24"/>
          <w:szCs w:val="24"/>
        </w:rPr>
        <w:t>5</w:t>
      </w:r>
      <w:r w:rsidRPr="006F6C78">
        <w:rPr>
          <w:rFonts w:ascii="Calibri" w:hAnsi="Calibri" w:cs="Calibri"/>
          <w:sz w:val="24"/>
          <w:szCs w:val="24"/>
        </w:rPr>
        <w:t xml:space="preserve"> ponto percentua</w:t>
      </w:r>
      <w:r>
        <w:rPr>
          <w:rFonts w:ascii="Calibri" w:hAnsi="Calibri" w:cs="Calibri"/>
          <w:sz w:val="24"/>
          <w:szCs w:val="24"/>
        </w:rPr>
        <w:t>l</w:t>
      </w:r>
      <w:r w:rsidRPr="006F6C78">
        <w:rPr>
          <w:rFonts w:ascii="Calibri" w:hAnsi="Calibri" w:cs="Calibri"/>
          <w:sz w:val="24"/>
          <w:szCs w:val="24"/>
        </w:rPr>
        <w:t>, passando de 1,5% para 3,0% de participação ou o equivalente em valor a US$ 431,15 milhões. As vendas sumiram 103,6% para o mercado do Egito. O principal produto responsáve</w:t>
      </w:r>
      <w:r>
        <w:rPr>
          <w:rFonts w:ascii="Calibri" w:hAnsi="Calibri" w:cs="Calibri"/>
          <w:sz w:val="24"/>
          <w:szCs w:val="24"/>
        </w:rPr>
        <w:t>l</w:t>
      </w:r>
      <w:r w:rsidRPr="006F6C78">
        <w:rPr>
          <w:rFonts w:ascii="Calibri" w:hAnsi="Calibri" w:cs="Calibri"/>
          <w:sz w:val="24"/>
          <w:szCs w:val="24"/>
        </w:rPr>
        <w:t xml:space="preserve"> por esse incremento nas exportações ao Egito foi o milho. As vendas do cereal subiram de US$ 30,04 milhões em setembro de 2023 para US$ 181,16 milhões em setembro de 2024 (503,0% ou + US$ 151,11 em valores absolutos, sendo 541,1% o aumento do volume). Mais dois produtos tiveram aumento de valor absoluto exportado acima de US$ 10 milhões: fumo não manufaturado (US$ 38,30 milhões; + 625,4% ou + US$ 33,02 </w:t>
      </w:r>
      <w:r>
        <w:rPr>
          <w:rFonts w:ascii="Calibri" w:hAnsi="Calibri" w:cs="Calibri"/>
          <w:sz w:val="24"/>
          <w:szCs w:val="24"/>
        </w:rPr>
        <w:t xml:space="preserve">milhões </w:t>
      </w:r>
      <w:r w:rsidRPr="006F6C78">
        <w:rPr>
          <w:rFonts w:ascii="Calibri" w:hAnsi="Calibri" w:cs="Calibri"/>
          <w:sz w:val="24"/>
          <w:szCs w:val="24"/>
        </w:rPr>
        <w:t xml:space="preserve">em valores absolutos); e carne bovina </w:t>
      </w:r>
      <w:r w:rsidRPr="006F6C78">
        <w:rPr>
          <w:rFonts w:ascii="Calibri" w:hAnsi="Calibri" w:cs="Calibri"/>
          <w:i/>
          <w:iCs/>
          <w:sz w:val="24"/>
          <w:szCs w:val="24"/>
        </w:rPr>
        <w:t>in natura</w:t>
      </w:r>
      <w:r w:rsidRPr="006F6C78">
        <w:rPr>
          <w:rFonts w:ascii="Calibri" w:hAnsi="Calibri" w:cs="Calibri"/>
          <w:sz w:val="24"/>
          <w:szCs w:val="24"/>
        </w:rPr>
        <w:t xml:space="preserve"> (US$ </w:t>
      </w:r>
      <w:r>
        <w:rPr>
          <w:rFonts w:ascii="Calibri" w:hAnsi="Calibri" w:cs="Calibri"/>
          <w:sz w:val="24"/>
          <w:szCs w:val="24"/>
        </w:rPr>
        <w:t>33,85</w:t>
      </w:r>
      <w:r w:rsidRPr="006F6C78">
        <w:rPr>
          <w:rFonts w:ascii="Calibri" w:hAnsi="Calibri" w:cs="Calibri"/>
          <w:sz w:val="24"/>
          <w:szCs w:val="24"/>
        </w:rPr>
        <w:t xml:space="preserve"> milhões; +114,3% ou + US$ 18,05 </w:t>
      </w:r>
      <w:r>
        <w:rPr>
          <w:rFonts w:ascii="Calibri" w:hAnsi="Calibri" w:cs="Calibri"/>
          <w:sz w:val="24"/>
          <w:szCs w:val="24"/>
        </w:rPr>
        <w:t xml:space="preserve">milhões </w:t>
      </w:r>
      <w:r w:rsidRPr="006F6C78">
        <w:rPr>
          <w:rFonts w:ascii="Calibri" w:hAnsi="Calibri" w:cs="Calibri"/>
          <w:sz w:val="24"/>
          <w:szCs w:val="24"/>
        </w:rPr>
        <w:t xml:space="preserve">em </w:t>
      </w:r>
      <w:r>
        <w:rPr>
          <w:rFonts w:ascii="Calibri" w:hAnsi="Calibri" w:cs="Calibri"/>
          <w:sz w:val="24"/>
          <w:szCs w:val="24"/>
        </w:rPr>
        <w:t>termos</w:t>
      </w:r>
      <w:r w:rsidRPr="006F6C78">
        <w:rPr>
          <w:rFonts w:ascii="Calibri" w:hAnsi="Calibri" w:cs="Calibri"/>
          <w:sz w:val="24"/>
          <w:szCs w:val="24"/>
        </w:rPr>
        <w:t xml:space="preserve"> absolutos). </w:t>
      </w:r>
    </w:p>
    <w:p w14:paraId="60A8F908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 xml:space="preserve">Outro país com elevação de </w:t>
      </w:r>
      <w:proofErr w:type="spellStart"/>
      <w:r w:rsidRPr="006F6C78">
        <w:rPr>
          <w:rFonts w:ascii="Calibri" w:hAnsi="Calibri" w:cs="Calibri"/>
          <w:i/>
          <w:iCs/>
          <w:sz w:val="24"/>
          <w:szCs w:val="24"/>
        </w:rPr>
        <w:t>share</w:t>
      </w:r>
      <w:proofErr w:type="spellEnd"/>
      <w:r w:rsidRPr="006F6C78">
        <w:rPr>
          <w:rFonts w:ascii="Calibri" w:hAnsi="Calibri" w:cs="Calibri"/>
          <w:sz w:val="24"/>
          <w:szCs w:val="24"/>
        </w:rPr>
        <w:t xml:space="preserve"> de quase 1% foi a Alemanha (+0,97 ponto percentual), atingindo 2,1% de participação nas exportações brasileiras do agronegócio. Houve elevação expressiva de exportaç</w:t>
      </w:r>
      <w:r>
        <w:rPr>
          <w:rFonts w:ascii="Calibri" w:hAnsi="Calibri" w:cs="Calibri"/>
          <w:sz w:val="24"/>
          <w:szCs w:val="24"/>
        </w:rPr>
        <w:t>ões</w:t>
      </w:r>
      <w:r w:rsidRPr="006F6C78">
        <w:rPr>
          <w:rFonts w:ascii="Calibri" w:hAnsi="Calibri" w:cs="Calibri"/>
          <w:sz w:val="24"/>
          <w:szCs w:val="24"/>
        </w:rPr>
        <w:t xml:space="preserve"> de café verde ao país, que passaram de US$ 71,06 milhões em setembro de 2023 para US$ 162,85 milhões em setembro de 2024 (+129,2%, sendo 74,8% em volume e 31,1% nos preços médios de exportação; a elevação nas exportações de café verde foram de US$ 91,79 milhões em valores absolutos). </w:t>
      </w:r>
    </w:p>
    <w:p w14:paraId="4D668006" w14:textId="77777777" w:rsidR="0055277C" w:rsidRPr="006F6C78" w:rsidRDefault="0055277C" w:rsidP="0055277C">
      <w:pPr>
        <w:jc w:val="both"/>
        <w:rPr>
          <w:rFonts w:ascii="Calibri" w:hAnsi="Calibri" w:cs="Calibri"/>
          <w:sz w:val="24"/>
          <w:szCs w:val="24"/>
        </w:rPr>
      </w:pPr>
      <w:r w:rsidRPr="006F6C78">
        <w:rPr>
          <w:rFonts w:ascii="Calibri" w:hAnsi="Calibri" w:cs="Calibri"/>
          <w:sz w:val="24"/>
          <w:szCs w:val="24"/>
        </w:rPr>
        <w:t xml:space="preserve">Por fim, a Indonésia apresentou elevação de 0,9 ponto percentual de participação nas exportações brasileiras do agronegócio. O país elevou as aquisições em 50,9%, passando a US$ 410,35 milhões exportados. O principal produto exportado para a Indonésia foi o açúcar de cana em bruto (US$ 202,53 milhões; +75,9% ou + US$ 87,37 milhões em valores absolutos). Outro produto relevante da pauta foi o farelo de soja, com US$ 122,15 milhões (+ 38,6% ou + US$ 34,02 milhões). </w:t>
      </w:r>
    </w:p>
    <w:p w14:paraId="20EF4954" w14:textId="57F74F9B" w:rsidR="00080C6A" w:rsidRDefault="009F1416" w:rsidP="00C51F2D">
      <w:pPr>
        <w:jc w:val="both"/>
      </w:pPr>
      <w:r w:rsidRPr="009F1416">
        <w:rPr>
          <w:noProof/>
        </w:rPr>
        <w:lastRenderedPageBreak/>
        <w:drawing>
          <wp:inline distT="0" distB="0" distL="0" distR="0" wp14:anchorId="45B5DE13" wp14:editId="080111A9">
            <wp:extent cx="6188710" cy="4089400"/>
            <wp:effectExtent l="0" t="0" r="2540" b="6350"/>
            <wp:docPr id="663511720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511720" name="Imagem 1" descr="Tabel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C48BF" w14:textId="77777777" w:rsidR="00802DDC" w:rsidRDefault="00802DDC" w:rsidP="00C51F2D">
      <w:pPr>
        <w:jc w:val="both"/>
      </w:pPr>
    </w:p>
    <w:p w14:paraId="1D9321BC" w14:textId="692CB879" w:rsidR="00C51F2D" w:rsidRDefault="00C51F2D" w:rsidP="00C51F2D">
      <w:pPr>
        <w:jc w:val="both"/>
        <w:rPr>
          <w:b/>
          <w:bCs/>
        </w:rPr>
      </w:pPr>
      <w:r w:rsidRPr="008518ED">
        <w:rPr>
          <w:b/>
          <w:bCs/>
        </w:rPr>
        <w:t xml:space="preserve">II – Resultados do Acumulado do Ano (comparativo </w:t>
      </w:r>
      <w:proofErr w:type="gramStart"/>
      <w:r w:rsidRPr="008518ED">
        <w:rPr>
          <w:b/>
          <w:bCs/>
        </w:rPr>
        <w:t>Janeiro</w:t>
      </w:r>
      <w:proofErr w:type="gramEnd"/>
      <w:r w:rsidRPr="008518ED">
        <w:rPr>
          <w:b/>
          <w:bCs/>
        </w:rPr>
        <w:t>-</w:t>
      </w:r>
      <w:r w:rsidR="001C2663">
        <w:rPr>
          <w:b/>
          <w:bCs/>
        </w:rPr>
        <w:t>Setembro</w:t>
      </w:r>
      <w:r w:rsidRPr="008518ED">
        <w:rPr>
          <w:b/>
          <w:bCs/>
        </w:rPr>
        <w:t>/</w:t>
      </w:r>
      <w:r w:rsidR="00830FA5" w:rsidRPr="008518ED">
        <w:rPr>
          <w:b/>
          <w:bCs/>
        </w:rPr>
        <w:t>2024</w:t>
      </w:r>
      <w:r w:rsidRPr="008518ED">
        <w:rPr>
          <w:b/>
          <w:bCs/>
        </w:rPr>
        <w:t xml:space="preserve"> –</w:t>
      </w:r>
      <w:r w:rsidR="00A755C7" w:rsidRPr="008518ED">
        <w:rPr>
          <w:b/>
          <w:bCs/>
        </w:rPr>
        <w:t xml:space="preserve"> </w:t>
      </w:r>
      <w:r w:rsidRPr="008518ED">
        <w:rPr>
          <w:b/>
          <w:bCs/>
        </w:rPr>
        <w:t>Janeiro-</w:t>
      </w:r>
      <w:r w:rsidR="001C2663">
        <w:rPr>
          <w:b/>
          <w:bCs/>
        </w:rPr>
        <w:t>Setembro</w:t>
      </w:r>
      <w:r w:rsidRPr="008518ED">
        <w:rPr>
          <w:b/>
          <w:bCs/>
        </w:rPr>
        <w:t>/</w:t>
      </w:r>
      <w:r w:rsidR="00830FA5" w:rsidRPr="008518ED">
        <w:rPr>
          <w:b/>
          <w:bCs/>
        </w:rPr>
        <w:t>2023</w:t>
      </w:r>
      <w:r w:rsidRPr="008518ED">
        <w:rPr>
          <w:b/>
          <w:bCs/>
        </w:rPr>
        <w:t>)</w:t>
      </w:r>
    </w:p>
    <w:p w14:paraId="4FE1DC3F" w14:textId="2E82FEA0" w:rsidR="001C2663" w:rsidRPr="0055277C" w:rsidRDefault="00C81AF0" w:rsidP="001C2663">
      <w:pPr>
        <w:jc w:val="both"/>
        <w:rPr>
          <w:rFonts w:cstheme="minorHAnsi"/>
          <w:sz w:val="24"/>
          <w:szCs w:val="24"/>
        </w:rPr>
      </w:pPr>
      <w:r w:rsidRPr="0055277C">
        <w:rPr>
          <w:rFonts w:cstheme="minorHAnsi"/>
          <w:sz w:val="24"/>
          <w:szCs w:val="24"/>
        </w:rPr>
        <w:t xml:space="preserve">Entre janeiro e setembro de 2024 as exportações brasileiras do agronegócio somaram US$ 125,89 bilhões, o que representou uma ligeira queda de 0,2% na comparação com os US$ 126,19 bilhões registrados no mesmo período em 2023. Esse resultado se deu em função da retração no índice de preços (-6,7%), que não compensou o aumento no índice de </w:t>
      </w:r>
      <w:r w:rsidRPr="0055277C">
        <w:rPr>
          <w:rFonts w:cstheme="minorHAnsi"/>
          <w:i/>
          <w:iCs/>
          <w:sz w:val="24"/>
          <w:szCs w:val="24"/>
        </w:rPr>
        <w:t>quantum</w:t>
      </w:r>
      <w:r w:rsidRPr="0055277C">
        <w:rPr>
          <w:rFonts w:cstheme="minorHAnsi"/>
          <w:sz w:val="24"/>
          <w:szCs w:val="24"/>
        </w:rPr>
        <w:t xml:space="preserve"> (+6,9%).</w:t>
      </w:r>
      <w:r w:rsidR="004028A5" w:rsidRPr="0055277C">
        <w:rPr>
          <w:rFonts w:cstheme="minorHAnsi"/>
          <w:sz w:val="24"/>
          <w:szCs w:val="24"/>
        </w:rPr>
        <w:t xml:space="preserve"> </w:t>
      </w:r>
    </w:p>
    <w:p w14:paraId="72259725" w14:textId="75FF9635" w:rsidR="00E8599B" w:rsidRPr="0055277C" w:rsidRDefault="00E8599B" w:rsidP="001C2663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Os produtos que registraram maiores incrementos na quantidade embarcada foram: açúcar de cana em bruto (+6,38 milhões de toneladas); soja em grãos (+2,30 milhões de toneladas); algodão não cardado nem penteado (+1,05 milhão de toneladas); açúcar refinado (+1,02 milhão de toneladas); café verde (+613,37 mil toneladas); trigo (+436,60 mil toneladas) e carne bovina </w:t>
      </w:r>
      <w:r w:rsidRPr="0055277C">
        <w:rPr>
          <w:i/>
          <w:iCs/>
          <w:sz w:val="24"/>
          <w:szCs w:val="24"/>
        </w:rPr>
        <w:t>in natura</w:t>
      </w:r>
      <w:r w:rsidRPr="0055277C">
        <w:rPr>
          <w:sz w:val="24"/>
          <w:szCs w:val="24"/>
        </w:rPr>
        <w:t xml:space="preserve"> (+422,05 mil toneladas). </w:t>
      </w:r>
    </w:p>
    <w:p w14:paraId="29DF7A71" w14:textId="134D8356" w:rsidR="004028A5" w:rsidRPr="0055277C" w:rsidRDefault="004028A5" w:rsidP="001C2663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>O agronegócio representou 49,3% das exportações totais brasileiras no período, participação um pouco inferior ao que havia sido observado entre janeiro e setembro de 2023 (49,8%). Os demais setores apresentaram crescimento de 1,9% no valor exportado, somando US$ 129,56 bilhões.</w:t>
      </w:r>
    </w:p>
    <w:p w14:paraId="4BF2438F" w14:textId="3622D459" w:rsidR="00776130" w:rsidRPr="0055277C" w:rsidRDefault="004028A5" w:rsidP="00C51F2D">
      <w:pPr>
        <w:jc w:val="both"/>
        <w:rPr>
          <w:b/>
          <w:bCs/>
          <w:sz w:val="24"/>
          <w:szCs w:val="24"/>
        </w:rPr>
      </w:pPr>
      <w:r w:rsidRPr="0055277C">
        <w:rPr>
          <w:sz w:val="24"/>
          <w:szCs w:val="24"/>
        </w:rPr>
        <w:t>As importações de produtos do agronegócio foram de US$ 14,47 bilhões, ou seja, 15,9% acima do resultado observado no ano prévio (US$ 12,49 bilhões) e representaram 7,4% das importações totais realizadas pelo Brasil no período.</w:t>
      </w:r>
      <w:r w:rsidR="00893E28" w:rsidRPr="0055277C">
        <w:rPr>
          <w:sz w:val="24"/>
          <w:szCs w:val="24"/>
        </w:rPr>
        <w:t xml:space="preserve"> Cabe considerar, também, os insumos utilizados na produção </w:t>
      </w:r>
      <w:r w:rsidR="00893E28" w:rsidRPr="0055277C">
        <w:rPr>
          <w:sz w:val="24"/>
          <w:szCs w:val="24"/>
        </w:rPr>
        <w:lastRenderedPageBreak/>
        <w:t>agropecuária, como por exemplo fertilizantes e defensivos, que alcançaram importações de US$ 9,89 bilhões (-8,7%) e US$ 3,66 bilhões (-8,9%), respectivamente</w:t>
      </w:r>
      <w:r w:rsidR="00893E28" w:rsidRPr="0055277C">
        <w:rPr>
          <w:rStyle w:val="Refdenotaderodap"/>
          <w:sz w:val="24"/>
          <w:szCs w:val="24"/>
        </w:rPr>
        <w:footnoteReference w:id="7"/>
      </w:r>
      <w:r w:rsidR="00893E28" w:rsidRPr="0055277C">
        <w:rPr>
          <w:sz w:val="24"/>
          <w:szCs w:val="24"/>
        </w:rPr>
        <w:t>.</w:t>
      </w:r>
    </w:p>
    <w:p w14:paraId="17FB2732" w14:textId="583031C5" w:rsidR="00C51F2D" w:rsidRPr="0055277C" w:rsidRDefault="00C51F2D" w:rsidP="00C51F2D">
      <w:pPr>
        <w:jc w:val="both"/>
        <w:rPr>
          <w:b/>
          <w:bCs/>
          <w:sz w:val="24"/>
          <w:szCs w:val="24"/>
        </w:rPr>
      </w:pPr>
      <w:proofErr w:type="spellStart"/>
      <w:r w:rsidRPr="0055277C">
        <w:rPr>
          <w:b/>
          <w:bCs/>
          <w:sz w:val="24"/>
          <w:szCs w:val="24"/>
        </w:rPr>
        <w:t>II.a</w:t>
      </w:r>
      <w:proofErr w:type="spellEnd"/>
      <w:r w:rsidRPr="0055277C">
        <w:rPr>
          <w:b/>
          <w:bCs/>
          <w:sz w:val="24"/>
          <w:szCs w:val="24"/>
        </w:rPr>
        <w:t xml:space="preserve"> – Setores do Agronegócio</w:t>
      </w:r>
    </w:p>
    <w:p w14:paraId="26CB372D" w14:textId="75DF243A" w:rsidR="001C2663" w:rsidRPr="0055277C" w:rsidRDefault="00A11E28" w:rsidP="001C2663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>Em relação ao valor exportado, os setores que se destacaram no período acumulado do ano foram:</w:t>
      </w:r>
      <w:r w:rsidR="00D31853" w:rsidRPr="0055277C">
        <w:rPr>
          <w:sz w:val="24"/>
          <w:szCs w:val="24"/>
        </w:rPr>
        <w:t xml:space="preserve"> complexo soja (US$ </w:t>
      </w:r>
      <w:r w:rsidR="00C41AB9" w:rsidRPr="0055277C">
        <w:rPr>
          <w:sz w:val="24"/>
          <w:szCs w:val="24"/>
        </w:rPr>
        <w:t>47,32</w:t>
      </w:r>
      <w:r w:rsidR="00D31853" w:rsidRPr="0055277C">
        <w:rPr>
          <w:sz w:val="24"/>
          <w:szCs w:val="24"/>
        </w:rPr>
        <w:t xml:space="preserve"> bilhões e </w:t>
      </w:r>
      <w:r w:rsidR="00C41AB9" w:rsidRPr="0055277C">
        <w:rPr>
          <w:sz w:val="24"/>
          <w:szCs w:val="24"/>
        </w:rPr>
        <w:t>37,6</w:t>
      </w:r>
      <w:r w:rsidR="00D31853" w:rsidRPr="0055277C">
        <w:rPr>
          <w:sz w:val="24"/>
          <w:szCs w:val="24"/>
        </w:rPr>
        <w:t xml:space="preserve">% do total exportado pelo agronegócio brasileiro); carnes </w:t>
      </w:r>
      <w:r w:rsidR="004028A5" w:rsidRPr="0055277C">
        <w:rPr>
          <w:sz w:val="24"/>
          <w:szCs w:val="24"/>
        </w:rPr>
        <w:t xml:space="preserve">(US$ </w:t>
      </w:r>
      <w:r w:rsidR="00C41AB9" w:rsidRPr="0055277C">
        <w:rPr>
          <w:sz w:val="24"/>
          <w:szCs w:val="24"/>
        </w:rPr>
        <w:t>18,87</w:t>
      </w:r>
      <w:r w:rsidR="004028A5" w:rsidRPr="0055277C">
        <w:rPr>
          <w:sz w:val="24"/>
          <w:szCs w:val="24"/>
        </w:rPr>
        <w:t xml:space="preserve"> bilhões e </w:t>
      </w:r>
      <w:r w:rsidR="00C41AB9" w:rsidRPr="0055277C">
        <w:rPr>
          <w:sz w:val="24"/>
          <w:szCs w:val="24"/>
        </w:rPr>
        <w:t>15,0</w:t>
      </w:r>
      <w:r w:rsidR="004028A5" w:rsidRPr="0055277C">
        <w:rPr>
          <w:sz w:val="24"/>
          <w:szCs w:val="24"/>
        </w:rPr>
        <w:t xml:space="preserve">% do total exportado pelo agronegócio brasileiro); complexo sucroalcooleiro (US$ </w:t>
      </w:r>
      <w:r w:rsidR="00C41AB9" w:rsidRPr="0055277C">
        <w:rPr>
          <w:sz w:val="24"/>
          <w:szCs w:val="24"/>
        </w:rPr>
        <w:t>14,76</w:t>
      </w:r>
      <w:r w:rsidR="004028A5" w:rsidRPr="0055277C">
        <w:rPr>
          <w:sz w:val="24"/>
          <w:szCs w:val="24"/>
        </w:rPr>
        <w:t xml:space="preserve"> bilhões e </w:t>
      </w:r>
      <w:r w:rsidR="00C41AB9" w:rsidRPr="0055277C">
        <w:rPr>
          <w:sz w:val="24"/>
          <w:szCs w:val="24"/>
        </w:rPr>
        <w:t>11,7</w:t>
      </w:r>
      <w:r w:rsidR="004028A5" w:rsidRPr="0055277C">
        <w:rPr>
          <w:sz w:val="24"/>
          <w:szCs w:val="24"/>
        </w:rPr>
        <w:t xml:space="preserve">% do total exportado pelo agronegócio brasileiro); produtos florestais (US$ </w:t>
      </w:r>
      <w:r w:rsidR="00C41AB9" w:rsidRPr="0055277C">
        <w:rPr>
          <w:sz w:val="24"/>
          <w:szCs w:val="24"/>
        </w:rPr>
        <w:t>12,82</w:t>
      </w:r>
      <w:r w:rsidR="004028A5" w:rsidRPr="0055277C">
        <w:rPr>
          <w:sz w:val="24"/>
          <w:szCs w:val="24"/>
        </w:rPr>
        <w:t xml:space="preserve"> bilhões e </w:t>
      </w:r>
      <w:r w:rsidR="00C41AB9" w:rsidRPr="0055277C">
        <w:rPr>
          <w:sz w:val="24"/>
          <w:szCs w:val="24"/>
        </w:rPr>
        <w:t>17,8</w:t>
      </w:r>
      <w:r w:rsidR="004028A5" w:rsidRPr="0055277C">
        <w:rPr>
          <w:sz w:val="24"/>
          <w:szCs w:val="24"/>
        </w:rPr>
        <w:t xml:space="preserve">% do total exportado pelo agronegócio brasileiro) e café (US$ </w:t>
      </w:r>
      <w:r w:rsidR="00C41AB9" w:rsidRPr="0055277C">
        <w:rPr>
          <w:sz w:val="24"/>
          <w:szCs w:val="24"/>
        </w:rPr>
        <w:t>8,36</w:t>
      </w:r>
      <w:r w:rsidR="004028A5" w:rsidRPr="0055277C">
        <w:rPr>
          <w:sz w:val="24"/>
          <w:szCs w:val="24"/>
        </w:rPr>
        <w:t xml:space="preserve"> bilhões e </w:t>
      </w:r>
      <w:r w:rsidR="00C41AB9" w:rsidRPr="0055277C">
        <w:rPr>
          <w:sz w:val="24"/>
          <w:szCs w:val="24"/>
        </w:rPr>
        <w:t>6,6</w:t>
      </w:r>
      <w:r w:rsidR="004028A5" w:rsidRPr="0055277C">
        <w:rPr>
          <w:sz w:val="24"/>
          <w:szCs w:val="24"/>
        </w:rPr>
        <w:t xml:space="preserve">% do total exportado pelo agronegócio brasileiro). Em conjunto os cinco setores mencionados foram responsáveis por </w:t>
      </w:r>
      <w:r w:rsidR="00C41AB9" w:rsidRPr="0055277C">
        <w:rPr>
          <w:sz w:val="24"/>
          <w:szCs w:val="24"/>
        </w:rPr>
        <w:t>81,1</w:t>
      </w:r>
      <w:r w:rsidR="004028A5" w:rsidRPr="0055277C">
        <w:rPr>
          <w:sz w:val="24"/>
          <w:szCs w:val="24"/>
        </w:rPr>
        <w:t xml:space="preserve">% das </w:t>
      </w:r>
      <w:r w:rsidR="00C41AB9" w:rsidRPr="0055277C">
        <w:rPr>
          <w:sz w:val="24"/>
          <w:szCs w:val="24"/>
        </w:rPr>
        <w:t>vendas externas do agronegócio brasileiro entre janeiro e setembro de 2024. No mesmo período em 2023 os cinco principais setores (complexo soja, carnes, complexo sucroalcooleiro, produtos florestais e cereais, farinhas e preparações) representaram 84,6%, o que indica uma desconcentração da pauta exportadora</w:t>
      </w:r>
      <w:r w:rsidR="006975D7" w:rsidRPr="0055277C">
        <w:rPr>
          <w:sz w:val="24"/>
          <w:szCs w:val="24"/>
        </w:rPr>
        <w:t xml:space="preserve"> no corrente ano. </w:t>
      </w:r>
      <w:r w:rsidR="00771B57" w:rsidRPr="0055277C">
        <w:rPr>
          <w:sz w:val="24"/>
          <w:szCs w:val="24"/>
        </w:rPr>
        <w:t>A seguir serão analisados cada um dos cinco setores destacados.</w:t>
      </w:r>
    </w:p>
    <w:p w14:paraId="2B88D92A" w14:textId="27F88ADC" w:rsidR="00771B57" w:rsidRPr="0055277C" w:rsidRDefault="00771B57" w:rsidP="001C2663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>O complexo soja foi o principal setor exportador do agronegócio brasileiro nos nove primeiros meses de 2024.</w:t>
      </w:r>
      <w:r w:rsidR="004C0F7A" w:rsidRPr="0055277C">
        <w:rPr>
          <w:sz w:val="24"/>
          <w:szCs w:val="24"/>
        </w:rPr>
        <w:t xml:space="preserve"> As vendas somaram US$ 47,32 bilhões, o que representou uma queda de 16,3% em relação ao ano anterior. Esse resultado decorreu da retração no preço médio em 17,5%, uma vez que a quantidade embarcada aumentou 1,5%. A soja em grãos é o principal produto do setor, sendo responsável por 82,3% do valor exportado. As vendas do grão foram de US$ 38,97 bilhões, isto é, 14,5% inferiores a 2023. Apesar da quantidade embarcada ter sido recorde (89,54 milhões de toneladas) e 2,6% superior ao ano anterior, não foi suficiente para compensar a queda de 16,7% no preço médio do produto, que passou de US$ 523 para US$ 435 por tonelada.</w:t>
      </w:r>
      <w:r w:rsidR="00760841" w:rsidRPr="0055277C">
        <w:rPr>
          <w:sz w:val="24"/>
          <w:szCs w:val="24"/>
        </w:rPr>
        <w:t xml:space="preserve"> </w:t>
      </w:r>
      <w:r w:rsidR="000306F2" w:rsidRPr="0055277C">
        <w:rPr>
          <w:sz w:val="24"/>
          <w:szCs w:val="24"/>
        </w:rPr>
        <w:t xml:space="preserve">O mercado chinês foi o principal destino da soja em grãos brasileira, com US$ </w:t>
      </w:r>
      <w:r w:rsidR="00F0412E" w:rsidRPr="0055277C">
        <w:rPr>
          <w:sz w:val="24"/>
          <w:szCs w:val="24"/>
        </w:rPr>
        <w:t>28,47</w:t>
      </w:r>
      <w:r w:rsidR="000306F2" w:rsidRPr="0055277C">
        <w:rPr>
          <w:sz w:val="24"/>
          <w:szCs w:val="24"/>
        </w:rPr>
        <w:t xml:space="preserve"> bilhões, ou </w:t>
      </w:r>
      <w:r w:rsidR="00F0412E" w:rsidRPr="0055277C">
        <w:rPr>
          <w:sz w:val="24"/>
          <w:szCs w:val="24"/>
        </w:rPr>
        <w:t xml:space="preserve">73,1% </w:t>
      </w:r>
      <w:r w:rsidR="000306F2" w:rsidRPr="0055277C">
        <w:rPr>
          <w:sz w:val="24"/>
          <w:szCs w:val="24"/>
        </w:rPr>
        <w:t>do total.</w:t>
      </w:r>
      <w:r w:rsidR="00B716A6" w:rsidRPr="0055277C">
        <w:rPr>
          <w:sz w:val="24"/>
          <w:szCs w:val="24"/>
        </w:rPr>
        <w:t xml:space="preserve"> </w:t>
      </w:r>
      <w:r w:rsidR="00AA22BC" w:rsidRPr="0055277C">
        <w:rPr>
          <w:sz w:val="24"/>
          <w:szCs w:val="24"/>
        </w:rPr>
        <w:t>A quantidade exportada para o destino foi 6,0% acima do que havia sido registrado no ano prévio, porém em função da queda no preço, houve retração de 11,7% em valor, ou em termos absolutos foram quase US$ 4 bilhões a menos. Outro mercado para o qual o Brasil registrou queda expressiva nas exportações brasileiras foi a Argentina, com redução de quase US$ 2 bilhões (-95,9%)</w:t>
      </w:r>
      <w:r w:rsidR="005E6B94" w:rsidRPr="0055277C">
        <w:rPr>
          <w:sz w:val="24"/>
          <w:szCs w:val="24"/>
        </w:rPr>
        <w:t xml:space="preserve"> e 3,63 milhões de toneladas (-94,9%)</w:t>
      </w:r>
      <w:r w:rsidR="00AA22BC" w:rsidRPr="0055277C">
        <w:rPr>
          <w:sz w:val="24"/>
          <w:szCs w:val="24"/>
        </w:rPr>
        <w:t xml:space="preserve">. A recuperação </w:t>
      </w:r>
      <w:r w:rsidR="003E292A" w:rsidRPr="0055277C">
        <w:rPr>
          <w:sz w:val="24"/>
          <w:szCs w:val="24"/>
        </w:rPr>
        <w:t>da produção após a quebra da safra</w:t>
      </w:r>
      <w:r w:rsidR="00AA22BC" w:rsidRPr="0055277C">
        <w:rPr>
          <w:sz w:val="24"/>
          <w:szCs w:val="24"/>
        </w:rPr>
        <w:t xml:space="preserve"> </w:t>
      </w:r>
      <w:r w:rsidR="003E292A" w:rsidRPr="0055277C">
        <w:rPr>
          <w:sz w:val="24"/>
          <w:szCs w:val="24"/>
        </w:rPr>
        <w:t xml:space="preserve">2022/2023 ocorrida no </w:t>
      </w:r>
      <w:r w:rsidR="00AA22BC" w:rsidRPr="0055277C">
        <w:rPr>
          <w:sz w:val="24"/>
          <w:szCs w:val="24"/>
        </w:rPr>
        <w:t xml:space="preserve">país vizinho </w:t>
      </w:r>
      <w:r w:rsidR="003E292A" w:rsidRPr="0055277C">
        <w:rPr>
          <w:sz w:val="24"/>
          <w:szCs w:val="24"/>
        </w:rPr>
        <w:t>resultou na redução da sua demanda externa pela soja. O país vizinho adquiriu 10,37 milhões de toneladas de soja em grãos em 2023. Entre janeiro e julho de 2024 as importações argentinas foram de 5,03 milhões de toneladas, o que representa uma queda de 30,0% em relação ao mesmo período em 2023</w:t>
      </w:r>
      <w:r w:rsidR="003E292A" w:rsidRPr="0055277C">
        <w:rPr>
          <w:rStyle w:val="Refdenotaderodap"/>
          <w:sz w:val="24"/>
          <w:szCs w:val="24"/>
        </w:rPr>
        <w:footnoteReference w:id="8"/>
      </w:r>
      <w:r w:rsidR="003E292A" w:rsidRPr="0055277C">
        <w:rPr>
          <w:sz w:val="24"/>
          <w:szCs w:val="24"/>
        </w:rPr>
        <w:t>.</w:t>
      </w:r>
    </w:p>
    <w:p w14:paraId="3BE8D579" w14:textId="77777777" w:rsidR="00AF1FB3" w:rsidRPr="0055277C" w:rsidRDefault="00AF2C6D" w:rsidP="001C2663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>O segundo produto do complexo é o farelo de soja, cujas exportações somaram US$ 7,35 milhões. Assim como o grão, houve queda no valor exportado (-16,0%), decorrente da redução no preço (-17,3%), mesmo com a quantidade recorde (17,19 milhões de toneladas</w:t>
      </w:r>
      <w:r w:rsidR="00553E24" w:rsidRPr="0055277C">
        <w:rPr>
          <w:sz w:val="24"/>
          <w:szCs w:val="24"/>
        </w:rPr>
        <w:t>, e 1,5% acima do registrado em 2023</w:t>
      </w:r>
      <w:r w:rsidRPr="0055277C">
        <w:rPr>
          <w:sz w:val="24"/>
          <w:szCs w:val="24"/>
        </w:rPr>
        <w:t>).</w:t>
      </w:r>
      <w:r w:rsidR="00DB5FD3" w:rsidRPr="0055277C">
        <w:rPr>
          <w:sz w:val="24"/>
          <w:szCs w:val="24"/>
        </w:rPr>
        <w:t xml:space="preserve"> A União Europeia representou 41,7% das vendas externas do produto brasileiro, somando US$ 3,06 bilhões (-25,7%).  Indonésia e Tailândia se destacaram em seguida, com US$ 1,24 bilhão (-5,7%) e US$ 946,26 milhões (-29,7%), respectivamente.</w:t>
      </w:r>
      <w:r w:rsidR="00EA76EB" w:rsidRPr="0055277C">
        <w:rPr>
          <w:sz w:val="24"/>
          <w:szCs w:val="24"/>
        </w:rPr>
        <w:t xml:space="preserve"> O Irã foi o único país entre os principais no </w:t>
      </w:r>
      <w:r w:rsidR="00EA76EB" w:rsidRPr="0055277C">
        <w:rPr>
          <w:sz w:val="24"/>
          <w:szCs w:val="24"/>
        </w:rPr>
        <w:lastRenderedPageBreak/>
        <w:t xml:space="preserve">qual o Brasil obteve expansão no valor exportado. Foram registrados US$ 655,32 milhões em exportações, o que representou um crescimento de 462,5% em comparação com o mesmo período do ano prévio. </w:t>
      </w:r>
    </w:p>
    <w:p w14:paraId="737D8D5C" w14:textId="586AE6E1" w:rsidR="004C0F7A" w:rsidRPr="0055277C" w:rsidRDefault="00AF1FB3" w:rsidP="001C2663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As exportações de óleo de soja, por sua vez, foram de US$ 1,00 bilhão e 1,05 milhão de toneladas. Ao </w:t>
      </w:r>
      <w:r w:rsidR="00D02BA3" w:rsidRPr="0055277C">
        <w:rPr>
          <w:sz w:val="24"/>
          <w:szCs w:val="24"/>
        </w:rPr>
        <w:t>contrário</w:t>
      </w:r>
      <w:r w:rsidRPr="0055277C">
        <w:rPr>
          <w:sz w:val="24"/>
          <w:szCs w:val="24"/>
        </w:rPr>
        <w:t xml:space="preserve"> do grão e do farelo, o óleo teve queda </w:t>
      </w:r>
      <w:r w:rsidR="00F46C81" w:rsidRPr="0055277C">
        <w:rPr>
          <w:sz w:val="24"/>
          <w:szCs w:val="24"/>
        </w:rPr>
        <w:t xml:space="preserve">tanto </w:t>
      </w:r>
      <w:r w:rsidRPr="0055277C">
        <w:rPr>
          <w:sz w:val="24"/>
          <w:szCs w:val="24"/>
        </w:rPr>
        <w:t>em valor (-54,5%), quanto em quantidade (-48,3%). O preço do produto também sofreu redução, passando de US$ 1.083 para US$ 953 por tonelada.</w:t>
      </w:r>
      <w:r w:rsidR="00A37392" w:rsidRPr="0055277C">
        <w:rPr>
          <w:sz w:val="24"/>
          <w:szCs w:val="24"/>
        </w:rPr>
        <w:t xml:space="preserve"> Os principais mercados de destino foram: Índia (US$ 505,95 milhões, ou 58,8% do total), China (US$ 139,44 milhões, ou 16,2% do total) e Bangladesh (US$ 114,80 milhões, ou 13,3% do total). </w:t>
      </w:r>
    </w:p>
    <w:p w14:paraId="2F80ACBB" w14:textId="6EDB08C9" w:rsidR="004C0F7A" w:rsidRPr="0055277C" w:rsidRDefault="00771B57" w:rsidP="004C0F7A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Em seguida destaca-se o setor de carnes, com US$ </w:t>
      </w:r>
      <w:r w:rsidR="00472DF3" w:rsidRPr="0055277C">
        <w:rPr>
          <w:sz w:val="24"/>
          <w:szCs w:val="24"/>
        </w:rPr>
        <w:t>18,87</w:t>
      </w:r>
      <w:r w:rsidRPr="0055277C">
        <w:rPr>
          <w:sz w:val="24"/>
          <w:szCs w:val="24"/>
        </w:rPr>
        <w:t xml:space="preserve"> bilhões em exportações (+</w:t>
      </w:r>
      <w:r w:rsidR="00472DF3" w:rsidRPr="0055277C">
        <w:rPr>
          <w:sz w:val="24"/>
          <w:szCs w:val="24"/>
        </w:rPr>
        <w:t>7,0</w:t>
      </w:r>
      <w:r w:rsidRPr="0055277C">
        <w:rPr>
          <w:sz w:val="24"/>
          <w:szCs w:val="24"/>
        </w:rPr>
        <w:t>%)</w:t>
      </w:r>
      <w:r w:rsidR="00472DF3" w:rsidRPr="0055277C">
        <w:rPr>
          <w:sz w:val="24"/>
          <w:szCs w:val="24"/>
        </w:rPr>
        <w:t xml:space="preserve">. A carne bovina representou quase metade desse valor (48,5%), somando US$ 9,14 bilhões, enquanto as carnes de frango e suína foram responsáveis por 37,9% e 11,3%, respectivamente. </w:t>
      </w:r>
      <w:r w:rsidR="004C0F7A" w:rsidRPr="0055277C">
        <w:rPr>
          <w:sz w:val="24"/>
          <w:szCs w:val="24"/>
        </w:rPr>
        <w:t xml:space="preserve">A produção brasileira de carne bovina </w:t>
      </w:r>
      <w:r w:rsidR="005E6D90" w:rsidRPr="0055277C">
        <w:rPr>
          <w:sz w:val="24"/>
          <w:szCs w:val="24"/>
        </w:rPr>
        <w:t>deve aumentar</w:t>
      </w:r>
      <w:r w:rsidR="004C0F7A" w:rsidRPr="0055277C">
        <w:rPr>
          <w:sz w:val="24"/>
          <w:szCs w:val="24"/>
        </w:rPr>
        <w:t xml:space="preserve">, </w:t>
      </w:r>
      <w:r w:rsidR="005E6D90" w:rsidRPr="0055277C">
        <w:rPr>
          <w:sz w:val="24"/>
          <w:szCs w:val="24"/>
        </w:rPr>
        <w:t>de acordo com</w:t>
      </w:r>
      <w:r w:rsidR="004C0F7A" w:rsidRPr="0055277C">
        <w:rPr>
          <w:sz w:val="24"/>
          <w:szCs w:val="24"/>
        </w:rPr>
        <w:t xml:space="preserve"> a Conab, de 9,52 mil</w:t>
      </w:r>
      <w:r w:rsidR="005E6D90" w:rsidRPr="0055277C">
        <w:rPr>
          <w:sz w:val="24"/>
          <w:szCs w:val="24"/>
        </w:rPr>
        <w:t>hões</w:t>
      </w:r>
      <w:r w:rsidR="004C0F7A" w:rsidRPr="0055277C">
        <w:rPr>
          <w:sz w:val="24"/>
          <w:szCs w:val="24"/>
        </w:rPr>
        <w:t xml:space="preserve"> de toneladas em 2023 para 10,22 mil</w:t>
      </w:r>
      <w:r w:rsidR="005E6D90" w:rsidRPr="0055277C">
        <w:rPr>
          <w:sz w:val="24"/>
          <w:szCs w:val="24"/>
        </w:rPr>
        <w:t>hões</w:t>
      </w:r>
      <w:r w:rsidR="004C0F7A" w:rsidRPr="0055277C">
        <w:rPr>
          <w:sz w:val="24"/>
          <w:szCs w:val="24"/>
        </w:rPr>
        <w:t xml:space="preserve"> de toneladas em 2024 (em equivalente carcaça)</w:t>
      </w:r>
      <w:r w:rsidR="005E6D90" w:rsidRPr="0055277C">
        <w:rPr>
          <w:rStyle w:val="Refdenotaderodap"/>
          <w:sz w:val="24"/>
          <w:szCs w:val="24"/>
        </w:rPr>
        <w:footnoteReference w:id="9"/>
      </w:r>
      <w:r w:rsidR="004C0F7A" w:rsidRPr="0055277C">
        <w:rPr>
          <w:sz w:val="24"/>
          <w:szCs w:val="24"/>
        </w:rPr>
        <w:t xml:space="preserve">. </w:t>
      </w:r>
      <w:r w:rsidR="005E6D90" w:rsidRPr="0055277C">
        <w:rPr>
          <w:sz w:val="24"/>
          <w:szCs w:val="24"/>
        </w:rPr>
        <w:t>Ou seja, um</w:t>
      </w:r>
      <w:r w:rsidR="004C0F7A" w:rsidRPr="0055277C">
        <w:rPr>
          <w:sz w:val="24"/>
          <w:szCs w:val="24"/>
        </w:rPr>
        <w:t xml:space="preserve"> </w:t>
      </w:r>
      <w:r w:rsidR="005E6D90" w:rsidRPr="0055277C">
        <w:rPr>
          <w:sz w:val="24"/>
          <w:szCs w:val="24"/>
        </w:rPr>
        <w:t>crescimento</w:t>
      </w:r>
      <w:r w:rsidR="004C0F7A" w:rsidRPr="0055277C">
        <w:rPr>
          <w:sz w:val="24"/>
          <w:szCs w:val="24"/>
        </w:rPr>
        <w:t xml:space="preserve"> de 7,4%</w:t>
      </w:r>
      <w:r w:rsidR="005E6D90" w:rsidRPr="0055277C">
        <w:rPr>
          <w:sz w:val="24"/>
          <w:szCs w:val="24"/>
        </w:rPr>
        <w:t xml:space="preserve">, que representa </w:t>
      </w:r>
      <w:r w:rsidR="004C0F7A" w:rsidRPr="0055277C">
        <w:rPr>
          <w:sz w:val="24"/>
          <w:szCs w:val="24"/>
        </w:rPr>
        <w:t xml:space="preserve">cerca de 550 mil toneladas a mais na produção de carne bovina </w:t>
      </w:r>
      <w:r w:rsidR="004C0F7A" w:rsidRPr="0055277C">
        <w:rPr>
          <w:i/>
          <w:iCs/>
          <w:sz w:val="24"/>
          <w:szCs w:val="24"/>
        </w:rPr>
        <w:t>in natura</w:t>
      </w:r>
      <w:r w:rsidR="004C0F7A" w:rsidRPr="0055277C">
        <w:rPr>
          <w:sz w:val="24"/>
          <w:szCs w:val="24"/>
        </w:rPr>
        <w:t xml:space="preserve">. </w:t>
      </w:r>
      <w:r w:rsidR="005E6D90" w:rsidRPr="0055277C">
        <w:rPr>
          <w:sz w:val="24"/>
          <w:szCs w:val="24"/>
        </w:rPr>
        <w:t>Nos</w:t>
      </w:r>
      <w:r w:rsidR="004C0F7A" w:rsidRPr="0055277C">
        <w:rPr>
          <w:sz w:val="24"/>
          <w:szCs w:val="24"/>
        </w:rPr>
        <w:t xml:space="preserve"> nove primeiros meses de 2024, o Brasil exportou </w:t>
      </w:r>
      <w:r w:rsidR="005E6D90" w:rsidRPr="0055277C">
        <w:rPr>
          <w:sz w:val="24"/>
          <w:szCs w:val="24"/>
        </w:rPr>
        <w:t xml:space="preserve">US$ 8,28 bilhões (+21,3%), ou o equivalente à quantidade recorde de 1,85 milhão de toneladas (+29,7%) de carne bovina </w:t>
      </w:r>
      <w:r w:rsidR="005E6D90" w:rsidRPr="0055277C">
        <w:rPr>
          <w:i/>
          <w:iCs/>
          <w:sz w:val="24"/>
          <w:szCs w:val="24"/>
        </w:rPr>
        <w:t>in natura</w:t>
      </w:r>
      <w:r w:rsidR="005E6D90" w:rsidRPr="0055277C">
        <w:rPr>
          <w:sz w:val="24"/>
          <w:szCs w:val="24"/>
        </w:rPr>
        <w:t xml:space="preserve">, o que representa um aumento absoluto de </w:t>
      </w:r>
      <w:r w:rsidR="004C0F7A" w:rsidRPr="0055277C">
        <w:rPr>
          <w:sz w:val="24"/>
          <w:szCs w:val="24"/>
        </w:rPr>
        <w:t>421,05 mil toneladas.</w:t>
      </w:r>
      <w:r w:rsidR="005E6D90" w:rsidRPr="0055277C">
        <w:rPr>
          <w:sz w:val="24"/>
          <w:szCs w:val="24"/>
        </w:rPr>
        <w:t xml:space="preserve"> Os países que mais contribuíram para esse resultado foram: </w:t>
      </w:r>
      <w:r w:rsidR="00E22B47" w:rsidRPr="0055277C">
        <w:rPr>
          <w:sz w:val="24"/>
          <w:szCs w:val="24"/>
        </w:rPr>
        <w:t>China (+77,12 mil toneladas); Emirados Árabes Unidos (+72,83 mil toneladas); Estados Unidos (+57,90 mil toneladas); Turquia (+34,62 mil toneladas); Argélia (+33,64 mil toneladas) e México (+30,85 mil toneladas). No caso da China, contudo, apesar do aumento de 9,1% na quantidade embarcada, a queda de 9,3% no preço médio resultou na redução no valor das vendas brasileiras ao mercado (-1,1%), que somaram US$ 4,11 bilhões. De qualquer forma</w:t>
      </w:r>
      <w:r w:rsidR="00EF700F" w:rsidRPr="0055277C">
        <w:rPr>
          <w:sz w:val="24"/>
          <w:szCs w:val="24"/>
        </w:rPr>
        <w:t>,</w:t>
      </w:r>
      <w:r w:rsidR="00E22B47" w:rsidRPr="0055277C">
        <w:rPr>
          <w:sz w:val="24"/>
          <w:szCs w:val="24"/>
        </w:rPr>
        <w:t xml:space="preserve"> o país segue sendo principal destino da carne bovina </w:t>
      </w:r>
      <w:r w:rsidR="00E22B47" w:rsidRPr="0055277C">
        <w:rPr>
          <w:i/>
          <w:iCs/>
          <w:sz w:val="24"/>
          <w:szCs w:val="24"/>
        </w:rPr>
        <w:t>in natura</w:t>
      </w:r>
      <w:r w:rsidR="00E22B47" w:rsidRPr="0055277C">
        <w:rPr>
          <w:sz w:val="24"/>
          <w:szCs w:val="24"/>
        </w:rPr>
        <w:t xml:space="preserve"> brasileira, com </w:t>
      </w:r>
      <w:r w:rsidR="00E22B47" w:rsidRPr="0055277C">
        <w:rPr>
          <w:i/>
          <w:iCs/>
          <w:sz w:val="24"/>
          <w:szCs w:val="24"/>
        </w:rPr>
        <w:t>market share</w:t>
      </w:r>
      <w:r w:rsidR="00E22B47" w:rsidRPr="0055277C">
        <w:rPr>
          <w:sz w:val="24"/>
          <w:szCs w:val="24"/>
        </w:rPr>
        <w:t xml:space="preserve"> de quase metade das exportações brasileiras (49,6%).</w:t>
      </w:r>
      <w:r w:rsidR="00927E7B" w:rsidRPr="0055277C">
        <w:rPr>
          <w:sz w:val="24"/>
          <w:szCs w:val="24"/>
        </w:rPr>
        <w:t xml:space="preserve"> </w:t>
      </w:r>
    </w:p>
    <w:p w14:paraId="16B98D5A" w14:textId="15048A9A" w:rsidR="00927E7B" w:rsidRPr="0055277C" w:rsidRDefault="00927E7B" w:rsidP="004C0F7A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As exportações de carne de frango </w:t>
      </w:r>
      <w:r w:rsidRPr="0055277C">
        <w:rPr>
          <w:i/>
          <w:iCs/>
          <w:sz w:val="24"/>
          <w:szCs w:val="24"/>
        </w:rPr>
        <w:t>in natura</w:t>
      </w:r>
      <w:r w:rsidRPr="0055277C">
        <w:rPr>
          <w:sz w:val="24"/>
          <w:szCs w:val="24"/>
        </w:rPr>
        <w:t xml:space="preserve"> somaram US$ 6,77 bilhões, isto é, 5,4% inferiores aos US$ 7,15 bilhões alcançados em 2023. Tal resultado reflete a redução no </w:t>
      </w:r>
      <w:r w:rsidRPr="0055277C">
        <w:rPr>
          <w:i/>
          <w:iCs/>
          <w:sz w:val="24"/>
          <w:szCs w:val="24"/>
        </w:rPr>
        <w:t xml:space="preserve">quantum </w:t>
      </w:r>
      <w:r w:rsidRPr="0055277C">
        <w:rPr>
          <w:sz w:val="24"/>
          <w:szCs w:val="24"/>
        </w:rPr>
        <w:t>(-0,8%), mas principalmente no preço médio (-4,6%).</w:t>
      </w:r>
      <w:r w:rsidR="00C46058" w:rsidRPr="0055277C">
        <w:rPr>
          <w:sz w:val="24"/>
          <w:szCs w:val="24"/>
        </w:rPr>
        <w:t xml:space="preserve"> A queda nas vendas para a China (-US$ 455,07 milhões) e Coreia do Sul (-104,38 milhões) foi o principal fator para o resultado observado. Contudo, apesar da retração, o mercado chinês ainda é o principal destino da carne de frango </w:t>
      </w:r>
      <w:r w:rsidR="00C46058" w:rsidRPr="0055277C">
        <w:rPr>
          <w:i/>
          <w:iCs/>
          <w:sz w:val="24"/>
          <w:szCs w:val="24"/>
        </w:rPr>
        <w:t>in natura</w:t>
      </w:r>
      <w:r w:rsidR="00C46058" w:rsidRPr="0055277C">
        <w:rPr>
          <w:sz w:val="24"/>
          <w:szCs w:val="24"/>
        </w:rPr>
        <w:t xml:space="preserve"> brasileira, representando 12,7% do total (US$ 862,17 milhões). Em seguida destacam-se os Emirados Árabes Unidos, com 10,9% (US$ 740,13 milhões).</w:t>
      </w:r>
    </w:p>
    <w:p w14:paraId="25F8D0F2" w14:textId="0D902E44" w:rsidR="004C0F7A" w:rsidRPr="0055277C" w:rsidRDefault="00E67BE3" w:rsidP="004C0F7A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Houve recorde em valor e quantidade exportada de carne suína </w:t>
      </w:r>
      <w:r w:rsidRPr="0055277C">
        <w:rPr>
          <w:i/>
          <w:iCs/>
          <w:sz w:val="24"/>
          <w:szCs w:val="24"/>
        </w:rPr>
        <w:t>in natura</w:t>
      </w:r>
      <w:r w:rsidRPr="0055277C">
        <w:rPr>
          <w:sz w:val="24"/>
          <w:szCs w:val="24"/>
        </w:rPr>
        <w:t xml:space="preserve"> brasileira no período janeiro a setembro de 2024, com US$ 2,02 bilhões </w:t>
      </w:r>
      <w:r w:rsidR="00FF0B65" w:rsidRPr="0055277C">
        <w:rPr>
          <w:sz w:val="24"/>
          <w:szCs w:val="24"/>
        </w:rPr>
        <w:t xml:space="preserve">(+0,2%) </w:t>
      </w:r>
      <w:r w:rsidRPr="0055277C">
        <w:rPr>
          <w:sz w:val="24"/>
          <w:szCs w:val="24"/>
        </w:rPr>
        <w:t>e 862,06 mil toneladas</w:t>
      </w:r>
      <w:r w:rsidR="00FF0B65" w:rsidRPr="0055277C">
        <w:rPr>
          <w:sz w:val="24"/>
          <w:szCs w:val="24"/>
        </w:rPr>
        <w:t xml:space="preserve"> (+</w:t>
      </w:r>
      <w:r w:rsidR="0072591C" w:rsidRPr="0055277C">
        <w:rPr>
          <w:sz w:val="24"/>
          <w:szCs w:val="24"/>
        </w:rPr>
        <w:t>5,3%)</w:t>
      </w:r>
      <w:r w:rsidRPr="0055277C">
        <w:rPr>
          <w:sz w:val="24"/>
          <w:szCs w:val="24"/>
        </w:rPr>
        <w:t>.</w:t>
      </w:r>
      <w:r w:rsidR="00EF301B" w:rsidRPr="0055277C">
        <w:rPr>
          <w:sz w:val="24"/>
          <w:szCs w:val="24"/>
        </w:rPr>
        <w:t xml:space="preserve"> A China foi responsável por 17,1% do valor exportado, somando US$ 345,17 milhões. Houve, no entanto, queda em valor na comparação com o ano prévio, com comercialização de US$ 379,18 milhões a menos para o mercado (-52,3%). Outros países que se destacaram em termos de valor exportado foram: Filipinas (US$ 343,58 milhões, ou 17,0% do total) e Japão (US$ 215,07, ou 10,6% do total).</w:t>
      </w:r>
    </w:p>
    <w:p w14:paraId="42BEDAE6" w14:textId="0E78CB7D" w:rsidR="00F46C81" w:rsidRPr="0055277C" w:rsidRDefault="00771B57" w:rsidP="001C2663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O complexo sucroalcooleiro ocupou a terceira posição no </w:t>
      </w:r>
      <w:r w:rsidRPr="0055277C">
        <w:rPr>
          <w:i/>
          <w:iCs/>
          <w:sz w:val="24"/>
          <w:szCs w:val="24"/>
        </w:rPr>
        <w:t>ranking</w:t>
      </w:r>
      <w:r w:rsidRPr="0055277C">
        <w:rPr>
          <w:sz w:val="24"/>
          <w:szCs w:val="24"/>
        </w:rPr>
        <w:t xml:space="preserve"> de setores, somando US$ </w:t>
      </w:r>
      <w:r w:rsidR="00BD0178" w:rsidRPr="0055277C">
        <w:rPr>
          <w:sz w:val="24"/>
          <w:szCs w:val="24"/>
        </w:rPr>
        <w:t>14,76</w:t>
      </w:r>
      <w:r w:rsidRPr="0055277C">
        <w:rPr>
          <w:sz w:val="24"/>
          <w:szCs w:val="24"/>
        </w:rPr>
        <w:t xml:space="preserve"> bilhões.</w:t>
      </w:r>
      <w:r w:rsidR="00BD0178" w:rsidRPr="0055277C">
        <w:rPr>
          <w:sz w:val="24"/>
          <w:szCs w:val="24"/>
        </w:rPr>
        <w:t xml:space="preserve"> </w:t>
      </w:r>
      <w:r w:rsidR="00EF39DA" w:rsidRPr="0055277C">
        <w:rPr>
          <w:sz w:val="24"/>
          <w:szCs w:val="24"/>
        </w:rPr>
        <w:t>N</w:t>
      </w:r>
      <w:r w:rsidR="00BD0178" w:rsidRPr="0055277C">
        <w:rPr>
          <w:sz w:val="24"/>
          <w:szCs w:val="24"/>
        </w:rPr>
        <w:t xml:space="preserve">a comparação com 2023 houve crescimento de 29,0% no valor exportado, decorrente da </w:t>
      </w:r>
      <w:r w:rsidR="00BD0178" w:rsidRPr="0055277C">
        <w:rPr>
          <w:sz w:val="24"/>
          <w:szCs w:val="24"/>
        </w:rPr>
        <w:lastRenderedPageBreak/>
        <w:t>expansão da quantidade em 31,9%, que compensou a queda no preço (-2,1%).</w:t>
      </w:r>
      <w:r w:rsidR="00C83E57" w:rsidRPr="0055277C">
        <w:rPr>
          <w:sz w:val="24"/>
          <w:szCs w:val="24"/>
        </w:rPr>
        <w:t xml:space="preserve"> O açúcar representou 94,3%</w:t>
      </w:r>
      <w:r w:rsidR="007859C3" w:rsidRPr="0055277C">
        <w:rPr>
          <w:sz w:val="24"/>
          <w:szCs w:val="24"/>
        </w:rPr>
        <w:t xml:space="preserve"> do valor exportado pelo complexo, com US$ 13,92 bilhões. As exportações de açúcar de cana em bruto alcançaram os maiores patamares da série histórica, tanto </w:t>
      </w:r>
      <w:r w:rsidR="00891BAD" w:rsidRPr="0055277C">
        <w:rPr>
          <w:sz w:val="24"/>
          <w:szCs w:val="24"/>
        </w:rPr>
        <w:t xml:space="preserve">em </w:t>
      </w:r>
      <w:r w:rsidR="007859C3" w:rsidRPr="0055277C">
        <w:rPr>
          <w:sz w:val="24"/>
          <w:szCs w:val="24"/>
        </w:rPr>
        <w:t xml:space="preserve">valor (US$ 11,76 bilhões), quanto em quantidade (24,59 milhões de toneladas). </w:t>
      </w:r>
      <w:r w:rsidR="003938E3" w:rsidRPr="0055277C">
        <w:rPr>
          <w:sz w:val="24"/>
          <w:szCs w:val="24"/>
        </w:rPr>
        <w:t>Os mercados que mais contribuíram para esse resultado foram: Indonésia (+US$ 811,30 milhões); Emirados Árabes Unidos (+US$ 670,31 milhões); Índia (+US$ 436,61 milhões); Egito (+US$ 421,86 milhões) e Irã (+US$ 305,72 milhões).</w:t>
      </w:r>
      <w:r w:rsidR="00D37A18" w:rsidRPr="0055277C">
        <w:rPr>
          <w:sz w:val="24"/>
          <w:szCs w:val="24"/>
        </w:rPr>
        <w:t xml:space="preserve"> De acordo com o CEPEA, a Índia deve disponibilizar 2 milhões de toneladas de açúcar para exportação, o que pode impactar o crescimento das vendas brasileiras ao mercado</w:t>
      </w:r>
      <w:r w:rsidR="00D37A18" w:rsidRPr="0055277C">
        <w:rPr>
          <w:rStyle w:val="Refdenotaderodap"/>
          <w:sz w:val="24"/>
          <w:szCs w:val="24"/>
        </w:rPr>
        <w:footnoteReference w:id="10"/>
      </w:r>
      <w:r w:rsidR="00D37A18" w:rsidRPr="0055277C">
        <w:rPr>
          <w:sz w:val="24"/>
          <w:szCs w:val="24"/>
        </w:rPr>
        <w:t xml:space="preserve">. </w:t>
      </w:r>
      <w:r w:rsidR="00B15EB0" w:rsidRPr="0055277C">
        <w:rPr>
          <w:sz w:val="24"/>
          <w:szCs w:val="24"/>
        </w:rPr>
        <w:t xml:space="preserve">As exportações de álcool alcançaram o montante de US$ 824,81 milhões, o que representou uma queda de 30,3% em valor. Esse resultado decorreu tanto da redução na quantidade embarcada (-17,6%), como do preço médio (-15,4%). </w:t>
      </w:r>
    </w:p>
    <w:p w14:paraId="59CC5320" w14:textId="22AAF539" w:rsidR="00771B57" w:rsidRPr="0055277C" w:rsidRDefault="00771B57" w:rsidP="001C2663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As vendas externas dos produtos florestais </w:t>
      </w:r>
      <w:r w:rsidR="004C0F7A" w:rsidRPr="0055277C">
        <w:rPr>
          <w:sz w:val="24"/>
          <w:szCs w:val="24"/>
        </w:rPr>
        <w:t xml:space="preserve">foram de US$ </w:t>
      </w:r>
      <w:r w:rsidR="00F46C81" w:rsidRPr="0055277C">
        <w:rPr>
          <w:sz w:val="24"/>
          <w:szCs w:val="24"/>
        </w:rPr>
        <w:t>12,82</w:t>
      </w:r>
      <w:r w:rsidR="004C0F7A" w:rsidRPr="0055277C">
        <w:rPr>
          <w:sz w:val="24"/>
          <w:szCs w:val="24"/>
        </w:rPr>
        <w:t xml:space="preserve"> bilhões</w:t>
      </w:r>
      <w:r w:rsidR="00F46C81" w:rsidRPr="0055277C">
        <w:rPr>
          <w:sz w:val="24"/>
          <w:szCs w:val="24"/>
        </w:rPr>
        <w:t xml:space="preserve"> (+17,8%). A celulose representou 60,9% desse valor, enquanto madeira e suas obras foram </w:t>
      </w:r>
      <w:r w:rsidR="005C65E0" w:rsidRPr="0055277C">
        <w:rPr>
          <w:sz w:val="24"/>
          <w:szCs w:val="24"/>
        </w:rPr>
        <w:t xml:space="preserve">responsáveis por 24,3% e papel representou 14,7% das vendas externas do setor. O valor e a quantidade exportados de celulose foram os mais altos já registrados na série histórica para o período janeiro-setembro: US$ 7,81 bilhões e 14,61 milhões de toneladas. Na comparação com o ano anterior o aumento foi de 29,6% em valor e 1,0% em quantidade, </w:t>
      </w:r>
      <w:r w:rsidR="00755915" w:rsidRPr="0055277C">
        <w:rPr>
          <w:sz w:val="24"/>
          <w:szCs w:val="24"/>
        </w:rPr>
        <w:t xml:space="preserve">o que denota a elevação do preço médio: +28,2%. </w:t>
      </w:r>
      <w:r w:rsidR="00607886" w:rsidRPr="0055277C">
        <w:rPr>
          <w:sz w:val="24"/>
          <w:szCs w:val="24"/>
        </w:rPr>
        <w:t>Os mercados que mais contribuíram para esse crescimento das vendas externas de celulose foram: União Europeia (+US$ 722,84 milhões); China (+US$ 360,86 milhões) e Estados Unidos (+US$ 296,81 milhões). Em conjunto, os três mercados representaram 82,0% das exportações brasileiras do produto.</w:t>
      </w:r>
      <w:r w:rsidR="00E23362" w:rsidRPr="0055277C">
        <w:rPr>
          <w:sz w:val="24"/>
          <w:szCs w:val="24"/>
        </w:rPr>
        <w:t xml:space="preserve"> As exportações de madeiras e suas obras alcançaram a cifra de US$ 3,11 bilhões (+1,5%), quanto as vendas de papel foram de US$ 1,89 bilhão (+5,9%).</w:t>
      </w:r>
    </w:p>
    <w:p w14:paraId="389FFD74" w14:textId="100D662D" w:rsidR="00771B57" w:rsidRPr="0055277C" w:rsidRDefault="00771B57" w:rsidP="001C2663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>Por fim</w:t>
      </w:r>
      <w:r w:rsidR="00917C87" w:rsidRPr="0055277C">
        <w:rPr>
          <w:sz w:val="24"/>
          <w:szCs w:val="24"/>
        </w:rPr>
        <w:t>,</w:t>
      </w:r>
      <w:r w:rsidRPr="0055277C">
        <w:rPr>
          <w:sz w:val="24"/>
          <w:szCs w:val="24"/>
        </w:rPr>
        <w:t xml:space="preserve"> o setor de café </w:t>
      </w:r>
      <w:r w:rsidR="004C0F7A" w:rsidRPr="0055277C">
        <w:rPr>
          <w:sz w:val="24"/>
          <w:szCs w:val="24"/>
        </w:rPr>
        <w:t xml:space="preserve">foi o quinto setor exportador, tendo alcançado a cifra de US$ </w:t>
      </w:r>
      <w:r w:rsidR="00E23362" w:rsidRPr="0055277C">
        <w:rPr>
          <w:sz w:val="24"/>
          <w:szCs w:val="24"/>
        </w:rPr>
        <w:t>8,36</w:t>
      </w:r>
      <w:r w:rsidR="004C0F7A" w:rsidRPr="0055277C">
        <w:rPr>
          <w:sz w:val="24"/>
          <w:szCs w:val="24"/>
        </w:rPr>
        <w:t xml:space="preserve"> bilhões, ou seja, </w:t>
      </w:r>
      <w:r w:rsidR="00E23362" w:rsidRPr="0055277C">
        <w:rPr>
          <w:sz w:val="24"/>
          <w:szCs w:val="24"/>
        </w:rPr>
        <w:t>49,5</w:t>
      </w:r>
      <w:r w:rsidR="004C0F7A" w:rsidRPr="0055277C">
        <w:rPr>
          <w:sz w:val="24"/>
          <w:szCs w:val="24"/>
        </w:rPr>
        <w:t>% acima</w:t>
      </w:r>
      <w:r w:rsidR="00E23362" w:rsidRPr="0055277C">
        <w:rPr>
          <w:sz w:val="24"/>
          <w:szCs w:val="24"/>
        </w:rPr>
        <w:t xml:space="preserve"> dos US$ 5,59 bilhões registrados em 2023 (janeiro a setembro).</w:t>
      </w:r>
      <w:r w:rsidR="00564634" w:rsidRPr="0055277C">
        <w:rPr>
          <w:sz w:val="24"/>
          <w:szCs w:val="24"/>
        </w:rPr>
        <w:t xml:space="preserve"> Tanto as exportações de café verde, como de café solúvel foram recordes em valor e quantidade. Foram exportados US$ 7,65 bilhões de café verde</w:t>
      </w:r>
      <w:r w:rsidR="004467B6" w:rsidRPr="0055277C">
        <w:rPr>
          <w:sz w:val="24"/>
          <w:szCs w:val="24"/>
        </w:rPr>
        <w:t xml:space="preserve"> (+53,0%)</w:t>
      </w:r>
      <w:r w:rsidR="00564634" w:rsidRPr="0055277C">
        <w:rPr>
          <w:sz w:val="24"/>
          <w:szCs w:val="24"/>
        </w:rPr>
        <w:t>, ou o equivalente a 2,00 milhões de toneladas. A União Europeia foi o principal destino com US$ 3,83 bilhões</w:t>
      </w:r>
      <w:r w:rsidR="004467B6" w:rsidRPr="0055277C">
        <w:rPr>
          <w:sz w:val="24"/>
          <w:szCs w:val="24"/>
        </w:rPr>
        <w:t xml:space="preserve"> (+68,1%), ou seja, metade das vendas brasileiras. Em seguida destacaram-se os Estados Unidos, com US$ 1,21 bilhão (+45,7%), ou 15,8% do total. Em relação ao café solúvel as exportações foram de US$ 631,67 milhões (+23,0%) e 66,90 mil toneladas (+9,4%).</w:t>
      </w:r>
    </w:p>
    <w:p w14:paraId="213264DF" w14:textId="1A214E0F" w:rsidR="00C41AB9" w:rsidRPr="0055277C" w:rsidRDefault="003815F6" w:rsidP="001C2663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>Outros produtos que não pertencem aos cinco setores acima arrolados e que registraram recordes em exportação foram: algodão não cardado nem penteado: recorde em valor (US$ 3,49 bilhões) e quantidade (1,84 milhão de toneladas); bovinos vivos: recorde em valor (US$ 594,07 milhões) e quantidade (259,47 mil toneladas); suco de laranja: recorde em valor (US$ 2,15 bilhões); trigo: recorde em quantidade (2,49 milhões de toneladas) e outros couros/peles curtidos: recorde em quantidade (334,50 mil toneladas).</w:t>
      </w:r>
    </w:p>
    <w:p w14:paraId="4E7ECE9D" w14:textId="16068BDB" w:rsidR="00B42236" w:rsidRPr="0055277C" w:rsidRDefault="00B42236" w:rsidP="001C2663">
      <w:pPr>
        <w:jc w:val="both"/>
        <w:rPr>
          <w:iCs/>
          <w:sz w:val="24"/>
          <w:szCs w:val="24"/>
        </w:rPr>
      </w:pPr>
      <w:r w:rsidRPr="0055277C">
        <w:rPr>
          <w:sz w:val="24"/>
          <w:szCs w:val="24"/>
        </w:rPr>
        <w:t>Em relação às importações, o Brasil adquiriu entre janeiro e setembro de 2024 US$ 14,47 bilhões em produtos do agronegócio, o que representou um crescimento de 15,9% em relação ao mesmo período do ano anterior.</w:t>
      </w:r>
      <w:r w:rsidR="00C95B5E" w:rsidRPr="0055277C">
        <w:rPr>
          <w:sz w:val="24"/>
          <w:szCs w:val="24"/>
        </w:rPr>
        <w:t xml:space="preserve"> Os principais produtos foram: </w:t>
      </w:r>
      <w:r w:rsidR="00271593" w:rsidRPr="0055277C">
        <w:rPr>
          <w:sz w:val="24"/>
          <w:szCs w:val="24"/>
        </w:rPr>
        <w:t xml:space="preserve">trigo (US$ 1,28 bilhão, 8,8% de </w:t>
      </w:r>
      <w:r w:rsidR="00271593" w:rsidRPr="0055277C">
        <w:rPr>
          <w:i/>
          <w:iCs/>
          <w:sz w:val="24"/>
          <w:szCs w:val="24"/>
        </w:rPr>
        <w:t>share</w:t>
      </w:r>
      <w:r w:rsidR="00271593" w:rsidRPr="0055277C">
        <w:rPr>
          <w:sz w:val="24"/>
          <w:szCs w:val="24"/>
        </w:rPr>
        <w:t xml:space="preserve"> e +24,7% </w:t>
      </w:r>
      <w:r w:rsidR="00271593" w:rsidRPr="0055277C">
        <w:rPr>
          <w:sz w:val="24"/>
          <w:szCs w:val="24"/>
        </w:rPr>
        <w:lastRenderedPageBreak/>
        <w:t xml:space="preserve">em relação a 2023); papel (US$ 728,73 milhões, 5,0% de </w:t>
      </w:r>
      <w:r w:rsidR="00271593" w:rsidRPr="0055277C">
        <w:rPr>
          <w:i/>
          <w:iCs/>
          <w:sz w:val="24"/>
          <w:szCs w:val="24"/>
        </w:rPr>
        <w:t>share</w:t>
      </w:r>
      <w:r w:rsidR="00271593" w:rsidRPr="0055277C">
        <w:rPr>
          <w:sz w:val="24"/>
          <w:szCs w:val="24"/>
        </w:rPr>
        <w:t xml:space="preserve"> e +7,2%); salmões (US$ 671,08 milhões, 4,6% de </w:t>
      </w:r>
      <w:r w:rsidR="00271593" w:rsidRPr="0055277C">
        <w:rPr>
          <w:i/>
          <w:iCs/>
          <w:sz w:val="24"/>
          <w:szCs w:val="24"/>
        </w:rPr>
        <w:t>share</w:t>
      </w:r>
      <w:r w:rsidR="00271593" w:rsidRPr="0055277C">
        <w:rPr>
          <w:sz w:val="24"/>
          <w:szCs w:val="24"/>
        </w:rPr>
        <w:t xml:space="preserve"> e +6,9%); azeite de oliva (US$ 639,81 milhões, 4,4% de </w:t>
      </w:r>
      <w:r w:rsidR="00271593" w:rsidRPr="0055277C">
        <w:rPr>
          <w:i/>
          <w:iCs/>
          <w:sz w:val="24"/>
          <w:szCs w:val="24"/>
        </w:rPr>
        <w:t>share</w:t>
      </w:r>
      <w:r w:rsidR="00271593" w:rsidRPr="0055277C">
        <w:rPr>
          <w:sz w:val="24"/>
          <w:szCs w:val="24"/>
        </w:rPr>
        <w:t xml:space="preserve"> e +57,3%) e arroz (US$ 559,57 milhões, 4,4% de </w:t>
      </w:r>
      <w:r w:rsidR="00271593" w:rsidRPr="0055277C">
        <w:rPr>
          <w:i/>
          <w:iCs/>
          <w:sz w:val="24"/>
          <w:szCs w:val="24"/>
        </w:rPr>
        <w:t>share</w:t>
      </w:r>
      <w:r w:rsidR="00271593" w:rsidRPr="0055277C">
        <w:rPr>
          <w:sz w:val="24"/>
          <w:szCs w:val="24"/>
        </w:rPr>
        <w:t xml:space="preserve"> e +57,3%).</w:t>
      </w:r>
    </w:p>
    <w:p w14:paraId="05C52EE2" w14:textId="53B1317F" w:rsidR="00C51F2D" w:rsidRPr="0055277C" w:rsidRDefault="009F1416" w:rsidP="00C51F2D">
      <w:pPr>
        <w:jc w:val="both"/>
        <w:rPr>
          <w:sz w:val="24"/>
          <w:szCs w:val="24"/>
        </w:rPr>
      </w:pPr>
      <w:r w:rsidRPr="0055277C">
        <w:rPr>
          <w:noProof/>
          <w:sz w:val="24"/>
          <w:szCs w:val="24"/>
        </w:rPr>
        <w:drawing>
          <wp:inline distT="0" distB="0" distL="0" distR="0" wp14:anchorId="4FC4CA06" wp14:editId="05B84EBC">
            <wp:extent cx="6188710" cy="3987800"/>
            <wp:effectExtent l="0" t="0" r="2540" b="0"/>
            <wp:docPr id="1442378617" name="Imagem 1" descr="Interface gráfica do usuário, Aplicativ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78617" name="Imagem 1" descr="Interface gráfica do usuário, Aplicativo, Tabela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3BC61" w14:textId="77777777" w:rsidR="00802DDC" w:rsidRPr="0055277C" w:rsidRDefault="00802DDC" w:rsidP="00C51F2D">
      <w:pPr>
        <w:jc w:val="both"/>
        <w:rPr>
          <w:sz w:val="24"/>
          <w:szCs w:val="24"/>
        </w:rPr>
      </w:pPr>
    </w:p>
    <w:p w14:paraId="537489A0" w14:textId="4869DD31" w:rsidR="000E630C" w:rsidRPr="0055277C" w:rsidRDefault="000E630C" w:rsidP="000E630C">
      <w:pPr>
        <w:jc w:val="both"/>
        <w:rPr>
          <w:b/>
          <w:bCs/>
          <w:sz w:val="24"/>
          <w:szCs w:val="24"/>
        </w:rPr>
      </w:pPr>
      <w:proofErr w:type="spellStart"/>
      <w:r w:rsidRPr="0055277C">
        <w:rPr>
          <w:b/>
          <w:bCs/>
          <w:sz w:val="24"/>
          <w:szCs w:val="24"/>
        </w:rPr>
        <w:t>II.b</w:t>
      </w:r>
      <w:proofErr w:type="spellEnd"/>
      <w:r w:rsidRPr="0055277C">
        <w:rPr>
          <w:b/>
          <w:bCs/>
          <w:sz w:val="24"/>
          <w:szCs w:val="24"/>
        </w:rPr>
        <w:t xml:space="preserve"> – Blocos Econômicos e Regiões Geográficas</w:t>
      </w:r>
    </w:p>
    <w:p w14:paraId="3B5D844D" w14:textId="1FD42D6A" w:rsidR="00292489" w:rsidRPr="0055277C" w:rsidRDefault="00271593" w:rsidP="00271593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Em relação aos blocos econômicos e regiões geográficas, a Ásia foi o principal destino das vendas externas do agronegócio brasileiro </w:t>
      </w:r>
      <w:r w:rsidR="00292489" w:rsidRPr="0055277C">
        <w:rPr>
          <w:sz w:val="24"/>
          <w:szCs w:val="24"/>
        </w:rPr>
        <w:t xml:space="preserve">entre janeiro e setembro </w:t>
      </w:r>
      <w:r w:rsidRPr="0055277C">
        <w:rPr>
          <w:sz w:val="24"/>
          <w:szCs w:val="24"/>
        </w:rPr>
        <w:t xml:space="preserve">de 2024, </w:t>
      </w:r>
      <w:r w:rsidR="00292489" w:rsidRPr="0055277C">
        <w:rPr>
          <w:sz w:val="24"/>
          <w:szCs w:val="24"/>
        </w:rPr>
        <w:t>tendo alcançado a cifra de</w:t>
      </w:r>
      <w:r w:rsidRPr="0055277C">
        <w:rPr>
          <w:sz w:val="24"/>
          <w:szCs w:val="24"/>
        </w:rPr>
        <w:t xml:space="preserve"> US$ </w:t>
      </w:r>
      <w:r w:rsidR="00292489" w:rsidRPr="0055277C">
        <w:rPr>
          <w:sz w:val="24"/>
          <w:szCs w:val="24"/>
        </w:rPr>
        <w:t>63,30</w:t>
      </w:r>
      <w:r w:rsidRPr="0055277C">
        <w:rPr>
          <w:sz w:val="24"/>
          <w:szCs w:val="24"/>
        </w:rPr>
        <w:t xml:space="preserve"> bilhões. </w:t>
      </w:r>
      <w:r w:rsidR="00292489" w:rsidRPr="0055277C">
        <w:rPr>
          <w:sz w:val="24"/>
          <w:szCs w:val="24"/>
        </w:rPr>
        <w:t>Houve</w:t>
      </w:r>
      <w:r w:rsidRPr="0055277C">
        <w:rPr>
          <w:sz w:val="24"/>
          <w:szCs w:val="24"/>
        </w:rPr>
        <w:t xml:space="preserve"> </w:t>
      </w:r>
      <w:r w:rsidR="00292489" w:rsidRPr="0055277C">
        <w:rPr>
          <w:sz w:val="24"/>
          <w:szCs w:val="24"/>
        </w:rPr>
        <w:t>redução de 6,3% em relação a</w:t>
      </w:r>
      <w:r w:rsidRPr="0055277C">
        <w:rPr>
          <w:sz w:val="24"/>
          <w:szCs w:val="24"/>
        </w:rPr>
        <w:t xml:space="preserve"> 2023, </w:t>
      </w:r>
      <w:r w:rsidR="00292489" w:rsidRPr="0055277C">
        <w:rPr>
          <w:sz w:val="24"/>
          <w:szCs w:val="24"/>
        </w:rPr>
        <w:t>principalmente em função da queda observada nas exportações de soja em grãos (-US$ 3,86</w:t>
      </w:r>
      <w:r w:rsidRPr="0055277C">
        <w:rPr>
          <w:sz w:val="24"/>
          <w:szCs w:val="24"/>
        </w:rPr>
        <w:t xml:space="preserve"> </w:t>
      </w:r>
      <w:r w:rsidR="00292489" w:rsidRPr="0055277C">
        <w:rPr>
          <w:sz w:val="24"/>
          <w:szCs w:val="24"/>
        </w:rPr>
        <w:t xml:space="preserve">bilhões) e milho (-US$ 2,54 bilhões). Como resultado, a participação da região nas exportações brasileiras de produtos do agronegócio caiu de 53,5% para 50,3%. Em compensação, a elevação nas vendas de algodão não cardado e não penteado (-US$ 1,79 bilhão) e de açúcar de cana em bruto (-US$ 1,54 bilhão) foi o que mais contribuiu para amenizar a queda registrada nos dois primeiros produtos. </w:t>
      </w:r>
    </w:p>
    <w:p w14:paraId="5D108E77" w14:textId="4C70D119" w:rsidR="001C2663" w:rsidRPr="0055277C" w:rsidRDefault="00271593" w:rsidP="00271593">
      <w:pPr>
        <w:jc w:val="both"/>
        <w:rPr>
          <w:i/>
          <w:sz w:val="24"/>
          <w:szCs w:val="24"/>
        </w:rPr>
      </w:pPr>
      <w:r w:rsidRPr="0055277C">
        <w:rPr>
          <w:sz w:val="24"/>
          <w:szCs w:val="24"/>
        </w:rPr>
        <w:t xml:space="preserve">A União Europeia </w:t>
      </w:r>
      <w:r w:rsidR="00210F5C" w:rsidRPr="0055277C">
        <w:rPr>
          <w:sz w:val="24"/>
          <w:szCs w:val="24"/>
        </w:rPr>
        <w:t>ocupou a segunda posição entre os</w:t>
      </w:r>
      <w:r w:rsidRPr="0055277C">
        <w:rPr>
          <w:sz w:val="24"/>
          <w:szCs w:val="24"/>
        </w:rPr>
        <w:t xml:space="preserve"> </w:t>
      </w:r>
      <w:r w:rsidR="00210F5C" w:rsidRPr="0055277C">
        <w:rPr>
          <w:sz w:val="24"/>
          <w:szCs w:val="24"/>
        </w:rPr>
        <w:t>blocos econômicos e regiões geográficas</w:t>
      </w:r>
      <w:r w:rsidRPr="0055277C">
        <w:rPr>
          <w:sz w:val="24"/>
          <w:szCs w:val="24"/>
        </w:rPr>
        <w:t xml:space="preserve"> dos produtos agropecuários brasileiros</w:t>
      </w:r>
      <w:r w:rsidR="00210F5C" w:rsidRPr="0055277C">
        <w:rPr>
          <w:sz w:val="24"/>
          <w:szCs w:val="24"/>
        </w:rPr>
        <w:t xml:space="preserve"> (13,8% de </w:t>
      </w:r>
      <w:r w:rsidR="00210F5C" w:rsidRPr="0055277C">
        <w:rPr>
          <w:i/>
          <w:iCs/>
          <w:sz w:val="24"/>
          <w:szCs w:val="24"/>
        </w:rPr>
        <w:t>market share</w:t>
      </w:r>
      <w:r w:rsidR="00210F5C" w:rsidRPr="0055277C">
        <w:rPr>
          <w:sz w:val="24"/>
          <w:szCs w:val="24"/>
        </w:rPr>
        <w:t>)</w:t>
      </w:r>
      <w:r w:rsidRPr="0055277C">
        <w:rPr>
          <w:sz w:val="24"/>
          <w:szCs w:val="24"/>
        </w:rPr>
        <w:t xml:space="preserve">, com US$ </w:t>
      </w:r>
      <w:r w:rsidR="00210F5C" w:rsidRPr="0055277C">
        <w:rPr>
          <w:sz w:val="24"/>
          <w:szCs w:val="24"/>
        </w:rPr>
        <w:t>17,44</w:t>
      </w:r>
      <w:r w:rsidRPr="0055277C">
        <w:rPr>
          <w:sz w:val="24"/>
          <w:szCs w:val="24"/>
        </w:rPr>
        <w:t xml:space="preserve"> bilhões. </w:t>
      </w:r>
      <w:r w:rsidR="00210F5C" w:rsidRPr="0055277C">
        <w:rPr>
          <w:sz w:val="24"/>
          <w:szCs w:val="24"/>
        </w:rPr>
        <w:t>Na comparação com o</w:t>
      </w:r>
      <w:r w:rsidRPr="0055277C">
        <w:rPr>
          <w:sz w:val="24"/>
          <w:szCs w:val="24"/>
        </w:rPr>
        <w:t xml:space="preserve"> ano anterior </w:t>
      </w:r>
      <w:r w:rsidR="00210F5C" w:rsidRPr="0055277C">
        <w:rPr>
          <w:sz w:val="24"/>
          <w:szCs w:val="24"/>
        </w:rPr>
        <w:t>houve crescimento de 4,7%, decorrente da elevação nas vendas de café verde (+US$ 1,55 bilhão)</w:t>
      </w:r>
      <w:r w:rsidRPr="0055277C">
        <w:rPr>
          <w:sz w:val="24"/>
          <w:szCs w:val="24"/>
        </w:rPr>
        <w:t xml:space="preserve">. </w:t>
      </w:r>
      <w:r w:rsidR="00210F5C" w:rsidRPr="0055277C">
        <w:rPr>
          <w:sz w:val="24"/>
          <w:szCs w:val="24"/>
        </w:rPr>
        <w:t>Outros produtos que se</w:t>
      </w:r>
      <w:r w:rsidRPr="0055277C">
        <w:rPr>
          <w:sz w:val="24"/>
          <w:szCs w:val="24"/>
        </w:rPr>
        <w:t xml:space="preserve"> destacaram</w:t>
      </w:r>
      <w:r w:rsidR="00210F5C" w:rsidRPr="0055277C">
        <w:rPr>
          <w:sz w:val="24"/>
          <w:szCs w:val="24"/>
        </w:rPr>
        <w:t xml:space="preserve"> para o bloco europeu</w:t>
      </w:r>
      <w:r w:rsidRPr="0055277C">
        <w:rPr>
          <w:sz w:val="24"/>
          <w:szCs w:val="24"/>
        </w:rPr>
        <w:t xml:space="preserve">: farelo de soja (US$ </w:t>
      </w:r>
      <w:r w:rsidR="00210F5C" w:rsidRPr="0055277C">
        <w:rPr>
          <w:sz w:val="24"/>
          <w:szCs w:val="24"/>
        </w:rPr>
        <w:t>3,06</w:t>
      </w:r>
      <w:r w:rsidRPr="0055277C">
        <w:rPr>
          <w:sz w:val="24"/>
          <w:szCs w:val="24"/>
        </w:rPr>
        <w:t xml:space="preserve"> bilhões e -</w:t>
      </w:r>
      <w:r w:rsidR="00210F5C" w:rsidRPr="0055277C">
        <w:rPr>
          <w:sz w:val="24"/>
          <w:szCs w:val="24"/>
        </w:rPr>
        <w:t>25,7</w:t>
      </w:r>
      <w:r w:rsidRPr="0055277C">
        <w:rPr>
          <w:sz w:val="24"/>
          <w:szCs w:val="24"/>
        </w:rPr>
        <w:t>%</w:t>
      </w:r>
      <w:r w:rsidR="00210F5C" w:rsidRPr="0055277C">
        <w:rPr>
          <w:sz w:val="24"/>
          <w:szCs w:val="24"/>
        </w:rPr>
        <w:t xml:space="preserve"> em relação a 2023</w:t>
      </w:r>
      <w:r w:rsidRPr="0055277C">
        <w:rPr>
          <w:sz w:val="24"/>
          <w:szCs w:val="24"/>
        </w:rPr>
        <w:t xml:space="preserve">); soja em grãos (US$ </w:t>
      </w:r>
      <w:r w:rsidR="00210F5C" w:rsidRPr="0055277C">
        <w:rPr>
          <w:sz w:val="24"/>
          <w:szCs w:val="24"/>
        </w:rPr>
        <w:t>2,79</w:t>
      </w:r>
      <w:r w:rsidRPr="0055277C">
        <w:rPr>
          <w:sz w:val="24"/>
          <w:szCs w:val="24"/>
        </w:rPr>
        <w:t xml:space="preserve"> bilh</w:t>
      </w:r>
      <w:r w:rsidR="00210F5C" w:rsidRPr="0055277C">
        <w:rPr>
          <w:sz w:val="24"/>
          <w:szCs w:val="24"/>
        </w:rPr>
        <w:t>ões</w:t>
      </w:r>
      <w:r w:rsidRPr="0055277C">
        <w:rPr>
          <w:sz w:val="24"/>
          <w:szCs w:val="24"/>
        </w:rPr>
        <w:t xml:space="preserve"> e -</w:t>
      </w:r>
      <w:r w:rsidR="00210F5C" w:rsidRPr="0055277C">
        <w:rPr>
          <w:sz w:val="24"/>
          <w:szCs w:val="24"/>
        </w:rPr>
        <w:t>0,4</w:t>
      </w:r>
      <w:r w:rsidRPr="0055277C">
        <w:rPr>
          <w:sz w:val="24"/>
          <w:szCs w:val="24"/>
        </w:rPr>
        <w:t>%)</w:t>
      </w:r>
      <w:r w:rsidR="00210F5C" w:rsidRPr="0055277C">
        <w:rPr>
          <w:sz w:val="24"/>
          <w:szCs w:val="24"/>
        </w:rPr>
        <w:t>;</w:t>
      </w:r>
      <w:r w:rsidRPr="0055277C">
        <w:rPr>
          <w:sz w:val="24"/>
          <w:szCs w:val="24"/>
        </w:rPr>
        <w:t xml:space="preserve"> celulose (US$ </w:t>
      </w:r>
      <w:r w:rsidR="00210F5C" w:rsidRPr="0055277C">
        <w:rPr>
          <w:sz w:val="24"/>
          <w:szCs w:val="24"/>
        </w:rPr>
        <w:t>1,96</w:t>
      </w:r>
      <w:r w:rsidRPr="0055277C">
        <w:rPr>
          <w:sz w:val="24"/>
          <w:szCs w:val="24"/>
        </w:rPr>
        <w:t xml:space="preserve"> bilhão e +</w:t>
      </w:r>
      <w:r w:rsidR="00065D5D" w:rsidRPr="0055277C">
        <w:rPr>
          <w:sz w:val="24"/>
          <w:szCs w:val="24"/>
        </w:rPr>
        <w:t>58,5</w:t>
      </w:r>
      <w:r w:rsidRPr="0055277C">
        <w:rPr>
          <w:sz w:val="24"/>
          <w:szCs w:val="24"/>
        </w:rPr>
        <w:t>%)</w:t>
      </w:r>
      <w:r w:rsidR="00065D5D" w:rsidRPr="0055277C">
        <w:rPr>
          <w:sz w:val="24"/>
          <w:szCs w:val="24"/>
        </w:rPr>
        <w:t xml:space="preserve"> e suco de laranja (US$ 1,22 bilhão e +40,3%)</w:t>
      </w:r>
      <w:r w:rsidRPr="0055277C">
        <w:rPr>
          <w:sz w:val="24"/>
          <w:szCs w:val="24"/>
        </w:rPr>
        <w:t>.</w:t>
      </w:r>
    </w:p>
    <w:p w14:paraId="66402408" w14:textId="77777777" w:rsidR="009C03AE" w:rsidRPr="0055277C" w:rsidRDefault="009C03AE" w:rsidP="00C51F2D">
      <w:pPr>
        <w:jc w:val="both"/>
        <w:rPr>
          <w:b/>
          <w:bCs/>
          <w:sz w:val="24"/>
          <w:szCs w:val="24"/>
        </w:rPr>
      </w:pPr>
    </w:p>
    <w:p w14:paraId="6A96C10E" w14:textId="545910C8" w:rsidR="005673BE" w:rsidRPr="0055277C" w:rsidRDefault="009F1416" w:rsidP="00753D0C">
      <w:pPr>
        <w:jc w:val="both"/>
        <w:rPr>
          <w:sz w:val="24"/>
          <w:szCs w:val="24"/>
        </w:rPr>
      </w:pPr>
      <w:r w:rsidRPr="0055277C">
        <w:rPr>
          <w:noProof/>
          <w:sz w:val="24"/>
          <w:szCs w:val="24"/>
        </w:rPr>
        <w:lastRenderedPageBreak/>
        <w:drawing>
          <wp:inline distT="0" distB="0" distL="0" distR="0" wp14:anchorId="77E59DD9" wp14:editId="6BE9F407">
            <wp:extent cx="6188710" cy="2475230"/>
            <wp:effectExtent l="0" t="0" r="2540" b="1270"/>
            <wp:docPr id="34551232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1232" name="Imagem 1" descr="Interface gráfica do usuário, Texto, Aplicativ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4C4F" w14:textId="38D09D29" w:rsidR="00ED77D5" w:rsidRPr="0055277C" w:rsidRDefault="00ED77D5" w:rsidP="00753D0C">
      <w:pPr>
        <w:jc w:val="both"/>
        <w:rPr>
          <w:b/>
          <w:bCs/>
          <w:sz w:val="24"/>
          <w:szCs w:val="24"/>
        </w:rPr>
      </w:pPr>
      <w:proofErr w:type="spellStart"/>
      <w:r w:rsidRPr="0055277C">
        <w:rPr>
          <w:b/>
          <w:bCs/>
          <w:sz w:val="24"/>
          <w:szCs w:val="24"/>
        </w:rPr>
        <w:t>II.c</w:t>
      </w:r>
      <w:proofErr w:type="spellEnd"/>
      <w:r w:rsidRPr="0055277C">
        <w:rPr>
          <w:b/>
          <w:bCs/>
          <w:sz w:val="24"/>
          <w:szCs w:val="24"/>
        </w:rPr>
        <w:t xml:space="preserve"> – Países</w:t>
      </w:r>
    </w:p>
    <w:p w14:paraId="24CC813D" w14:textId="69E7BB71" w:rsidR="00271593" w:rsidRPr="0055277C" w:rsidRDefault="00271593" w:rsidP="00271593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A China </w:t>
      </w:r>
      <w:r w:rsidR="00B25F98" w:rsidRPr="0055277C">
        <w:rPr>
          <w:sz w:val="24"/>
          <w:szCs w:val="24"/>
        </w:rPr>
        <w:t>é</w:t>
      </w:r>
      <w:r w:rsidRPr="0055277C">
        <w:rPr>
          <w:sz w:val="24"/>
          <w:szCs w:val="24"/>
        </w:rPr>
        <w:t xml:space="preserve"> o principal país de destino das vendas externas do agronegócio brasileiro</w:t>
      </w:r>
      <w:r w:rsidR="00B25F98" w:rsidRPr="0055277C">
        <w:rPr>
          <w:sz w:val="24"/>
          <w:szCs w:val="24"/>
        </w:rPr>
        <w:t xml:space="preserve">, somando </w:t>
      </w:r>
      <w:r w:rsidRPr="0055277C">
        <w:rPr>
          <w:sz w:val="24"/>
          <w:szCs w:val="24"/>
        </w:rPr>
        <w:t xml:space="preserve">US$ </w:t>
      </w:r>
      <w:r w:rsidR="00B25F98" w:rsidRPr="0055277C">
        <w:rPr>
          <w:sz w:val="24"/>
          <w:szCs w:val="24"/>
        </w:rPr>
        <w:t>41,43</w:t>
      </w:r>
      <w:r w:rsidRPr="0055277C">
        <w:rPr>
          <w:sz w:val="24"/>
          <w:szCs w:val="24"/>
        </w:rPr>
        <w:t xml:space="preserve"> bilhões</w:t>
      </w:r>
      <w:r w:rsidR="00B25F98" w:rsidRPr="0055277C">
        <w:rPr>
          <w:sz w:val="24"/>
          <w:szCs w:val="24"/>
        </w:rPr>
        <w:t xml:space="preserve"> nos nove primeiros meses de 2024</w:t>
      </w:r>
      <w:r w:rsidRPr="0055277C">
        <w:rPr>
          <w:sz w:val="24"/>
          <w:szCs w:val="24"/>
        </w:rPr>
        <w:t xml:space="preserve">, ou seja, </w:t>
      </w:r>
      <w:r w:rsidR="00B25F98" w:rsidRPr="0055277C">
        <w:rPr>
          <w:sz w:val="24"/>
          <w:szCs w:val="24"/>
        </w:rPr>
        <w:t>10,4</w:t>
      </w:r>
      <w:r w:rsidRPr="0055277C">
        <w:rPr>
          <w:sz w:val="24"/>
          <w:szCs w:val="24"/>
        </w:rPr>
        <w:t>% inferior ao que havia sido registrado</w:t>
      </w:r>
      <w:r w:rsidR="00B25F98" w:rsidRPr="0055277C">
        <w:rPr>
          <w:sz w:val="24"/>
          <w:szCs w:val="24"/>
        </w:rPr>
        <w:t xml:space="preserve"> no mesmo período</w:t>
      </w:r>
      <w:r w:rsidRPr="0055277C">
        <w:rPr>
          <w:sz w:val="24"/>
          <w:szCs w:val="24"/>
        </w:rPr>
        <w:t xml:space="preserve"> em 2023. A</w:t>
      </w:r>
      <w:r w:rsidR="00B25F98" w:rsidRPr="0055277C">
        <w:rPr>
          <w:sz w:val="24"/>
          <w:szCs w:val="24"/>
        </w:rPr>
        <w:t xml:space="preserve"> soja em grãos foi</w:t>
      </w:r>
      <w:r w:rsidRPr="0055277C">
        <w:rPr>
          <w:sz w:val="24"/>
          <w:szCs w:val="24"/>
        </w:rPr>
        <w:t xml:space="preserve"> o principal produto </w:t>
      </w:r>
      <w:r w:rsidR="00B25F98" w:rsidRPr="0055277C">
        <w:rPr>
          <w:sz w:val="24"/>
          <w:szCs w:val="24"/>
        </w:rPr>
        <w:t>do mercado, com 68,7%</w:t>
      </w:r>
      <w:r w:rsidRPr="0055277C">
        <w:rPr>
          <w:sz w:val="24"/>
          <w:szCs w:val="24"/>
        </w:rPr>
        <w:t xml:space="preserve"> do total exportado pelo Brasil ao mercado</w:t>
      </w:r>
      <w:r w:rsidR="00B25F98" w:rsidRPr="0055277C">
        <w:rPr>
          <w:sz w:val="24"/>
          <w:szCs w:val="24"/>
        </w:rPr>
        <w:t xml:space="preserve"> (US$ 28,47 bilhões)</w:t>
      </w:r>
      <w:r w:rsidRPr="0055277C">
        <w:rPr>
          <w:sz w:val="24"/>
          <w:szCs w:val="24"/>
        </w:rPr>
        <w:t xml:space="preserve">, </w:t>
      </w:r>
      <w:r w:rsidR="00B25F98" w:rsidRPr="0055277C">
        <w:rPr>
          <w:sz w:val="24"/>
          <w:szCs w:val="24"/>
        </w:rPr>
        <w:t>porém na comparação com o ano prévio</w:t>
      </w:r>
      <w:r w:rsidRPr="0055277C">
        <w:rPr>
          <w:sz w:val="24"/>
          <w:szCs w:val="24"/>
        </w:rPr>
        <w:t xml:space="preserve"> </w:t>
      </w:r>
      <w:r w:rsidR="00B25F98" w:rsidRPr="0055277C">
        <w:rPr>
          <w:sz w:val="24"/>
          <w:szCs w:val="24"/>
        </w:rPr>
        <w:t>teve</w:t>
      </w:r>
      <w:r w:rsidRPr="0055277C">
        <w:rPr>
          <w:sz w:val="24"/>
          <w:szCs w:val="24"/>
        </w:rPr>
        <w:t xml:space="preserve"> </w:t>
      </w:r>
      <w:r w:rsidR="00B25F98" w:rsidRPr="0055277C">
        <w:rPr>
          <w:sz w:val="24"/>
          <w:szCs w:val="24"/>
        </w:rPr>
        <w:t>queda</w:t>
      </w:r>
      <w:r w:rsidRPr="0055277C">
        <w:rPr>
          <w:sz w:val="24"/>
          <w:szCs w:val="24"/>
        </w:rPr>
        <w:t xml:space="preserve"> de </w:t>
      </w:r>
      <w:r w:rsidR="00B25F98" w:rsidRPr="0055277C">
        <w:rPr>
          <w:sz w:val="24"/>
          <w:szCs w:val="24"/>
        </w:rPr>
        <w:t>11,7</w:t>
      </w:r>
      <w:r w:rsidRPr="0055277C">
        <w:rPr>
          <w:sz w:val="24"/>
          <w:szCs w:val="24"/>
        </w:rPr>
        <w:t xml:space="preserve">% em valor, </w:t>
      </w:r>
      <w:r w:rsidR="00B25F98" w:rsidRPr="0055277C">
        <w:rPr>
          <w:sz w:val="24"/>
          <w:szCs w:val="24"/>
        </w:rPr>
        <w:t>em função</w:t>
      </w:r>
      <w:r w:rsidRPr="0055277C">
        <w:rPr>
          <w:sz w:val="24"/>
          <w:szCs w:val="24"/>
        </w:rPr>
        <w:t xml:space="preserve"> da queda </w:t>
      </w:r>
      <w:r w:rsidR="00B25F98" w:rsidRPr="0055277C">
        <w:rPr>
          <w:sz w:val="24"/>
          <w:szCs w:val="24"/>
        </w:rPr>
        <w:t xml:space="preserve">de 16,8% </w:t>
      </w:r>
      <w:r w:rsidRPr="0055277C">
        <w:rPr>
          <w:sz w:val="24"/>
          <w:szCs w:val="24"/>
        </w:rPr>
        <w:t xml:space="preserve">no preço médio (US$ </w:t>
      </w:r>
      <w:r w:rsidR="00B25F98" w:rsidRPr="0055277C">
        <w:rPr>
          <w:sz w:val="24"/>
          <w:szCs w:val="24"/>
        </w:rPr>
        <w:t>522</w:t>
      </w:r>
      <w:r w:rsidRPr="0055277C">
        <w:rPr>
          <w:sz w:val="24"/>
          <w:szCs w:val="24"/>
        </w:rPr>
        <w:t xml:space="preserve"> para US$ </w:t>
      </w:r>
      <w:r w:rsidR="00B25F98" w:rsidRPr="0055277C">
        <w:rPr>
          <w:sz w:val="24"/>
          <w:szCs w:val="24"/>
        </w:rPr>
        <w:t>434</w:t>
      </w:r>
      <w:r w:rsidRPr="0055277C">
        <w:rPr>
          <w:sz w:val="24"/>
          <w:szCs w:val="24"/>
        </w:rPr>
        <w:t xml:space="preserve"> por tonelada), uma vez que a quantidade embarcada aumentou 6,</w:t>
      </w:r>
      <w:r w:rsidR="00B25F98" w:rsidRPr="0055277C">
        <w:rPr>
          <w:sz w:val="24"/>
          <w:szCs w:val="24"/>
        </w:rPr>
        <w:t>0</w:t>
      </w:r>
      <w:r w:rsidRPr="0055277C">
        <w:rPr>
          <w:sz w:val="24"/>
          <w:szCs w:val="24"/>
        </w:rPr>
        <w:t xml:space="preserve">%. </w:t>
      </w:r>
      <w:r w:rsidR="00B25F98" w:rsidRPr="0055277C">
        <w:rPr>
          <w:sz w:val="24"/>
          <w:szCs w:val="24"/>
        </w:rPr>
        <w:t xml:space="preserve">Em seguida destaca-se a </w:t>
      </w:r>
      <w:r w:rsidRPr="0055277C">
        <w:rPr>
          <w:sz w:val="24"/>
          <w:szCs w:val="24"/>
        </w:rPr>
        <w:t xml:space="preserve">carne bovina </w:t>
      </w:r>
      <w:r w:rsidRPr="0055277C">
        <w:rPr>
          <w:i/>
          <w:iCs/>
          <w:sz w:val="24"/>
          <w:szCs w:val="24"/>
        </w:rPr>
        <w:t>in natura</w:t>
      </w:r>
      <w:r w:rsidRPr="0055277C">
        <w:rPr>
          <w:sz w:val="24"/>
          <w:szCs w:val="24"/>
        </w:rPr>
        <w:t xml:space="preserve">, com US$ </w:t>
      </w:r>
      <w:r w:rsidR="00B25F98" w:rsidRPr="0055277C">
        <w:rPr>
          <w:sz w:val="24"/>
          <w:szCs w:val="24"/>
        </w:rPr>
        <w:t>4,11</w:t>
      </w:r>
      <w:r w:rsidRPr="0055277C">
        <w:rPr>
          <w:sz w:val="24"/>
          <w:szCs w:val="24"/>
        </w:rPr>
        <w:t xml:space="preserve"> bilhões em exportações</w:t>
      </w:r>
      <w:r w:rsidR="00B25F98" w:rsidRPr="0055277C">
        <w:rPr>
          <w:sz w:val="24"/>
          <w:szCs w:val="24"/>
        </w:rPr>
        <w:t xml:space="preserve">. Assim como a soja, houve queda nas vendas (-1,1%). </w:t>
      </w:r>
      <w:r w:rsidRPr="0055277C">
        <w:rPr>
          <w:sz w:val="24"/>
          <w:szCs w:val="24"/>
        </w:rPr>
        <w:t xml:space="preserve"> </w:t>
      </w:r>
      <w:r w:rsidR="00D86A44" w:rsidRPr="0055277C">
        <w:rPr>
          <w:sz w:val="24"/>
          <w:szCs w:val="24"/>
        </w:rPr>
        <w:t>A</w:t>
      </w:r>
      <w:r w:rsidRPr="0055277C">
        <w:rPr>
          <w:sz w:val="24"/>
          <w:szCs w:val="24"/>
        </w:rPr>
        <w:t xml:space="preserve"> celulose </w:t>
      </w:r>
      <w:r w:rsidR="00D86A44" w:rsidRPr="0055277C">
        <w:rPr>
          <w:sz w:val="24"/>
          <w:szCs w:val="24"/>
        </w:rPr>
        <w:t xml:space="preserve">foi o terceiro item da pauta exportadora </w:t>
      </w:r>
      <w:r w:rsidRPr="0055277C">
        <w:rPr>
          <w:sz w:val="24"/>
          <w:szCs w:val="24"/>
        </w:rPr>
        <w:t xml:space="preserve">(US$ </w:t>
      </w:r>
      <w:r w:rsidR="00D86A44" w:rsidRPr="0055277C">
        <w:rPr>
          <w:sz w:val="24"/>
          <w:szCs w:val="24"/>
        </w:rPr>
        <w:t>3,18</w:t>
      </w:r>
      <w:r w:rsidRPr="0055277C">
        <w:rPr>
          <w:sz w:val="24"/>
          <w:szCs w:val="24"/>
        </w:rPr>
        <w:t xml:space="preserve"> bilhões)</w:t>
      </w:r>
      <w:r w:rsidR="00D86A44" w:rsidRPr="0055277C">
        <w:rPr>
          <w:sz w:val="24"/>
          <w:szCs w:val="24"/>
        </w:rPr>
        <w:t>, seguida pelo</w:t>
      </w:r>
      <w:r w:rsidRPr="0055277C">
        <w:rPr>
          <w:sz w:val="24"/>
          <w:szCs w:val="24"/>
        </w:rPr>
        <w:t xml:space="preserve"> algodão não cardado nem penteado (US$ 1,</w:t>
      </w:r>
      <w:r w:rsidR="00D86A44" w:rsidRPr="0055277C">
        <w:rPr>
          <w:sz w:val="24"/>
          <w:szCs w:val="24"/>
        </w:rPr>
        <w:t>29</w:t>
      </w:r>
      <w:r w:rsidRPr="0055277C">
        <w:rPr>
          <w:sz w:val="24"/>
          <w:szCs w:val="24"/>
        </w:rPr>
        <w:t xml:space="preserve"> bilhão)</w:t>
      </w:r>
      <w:r w:rsidR="00D86A44" w:rsidRPr="0055277C">
        <w:rPr>
          <w:sz w:val="24"/>
          <w:szCs w:val="24"/>
        </w:rPr>
        <w:t xml:space="preserve"> e açúcar de cana em bruto (US$ 1,13 bilhão)</w:t>
      </w:r>
      <w:r w:rsidRPr="0055277C">
        <w:rPr>
          <w:sz w:val="24"/>
          <w:szCs w:val="24"/>
        </w:rPr>
        <w:t>.</w:t>
      </w:r>
    </w:p>
    <w:p w14:paraId="5F365241" w14:textId="27BB4F1A" w:rsidR="001C2663" w:rsidRPr="0055277C" w:rsidRDefault="00271593" w:rsidP="00271593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As exportações para </w:t>
      </w:r>
      <w:r w:rsidR="00D86A44" w:rsidRPr="0055277C">
        <w:rPr>
          <w:sz w:val="24"/>
          <w:szCs w:val="24"/>
        </w:rPr>
        <w:t>os Estados Unidos somaram US$ 8,50 bilhões, ou seja,</w:t>
      </w:r>
      <w:r w:rsidRPr="0055277C">
        <w:rPr>
          <w:sz w:val="24"/>
          <w:szCs w:val="24"/>
        </w:rPr>
        <w:t xml:space="preserve"> </w:t>
      </w:r>
      <w:r w:rsidR="00D86A44" w:rsidRPr="0055277C">
        <w:rPr>
          <w:sz w:val="24"/>
          <w:szCs w:val="24"/>
        </w:rPr>
        <w:t>18,4</w:t>
      </w:r>
      <w:r w:rsidRPr="0055277C">
        <w:rPr>
          <w:sz w:val="24"/>
          <w:szCs w:val="24"/>
        </w:rPr>
        <w:t>%</w:t>
      </w:r>
      <w:r w:rsidR="00D86A44" w:rsidRPr="0055277C">
        <w:rPr>
          <w:sz w:val="24"/>
          <w:szCs w:val="24"/>
        </w:rPr>
        <w:t xml:space="preserve"> de crescimento em relação a 2023</w:t>
      </w:r>
      <w:r w:rsidRPr="0055277C">
        <w:rPr>
          <w:sz w:val="24"/>
          <w:szCs w:val="24"/>
        </w:rPr>
        <w:t xml:space="preserve">. Os produtos que </w:t>
      </w:r>
      <w:r w:rsidR="00D86A44" w:rsidRPr="0055277C">
        <w:rPr>
          <w:sz w:val="24"/>
          <w:szCs w:val="24"/>
        </w:rPr>
        <w:t xml:space="preserve">mais </w:t>
      </w:r>
      <w:r w:rsidRPr="0055277C">
        <w:rPr>
          <w:sz w:val="24"/>
          <w:szCs w:val="24"/>
        </w:rPr>
        <w:t xml:space="preserve">contribuíram para </w:t>
      </w:r>
      <w:r w:rsidR="00D86A44" w:rsidRPr="0055277C">
        <w:rPr>
          <w:sz w:val="24"/>
          <w:szCs w:val="24"/>
        </w:rPr>
        <w:t>tal resultado</w:t>
      </w:r>
      <w:r w:rsidRPr="0055277C">
        <w:rPr>
          <w:sz w:val="24"/>
          <w:szCs w:val="24"/>
        </w:rPr>
        <w:t xml:space="preserve"> foram: café verde (+US$ </w:t>
      </w:r>
      <w:r w:rsidR="00423BF0" w:rsidRPr="0055277C">
        <w:rPr>
          <w:sz w:val="24"/>
          <w:szCs w:val="24"/>
        </w:rPr>
        <w:t>378,76</w:t>
      </w:r>
      <w:r w:rsidRPr="0055277C">
        <w:rPr>
          <w:sz w:val="24"/>
          <w:szCs w:val="24"/>
        </w:rPr>
        <w:t xml:space="preserve"> milhões); celulose (+US$ </w:t>
      </w:r>
      <w:r w:rsidR="00423BF0" w:rsidRPr="0055277C">
        <w:rPr>
          <w:sz w:val="24"/>
          <w:szCs w:val="24"/>
        </w:rPr>
        <w:t>296,81</w:t>
      </w:r>
      <w:r w:rsidRPr="0055277C">
        <w:rPr>
          <w:sz w:val="24"/>
          <w:szCs w:val="24"/>
        </w:rPr>
        <w:t xml:space="preserve"> milhões); </w:t>
      </w:r>
      <w:r w:rsidR="00423BF0" w:rsidRPr="0055277C">
        <w:rPr>
          <w:sz w:val="24"/>
          <w:szCs w:val="24"/>
        </w:rPr>
        <w:t xml:space="preserve">carne bovina </w:t>
      </w:r>
      <w:r w:rsidR="00423BF0" w:rsidRPr="0055277C">
        <w:rPr>
          <w:i/>
          <w:iCs/>
          <w:sz w:val="24"/>
          <w:szCs w:val="24"/>
        </w:rPr>
        <w:t>in natura</w:t>
      </w:r>
      <w:r w:rsidR="00423BF0" w:rsidRPr="0055277C">
        <w:rPr>
          <w:sz w:val="24"/>
          <w:szCs w:val="24"/>
        </w:rPr>
        <w:t xml:space="preserve"> </w:t>
      </w:r>
      <w:r w:rsidRPr="0055277C">
        <w:rPr>
          <w:sz w:val="24"/>
          <w:szCs w:val="24"/>
        </w:rPr>
        <w:t xml:space="preserve">(+US$ </w:t>
      </w:r>
      <w:r w:rsidR="00423BF0" w:rsidRPr="0055277C">
        <w:rPr>
          <w:sz w:val="24"/>
          <w:szCs w:val="24"/>
        </w:rPr>
        <w:t>293,36</w:t>
      </w:r>
      <w:r w:rsidRPr="0055277C">
        <w:rPr>
          <w:sz w:val="24"/>
          <w:szCs w:val="24"/>
        </w:rPr>
        <w:t xml:space="preserve"> milhões)</w:t>
      </w:r>
      <w:r w:rsidR="00423BF0" w:rsidRPr="0055277C">
        <w:rPr>
          <w:sz w:val="24"/>
          <w:szCs w:val="24"/>
        </w:rPr>
        <w:t>;</w:t>
      </w:r>
      <w:r w:rsidRPr="0055277C">
        <w:rPr>
          <w:sz w:val="24"/>
          <w:szCs w:val="24"/>
        </w:rPr>
        <w:t xml:space="preserve"> </w:t>
      </w:r>
      <w:r w:rsidR="00423BF0" w:rsidRPr="0055277C">
        <w:rPr>
          <w:sz w:val="24"/>
          <w:szCs w:val="24"/>
        </w:rPr>
        <w:t xml:space="preserve">açúcar de cana em bruto </w:t>
      </w:r>
      <w:r w:rsidRPr="0055277C">
        <w:rPr>
          <w:sz w:val="24"/>
          <w:szCs w:val="24"/>
        </w:rPr>
        <w:t xml:space="preserve">(+US$ </w:t>
      </w:r>
      <w:r w:rsidR="00423BF0" w:rsidRPr="0055277C">
        <w:rPr>
          <w:sz w:val="24"/>
          <w:szCs w:val="24"/>
        </w:rPr>
        <w:t>121,68</w:t>
      </w:r>
      <w:r w:rsidRPr="0055277C">
        <w:rPr>
          <w:sz w:val="24"/>
          <w:szCs w:val="24"/>
        </w:rPr>
        <w:t xml:space="preserve"> milhões)</w:t>
      </w:r>
      <w:r w:rsidR="00423BF0" w:rsidRPr="0055277C">
        <w:rPr>
          <w:sz w:val="24"/>
          <w:szCs w:val="24"/>
        </w:rPr>
        <w:t xml:space="preserve"> e sebo bovino (+US$ 109,91 milhões)</w:t>
      </w:r>
      <w:r w:rsidRPr="0055277C">
        <w:rPr>
          <w:sz w:val="24"/>
          <w:szCs w:val="24"/>
        </w:rPr>
        <w:t>.</w:t>
      </w:r>
      <w:r w:rsidR="00423BF0" w:rsidRPr="0055277C">
        <w:rPr>
          <w:sz w:val="24"/>
          <w:szCs w:val="24"/>
        </w:rPr>
        <w:t xml:space="preserve"> Por outro lado, </w:t>
      </w:r>
      <w:r w:rsidR="00F9518A" w:rsidRPr="0055277C">
        <w:rPr>
          <w:sz w:val="24"/>
          <w:szCs w:val="24"/>
        </w:rPr>
        <w:t>cabe ressaltar que houve</w:t>
      </w:r>
      <w:r w:rsidR="00423BF0" w:rsidRPr="0055277C">
        <w:rPr>
          <w:sz w:val="24"/>
          <w:szCs w:val="24"/>
        </w:rPr>
        <w:t xml:space="preserve"> queda </w:t>
      </w:r>
      <w:r w:rsidR="00F9518A" w:rsidRPr="0055277C">
        <w:rPr>
          <w:sz w:val="24"/>
          <w:szCs w:val="24"/>
        </w:rPr>
        <w:t>n</w:t>
      </w:r>
      <w:r w:rsidR="00423BF0" w:rsidRPr="0055277C">
        <w:rPr>
          <w:sz w:val="24"/>
          <w:szCs w:val="24"/>
        </w:rPr>
        <w:t>as vendas de soja em grãos (-US$ 150,38 milhões)</w:t>
      </w:r>
      <w:r w:rsidR="00F9518A" w:rsidRPr="0055277C">
        <w:rPr>
          <w:sz w:val="24"/>
          <w:szCs w:val="24"/>
        </w:rPr>
        <w:t>.</w:t>
      </w:r>
    </w:p>
    <w:p w14:paraId="362A0629" w14:textId="77777777" w:rsidR="000E630C" w:rsidRPr="0055277C" w:rsidRDefault="000E630C" w:rsidP="00753D0C">
      <w:pPr>
        <w:jc w:val="both"/>
        <w:rPr>
          <w:b/>
          <w:bCs/>
          <w:sz w:val="24"/>
          <w:szCs w:val="24"/>
        </w:rPr>
      </w:pPr>
    </w:p>
    <w:p w14:paraId="4954ABE9" w14:textId="26FA2E0D" w:rsidR="004F6523" w:rsidRPr="0055277C" w:rsidRDefault="009F1416" w:rsidP="00C51F2D">
      <w:pPr>
        <w:jc w:val="both"/>
        <w:rPr>
          <w:sz w:val="24"/>
          <w:szCs w:val="24"/>
        </w:rPr>
      </w:pPr>
      <w:r w:rsidRPr="0055277C">
        <w:rPr>
          <w:noProof/>
          <w:sz w:val="24"/>
          <w:szCs w:val="24"/>
        </w:rPr>
        <w:lastRenderedPageBreak/>
        <w:drawing>
          <wp:inline distT="0" distB="0" distL="0" distR="0" wp14:anchorId="66C57526" wp14:editId="43494AEC">
            <wp:extent cx="6188710" cy="4089400"/>
            <wp:effectExtent l="0" t="0" r="2540" b="6350"/>
            <wp:docPr id="462709765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09765" name="Imagem 1" descr="Tabela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A85F2" w14:textId="0F7E3271" w:rsidR="00A836F2" w:rsidRPr="0055277C" w:rsidRDefault="00A836F2" w:rsidP="00A836F2">
      <w:pPr>
        <w:jc w:val="both"/>
        <w:rPr>
          <w:b/>
          <w:bCs/>
          <w:sz w:val="24"/>
          <w:szCs w:val="24"/>
        </w:rPr>
      </w:pPr>
      <w:r w:rsidRPr="0055277C">
        <w:rPr>
          <w:b/>
          <w:bCs/>
          <w:sz w:val="24"/>
          <w:szCs w:val="24"/>
        </w:rPr>
        <w:t xml:space="preserve">III – Resultados de </w:t>
      </w:r>
      <w:r w:rsidR="001C2663" w:rsidRPr="0055277C">
        <w:rPr>
          <w:b/>
          <w:bCs/>
          <w:sz w:val="24"/>
          <w:szCs w:val="24"/>
        </w:rPr>
        <w:t>Outubro</w:t>
      </w:r>
      <w:r w:rsidRPr="0055277C">
        <w:rPr>
          <w:b/>
          <w:bCs/>
          <w:sz w:val="24"/>
          <w:szCs w:val="24"/>
        </w:rPr>
        <w:t xml:space="preserve"> de </w:t>
      </w:r>
      <w:r w:rsidR="00830FA5" w:rsidRPr="0055277C">
        <w:rPr>
          <w:b/>
          <w:bCs/>
          <w:sz w:val="24"/>
          <w:szCs w:val="24"/>
        </w:rPr>
        <w:t>2023</w:t>
      </w:r>
      <w:r w:rsidRPr="0055277C">
        <w:rPr>
          <w:b/>
          <w:bCs/>
          <w:sz w:val="24"/>
          <w:szCs w:val="24"/>
        </w:rPr>
        <w:t xml:space="preserve"> a </w:t>
      </w:r>
      <w:proofErr w:type="gramStart"/>
      <w:r w:rsidR="001C2663" w:rsidRPr="0055277C">
        <w:rPr>
          <w:b/>
          <w:bCs/>
          <w:sz w:val="24"/>
          <w:szCs w:val="24"/>
        </w:rPr>
        <w:t>Setembro</w:t>
      </w:r>
      <w:proofErr w:type="gramEnd"/>
      <w:r w:rsidRPr="0055277C">
        <w:rPr>
          <w:b/>
          <w:bCs/>
          <w:sz w:val="24"/>
          <w:szCs w:val="24"/>
        </w:rPr>
        <w:t xml:space="preserve"> de </w:t>
      </w:r>
      <w:r w:rsidR="00830FA5" w:rsidRPr="0055277C">
        <w:rPr>
          <w:b/>
          <w:bCs/>
          <w:sz w:val="24"/>
          <w:szCs w:val="24"/>
        </w:rPr>
        <w:t>2024</w:t>
      </w:r>
      <w:r w:rsidRPr="0055277C">
        <w:rPr>
          <w:b/>
          <w:bCs/>
          <w:sz w:val="24"/>
          <w:szCs w:val="24"/>
        </w:rPr>
        <w:t xml:space="preserve"> (Acumulado 12 meses)</w:t>
      </w:r>
    </w:p>
    <w:p w14:paraId="1B9ADCE7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Nos últimos doze meses, entre outubro de 2023 e setembro de 2024, as exportações do agronegócio brasileiro alcançaram a cifra de US$ 166,19 bilhões, o que significou elevação de 1,8% em comparação aos US$ 163,19 bilhões exportados nos doze meses imediatamente anteriores. Em que pese este crescimento, a participação do agronegócio no total das exportações brasileiras caiu em relação aos 12 meses anteriores, de 48,8% para 48,6%, em virtude do maior incremento das vendas externas dos produtos não agrícolas (+2,7%). Pelo lado das importações, entre outubro de 2023 e setembro de 2024, registrou-se um total de US$ 18,59 bilhões, ante US$ 16,85 bilhões adquiridos entre outubro de 2022 e setembro de 2023, o que representou expansão de 10,3% no período. Como resultado, a balança comercial do agronegócio, no acumulado dos últimos doze meses, foi superavitária em US$ 147,60 bilhões (+0,9%). </w:t>
      </w:r>
    </w:p>
    <w:p w14:paraId="363A1EFD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>No entanto, cabe destacar que, no conceito de agronegócio utilizado, não constam os valores de diversos insumos utilizados na agropecuária nacional, tais como máquinas, equipamentos, defensivos, fertilizantes e combustíveis. Para se ter uma ideia mais apurada dos valores, nos últimos doze meses foram registradas importações de US$ 13,71 bilhões em fertilizantes, com queda de 12,7% em valor ante o período anterior, elevação de 23,0% em quantidade e queda de 29,0% no preço. No que se refere às importações brasileiras de defensivos agrícolas, totalizaram US$ 5,19 bilhões nos últimos doze meses, com declínio de 20,9% em valor, aumento de 37,6% em volume e recuo de 42,5% nos preços.</w:t>
      </w:r>
    </w:p>
    <w:p w14:paraId="70CAA6FE" w14:textId="6EC38DA6" w:rsidR="00F020E5" w:rsidRPr="0055277C" w:rsidRDefault="00A836F2" w:rsidP="003B3A3D">
      <w:pPr>
        <w:jc w:val="both"/>
        <w:rPr>
          <w:b/>
          <w:bCs/>
          <w:sz w:val="24"/>
          <w:szCs w:val="24"/>
        </w:rPr>
      </w:pPr>
      <w:proofErr w:type="spellStart"/>
      <w:r w:rsidRPr="0055277C">
        <w:rPr>
          <w:b/>
          <w:bCs/>
          <w:sz w:val="24"/>
          <w:szCs w:val="24"/>
        </w:rPr>
        <w:t>III.a</w:t>
      </w:r>
      <w:proofErr w:type="spellEnd"/>
      <w:r w:rsidRPr="0055277C">
        <w:rPr>
          <w:b/>
          <w:bCs/>
          <w:sz w:val="24"/>
          <w:szCs w:val="24"/>
        </w:rPr>
        <w:t xml:space="preserve"> – Setores do Agronegócio</w:t>
      </w:r>
    </w:p>
    <w:p w14:paraId="5724942C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lastRenderedPageBreak/>
        <w:t xml:space="preserve">Os cinco principais setores do agronegócio brasileiro em valor exportado entre outubro de 2023 e setembro de 2024 foram: complexo soja, com vendas externas de US$ 58,02 bilhões e participação de 34,9%; as carnes, com US$ 24,75 bilhões e 14,9%; complexo sucroalcooleiro, com exportações totais de US$ 20,71 bilhões e participação de 12,5%; produtos florestais, com US$ 16,22 bilhões e 9,8%; e cereais, farinhas e preparações, com US$ 11,75 bilhões e 7,1%; Em conjunto, os cinco setores foram responsáveis por 79,1% de todas as exportações do agronegócio brasileiro nos últimos doze meses, participação 3,8 pontos percentuais inferior à verificada nos doze meses anteriores (82,9%). Por um lado, os setores do complexo soja e de cereais, farinhas e preparações perderam participação relativa (-4,8 e -2,9 pontos percentuais respectivamente), com queda absoluta conjunta de US$ 11,22 bilhões. Por outro, o crescimento da participação das carnes, complexo sucroalcooleiro e produtos florestais auxiliaram a abrandar as perdas, com variações de +0,4, +2,8 e 0,7 pontos percentuais, respectivamente, e acréscimo absoluto de US$ 7,43 bilhões entre os dois períodos. </w:t>
      </w:r>
    </w:p>
    <w:p w14:paraId="2EEA3B36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Como já mencionado, o complexo soja foi o principal setor do agronegócio brasileiro, em valor exportado, entre outubro de 2023 e setembro de 2024, com vendas externas de US$ 58,02 bilhões e 128,25 milhões de toneladas comercializadas, o que significou queda de 10,4% e crescimento de 7,3%, respectivamente. O principal produto exportado pelo segmento foi a soja em grãos, com a soma de US$ 46,61 bilhões e retração de 8,0% em comparação aos US$ 50,67 bilhões negociados nos doze meses imediatamente anteriores. Em quantidade, houve elevação de 9,1%, com 104,17 milhões de toneladas embarcadas. Já o preço médio do produto brasileiro vendido no mercado internacional caiu 15,7% no período, totalizando US$ 447 por tonelada. Os países que mais adquiriram soja em grãos do Brasil no período foram: China, com US$ 35,13 bilhões, declínio de 2,8% em valor e alta de 14,8% em volume; União Europeia, com US$ 2,87 bilhões, -3,0% em valor e +19,0% em quantidade; Tailândia, com US$ 1,37 bilhão, -9,3% em valor e +10,2% em volume; e Turquia, com US$ 1,09 bilhão, com incremento de 17,6% em valor e alta de 41,1% e quantidade.  As vendas externas de farelo de soja alcançaram US$ 10,10 bilhões, com decréscimo de 8,2% em função da retração de 13,9% na cotação média, uma vez que a quantidade comercializada cresceu 6,6% (22,73 milhões de toneladas). Os mercados que mais aumentaram as suas aquisições do farelo no período foram: Irã (+1,89 milhão de toneladas), Indonésia (+907,21 mil toneladas), Turquia (+330,13 mil toneladas), Coreia do Sul (+245,36 mil toneladas) e Bangladesh (+235,16 mil toneladas). Já as exportações de óleo de soja somaram US$ 1,31 bilhão (-57,4%), para um total de 1,35 milhão de toneladas comercializadas (-49,7%) a um preço médio de US$ 971 por tonelada (-15,4%). Os principais destinos do óleo de soja em bruto brasileiro nos últimos doze meses foram: Índia, com US$ 619,80 milhões e participação de 55,9%; China, com US$ 178,48 milhões e 16,1% de </w:t>
      </w:r>
      <w:r w:rsidRPr="0055277C">
        <w:rPr>
          <w:i/>
          <w:iCs/>
          <w:sz w:val="24"/>
          <w:szCs w:val="24"/>
        </w:rPr>
        <w:t>market share</w:t>
      </w:r>
      <w:r w:rsidRPr="0055277C">
        <w:rPr>
          <w:sz w:val="24"/>
          <w:szCs w:val="24"/>
        </w:rPr>
        <w:t>; Bangladesh, com US$ 154,28 milhões (13,9%); e Argélia, com US$ 89,38 milhões (8,1%).</w:t>
      </w:r>
    </w:p>
    <w:p w14:paraId="08DD0123" w14:textId="71393D62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O setor de carnes foi o segundo colocado entre os maiores exportadores do agronegócio brasileiro nos últimos doze meses, com a cifra de US$ 24,75 bilhões e participação de 14,9% de todas as exportações agropecuárias brasileiras no período. A elevação de 4,4% observada foi resultado do crescimento de 8,6% no </w:t>
      </w:r>
      <w:r w:rsidRPr="0055277C">
        <w:rPr>
          <w:i/>
          <w:iCs/>
          <w:sz w:val="24"/>
          <w:szCs w:val="24"/>
        </w:rPr>
        <w:t>quantum</w:t>
      </w:r>
      <w:r w:rsidRPr="0055277C">
        <w:rPr>
          <w:sz w:val="24"/>
          <w:szCs w:val="24"/>
        </w:rPr>
        <w:t xml:space="preserve"> embarcado, tendo em vista que o preço médio caiu 3,9% entre os dois períodos. O principal destaque foi a carne bovina, cujas vendas externas totalizaram US$ 12,06 bilhões (+14,7%). O volume negociado da mercadoria cresceu 25,3%, atingindo 2,74 milhões de toneladas, e o preço médio decresceu 8,4%, totalizando US$ 4.395 por tonelada. Os principais destinos da carne bovina </w:t>
      </w:r>
      <w:r w:rsidRPr="0055277C">
        <w:rPr>
          <w:i/>
          <w:iCs/>
          <w:sz w:val="24"/>
          <w:szCs w:val="24"/>
        </w:rPr>
        <w:t>in natura</w:t>
      </w:r>
      <w:r w:rsidRPr="0055277C">
        <w:rPr>
          <w:sz w:val="24"/>
          <w:szCs w:val="24"/>
        </w:rPr>
        <w:t xml:space="preserve"> brasileira entre outubro de 2023 e setembro de 2024 foram: China, com a soma de US$ 5,69 bilhões, queda de 4,2% e </w:t>
      </w:r>
      <w:r w:rsidRPr="0055277C">
        <w:rPr>
          <w:i/>
          <w:iCs/>
          <w:sz w:val="24"/>
          <w:szCs w:val="24"/>
        </w:rPr>
        <w:t>market share</w:t>
      </w:r>
      <w:r w:rsidRPr="0055277C">
        <w:rPr>
          <w:sz w:val="24"/>
          <w:szCs w:val="24"/>
        </w:rPr>
        <w:t xml:space="preserve"> de 51,9%; Estados Unidos, </w:t>
      </w:r>
      <w:r w:rsidRPr="0055277C">
        <w:rPr>
          <w:sz w:val="24"/>
          <w:szCs w:val="24"/>
        </w:rPr>
        <w:lastRenderedPageBreak/>
        <w:t xml:space="preserve">com aquisições totais de US$ 756,61 milhões, +87,5% e participação de 6,9%; Emirados Árabes Unidos (US$ 673,30 milhões, +161,7%, 6,1% de participação); Chile (US$ 473,92 milhões, +0,6%, 4,3% de </w:t>
      </w:r>
      <w:r w:rsidRPr="0055277C">
        <w:rPr>
          <w:i/>
          <w:iCs/>
          <w:sz w:val="24"/>
          <w:szCs w:val="24"/>
        </w:rPr>
        <w:t>market share</w:t>
      </w:r>
      <w:r w:rsidRPr="0055277C">
        <w:rPr>
          <w:sz w:val="24"/>
          <w:szCs w:val="24"/>
        </w:rPr>
        <w:t xml:space="preserve">) e União Europeia (US$ 441,97 milhões, -5,6% e 4,0% de participação). </w:t>
      </w:r>
    </w:p>
    <w:p w14:paraId="21814E38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Em seguida destacaram-se as vendas de carne de frango, com o montante de US$ 9,33 bilhões (-4,5%) para um total de 5,04 milhões de toneladas (+2,6%) a preços 6,9% inferiores aos verificados no período anterior. O principal comprador da carne de frango </w:t>
      </w:r>
      <w:r w:rsidRPr="0055277C">
        <w:rPr>
          <w:i/>
          <w:iCs/>
          <w:sz w:val="24"/>
          <w:szCs w:val="24"/>
        </w:rPr>
        <w:t>in natura</w:t>
      </w:r>
      <w:r w:rsidRPr="0055277C">
        <w:rPr>
          <w:sz w:val="24"/>
          <w:szCs w:val="24"/>
        </w:rPr>
        <w:t xml:space="preserve"> do Brasil também foi a China, com US$ 1,15 bilhão e 516,98 mil toneladas (-24,0%), seguida pelos Emirados Árabes Unidos (468,70 mil toneladas, +10,6%), Japão (452,68 mil toneladas, +10,0%) e Arábia Saudita (390,84 mil toneladas, +11,7%). Já as exportações de carne suína totalizaram US$ 2,79 bilhões entre outubro de 2023 e setembro de 2024. O recuo de 2,2% no valor exportado foi resultado da retração de 7,4% na cotação média do produto, uma vez que a quantidade embarcada aumentou 5,5% na comparação com os doze meses imediatamente precedentes. Os principais compradores da carne suína </w:t>
      </w:r>
      <w:r w:rsidRPr="0055277C">
        <w:rPr>
          <w:i/>
          <w:iCs/>
          <w:sz w:val="24"/>
          <w:szCs w:val="24"/>
        </w:rPr>
        <w:t>in natura</w:t>
      </w:r>
      <w:r w:rsidRPr="0055277C">
        <w:rPr>
          <w:sz w:val="24"/>
          <w:szCs w:val="24"/>
        </w:rPr>
        <w:t xml:space="preserve"> do Brasil foram: China (US$ 496,74 milhões, -54,2%), Filipinas (US$ 413,42 milhões, +81,9%), Japão (US$ 250,84 milhões, +101,1%), Chile (US$ 236,12 milhões, +21,0%) e Hong Kong (US$ 222,53 milhões, -5,3%).</w:t>
      </w:r>
    </w:p>
    <w:p w14:paraId="0CCE86C5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O terceiro principal setor do agronegócio nos últimos doze meses, em valor de exportação, foi o setor sucroalcooleiro, totalizou receita de exportação de US$ 20,71 bilhões (+31,7%), resultado da expansão de 26,9% no volume comercializado e da elevação de 3,7% no preço médio dos produtos do setor. O açúcar foi o principal produto comercializado no período, com vendas de US$ 19,43 bilhões e crescimento de 40,0% em relação aos valores de outubro de 2022 e setembro de 2023 (US$ 13,88 bilhões). A quantidade negociada cresceu 30,3% no período, atingindo 38,69 milhões de toneladas, enquanto o preço do produto subiu 7,4%, alcançando a cifra de US$ 502 por tonelada. Os principais destinos do açúcar de cana em bruto do Brasil nos últimos doze meses foram: China (US$ 1,88 bilhão, +15,1%), Índia (US$ 1,66 bilhão, +135,4%), Indonésia (US$ 1,61 bilhão, +168,3%), Emirados Árabes Unidos (US$ 1,13 bilhão, +122,8%), Argélia (US$ 1,12 bilhão, +26,0%), Egito (US$ 967,48 milhões, +86,4%), Malásia (US$ 884,26 milhões, +89,0%) e Marrocos (US$ 842,25 milhões, +10,7%). Já as exportações de álcool totalizaram US$ 1,25 bilhão, com diminuição de 31,4% em virtude do declínio de 18,8% no </w:t>
      </w:r>
      <w:r w:rsidRPr="0055277C">
        <w:rPr>
          <w:i/>
          <w:iCs/>
          <w:sz w:val="24"/>
          <w:szCs w:val="24"/>
        </w:rPr>
        <w:t>quantum</w:t>
      </w:r>
      <w:r w:rsidRPr="0055277C">
        <w:rPr>
          <w:sz w:val="24"/>
          <w:szCs w:val="24"/>
        </w:rPr>
        <w:t xml:space="preserve"> embarcado e da queda de 15,5% no preço médio no período.</w:t>
      </w:r>
    </w:p>
    <w:p w14:paraId="4237BCE8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Na quarta posição, destacaram-se os produtos florestais, com a cifra de US$ 16,22 bilhões e elevação de 9,6% em relação aos valores registrados entre outubro de 2022 e setembro de 2023 (US$ 14,80 bilhões), resultado da alta de 10,8% no preço médio dos produtos do setor, já que a quantidade negociada no período sofreu retração de 1,1%. O principal produto exportado pelo segmento foi a celulose, com US$ 9,72 bilhões (+16,7%) para um volume comercializado de 19,25 milhões de toneladas (-2,1%) a um preço médio de US$ 505 por tonelada (+19,1%). Os principais parceiros a comprarem a celulose brasileira foram: China (US$ 4,17 bilhões, +8,4%, 42,9% de </w:t>
      </w:r>
      <w:r w:rsidRPr="0055277C">
        <w:rPr>
          <w:i/>
          <w:iCs/>
          <w:sz w:val="24"/>
          <w:szCs w:val="24"/>
        </w:rPr>
        <w:t>market share</w:t>
      </w:r>
      <w:r w:rsidRPr="0055277C">
        <w:rPr>
          <w:sz w:val="24"/>
          <w:szCs w:val="24"/>
        </w:rPr>
        <w:t xml:space="preserve">), União Europeia (US$ 2,29 bilhões, +25,0%, com 23,5% de participação) e Estados Unidos (US$ 1,49 bilhão, +19,1%, com 15,3% de participação). As vendas externas de madeiras e suas obras somaram US$ 4,00 bilhões no período (-1,8%), com queda em quantidade (-3,1%) e leve alta do preço médio (+1,3%). Já as exportações de papel atingiram o montante de US$ 2,48 bilhões (+4,1%), com aumento do </w:t>
      </w:r>
      <w:r w:rsidRPr="0055277C">
        <w:rPr>
          <w:i/>
          <w:iCs/>
          <w:sz w:val="24"/>
          <w:szCs w:val="24"/>
        </w:rPr>
        <w:t>quantum</w:t>
      </w:r>
      <w:r w:rsidRPr="0055277C">
        <w:rPr>
          <w:sz w:val="24"/>
          <w:szCs w:val="24"/>
        </w:rPr>
        <w:t xml:space="preserve"> embarcado (+16,0%, 2,47 milhões de toneladas) e queda de cotação (-10,2%). A Argentina foi a principal compradora do papel brasileiro, com a cifra de US$ 357,21 milhões (-20,1%), </w:t>
      </w:r>
      <w:r w:rsidRPr="0055277C">
        <w:rPr>
          <w:sz w:val="24"/>
          <w:szCs w:val="24"/>
        </w:rPr>
        <w:lastRenderedPageBreak/>
        <w:t>seguida pelos Estados Unidos (US$ 253,25 milhões, -4,1%) e pelo México (US$ 196,89 milhões, +17,6%).</w:t>
      </w:r>
    </w:p>
    <w:p w14:paraId="7232D205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>Completando os cinco principais setores do agronegócio entre outubro de 2023 e setembro de 2024, o segmento de cereais, farinhas e preparações registrou exportações de US$ 11,75 bilhões (-27,6%). Pouco mais de 84% dessa receita foi alcançada por meio das vendas de milho, que totalizaram US$ 9,88 bilhões nos últimos doze meses (-29,0%). O volume comercializado do grão decresceu 12,5%, somando 46,28 milhões de toneladas. A cotação média do milho brasileiro negociado no mercado internacional apresentou retração de 18,9%, com US$ 214 por tonelada. Os mercados que apresentaram maior queda nas aquisições do cereal nacional foram: Japão (-US$ 1,04 bilhão), União Europeia (-US$ 1,03 bilhão), Colômbia (-US$ 643,20 milhões) e México (-US$ 593,48 milhões). Do lado positivo, destacaram-se o Egito (+US$ 167,46 milhões) e Bangladesh (+US$ 116,20 milhões).</w:t>
      </w:r>
    </w:p>
    <w:p w14:paraId="55803EF1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No que se refere aos recordes encontrados no período de outubro de 2023 e setembro de 2024, pode-se destacar: açúcar de cana em bruto, recorde em valor (US$ 16,40 bilhões) e em quantidade (33,42 milhões de toneladas); café verde, com recorde em valor (US$ 9,97 bilhões) e em quantidade (2,73 milhões de toneladas); celulose, com recorde em valor (US$ 9,72 bilhões); suco de laranja, com recorde em valor (US$ 2,95 bilhões); café solúvel, com recorde em valor (US$ 794,06 milhões); carne bovina </w:t>
      </w:r>
      <w:r w:rsidRPr="0055277C">
        <w:rPr>
          <w:i/>
          <w:iCs/>
          <w:sz w:val="24"/>
          <w:szCs w:val="24"/>
        </w:rPr>
        <w:t>in natura</w:t>
      </w:r>
      <w:r w:rsidRPr="0055277C">
        <w:rPr>
          <w:sz w:val="24"/>
          <w:szCs w:val="24"/>
        </w:rPr>
        <w:t xml:space="preserve">, com recorde em volume (2,43 milhões de toneladas); e carne suína </w:t>
      </w:r>
      <w:r w:rsidRPr="0055277C">
        <w:rPr>
          <w:i/>
          <w:iCs/>
          <w:sz w:val="24"/>
          <w:szCs w:val="24"/>
        </w:rPr>
        <w:t>in natura</w:t>
      </w:r>
      <w:r w:rsidRPr="0055277C">
        <w:rPr>
          <w:sz w:val="24"/>
          <w:szCs w:val="24"/>
        </w:rPr>
        <w:t xml:space="preserve">, com recorde em quantidade (1,13 milhão de toneladas).  </w:t>
      </w:r>
    </w:p>
    <w:p w14:paraId="62C4FD99" w14:textId="1EBA5550" w:rsidR="00461BF1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>Em relação às importações do agronegócio no acumulado dos últimos doze meses, totalizaram US$ 18,59 bilhões e cresceram 10,3% em comparação aos doze meses imediatamente precedentes. Tais aquisições representaram 7,3% de tudo o que foi importado pelo Brasil no período, o que significou acréscimo de 0,5 ponto percentual em relação à participação verificada no período anterior. Os produtos que se destacaram foram: trigo (US$ 1,55 bilhão e +7,2%); papel (US$ 939,04 milhões e +0,8%); salmões (US$ 881,18 milhões e +6,9%); azeite de oliva (US$ 823,26 milhões e +45,8%); malte (US$ 778,83 milhões e -0,3%); arroz (US$ 693,32 milhões e +45,7%); vestuário e outros produtos têxteis de algodão (US$ 669,21 milhões e +9,1%); leite em pó (US$ 659,81 milhões e -9,8%); óleo de dendê ou de palma (US$ 539,83 milhões e -3,2%); e vinho (US$ 516,37 milhões e +13,7%).</w:t>
      </w:r>
    </w:p>
    <w:p w14:paraId="3BDF2EEE" w14:textId="77777777" w:rsidR="003B3A3D" w:rsidRPr="0055277C" w:rsidRDefault="003B3A3D" w:rsidP="003B3A3D">
      <w:pPr>
        <w:jc w:val="both"/>
        <w:rPr>
          <w:b/>
          <w:bCs/>
          <w:sz w:val="24"/>
          <w:szCs w:val="24"/>
        </w:rPr>
      </w:pPr>
    </w:p>
    <w:p w14:paraId="352AC1D6" w14:textId="32602149" w:rsidR="001D49FB" w:rsidRPr="0055277C" w:rsidRDefault="009F1416" w:rsidP="00A836F2">
      <w:pPr>
        <w:jc w:val="both"/>
        <w:rPr>
          <w:sz w:val="24"/>
          <w:szCs w:val="24"/>
        </w:rPr>
      </w:pPr>
      <w:r w:rsidRPr="0055277C">
        <w:rPr>
          <w:noProof/>
          <w:sz w:val="24"/>
          <w:szCs w:val="24"/>
        </w:rPr>
        <w:lastRenderedPageBreak/>
        <w:drawing>
          <wp:inline distT="0" distB="0" distL="0" distR="0" wp14:anchorId="2CE9C3FD" wp14:editId="4D7B9BE8">
            <wp:extent cx="6188710" cy="3987800"/>
            <wp:effectExtent l="0" t="0" r="2540" b="0"/>
            <wp:docPr id="273417901" name="Imagem 1" descr="Interface gráfica do usuári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17901" name="Imagem 1" descr="Interface gráfica do usuário, Tabela&#10;&#10;Descrição gerad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7C4CF" w14:textId="3A41C720" w:rsidR="00A836F2" w:rsidRPr="0055277C" w:rsidRDefault="00A836F2" w:rsidP="00A836F2">
      <w:pPr>
        <w:jc w:val="both"/>
        <w:rPr>
          <w:b/>
          <w:bCs/>
          <w:sz w:val="24"/>
          <w:szCs w:val="24"/>
        </w:rPr>
      </w:pPr>
      <w:proofErr w:type="spellStart"/>
      <w:r w:rsidRPr="0055277C">
        <w:rPr>
          <w:b/>
          <w:bCs/>
          <w:sz w:val="24"/>
          <w:szCs w:val="24"/>
        </w:rPr>
        <w:t>III.b</w:t>
      </w:r>
      <w:proofErr w:type="spellEnd"/>
      <w:r w:rsidRPr="0055277C">
        <w:rPr>
          <w:b/>
          <w:bCs/>
          <w:sz w:val="24"/>
          <w:szCs w:val="24"/>
        </w:rPr>
        <w:t xml:space="preserve"> – Blocos Econômicos e Regiões Geográficas</w:t>
      </w:r>
    </w:p>
    <w:p w14:paraId="2298EEAB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No que se refere às exportações do agronegócio por blocos econômicos e regiões geográficas, a Ásia permanece como principal destino brasileiro, com a soma de US$ 84,89 bilhões e incremento de 0,6% em comparação aos valores registrados entre outubro de 2022 e setembro de 2023 (US$ 84,38 bilhões). Os principais produtos da pauta exportadora agropecuária brasileira para o continente asiático nos últimos doze meses foram: soja em grãos (US$ 38,84 bilhões, -2,8%, 45,7% de participação); açúcar de cana em bruto (US$ 6,86 bilhões, +67,2%, 8,1% de participação); carne bovina </w:t>
      </w:r>
      <w:r w:rsidRPr="0055277C">
        <w:rPr>
          <w:i/>
          <w:iCs/>
          <w:sz w:val="24"/>
          <w:szCs w:val="24"/>
        </w:rPr>
        <w:t>in natura</w:t>
      </w:r>
      <w:r w:rsidRPr="0055277C">
        <w:rPr>
          <w:sz w:val="24"/>
          <w:szCs w:val="24"/>
        </w:rPr>
        <w:t xml:space="preserve"> (US$ 6,35 bilhões, -1,9%, 7,5% de participação%); milho (US$ 5,63 bilhões, -19,8%, 6,6%); celulose (US$ 4,89 bilhões, +11,6%, 5,8%); algodão não cardado nem penteado (US$ 4,58 bilhões, +80,3%, 5,4% de participação) e farelo de soja (US$ 4,42 bilhões, -10,3%, 5,2% de </w:t>
      </w:r>
      <w:r w:rsidRPr="0055277C">
        <w:rPr>
          <w:i/>
          <w:iCs/>
          <w:sz w:val="24"/>
          <w:szCs w:val="24"/>
        </w:rPr>
        <w:t>market share</w:t>
      </w:r>
      <w:r w:rsidRPr="0055277C">
        <w:rPr>
          <w:sz w:val="24"/>
          <w:szCs w:val="24"/>
        </w:rPr>
        <w:t>). Em consequência do crescimento em ritmo inferior ao verificado nas exportações agrícolas totais, a participação do continente asiático nas vendas externas do agronegócio brasileiro caiu de 51,7% para 51,1% nos últimos doze meses.</w:t>
      </w:r>
    </w:p>
    <w:p w14:paraId="4E4FCB8D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>O segundo principal parceiro da agropecuária nacional foi a União Europeia, com vendas externas de US$ 22,31 bilhões e variação negativa de 2,2% em relação a outubro de 2022 e setembro de 2023. Com esta queda dos valores adquiridos em produtos agropecuários, a participação do bloco europeu nas exportações brasileiras decaiu no período, de 14,0% para 13,4%. Os principais produtos agropecuários exportados para a União Europeia no período foram: café verde (US$ 4,92 bilhões, +42,5%), farelo de soja (US$ 4,19 bilhões, -20,3%), soja em grãos (US$ 2,87 bilhões, -3,0%), celulose (US$ 2,29 bilhões, +25,0%), suco de laranja (US$ 1,64 bilhão, +40,2%) e fumo não manufaturado (US$ 939,72 milhões, -10,4%).</w:t>
      </w:r>
    </w:p>
    <w:p w14:paraId="1CD4DEC8" w14:textId="3BF4DDC0" w:rsidR="003B3A3D" w:rsidRPr="0055277C" w:rsidRDefault="003B3A3D" w:rsidP="003B3A3D">
      <w:pPr>
        <w:jc w:val="both"/>
        <w:rPr>
          <w:i/>
          <w:sz w:val="24"/>
          <w:szCs w:val="24"/>
        </w:rPr>
      </w:pPr>
      <w:r w:rsidRPr="0055277C">
        <w:rPr>
          <w:sz w:val="24"/>
          <w:szCs w:val="24"/>
        </w:rPr>
        <w:lastRenderedPageBreak/>
        <w:t>Os outros destaques no acumulado dos últimos doze meses, conforme observado na Tabela 8, foram os demais países da Europa ocidental, com aumento de 29,6% nas vendas agropecuárias brasileiras (US$ 3,09 bilhões), da África, com exportações de US$ 11,99 bilhões e incremento de 21,7%, e os países do Oriente Médio, com crescimento de 20,0% (US$ 13,47 bilhões).</w:t>
      </w:r>
    </w:p>
    <w:p w14:paraId="5657F89C" w14:textId="6CCD1031" w:rsidR="00E37DA8" w:rsidRPr="0055277C" w:rsidRDefault="009F1416" w:rsidP="00E37DA8">
      <w:pPr>
        <w:jc w:val="both"/>
        <w:rPr>
          <w:sz w:val="24"/>
          <w:szCs w:val="24"/>
        </w:rPr>
      </w:pPr>
      <w:r w:rsidRPr="0055277C">
        <w:rPr>
          <w:noProof/>
          <w:sz w:val="24"/>
          <w:szCs w:val="24"/>
        </w:rPr>
        <w:drawing>
          <wp:inline distT="0" distB="0" distL="0" distR="0" wp14:anchorId="11F32AA1" wp14:editId="723E39EB">
            <wp:extent cx="6188710" cy="2475230"/>
            <wp:effectExtent l="0" t="0" r="2540" b="1270"/>
            <wp:docPr id="1095958566" name="Imagem 1" descr="Interface gráfica do usuário, Texto, Aplicativ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958566" name="Imagem 1" descr="Interface gráfica do usuário, Texto, Aplicativo, Tabela&#10;&#10;Descrição gerad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3620C" w14:textId="75F183FE" w:rsidR="001D49FB" w:rsidRPr="0055277C" w:rsidRDefault="001D49FB" w:rsidP="001D49FB">
      <w:pPr>
        <w:jc w:val="both"/>
        <w:rPr>
          <w:b/>
          <w:bCs/>
          <w:sz w:val="24"/>
          <w:szCs w:val="24"/>
        </w:rPr>
      </w:pPr>
      <w:proofErr w:type="spellStart"/>
      <w:r w:rsidRPr="0055277C">
        <w:rPr>
          <w:b/>
          <w:bCs/>
          <w:sz w:val="24"/>
          <w:szCs w:val="24"/>
        </w:rPr>
        <w:t>III.c</w:t>
      </w:r>
      <w:proofErr w:type="spellEnd"/>
      <w:r w:rsidRPr="0055277C">
        <w:rPr>
          <w:b/>
          <w:bCs/>
          <w:sz w:val="24"/>
          <w:szCs w:val="24"/>
        </w:rPr>
        <w:t xml:space="preserve"> – Países</w:t>
      </w:r>
    </w:p>
    <w:p w14:paraId="0513520D" w14:textId="1BDD9E1D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>Entre os países de destino das exportações do agronegócio brasileiro nos últimos doze meses, a China permanece como destaque, com vendas externas de US$ 55,41 bilhões e redução de 0,6% sobre os valores dos doze meses imediatamente anteriores. Com tal variação negativa, a participação chinesa caiu de 34,2% para 33,3%. O principal produto agropecuário brasileiro exportado para o mercado chinês entre outubro de 2023 e setembro de 2024 foi a soja em grãos, com o montante de US$ 35,13 bilhões, representando 63,4% das vendas do agronegócio brasileiro para esse mercado. Em volume, foram 78,20 milhões de toneladas exportadas para a China, o que significou incremento de 14,8% em relação ao período anterior e participação de 75,1% do total das exportações brasileiras do grão para o mundo.</w:t>
      </w:r>
    </w:p>
    <w:p w14:paraId="513F7119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O segundo principal destino dos produtos do agronegócio brasileiro nos últimos doze meses foram os Estados Unidos, com a soma de US$ 11,14 bilhões e incremento de 12,5%, o que acarretou ganho de participação de 6,1% para 6,7%. Os produtos que apresentaram maior impacto para essa expansão foram: carne bovina </w:t>
      </w:r>
      <w:r w:rsidRPr="0055277C">
        <w:rPr>
          <w:i/>
          <w:iCs/>
          <w:sz w:val="24"/>
          <w:szCs w:val="24"/>
        </w:rPr>
        <w:t>in natura</w:t>
      </w:r>
      <w:r w:rsidRPr="0055277C">
        <w:rPr>
          <w:sz w:val="24"/>
          <w:szCs w:val="24"/>
        </w:rPr>
        <w:t xml:space="preserve"> (+US$ 353,04 milhões); açúcar de cana em bruto (+US$ 255,81 milhões); celulose (+US$ 238,70 milhões); café verde (+US$ 215,88 milhões) e sebo bovino (+US$ 205,90 milhões).</w:t>
      </w:r>
    </w:p>
    <w:p w14:paraId="09E2BBA5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Os Países Baixos ficaram na terceira posição em valor exportado, com US$ 5,27 bilhões e redução de 1,9%, o que ocasionou perda de </w:t>
      </w:r>
      <w:r w:rsidRPr="0055277C">
        <w:rPr>
          <w:i/>
          <w:iCs/>
          <w:sz w:val="24"/>
          <w:szCs w:val="24"/>
        </w:rPr>
        <w:t>market share</w:t>
      </w:r>
      <w:r w:rsidRPr="0055277C">
        <w:rPr>
          <w:sz w:val="24"/>
          <w:szCs w:val="24"/>
        </w:rPr>
        <w:t xml:space="preserve"> de 3,3% para 3,2%. Os produtos que mais contribuíram para a queda das vendas para o parceiro europeu foram o álcool etílico (-US$ 276,72 milhões), o farelo de soja (-US$ 173,54 milhões), a soja em grãos (-US$ 149,06 milhões) e o milho (-US$ 101,34 milhões).</w:t>
      </w:r>
    </w:p>
    <w:p w14:paraId="32562247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 xml:space="preserve">Outros destaques quanto ao dinamismo das exportações entre outubro de 2023 e setembro de 2024 foram: Emirados Árabes Unidos, com vendas de US$ 3,53 bilhões e crescimento absoluto de US$ 1,26 bilhão em comparação aos doze meses anteriores (+55,3%), sobretudo em função da expansão das </w:t>
      </w:r>
      <w:r w:rsidRPr="0055277C">
        <w:rPr>
          <w:sz w:val="24"/>
          <w:szCs w:val="24"/>
        </w:rPr>
        <w:lastRenderedPageBreak/>
        <w:t xml:space="preserve">exportações de açúcar de cana em bruto, que passaram de US$ 506,60 milhões entre outubro de 2022 e setembro de 2023 para US$ 1,13 bilhão entre outubro de 2023 e setembro de 2024 (+US$ 622,0 milhões), e de carne bovina </w:t>
      </w:r>
      <w:r w:rsidRPr="0055277C">
        <w:rPr>
          <w:i/>
          <w:iCs/>
          <w:sz w:val="24"/>
          <w:szCs w:val="24"/>
        </w:rPr>
        <w:t>in natura</w:t>
      </w:r>
      <w:r w:rsidRPr="0055277C">
        <w:rPr>
          <w:sz w:val="24"/>
          <w:szCs w:val="24"/>
        </w:rPr>
        <w:t xml:space="preserve"> (+US$416,0 milhões, +161,7%).</w:t>
      </w:r>
    </w:p>
    <w:p w14:paraId="66C2F861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>Egito, com o montante de US$ 2,82 bilhões e crescimento de 53,7% (+US$ 984,02 milhões), com destaque para a elevação das vendas de açúcar de cana em bruto (+US$ 448,58 milhões), soja em grãos (+US$ 269,13 milhões) e milho (+US$ 167,46 milhões).</w:t>
      </w:r>
    </w:p>
    <w:p w14:paraId="3059B7FA" w14:textId="77777777" w:rsidR="003B3A3D" w:rsidRPr="0055277C" w:rsidRDefault="003B3A3D" w:rsidP="003B3A3D">
      <w:pPr>
        <w:jc w:val="both"/>
        <w:rPr>
          <w:sz w:val="24"/>
          <w:szCs w:val="24"/>
        </w:rPr>
      </w:pPr>
      <w:r w:rsidRPr="0055277C">
        <w:rPr>
          <w:sz w:val="24"/>
          <w:szCs w:val="24"/>
        </w:rPr>
        <w:t>Indonésia, com vendas de US$ 4,43 bilhões e variação de 40,4% (+US$ 1,02 bilhão), em virtude do aumento das compras indonésias de açúcar de cana em bruto do Brasil, que passaram de US$ 601,20 milhões para US$ 1,61 bilhão nos últimos doze meses (+US$ 1,01 bilhão), além de farelo de soja (+US$ 208,75 milhões) e celulose (+US$ 103,85 milhões).</w:t>
      </w:r>
    </w:p>
    <w:p w14:paraId="1B410157" w14:textId="2EAB11A6" w:rsidR="001C2663" w:rsidRPr="0055277C" w:rsidRDefault="003B3A3D" w:rsidP="003B3A3D">
      <w:pPr>
        <w:jc w:val="both"/>
        <w:rPr>
          <w:i/>
          <w:sz w:val="24"/>
          <w:szCs w:val="24"/>
        </w:rPr>
      </w:pPr>
      <w:r w:rsidRPr="0055277C">
        <w:rPr>
          <w:sz w:val="24"/>
          <w:szCs w:val="24"/>
        </w:rPr>
        <w:t xml:space="preserve">E Turquia, que adquiriu do mercado brasileiro a soma de US$ 3,07 bilhões, variação positiva de 30,1%, em virtude do aumento das compras de carne bovina </w:t>
      </w:r>
      <w:r w:rsidRPr="0055277C">
        <w:rPr>
          <w:i/>
          <w:iCs/>
          <w:sz w:val="24"/>
          <w:szCs w:val="24"/>
        </w:rPr>
        <w:t>in natura</w:t>
      </w:r>
      <w:r w:rsidRPr="0055277C">
        <w:rPr>
          <w:sz w:val="24"/>
          <w:szCs w:val="24"/>
        </w:rPr>
        <w:t xml:space="preserve"> (+US$ 182,76 milhões), soja em grãos (+US$ 164,04 milhões), algodão não cardado nem penteado (+US$ 133,78 milhões), farelo de soja (+US$ 129,33 milhões) e celulose (+US$ 112,82 milhões).</w:t>
      </w:r>
    </w:p>
    <w:p w14:paraId="55B9471C" w14:textId="287A7299" w:rsidR="00B2346B" w:rsidRDefault="009F1416" w:rsidP="00C66C09">
      <w:pPr>
        <w:jc w:val="both"/>
      </w:pPr>
      <w:r w:rsidRPr="009F1416">
        <w:rPr>
          <w:noProof/>
        </w:rPr>
        <w:drawing>
          <wp:inline distT="0" distB="0" distL="0" distR="0" wp14:anchorId="7C8B261A" wp14:editId="36B1B8FD">
            <wp:extent cx="6188710" cy="4089400"/>
            <wp:effectExtent l="0" t="0" r="2540" b="6350"/>
            <wp:docPr id="1010792970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792970" name="Imagem 1" descr="Tabela&#10;&#10;Descrição gerad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A82C" w14:textId="77777777" w:rsidR="009F1416" w:rsidRDefault="009F1416" w:rsidP="00C66C09">
      <w:pPr>
        <w:jc w:val="both"/>
      </w:pPr>
    </w:p>
    <w:p w14:paraId="2C9B1A55" w14:textId="77777777" w:rsidR="00A836F2" w:rsidRDefault="00A836F2" w:rsidP="00A836F2">
      <w:pPr>
        <w:jc w:val="both"/>
      </w:pPr>
      <w:r>
        <w:rPr>
          <w:noProof/>
          <w:lang w:eastAsia="pt-BR"/>
        </w:rPr>
        <w:lastRenderedPageBreak/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482C5C" w:rsidRPr="009A094C" w:rsidRDefault="00482C5C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1DF6DAF4" w:rsidR="00482C5C" w:rsidRDefault="00482C5C" w:rsidP="00A836F2">
                            <w:r>
                              <w:t>A classificação de produtos do agronegócio utilizada nesta nota foi atualizada de acordo com a Resolução GECEX Nº 560, de 19/02/2024,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</w:p>
                          <w:p w14:paraId="56E4DA60" w14:textId="4175C62C" w:rsidR="00482C5C" w:rsidRDefault="00482C5C" w:rsidP="00A836F2">
                            <w:r>
                              <w:t>A Balança Comercial do Agronegócio utiliza uma classificação dos produtos do agronegócio que reúne 3.</w:t>
                            </w:r>
                            <w:r w:rsidR="001C2663">
                              <w:t>104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" fillcolor="white [3201]" strokeweight=".5pt">
                <v:textbox>
                  <w:txbxContent>
                    <w:p w14:paraId="33FA9544" w14:textId="77777777" w:rsidR="00482C5C" w:rsidRPr="009A094C" w:rsidRDefault="00482C5C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1DF6DAF4" w:rsidR="00482C5C" w:rsidRDefault="00482C5C" w:rsidP="00A836F2">
                      <w:r>
                        <w:t>A classificação de produtos do agronegócio utilizada nesta nota foi atualizada de acordo com a Resolução GECEX Nº 560, de 19/02/2024,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</w:p>
                    <w:p w14:paraId="56E4DA60" w14:textId="4175C62C" w:rsidR="00482C5C" w:rsidRDefault="00482C5C" w:rsidP="00A836F2">
                      <w:r>
                        <w:t>A Balança Comercial do Agronegócio utiliza uma classificação dos produtos do agronegócio que reúne 3.</w:t>
                      </w:r>
                      <w:r w:rsidR="001C2663">
                        <w:t>104</w:t>
                      </w:r>
                      <w:r>
                        <w:t xml:space="preserve">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223A8195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  <w:r w:rsidR="00830FA5">
        <w:rPr>
          <w:rStyle w:val="Refdenotaderodap"/>
        </w:rPr>
        <w:footnoteReference w:id="11"/>
      </w:r>
    </w:p>
    <w:p w14:paraId="6AFCF99D" w14:textId="0C9DF98D" w:rsidR="00C21CE0" w:rsidRDefault="00A836F2" w:rsidP="00BA3003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D11C4E">
        <w:rPr>
          <w:noProof/>
        </w:rPr>
        <w:t>10/10/2024</w:t>
      </w:r>
      <w:r>
        <w:fldChar w:fldCharType="end"/>
      </w:r>
    </w:p>
    <w:sectPr w:rsidR="00C21CE0" w:rsidSect="00D07ED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94273" w14:textId="77777777" w:rsidR="00CD1F0A" w:rsidRDefault="00CD1F0A" w:rsidP="00D036D2">
      <w:pPr>
        <w:spacing w:after="0" w:line="240" w:lineRule="auto"/>
      </w:pPr>
      <w:r>
        <w:separator/>
      </w:r>
    </w:p>
  </w:endnote>
  <w:endnote w:type="continuationSeparator" w:id="0">
    <w:p w14:paraId="09C01A98" w14:textId="77777777" w:rsidR="00CD1F0A" w:rsidRDefault="00CD1F0A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F712E" w14:textId="77777777" w:rsidR="00CD1F0A" w:rsidRDefault="00CD1F0A" w:rsidP="00D036D2">
      <w:pPr>
        <w:spacing w:after="0" w:line="240" w:lineRule="auto"/>
      </w:pPr>
      <w:r>
        <w:separator/>
      </w:r>
    </w:p>
  </w:footnote>
  <w:footnote w:type="continuationSeparator" w:id="0">
    <w:p w14:paraId="35160C35" w14:textId="77777777" w:rsidR="00CD1F0A" w:rsidRDefault="00CD1F0A" w:rsidP="00D036D2">
      <w:pPr>
        <w:spacing w:after="0" w:line="240" w:lineRule="auto"/>
      </w:pPr>
      <w:r>
        <w:continuationSeparator/>
      </w:r>
    </w:p>
  </w:footnote>
  <w:footnote w:id="1">
    <w:p w14:paraId="1982B41B" w14:textId="77777777" w:rsidR="0055277C" w:rsidRDefault="0055277C" w:rsidP="0055277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Estes produtos apresentados não visam contemplar todos os insumos necessários à produção agropecuária no Brasil. Um dos inúmeros exemplos que se pode mencionar é a importação de óleo diesel, utilizado tanto em tratores, caminhonetes e caminhões. No caso desse produto, houve importação de US$ 876,23 milhões em setembro de 2024. Não se sabe ao certo qual a participação do agronegócio no uso dessa importação. Ademais, houve aquisição de US$ 717,24 milhões que será craqueado produzindo, também, diesel para utilização doméstica.</w:t>
      </w:r>
    </w:p>
  </w:footnote>
  <w:footnote w:id="2">
    <w:p w14:paraId="45FB32FC" w14:textId="77777777" w:rsidR="0055277C" w:rsidRDefault="0055277C" w:rsidP="0055277C">
      <w:pPr>
        <w:pStyle w:val="Textodenotaderodap"/>
      </w:pPr>
      <w:r>
        <w:rPr>
          <w:rStyle w:val="Refdenotaderodap"/>
        </w:rPr>
        <w:footnoteRef/>
      </w:r>
      <w:r>
        <w:t xml:space="preserve"> Soja do golfo dos Estados Unidos #2. Preço CIF Roterdam </w:t>
      </w:r>
    </w:p>
  </w:footnote>
  <w:footnote w:id="3">
    <w:p w14:paraId="50DFBD92" w14:textId="77777777" w:rsidR="0055277C" w:rsidRDefault="0055277C" w:rsidP="0055277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Agromensal</w:t>
      </w:r>
      <w:proofErr w:type="spellEnd"/>
      <w:r>
        <w:t xml:space="preserve"> Soja – CEPEA Esalq/USP – </w:t>
      </w:r>
      <w:proofErr w:type="gramStart"/>
      <w:r>
        <w:t>Setembro</w:t>
      </w:r>
      <w:proofErr w:type="gramEnd"/>
      <w:r>
        <w:t xml:space="preserve"> 2024. </w:t>
      </w:r>
    </w:p>
  </w:footnote>
  <w:footnote w:id="4">
    <w:p w14:paraId="32786394" w14:textId="77777777" w:rsidR="0055277C" w:rsidRDefault="0055277C" w:rsidP="0055277C">
      <w:pPr>
        <w:pStyle w:val="Textodenotaderodap"/>
      </w:pPr>
      <w:r>
        <w:rPr>
          <w:rStyle w:val="Refdenotaderodap"/>
        </w:rPr>
        <w:footnoteRef/>
      </w:r>
      <w:r>
        <w:t xml:space="preserve"> Estimativas da Associação Brasileira das Indústrias de Óleos Vegetais - ABIOVE (11/09/2024) são de que as vendas de óleo de soja ao mercado interno subam 14,1% em 2024, atingindo 9,9 milhões de toneladas. Com essas vendas internas, em função do aumento da mistura no biodiesel, as projeções para o volume exportado são de redução neste ano.</w:t>
      </w:r>
    </w:p>
    <w:p w14:paraId="4F9100ED" w14:textId="77777777" w:rsidR="0055277C" w:rsidRDefault="0055277C" w:rsidP="0055277C">
      <w:pPr>
        <w:pStyle w:val="Textodenotaderodap"/>
      </w:pPr>
    </w:p>
  </w:footnote>
  <w:footnote w:id="5">
    <w:p w14:paraId="08DD6DFA" w14:textId="77777777" w:rsidR="0055277C" w:rsidRDefault="0055277C" w:rsidP="0055277C">
      <w:pPr>
        <w:pStyle w:val="Textodenotaderodap"/>
      </w:pPr>
      <w:r>
        <w:rPr>
          <w:rStyle w:val="Refdenotaderodap"/>
        </w:rPr>
        <w:footnoteRef/>
      </w:r>
      <w:r>
        <w:t xml:space="preserve"> Conab. Acompanhamento da Safra Brasileira – Cana-de-Açúcar (Safra 2024/2025 – 2º Levantamento). Agosto/2024.</w:t>
      </w:r>
    </w:p>
  </w:footnote>
  <w:footnote w:id="6">
    <w:p w14:paraId="31D0B62F" w14:textId="77777777" w:rsidR="0055277C" w:rsidRDefault="0055277C" w:rsidP="0055277C">
      <w:pPr>
        <w:pStyle w:val="Textodenotaderodap"/>
      </w:pPr>
      <w:r>
        <w:rPr>
          <w:rStyle w:val="Refdenotaderodap"/>
        </w:rPr>
        <w:footnoteRef/>
      </w:r>
      <w:r>
        <w:t xml:space="preserve"> CEPEA/USP – </w:t>
      </w:r>
      <w:proofErr w:type="spellStart"/>
      <w:r>
        <w:t>Agromensal</w:t>
      </w:r>
      <w:proofErr w:type="spellEnd"/>
      <w:r>
        <w:t xml:space="preserve"> Café – Análise Conjuntural setembro 2024.</w:t>
      </w:r>
    </w:p>
  </w:footnote>
  <w:footnote w:id="7">
    <w:p w14:paraId="0B7976DC" w14:textId="7909DE70" w:rsidR="00893E28" w:rsidRDefault="00893E2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93E28">
        <w:t xml:space="preserve">Outros exemplos de produtos que podem ser mencionados são: óleo diesel para tratores e caminhões utilizados na produção do agronegócio, medicamentos de uso veterinário, nutrição animal e máquinas e equipamentos </w:t>
      </w:r>
      <w:proofErr w:type="gramStart"/>
      <w:r w:rsidRPr="00893E28">
        <w:t>agrícolas, etc.</w:t>
      </w:r>
      <w:proofErr w:type="gramEnd"/>
    </w:p>
  </w:footnote>
  <w:footnote w:id="8">
    <w:p w14:paraId="4BC23401" w14:textId="4094BBA3" w:rsidR="003E292A" w:rsidRDefault="003E292A">
      <w:pPr>
        <w:pStyle w:val="Textodenotaderodap"/>
      </w:pPr>
      <w:r>
        <w:rPr>
          <w:rStyle w:val="Refdenotaderodap"/>
        </w:rPr>
        <w:footnoteRef/>
      </w:r>
      <w:r>
        <w:t xml:space="preserve"> Fonte: </w:t>
      </w:r>
      <w:proofErr w:type="spellStart"/>
      <w:r>
        <w:t>Trademap</w:t>
      </w:r>
      <w:proofErr w:type="spellEnd"/>
      <w:r>
        <w:t xml:space="preserve">/CCI. Disponível em: </w:t>
      </w:r>
      <w:r w:rsidRPr="003E292A">
        <w:t>http://www.trademap.org/Index.aspx</w:t>
      </w:r>
    </w:p>
  </w:footnote>
  <w:footnote w:id="9">
    <w:p w14:paraId="033CC12A" w14:textId="473C541E" w:rsidR="005E6D90" w:rsidRDefault="005E6D90">
      <w:pPr>
        <w:pStyle w:val="Textodenotaderodap"/>
      </w:pPr>
      <w:r>
        <w:rPr>
          <w:rStyle w:val="Refdenotaderodap"/>
        </w:rPr>
        <w:footnoteRef/>
      </w:r>
      <w:r>
        <w:t xml:space="preserve"> Fonte: CONAB. </w:t>
      </w:r>
      <w:r w:rsidRPr="005E6D90">
        <w:t>Oferta e Demanda de Carnes</w:t>
      </w:r>
      <w:r>
        <w:t>, s</w:t>
      </w:r>
      <w:r w:rsidRPr="005E6D90">
        <w:t>etembro</w:t>
      </w:r>
      <w:r>
        <w:t>/</w:t>
      </w:r>
      <w:r w:rsidRPr="005E6D90">
        <w:t>2024</w:t>
      </w:r>
      <w:r>
        <w:t xml:space="preserve">. Disponível em: </w:t>
      </w:r>
      <w:r w:rsidRPr="005E6D90">
        <w:t>https://www.conab.gov.br/info-agro/analises-do-mercado-agropecuario-e-extrativista/analises-do-mercado/oferta-e-demanda-de-carnes</w:t>
      </w:r>
    </w:p>
  </w:footnote>
  <w:footnote w:id="10">
    <w:p w14:paraId="79335829" w14:textId="0F657996" w:rsidR="00D37A18" w:rsidRDefault="00D37A18">
      <w:pPr>
        <w:pStyle w:val="Textodenotaderodap"/>
      </w:pPr>
      <w:r>
        <w:rPr>
          <w:rStyle w:val="Refdenotaderodap"/>
        </w:rPr>
        <w:footnoteRef/>
      </w:r>
      <w:r>
        <w:t xml:space="preserve"> Fonte: CEPEA, Esalq/USP. </w:t>
      </w:r>
      <w:proofErr w:type="spellStart"/>
      <w:r>
        <w:t>Agromensal</w:t>
      </w:r>
      <w:proofErr w:type="spellEnd"/>
      <w:r>
        <w:t xml:space="preserve">, setembro/2024. Disponível em: </w:t>
      </w:r>
      <w:r w:rsidRPr="00D37A18">
        <w:t>https://www.cepea.esalq.usp.br/br/categoria/agromensal.aspx?mes=9&amp;ano=2024</w:t>
      </w:r>
    </w:p>
  </w:footnote>
  <w:footnote w:id="11">
    <w:p w14:paraId="3989FAC9" w14:textId="45D96E19" w:rsidR="00482C5C" w:rsidRDefault="00482C5C">
      <w:pPr>
        <w:pStyle w:val="Textodenotaderodap"/>
      </w:pPr>
      <w:r>
        <w:rPr>
          <w:rStyle w:val="Refdenotaderodap"/>
        </w:rPr>
        <w:footnoteRef/>
      </w:r>
      <w:r>
        <w:t xml:space="preserve"> Fonte: </w:t>
      </w:r>
      <w:r w:rsidRPr="00830FA5">
        <w:t>https://www.in.gov.br/en/web/dou/-/resolucao-gecex-n-560-de-19-de-</w:t>
      </w:r>
      <w:r w:rsidR="00F00EBD">
        <w:t>Julho</w:t>
      </w:r>
      <w:r w:rsidRPr="00830FA5">
        <w:t>-de-2024-*-545414354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2F29"/>
    <w:multiLevelType w:val="hybridMultilevel"/>
    <w:tmpl w:val="6FDA80CC"/>
    <w:lvl w:ilvl="0" w:tplc="8B5A775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762703">
    <w:abstractNumId w:val="0"/>
  </w:num>
  <w:num w:numId="2" w16cid:durableId="493492366">
    <w:abstractNumId w:val="1"/>
  </w:num>
  <w:num w:numId="3" w16cid:durableId="530580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E0"/>
    <w:rsid w:val="00000506"/>
    <w:rsid w:val="00000D1F"/>
    <w:rsid w:val="0000131B"/>
    <w:rsid w:val="0000186B"/>
    <w:rsid w:val="00005669"/>
    <w:rsid w:val="000061DF"/>
    <w:rsid w:val="000072E0"/>
    <w:rsid w:val="000079F2"/>
    <w:rsid w:val="000106E0"/>
    <w:rsid w:val="00010E22"/>
    <w:rsid w:val="00012542"/>
    <w:rsid w:val="00013AAC"/>
    <w:rsid w:val="0001437E"/>
    <w:rsid w:val="00021DFB"/>
    <w:rsid w:val="000224B0"/>
    <w:rsid w:val="000251F2"/>
    <w:rsid w:val="00026FC9"/>
    <w:rsid w:val="000306F2"/>
    <w:rsid w:val="00031914"/>
    <w:rsid w:val="00032F56"/>
    <w:rsid w:val="000340BC"/>
    <w:rsid w:val="000342E7"/>
    <w:rsid w:val="000344E1"/>
    <w:rsid w:val="0003597E"/>
    <w:rsid w:val="00035E37"/>
    <w:rsid w:val="00037E65"/>
    <w:rsid w:val="000410C3"/>
    <w:rsid w:val="00041DF4"/>
    <w:rsid w:val="000440F9"/>
    <w:rsid w:val="00044256"/>
    <w:rsid w:val="00045170"/>
    <w:rsid w:val="000469BA"/>
    <w:rsid w:val="00050A31"/>
    <w:rsid w:val="00052444"/>
    <w:rsid w:val="00053023"/>
    <w:rsid w:val="000533C4"/>
    <w:rsid w:val="000541BB"/>
    <w:rsid w:val="00054806"/>
    <w:rsid w:val="000548B4"/>
    <w:rsid w:val="00055D2E"/>
    <w:rsid w:val="000561C6"/>
    <w:rsid w:val="00056395"/>
    <w:rsid w:val="00056B3A"/>
    <w:rsid w:val="000574BB"/>
    <w:rsid w:val="0006037D"/>
    <w:rsid w:val="00060AA0"/>
    <w:rsid w:val="00061F94"/>
    <w:rsid w:val="0006208A"/>
    <w:rsid w:val="0006381B"/>
    <w:rsid w:val="0006391F"/>
    <w:rsid w:val="00063EAE"/>
    <w:rsid w:val="00063F4B"/>
    <w:rsid w:val="0006481B"/>
    <w:rsid w:val="00065535"/>
    <w:rsid w:val="00065736"/>
    <w:rsid w:val="00065D5D"/>
    <w:rsid w:val="00066D09"/>
    <w:rsid w:val="00066E9B"/>
    <w:rsid w:val="00067AA4"/>
    <w:rsid w:val="00071396"/>
    <w:rsid w:val="0007194B"/>
    <w:rsid w:val="00071F11"/>
    <w:rsid w:val="00072550"/>
    <w:rsid w:val="0007381D"/>
    <w:rsid w:val="00074055"/>
    <w:rsid w:val="00074CE5"/>
    <w:rsid w:val="00075B5D"/>
    <w:rsid w:val="000809E5"/>
    <w:rsid w:val="00080C6A"/>
    <w:rsid w:val="00081736"/>
    <w:rsid w:val="00081BDF"/>
    <w:rsid w:val="00082772"/>
    <w:rsid w:val="00082EFF"/>
    <w:rsid w:val="0008349F"/>
    <w:rsid w:val="00083F1D"/>
    <w:rsid w:val="00084313"/>
    <w:rsid w:val="00084803"/>
    <w:rsid w:val="00085804"/>
    <w:rsid w:val="000860A8"/>
    <w:rsid w:val="0008654E"/>
    <w:rsid w:val="00087329"/>
    <w:rsid w:val="0008764B"/>
    <w:rsid w:val="0009037A"/>
    <w:rsid w:val="0009084F"/>
    <w:rsid w:val="00093E42"/>
    <w:rsid w:val="000941FA"/>
    <w:rsid w:val="0009422D"/>
    <w:rsid w:val="000955C9"/>
    <w:rsid w:val="00095625"/>
    <w:rsid w:val="000959D3"/>
    <w:rsid w:val="000967A5"/>
    <w:rsid w:val="0009684F"/>
    <w:rsid w:val="00097AF5"/>
    <w:rsid w:val="00097C30"/>
    <w:rsid w:val="00097C85"/>
    <w:rsid w:val="00097DA7"/>
    <w:rsid w:val="000A00AC"/>
    <w:rsid w:val="000A039E"/>
    <w:rsid w:val="000A2033"/>
    <w:rsid w:val="000A222E"/>
    <w:rsid w:val="000A2937"/>
    <w:rsid w:val="000A3A58"/>
    <w:rsid w:val="000A46E1"/>
    <w:rsid w:val="000A486D"/>
    <w:rsid w:val="000A4E80"/>
    <w:rsid w:val="000A5F17"/>
    <w:rsid w:val="000A6B4A"/>
    <w:rsid w:val="000A6FE7"/>
    <w:rsid w:val="000A7342"/>
    <w:rsid w:val="000A7365"/>
    <w:rsid w:val="000B285F"/>
    <w:rsid w:val="000B3425"/>
    <w:rsid w:val="000B4AFE"/>
    <w:rsid w:val="000B5766"/>
    <w:rsid w:val="000B6497"/>
    <w:rsid w:val="000B7B24"/>
    <w:rsid w:val="000B7CA8"/>
    <w:rsid w:val="000C0B0E"/>
    <w:rsid w:val="000C256D"/>
    <w:rsid w:val="000C2EA1"/>
    <w:rsid w:val="000C36B1"/>
    <w:rsid w:val="000C49B6"/>
    <w:rsid w:val="000C529A"/>
    <w:rsid w:val="000C54C4"/>
    <w:rsid w:val="000C7C3D"/>
    <w:rsid w:val="000D161A"/>
    <w:rsid w:val="000D25F1"/>
    <w:rsid w:val="000D31E1"/>
    <w:rsid w:val="000D36D9"/>
    <w:rsid w:val="000D3716"/>
    <w:rsid w:val="000D497F"/>
    <w:rsid w:val="000D50A8"/>
    <w:rsid w:val="000D5AD6"/>
    <w:rsid w:val="000D6986"/>
    <w:rsid w:val="000D6EAE"/>
    <w:rsid w:val="000D7078"/>
    <w:rsid w:val="000D754C"/>
    <w:rsid w:val="000D79D6"/>
    <w:rsid w:val="000E241E"/>
    <w:rsid w:val="000E4875"/>
    <w:rsid w:val="000E630C"/>
    <w:rsid w:val="000E6BC9"/>
    <w:rsid w:val="000E6E94"/>
    <w:rsid w:val="000E6FFF"/>
    <w:rsid w:val="000E7A49"/>
    <w:rsid w:val="000F105D"/>
    <w:rsid w:val="000F1C1C"/>
    <w:rsid w:val="000F2159"/>
    <w:rsid w:val="000F2CF5"/>
    <w:rsid w:val="000F497B"/>
    <w:rsid w:val="000F6056"/>
    <w:rsid w:val="000F6E77"/>
    <w:rsid w:val="000F6E89"/>
    <w:rsid w:val="000F741F"/>
    <w:rsid w:val="000F74F8"/>
    <w:rsid w:val="000F7516"/>
    <w:rsid w:val="000F7961"/>
    <w:rsid w:val="000F7BA7"/>
    <w:rsid w:val="00100011"/>
    <w:rsid w:val="00100758"/>
    <w:rsid w:val="001010A5"/>
    <w:rsid w:val="00102052"/>
    <w:rsid w:val="00102BAF"/>
    <w:rsid w:val="00103639"/>
    <w:rsid w:val="00104254"/>
    <w:rsid w:val="00105AE9"/>
    <w:rsid w:val="00106218"/>
    <w:rsid w:val="00107651"/>
    <w:rsid w:val="00112C02"/>
    <w:rsid w:val="00114C69"/>
    <w:rsid w:val="001150D4"/>
    <w:rsid w:val="0011621D"/>
    <w:rsid w:val="00116D0C"/>
    <w:rsid w:val="00117ED8"/>
    <w:rsid w:val="00120E30"/>
    <w:rsid w:val="00120EA7"/>
    <w:rsid w:val="00121182"/>
    <w:rsid w:val="001217A9"/>
    <w:rsid w:val="001222CC"/>
    <w:rsid w:val="001226B9"/>
    <w:rsid w:val="00122A68"/>
    <w:rsid w:val="001241F2"/>
    <w:rsid w:val="00124E6E"/>
    <w:rsid w:val="00125308"/>
    <w:rsid w:val="00125FDB"/>
    <w:rsid w:val="001275E8"/>
    <w:rsid w:val="00127D67"/>
    <w:rsid w:val="00130349"/>
    <w:rsid w:val="001307B6"/>
    <w:rsid w:val="00134206"/>
    <w:rsid w:val="0013427C"/>
    <w:rsid w:val="001346CE"/>
    <w:rsid w:val="00134F72"/>
    <w:rsid w:val="00135D1F"/>
    <w:rsid w:val="001361F8"/>
    <w:rsid w:val="0014147F"/>
    <w:rsid w:val="0014204A"/>
    <w:rsid w:val="0014239D"/>
    <w:rsid w:val="00142656"/>
    <w:rsid w:val="00142A16"/>
    <w:rsid w:val="00142EF2"/>
    <w:rsid w:val="0014471F"/>
    <w:rsid w:val="001453F9"/>
    <w:rsid w:val="001455E8"/>
    <w:rsid w:val="0014641A"/>
    <w:rsid w:val="00146A7D"/>
    <w:rsid w:val="00150345"/>
    <w:rsid w:val="00150561"/>
    <w:rsid w:val="00151599"/>
    <w:rsid w:val="001517DC"/>
    <w:rsid w:val="00151C7B"/>
    <w:rsid w:val="0015325E"/>
    <w:rsid w:val="00153559"/>
    <w:rsid w:val="00154314"/>
    <w:rsid w:val="0015438E"/>
    <w:rsid w:val="00155698"/>
    <w:rsid w:val="00155B62"/>
    <w:rsid w:val="0015781D"/>
    <w:rsid w:val="0016021D"/>
    <w:rsid w:val="00160B82"/>
    <w:rsid w:val="0016166C"/>
    <w:rsid w:val="001616B1"/>
    <w:rsid w:val="001618E6"/>
    <w:rsid w:val="00161FFA"/>
    <w:rsid w:val="00162FF9"/>
    <w:rsid w:val="001630B1"/>
    <w:rsid w:val="001638F9"/>
    <w:rsid w:val="00165CAE"/>
    <w:rsid w:val="00165EED"/>
    <w:rsid w:val="00170B19"/>
    <w:rsid w:val="00172B7F"/>
    <w:rsid w:val="00172CA5"/>
    <w:rsid w:val="0017417F"/>
    <w:rsid w:val="001744AE"/>
    <w:rsid w:val="001748B0"/>
    <w:rsid w:val="00176A18"/>
    <w:rsid w:val="001770B2"/>
    <w:rsid w:val="00181E33"/>
    <w:rsid w:val="00183584"/>
    <w:rsid w:val="001843F4"/>
    <w:rsid w:val="001847E7"/>
    <w:rsid w:val="0019099C"/>
    <w:rsid w:val="00192305"/>
    <w:rsid w:val="0019276F"/>
    <w:rsid w:val="0019359B"/>
    <w:rsid w:val="00193B50"/>
    <w:rsid w:val="0019428E"/>
    <w:rsid w:val="00194400"/>
    <w:rsid w:val="00194FD0"/>
    <w:rsid w:val="00195324"/>
    <w:rsid w:val="00195DF9"/>
    <w:rsid w:val="00195F39"/>
    <w:rsid w:val="00197211"/>
    <w:rsid w:val="00197945"/>
    <w:rsid w:val="00197BC6"/>
    <w:rsid w:val="00197FAB"/>
    <w:rsid w:val="001A03D5"/>
    <w:rsid w:val="001A09C4"/>
    <w:rsid w:val="001A1562"/>
    <w:rsid w:val="001A1E04"/>
    <w:rsid w:val="001A26B8"/>
    <w:rsid w:val="001A2B52"/>
    <w:rsid w:val="001A2B92"/>
    <w:rsid w:val="001A3678"/>
    <w:rsid w:val="001A5547"/>
    <w:rsid w:val="001A59D3"/>
    <w:rsid w:val="001A615F"/>
    <w:rsid w:val="001A7228"/>
    <w:rsid w:val="001B17A0"/>
    <w:rsid w:val="001B192A"/>
    <w:rsid w:val="001B2356"/>
    <w:rsid w:val="001B24F2"/>
    <w:rsid w:val="001B2ECE"/>
    <w:rsid w:val="001B31E4"/>
    <w:rsid w:val="001B4796"/>
    <w:rsid w:val="001B5ED3"/>
    <w:rsid w:val="001B6BDE"/>
    <w:rsid w:val="001B76A4"/>
    <w:rsid w:val="001B7C24"/>
    <w:rsid w:val="001C1C40"/>
    <w:rsid w:val="001C2663"/>
    <w:rsid w:val="001C2AC5"/>
    <w:rsid w:val="001C3022"/>
    <w:rsid w:val="001C3F48"/>
    <w:rsid w:val="001C4C14"/>
    <w:rsid w:val="001C5096"/>
    <w:rsid w:val="001C7B3D"/>
    <w:rsid w:val="001C7BA1"/>
    <w:rsid w:val="001D0DD5"/>
    <w:rsid w:val="001D2DF5"/>
    <w:rsid w:val="001D3657"/>
    <w:rsid w:val="001D4197"/>
    <w:rsid w:val="001D42E7"/>
    <w:rsid w:val="001D4951"/>
    <w:rsid w:val="001D49FB"/>
    <w:rsid w:val="001D5274"/>
    <w:rsid w:val="001D53CF"/>
    <w:rsid w:val="001D73EF"/>
    <w:rsid w:val="001E09AA"/>
    <w:rsid w:val="001E3583"/>
    <w:rsid w:val="001E3E6F"/>
    <w:rsid w:val="001E46C6"/>
    <w:rsid w:val="001E5703"/>
    <w:rsid w:val="001F02EE"/>
    <w:rsid w:val="001F0F62"/>
    <w:rsid w:val="001F1AA3"/>
    <w:rsid w:val="001F466A"/>
    <w:rsid w:val="001F52AD"/>
    <w:rsid w:val="00200ABF"/>
    <w:rsid w:val="00202EE1"/>
    <w:rsid w:val="00203D60"/>
    <w:rsid w:val="00203FF3"/>
    <w:rsid w:val="002047C5"/>
    <w:rsid w:val="00204CAD"/>
    <w:rsid w:val="00204E6E"/>
    <w:rsid w:val="00204E89"/>
    <w:rsid w:val="00206B3E"/>
    <w:rsid w:val="002074D7"/>
    <w:rsid w:val="00210920"/>
    <w:rsid w:val="00210BAE"/>
    <w:rsid w:val="00210F5C"/>
    <w:rsid w:val="002119B8"/>
    <w:rsid w:val="00214515"/>
    <w:rsid w:val="002156BE"/>
    <w:rsid w:val="002160B4"/>
    <w:rsid w:val="00216EC4"/>
    <w:rsid w:val="00217161"/>
    <w:rsid w:val="0021751B"/>
    <w:rsid w:val="00217BA3"/>
    <w:rsid w:val="00220AAF"/>
    <w:rsid w:val="00220C3C"/>
    <w:rsid w:val="00221459"/>
    <w:rsid w:val="00221B9A"/>
    <w:rsid w:val="00221D09"/>
    <w:rsid w:val="002226D1"/>
    <w:rsid w:val="002258D9"/>
    <w:rsid w:val="002263A1"/>
    <w:rsid w:val="00226561"/>
    <w:rsid w:val="00226B2C"/>
    <w:rsid w:val="002308E1"/>
    <w:rsid w:val="00231BCF"/>
    <w:rsid w:val="00231FC8"/>
    <w:rsid w:val="00232926"/>
    <w:rsid w:val="00234626"/>
    <w:rsid w:val="00234AEE"/>
    <w:rsid w:val="0023521C"/>
    <w:rsid w:val="002357F1"/>
    <w:rsid w:val="00237A84"/>
    <w:rsid w:val="00240C1B"/>
    <w:rsid w:val="00243115"/>
    <w:rsid w:val="00243AD5"/>
    <w:rsid w:val="00244AEA"/>
    <w:rsid w:val="0024516D"/>
    <w:rsid w:val="00245717"/>
    <w:rsid w:val="00246461"/>
    <w:rsid w:val="0024680D"/>
    <w:rsid w:val="00246D55"/>
    <w:rsid w:val="00250F1E"/>
    <w:rsid w:val="0025282D"/>
    <w:rsid w:val="00253884"/>
    <w:rsid w:val="00255A58"/>
    <w:rsid w:val="002571FF"/>
    <w:rsid w:val="00260457"/>
    <w:rsid w:val="00261D06"/>
    <w:rsid w:val="002623C6"/>
    <w:rsid w:val="00262ACC"/>
    <w:rsid w:val="00262E62"/>
    <w:rsid w:val="00263945"/>
    <w:rsid w:val="00264127"/>
    <w:rsid w:val="002656E4"/>
    <w:rsid w:val="002671B5"/>
    <w:rsid w:val="002677D3"/>
    <w:rsid w:val="0027122C"/>
    <w:rsid w:val="00271593"/>
    <w:rsid w:val="0027226F"/>
    <w:rsid w:val="00272708"/>
    <w:rsid w:val="00272E44"/>
    <w:rsid w:val="002730CE"/>
    <w:rsid w:val="00273974"/>
    <w:rsid w:val="00273B93"/>
    <w:rsid w:val="00273CE9"/>
    <w:rsid w:val="00273F37"/>
    <w:rsid w:val="00274068"/>
    <w:rsid w:val="002766D3"/>
    <w:rsid w:val="0027756F"/>
    <w:rsid w:val="00280491"/>
    <w:rsid w:val="002808F5"/>
    <w:rsid w:val="00281E1C"/>
    <w:rsid w:val="0028354D"/>
    <w:rsid w:val="00283B9D"/>
    <w:rsid w:val="002853E4"/>
    <w:rsid w:val="00285B11"/>
    <w:rsid w:val="002862CD"/>
    <w:rsid w:val="00290AFF"/>
    <w:rsid w:val="00290B04"/>
    <w:rsid w:val="00292489"/>
    <w:rsid w:val="0029295A"/>
    <w:rsid w:val="00294136"/>
    <w:rsid w:val="002952D0"/>
    <w:rsid w:val="00295D42"/>
    <w:rsid w:val="00295E78"/>
    <w:rsid w:val="00297ACD"/>
    <w:rsid w:val="002A04BF"/>
    <w:rsid w:val="002A1E25"/>
    <w:rsid w:val="002A27C3"/>
    <w:rsid w:val="002A3825"/>
    <w:rsid w:val="002A5358"/>
    <w:rsid w:val="002A5730"/>
    <w:rsid w:val="002A78A4"/>
    <w:rsid w:val="002B0659"/>
    <w:rsid w:val="002B1DDA"/>
    <w:rsid w:val="002B3F3F"/>
    <w:rsid w:val="002B6487"/>
    <w:rsid w:val="002C231D"/>
    <w:rsid w:val="002C4AB4"/>
    <w:rsid w:val="002C58C3"/>
    <w:rsid w:val="002C5D11"/>
    <w:rsid w:val="002C5DE5"/>
    <w:rsid w:val="002C5EFF"/>
    <w:rsid w:val="002C6580"/>
    <w:rsid w:val="002D0BE0"/>
    <w:rsid w:val="002D168C"/>
    <w:rsid w:val="002D1C89"/>
    <w:rsid w:val="002D3639"/>
    <w:rsid w:val="002D4475"/>
    <w:rsid w:val="002D5A30"/>
    <w:rsid w:val="002D67B7"/>
    <w:rsid w:val="002D7CB7"/>
    <w:rsid w:val="002D7CBB"/>
    <w:rsid w:val="002E1BF2"/>
    <w:rsid w:val="002E23C4"/>
    <w:rsid w:val="002E30C8"/>
    <w:rsid w:val="002E3917"/>
    <w:rsid w:val="002E496A"/>
    <w:rsid w:val="002E5418"/>
    <w:rsid w:val="002E5BEE"/>
    <w:rsid w:val="002E7520"/>
    <w:rsid w:val="002F0AE0"/>
    <w:rsid w:val="002F0E59"/>
    <w:rsid w:val="002F13CF"/>
    <w:rsid w:val="002F1F5F"/>
    <w:rsid w:val="002F2CC6"/>
    <w:rsid w:val="002F317D"/>
    <w:rsid w:val="002F3EBF"/>
    <w:rsid w:val="002F5381"/>
    <w:rsid w:val="00301851"/>
    <w:rsid w:val="00302144"/>
    <w:rsid w:val="0030234A"/>
    <w:rsid w:val="0030368C"/>
    <w:rsid w:val="00303C7B"/>
    <w:rsid w:val="00304332"/>
    <w:rsid w:val="003051C6"/>
    <w:rsid w:val="00305427"/>
    <w:rsid w:val="00305F6D"/>
    <w:rsid w:val="003061A4"/>
    <w:rsid w:val="0030633C"/>
    <w:rsid w:val="0030677E"/>
    <w:rsid w:val="0030729F"/>
    <w:rsid w:val="00310B63"/>
    <w:rsid w:val="00310E49"/>
    <w:rsid w:val="00311ECB"/>
    <w:rsid w:val="003126BA"/>
    <w:rsid w:val="00312DDD"/>
    <w:rsid w:val="00313574"/>
    <w:rsid w:val="00314014"/>
    <w:rsid w:val="0031445F"/>
    <w:rsid w:val="00315000"/>
    <w:rsid w:val="00315B3B"/>
    <w:rsid w:val="0031606A"/>
    <w:rsid w:val="00316B44"/>
    <w:rsid w:val="003176EA"/>
    <w:rsid w:val="00320002"/>
    <w:rsid w:val="0032120C"/>
    <w:rsid w:val="00321445"/>
    <w:rsid w:val="00321E14"/>
    <w:rsid w:val="003225B9"/>
    <w:rsid w:val="00324168"/>
    <w:rsid w:val="00324A08"/>
    <w:rsid w:val="00325830"/>
    <w:rsid w:val="00326205"/>
    <w:rsid w:val="00326FC3"/>
    <w:rsid w:val="00327782"/>
    <w:rsid w:val="00327DF1"/>
    <w:rsid w:val="0033008D"/>
    <w:rsid w:val="00331900"/>
    <w:rsid w:val="00332711"/>
    <w:rsid w:val="0033322D"/>
    <w:rsid w:val="00333623"/>
    <w:rsid w:val="00334C8D"/>
    <w:rsid w:val="00334E8E"/>
    <w:rsid w:val="003352C4"/>
    <w:rsid w:val="0033617A"/>
    <w:rsid w:val="00336227"/>
    <w:rsid w:val="0034017C"/>
    <w:rsid w:val="003407FF"/>
    <w:rsid w:val="00341A68"/>
    <w:rsid w:val="00341D8E"/>
    <w:rsid w:val="003422A9"/>
    <w:rsid w:val="003428E7"/>
    <w:rsid w:val="003440E2"/>
    <w:rsid w:val="00344211"/>
    <w:rsid w:val="00344334"/>
    <w:rsid w:val="003463CA"/>
    <w:rsid w:val="00346F62"/>
    <w:rsid w:val="0035011F"/>
    <w:rsid w:val="00350C23"/>
    <w:rsid w:val="0035252E"/>
    <w:rsid w:val="003531FA"/>
    <w:rsid w:val="00354831"/>
    <w:rsid w:val="003557CB"/>
    <w:rsid w:val="00355BE3"/>
    <w:rsid w:val="0035624A"/>
    <w:rsid w:val="00356AD1"/>
    <w:rsid w:val="00356B29"/>
    <w:rsid w:val="00357FE0"/>
    <w:rsid w:val="003610DE"/>
    <w:rsid w:val="0036145A"/>
    <w:rsid w:val="0036210B"/>
    <w:rsid w:val="003632C3"/>
    <w:rsid w:val="00365592"/>
    <w:rsid w:val="00365650"/>
    <w:rsid w:val="00366A9C"/>
    <w:rsid w:val="00370186"/>
    <w:rsid w:val="003714F7"/>
    <w:rsid w:val="00371DA1"/>
    <w:rsid w:val="00372DB7"/>
    <w:rsid w:val="00373EF3"/>
    <w:rsid w:val="00374BEC"/>
    <w:rsid w:val="00374D38"/>
    <w:rsid w:val="0038149E"/>
    <w:rsid w:val="003815F6"/>
    <w:rsid w:val="0038295D"/>
    <w:rsid w:val="00382E98"/>
    <w:rsid w:val="0038336A"/>
    <w:rsid w:val="0038436F"/>
    <w:rsid w:val="0038482E"/>
    <w:rsid w:val="00384E5F"/>
    <w:rsid w:val="00385967"/>
    <w:rsid w:val="00386AA9"/>
    <w:rsid w:val="003938E3"/>
    <w:rsid w:val="003962CA"/>
    <w:rsid w:val="00396874"/>
    <w:rsid w:val="00396987"/>
    <w:rsid w:val="00397E4E"/>
    <w:rsid w:val="003A42E7"/>
    <w:rsid w:val="003A5A77"/>
    <w:rsid w:val="003A5B8E"/>
    <w:rsid w:val="003A789F"/>
    <w:rsid w:val="003B0E04"/>
    <w:rsid w:val="003B1A1B"/>
    <w:rsid w:val="003B3A3D"/>
    <w:rsid w:val="003B5C2A"/>
    <w:rsid w:val="003B5E09"/>
    <w:rsid w:val="003B6C2C"/>
    <w:rsid w:val="003B72FF"/>
    <w:rsid w:val="003B7571"/>
    <w:rsid w:val="003B7791"/>
    <w:rsid w:val="003C0F8B"/>
    <w:rsid w:val="003C3617"/>
    <w:rsid w:val="003C39C6"/>
    <w:rsid w:val="003C3F1A"/>
    <w:rsid w:val="003C6C44"/>
    <w:rsid w:val="003D00B6"/>
    <w:rsid w:val="003D0E1F"/>
    <w:rsid w:val="003D1CF6"/>
    <w:rsid w:val="003D33A7"/>
    <w:rsid w:val="003D3F6B"/>
    <w:rsid w:val="003D595E"/>
    <w:rsid w:val="003D5C0C"/>
    <w:rsid w:val="003D613F"/>
    <w:rsid w:val="003D61A7"/>
    <w:rsid w:val="003D6421"/>
    <w:rsid w:val="003D64DF"/>
    <w:rsid w:val="003D6841"/>
    <w:rsid w:val="003D6991"/>
    <w:rsid w:val="003E063B"/>
    <w:rsid w:val="003E292A"/>
    <w:rsid w:val="003E4783"/>
    <w:rsid w:val="003E5169"/>
    <w:rsid w:val="003E5553"/>
    <w:rsid w:val="003E59F4"/>
    <w:rsid w:val="003E616E"/>
    <w:rsid w:val="003E6571"/>
    <w:rsid w:val="003E6907"/>
    <w:rsid w:val="003E7BE5"/>
    <w:rsid w:val="003F0994"/>
    <w:rsid w:val="003F0DB9"/>
    <w:rsid w:val="003F14D4"/>
    <w:rsid w:val="003F4D58"/>
    <w:rsid w:val="003F5C94"/>
    <w:rsid w:val="003F66B6"/>
    <w:rsid w:val="003F6798"/>
    <w:rsid w:val="003F6C4D"/>
    <w:rsid w:val="003F73F9"/>
    <w:rsid w:val="004028A5"/>
    <w:rsid w:val="00402B12"/>
    <w:rsid w:val="00403E87"/>
    <w:rsid w:val="00406F34"/>
    <w:rsid w:val="00406F63"/>
    <w:rsid w:val="004116E0"/>
    <w:rsid w:val="00411A7B"/>
    <w:rsid w:val="00412FE6"/>
    <w:rsid w:val="00413379"/>
    <w:rsid w:val="004137D8"/>
    <w:rsid w:val="00414B90"/>
    <w:rsid w:val="004155B8"/>
    <w:rsid w:val="004160AD"/>
    <w:rsid w:val="0041682D"/>
    <w:rsid w:val="00417061"/>
    <w:rsid w:val="00417077"/>
    <w:rsid w:val="00417EB4"/>
    <w:rsid w:val="0042132F"/>
    <w:rsid w:val="00423AFF"/>
    <w:rsid w:val="00423BF0"/>
    <w:rsid w:val="00424590"/>
    <w:rsid w:val="00424E86"/>
    <w:rsid w:val="00424E96"/>
    <w:rsid w:val="00425118"/>
    <w:rsid w:val="0042577F"/>
    <w:rsid w:val="004278A7"/>
    <w:rsid w:val="00427F87"/>
    <w:rsid w:val="00431096"/>
    <w:rsid w:val="00433A20"/>
    <w:rsid w:val="00434587"/>
    <w:rsid w:val="00435B92"/>
    <w:rsid w:val="0043627D"/>
    <w:rsid w:val="00436627"/>
    <w:rsid w:val="0043734A"/>
    <w:rsid w:val="004376DB"/>
    <w:rsid w:val="00437929"/>
    <w:rsid w:val="0044225A"/>
    <w:rsid w:val="004426AB"/>
    <w:rsid w:val="0044345A"/>
    <w:rsid w:val="004438CD"/>
    <w:rsid w:val="00443BEA"/>
    <w:rsid w:val="004444AD"/>
    <w:rsid w:val="00444FEC"/>
    <w:rsid w:val="00445664"/>
    <w:rsid w:val="00445AAA"/>
    <w:rsid w:val="004467B6"/>
    <w:rsid w:val="004475A7"/>
    <w:rsid w:val="00450A15"/>
    <w:rsid w:val="00452737"/>
    <w:rsid w:val="00453530"/>
    <w:rsid w:val="0045358D"/>
    <w:rsid w:val="00453841"/>
    <w:rsid w:val="00453AB6"/>
    <w:rsid w:val="00454B9F"/>
    <w:rsid w:val="00454E87"/>
    <w:rsid w:val="0045629F"/>
    <w:rsid w:val="004562B3"/>
    <w:rsid w:val="00457C43"/>
    <w:rsid w:val="00461BF1"/>
    <w:rsid w:val="00462C65"/>
    <w:rsid w:val="004633DD"/>
    <w:rsid w:val="004636E4"/>
    <w:rsid w:val="004644BA"/>
    <w:rsid w:val="00464F6C"/>
    <w:rsid w:val="00465C47"/>
    <w:rsid w:val="0046661E"/>
    <w:rsid w:val="00467E19"/>
    <w:rsid w:val="0047047D"/>
    <w:rsid w:val="00470D90"/>
    <w:rsid w:val="00472CE6"/>
    <w:rsid w:val="00472DF3"/>
    <w:rsid w:val="004737E7"/>
    <w:rsid w:val="00473A5C"/>
    <w:rsid w:val="0047625A"/>
    <w:rsid w:val="00476CD0"/>
    <w:rsid w:val="00477419"/>
    <w:rsid w:val="004774AA"/>
    <w:rsid w:val="00480110"/>
    <w:rsid w:val="00480748"/>
    <w:rsid w:val="004807A4"/>
    <w:rsid w:val="0048081B"/>
    <w:rsid w:val="004810DD"/>
    <w:rsid w:val="00481A65"/>
    <w:rsid w:val="00482C5C"/>
    <w:rsid w:val="00483619"/>
    <w:rsid w:val="004840A4"/>
    <w:rsid w:val="0048579F"/>
    <w:rsid w:val="00486315"/>
    <w:rsid w:val="00487E03"/>
    <w:rsid w:val="00490A99"/>
    <w:rsid w:val="00491584"/>
    <w:rsid w:val="00491763"/>
    <w:rsid w:val="0049185C"/>
    <w:rsid w:val="00491FED"/>
    <w:rsid w:val="004921DC"/>
    <w:rsid w:val="004922A9"/>
    <w:rsid w:val="004927F9"/>
    <w:rsid w:val="00493CD6"/>
    <w:rsid w:val="004940B4"/>
    <w:rsid w:val="00494333"/>
    <w:rsid w:val="004968CE"/>
    <w:rsid w:val="00497435"/>
    <w:rsid w:val="004A1A50"/>
    <w:rsid w:val="004A291D"/>
    <w:rsid w:val="004A2BC6"/>
    <w:rsid w:val="004A32EB"/>
    <w:rsid w:val="004A345C"/>
    <w:rsid w:val="004A3E3F"/>
    <w:rsid w:val="004A45E3"/>
    <w:rsid w:val="004A6FE6"/>
    <w:rsid w:val="004B1222"/>
    <w:rsid w:val="004B1504"/>
    <w:rsid w:val="004B2130"/>
    <w:rsid w:val="004B2DF4"/>
    <w:rsid w:val="004B2EF2"/>
    <w:rsid w:val="004B48C7"/>
    <w:rsid w:val="004B55F8"/>
    <w:rsid w:val="004B5FB3"/>
    <w:rsid w:val="004B78B8"/>
    <w:rsid w:val="004B7C37"/>
    <w:rsid w:val="004C010D"/>
    <w:rsid w:val="004C0DC5"/>
    <w:rsid w:val="004C0F7A"/>
    <w:rsid w:val="004C11C0"/>
    <w:rsid w:val="004C2307"/>
    <w:rsid w:val="004C5AA5"/>
    <w:rsid w:val="004C606E"/>
    <w:rsid w:val="004C790B"/>
    <w:rsid w:val="004D155F"/>
    <w:rsid w:val="004D20D7"/>
    <w:rsid w:val="004D26D9"/>
    <w:rsid w:val="004D2985"/>
    <w:rsid w:val="004D2BE7"/>
    <w:rsid w:val="004D4EB3"/>
    <w:rsid w:val="004D56E9"/>
    <w:rsid w:val="004D6C2C"/>
    <w:rsid w:val="004D6D94"/>
    <w:rsid w:val="004D7CA2"/>
    <w:rsid w:val="004E112B"/>
    <w:rsid w:val="004E1957"/>
    <w:rsid w:val="004E4B95"/>
    <w:rsid w:val="004E5648"/>
    <w:rsid w:val="004E6174"/>
    <w:rsid w:val="004E6276"/>
    <w:rsid w:val="004E63E2"/>
    <w:rsid w:val="004E648B"/>
    <w:rsid w:val="004F16EA"/>
    <w:rsid w:val="004F1C41"/>
    <w:rsid w:val="004F1F98"/>
    <w:rsid w:val="004F1F9E"/>
    <w:rsid w:val="004F3361"/>
    <w:rsid w:val="004F4746"/>
    <w:rsid w:val="004F4E4A"/>
    <w:rsid w:val="004F6523"/>
    <w:rsid w:val="004F6EA0"/>
    <w:rsid w:val="004F6FBC"/>
    <w:rsid w:val="0050493D"/>
    <w:rsid w:val="00505DEF"/>
    <w:rsid w:val="00506A0A"/>
    <w:rsid w:val="005103BD"/>
    <w:rsid w:val="00510410"/>
    <w:rsid w:val="00510A4E"/>
    <w:rsid w:val="005115EA"/>
    <w:rsid w:val="00511C44"/>
    <w:rsid w:val="00513057"/>
    <w:rsid w:val="00514839"/>
    <w:rsid w:val="00515044"/>
    <w:rsid w:val="00516223"/>
    <w:rsid w:val="00517DFA"/>
    <w:rsid w:val="00520276"/>
    <w:rsid w:val="00520D46"/>
    <w:rsid w:val="00521A0C"/>
    <w:rsid w:val="00522267"/>
    <w:rsid w:val="00522BA3"/>
    <w:rsid w:val="0052614C"/>
    <w:rsid w:val="005269F4"/>
    <w:rsid w:val="00526E2A"/>
    <w:rsid w:val="00527C12"/>
    <w:rsid w:val="00527C80"/>
    <w:rsid w:val="00530BDE"/>
    <w:rsid w:val="00530C54"/>
    <w:rsid w:val="00530E55"/>
    <w:rsid w:val="00534521"/>
    <w:rsid w:val="00534BD4"/>
    <w:rsid w:val="00535CFB"/>
    <w:rsid w:val="00535E65"/>
    <w:rsid w:val="00535E7B"/>
    <w:rsid w:val="005362BB"/>
    <w:rsid w:val="00537614"/>
    <w:rsid w:val="00540543"/>
    <w:rsid w:val="005413C9"/>
    <w:rsid w:val="00542A3D"/>
    <w:rsid w:val="0054472E"/>
    <w:rsid w:val="00545A70"/>
    <w:rsid w:val="00546AEA"/>
    <w:rsid w:val="005474AD"/>
    <w:rsid w:val="00547BF6"/>
    <w:rsid w:val="00547E5C"/>
    <w:rsid w:val="005500B5"/>
    <w:rsid w:val="00550C8F"/>
    <w:rsid w:val="00550D36"/>
    <w:rsid w:val="0055277C"/>
    <w:rsid w:val="00553E24"/>
    <w:rsid w:val="0055421C"/>
    <w:rsid w:val="0055493A"/>
    <w:rsid w:val="00555EFB"/>
    <w:rsid w:val="005567BE"/>
    <w:rsid w:val="00556A98"/>
    <w:rsid w:val="005573E6"/>
    <w:rsid w:val="00560623"/>
    <w:rsid w:val="005608BB"/>
    <w:rsid w:val="00561533"/>
    <w:rsid w:val="005618B3"/>
    <w:rsid w:val="00561E9E"/>
    <w:rsid w:val="005620FD"/>
    <w:rsid w:val="005624ED"/>
    <w:rsid w:val="00562C7E"/>
    <w:rsid w:val="00562CCE"/>
    <w:rsid w:val="00564445"/>
    <w:rsid w:val="00564634"/>
    <w:rsid w:val="005651AE"/>
    <w:rsid w:val="005654C5"/>
    <w:rsid w:val="00565558"/>
    <w:rsid w:val="00565DA0"/>
    <w:rsid w:val="005673BE"/>
    <w:rsid w:val="005700D4"/>
    <w:rsid w:val="0057107B"/>
    <w:rsid w:val="00571198"/>
    <w:rsid w:val="0057176D"/>
    <w:rsid w:val="00571AF9"/>
    <w:rsid w:val="00571E36"/>
    <w:rsid w:val="00572347"/>
    <w:rsid w:val="00572914"/>
    <w:rsid w:val="00572A37"/>
    <w:rsid w:val="00572FCD"/>
    <w:rsid w:val="00573BEF"/>
    <w:rsid w:val="005748F6"/>
    <w:rsid w:val="00575BEB"/>
    <w:rsid w:val="0057624C"/>
    <w:rsid w:val="00577A50"/>
    <w:rsid w:val="00580B0D"/>
    <w:rsid w:val="00581B2C"/>
    <w:rsid w:val="00582A84"/>
    <w:rsid w:val="00584BF1"/>
    <w:rsid w:val="0058577F"/>
    <w:rsid w:val="00585C7C"/>
    <w:rsid w:val="005867CC"/>
    <w:rsid w:val="005869F5"/>
    <w:rsid w:val="0058745D"/>
    <w:rsid w:val="00587715"/>
    <w:rsid w:val="005878E2"/>
    <w:rsid w:val="0059011B"/>
    <w:rsid w:val="00590169"/>
    <w:rsid w:val="005913B9"/>
    <w:rsid w:val="00592394"/>
    <w:rsid w:val="00593E7A"/>
    <w:rsid w:val="00594867"/>
    <w:rsid w:val="00594E8D"/>
    <w:rsid w:val="005951F5"/>
    <w:rsid w:val="00595F82"/>
    <w:rsid w:val="00596E7B"/>
    <w:rsid w:val="00597E30"/>
    <w:rsid w:val="005A010B"/>
    <w:rsid w:val="005A0A1B"/>
    <w:rsid w:val="005A0DA1"/>
    <w:rsid w:val="005A0E68"/>
    <w:rsid w:val="005A2352"/>
    <w:rsid w:val="005A3D2B"/>
    <w:rsid w:val="005A3F2F"/>
    <w:rsid w:val="005A4002"/>
    <w:rsid w:val="005A43D8"/>
    <w:rsid w:val="005A52BD"/>
    <w:rsid w:val="005A57E0"/>
    <w:rsid w:val="005A5BAB"/>
    <w:rsid w:val="005A5F38"/>
    <w:rsid w:val="005A61B3"/>
    <w:rsid w:val="005A63AF"/>
    <w:rsid w:val="005B26AC"/>
    <w:rsid w:val="005B294B"/>
    <w:rsid w:val="005B4036"/>
    <w:rsid w:val="005B7258"/>
    <w:rsid w:val="005C2746"/>
    <w:rsid w:val="005C3186"/>
    <w:rsid w:val="005C3778"/>
    <w:rsid w:val="005C4ABE"/>
    <w:rsid w:val="005C65E0"/>
    <w:rsid w:val="005C6794"/>
    <w:rsid w:val="005C693B"/>
    <w:rsid w:val="005C6C1D"/>
    <w:rsid w:val="005C7C19"/>
    <w:rsid w:val="005D018E"/>
    <w:rsid w:val="005D200B"/>
    <w:rsid w:val="005D3434"/>
    <w:rsid w:val="005D4E24"/>
    <w:rsid w:val="005D55F9"/>
    <w:rsid w:val="005D5B36"/>
    <w:rsid w:val="005D61A6"/>
    <w:rsid w:val="005D6C73"/>
    <w:rsid w:val="005D71A3"/>
    <w:rsid w:val="005E10DD"/>
    <w:rsid w:val="005E21FC"/>
    <w:rsid w:val="005E4251"/>
    <w:rsid w:val="005E4F63"/>
    <w:rsid w:val="005E5E1E"/>
    <w:rsid w:val="005E5F59"/>
    <w:rsid w:val="005E659C"/>
    <w:rsid w:val="005E6B94"/>
    <w:rsid w:val="005E6D90"/>
    <w:rsid w:val="005E7FAB"/>
    <w:rsid w:val="005F0AEE"/>
    <w:rsid w:val="005F11A8"/>
    <w:rsid w:val="005F13C6"/>
    <w:rsid w:val="005F28CD"/>
    <w:rsid w:val="005F3B4A"/>
    <w:rsid w:val="005F4547"/>
    <w:rsid w:val="005F4C39"/>
    <w:rsid w:val="00600CB1"/>
    <w:rsid w:val="006032AB"/>
    <w:rsid w:val="00603B49"/>
    <w:rsid w:val="00605AD2"/>
    <w:rsid w:val="00607886"/>
    <w:rsid w:val="006079D6"/>
    <w:rsid w:val="0061012C"/>
    <w:rsid w:val="00610265"/>
    <w:rsid w:val="00610A33"/>
    <w:rsid w:val="00611146"/>
    <w:rsid w:val="006121CB"/>
    <w:rsid w:val="00613779"/>
    <w:rsid w:val="0061486B"/>
    <w:rsid w:val="00621549"/>
    <w:rsid w:val="00623898"/>
    <w:rsid w:val="00625857"/>
    <w:rsid w:val="0062631B"/>
    <w:rsid w:val="00627C49"/>
    <w:rsid w:val="006303A0"/>
    <w:rsid w:val="0063099B"/>
    <w:rsid w:val="00630FB3"/>
    <w:rsid w:val="006335D0"/>
    <w:rsid w:val="00634110"/>
    <w:rsid w:val="0063462D"/>
    <w:rsid w:val="00635169"/>
    <w:rsid w:val="006357DE"/>
    <w:rsid w:val="00636E0E"/>
    <w:rsid w:val="00637162"/>
    <w:rsid w:val="0064001E"/>
    <w:rsid w:val="00640804"/>
    <w:rsid w:val="00640EA2"/>
    <w:rsid w:val="0064127E"/>
    <w:rsid w:val="00641547"/>
    <w:rsid w:val="00642F32"/>
    <w:rsid w:val="00644E67"/>
    <w:rsid w:val="0064584E"/>
    <w:rsid w:val="0064757B"/>
    <w:rsid w:val="006512B8"/>
    <w:rsid w:val="00653106"/>
    <w:rsid w:val="00653196"/>
    <w:rsid w:val="006547AC"/>
    <w:rsid w:val="00654B8A"/>
    <w:rsid w:val="00655AAE"/>
    <w:rsid w:val="00656294"/>
    <w:rsid w:val="00656E5A"/>
    <w:rsid w:val="006602EE"/>
    <w:rsid w:val="006619D4"/>
    <w:rsid w:val="00661B64"/>
    <w:rsid w:val="00661FAC"/>
    <w:rsid w:val="00665091"/>
    <w:rsid w:val="00665DD7"/>
    <w:rsid w:val="0066725D"/>
    <w:rsid w:val="0067370B"/>
    <w:rsid w:val="00674876"/>
    <w:rsid w:val="006821A0"/>
    <w:rsid w:val="00682B9A"/>
    <w:rsid w:val="0068425D"/>
    <w:rsid w:val="00684FFC"/>
    <w:rsid w:val="0068511B"/>
    <w:rsid w:val="00686893"/>
    <w:rsid w:val="00687455"/>
    <w:rsid w:val="00690729"/>
    <w:rsid w:val="00691557"/>
    <w:rsid w:val="00692A0D"/>
    <w:rsid w:val="006933E5"/>
    <w:rsid w:val="006935EB"/>
    <w:rsid w:val="00695D78"/>
    <w:rsid w:val="00695FAD"/>
    <w:rsid w:val="0069696F"/>
    <w:rsid w:val="00696C6D"/>
    <w:rsid w:val="006975D7"/>
    <w:rsid w:val="006976F2"/>
    <w:rsid w:val="006A02E8"/>
    <w:rsid w:val="006A1416"/>
    <w:rsid w:val="006A199E"/>
    <w:rsid w:val="006A2005"/>
    <w:rsid w:val="006A244A"/>
    <w:rsid w:val="006A255E"/>
    <w:rsid w:val="006A3A4C"/>
    <w:rsid w:val="006A4E75"/>
    <w:rsid w:val="006A5719"/>
    <w:rsid w:val="006B08E1"/>
    <w:rsid w:val="006B0A14"/>
    <w:rsid w:val="006B0C02"/>
    <w:rsid w:val="006B0E35"/>
    <w:rsid w:val="006B12A8"/>
    <w:rsid w:val="006B2A27"/>
    <w:rsid w:val="006B3512"/>
    <w:rsid w:val="006B4078"/>
    <w:rsid w:val="006B4665"/>
    <w:rsid w:val="006B4AAC"/>
    <w:rsid w:val="006B5385"/>
    <w:rsid w:val="006B53E9"/>
    <w:rsid w:val="006B67E1"/>
    <w:rsid w:val="006B6BB7"/>
    <w:rsid w:val="006B777C"/>
    <w:rsid w:val="006C0192"/>
    <w:rsid w:val="006C073C"/>
    <w:rsid w:val="006C0DCD"/>
    <w:rsid w:val="006C1BBA"/>
    <w:rsid w:val="006C1F42"/>
    <w:rsid w:val="006C2543"/>
    <w:rsid w:val="006C286D"/>
    <w:rsid w:val="006C2AD4"/>
    <w:rsid w:val="006C33A3"/>
    <w:rsid w:val="006C36E1"/>
    <w:rsid w:val="006C52A5"/>
    <w:rsid w:val="006C6800"/>
    <w:rsid w:val="006D02B7"/>
    <w:rsid w:val="006D0F5F"/>
    <w:rsid w:val="006D29FA"/>
    <w:rsid w:val="006D2CE3"/>
    <w:rsid w:val="006D4821"/>
    <w:rsid w:val="006D51BC"/>
    <w:rsid w:val="006D54D1"/>
    <w:rsid w:val="006D5DD9"/>
    <w:rsid w:val="006D60B3"/>
    <w:rsid w:val="006D6A9F"/>
    <w:rsid w:val="006E0B3D"/>
    <w:rsid w:val="006E2F4A"/>
    <w:rsid w:val="006E4834"/>
    <w:rsid w:val="006E4AD4"/>
    <w:rsid w:val="006E5294"/>
    <w:rsid w:val="006E5A96"/>
    <w:rsid w:val="006E6D42"/>
    <w:rsid w:val="006E714D"/>
    <w:rsid w:val="006F078C"/>
    <w:rsid w:val="006F1F2E"/>
    <w:rsid w:val="006F35DD"/>
    <w:rsid w:val="006F3649"/>
    <w:rsid w:val="006F3D69"/>
    <w:rsid w:val="006F3E45"/>
    <w:rsid w:val="006F3F44"/>
    <w:rsid w:val="006F4CA4"/>
    <w:rsid w:val="006F6BB2"/>
    <w:rsid w:val="006F6CDC"/>
    <w:rsid w:val="006F74CE"/>
    <w:rsid w:val="006F7AB1"/>
    <w:rsid w:val="006F7ECD"/>
    <w:rsid w:val="00700C38"/>
    <w:rsid w:val="00700D06"/>
    <w:rsid w:val="00701E70"/>
    <w:rsid w:val="00702AA3"/>
    <w:rsid w:val="00702D60"/>
    <w:rsid w:val="00702DC0"/>
    <w:rsid w:val="00703D52"/>
    <w:rsid w:val="007054D9"/>
    <w:rsid w:val="00705694"/>
    <w:rsid w:val="0070698B"/>
    <w:rsid w:val="00706CC0"/>
    <w:rsid w:val="00712E84"/>
    <w:rsid w:val="00713448"/>
    <w:rsid w:val="00713B2E"/>
    <w:rsid w:val="00714EBE"/>
    <w:rsid w:val="007172BB"/>
    <w:rsid w:val="00721467"/>
    <w:rsid w:val="00721D65"/>
    <w:rsid w:val="0072591C"/>
    <w:rsid w:val="0072678E"/>
    <w:rsid w:val="00727917"/>
    <w:rsid w:val="00727EC5"/>
    <w:rsid w:val="00730D60"/>
    <w:rsid w:val="00731FF4"/>
    <w:rsid w:val="00733129"/>
    <w:rsid w:val="0073427E"/>
    <w:rsid w:val="00734A5A"/>
    <w:rsid w:val="0073500E"/>
    <w:rsid w:val="007350D8"/>
    <w:rsid w:val="00736BA8"/>
    <w:rsid w:val="00736D9A"/>
    <w:rsid w:val="00736E12"/>
    <w:rsid w:val="00737E4C"/>
    <w:rsid w:val="0074020D"/>
    <w:rsid w:val="007409D8"/>
    <w:rsid w:val="00741372"/>
    <w:rsid w:val="007423B4"/>
    <w:rsid w:val="00744C57"/>
    <w:rsid w:val="0074582E"/>
    <w:rsid w:val="00745DD0"/>
    <w:rsid w:val="0074658A"/>
    <w:rsid w:val="00750603"/>
    <w:rsid w:val="00750EB7"/>
    <w:rsid w:val="007511A8"/>
    <w:rsid w:val="00751DE0"/>
    <w:rsid w:val="00752CF8"/>
    <w:rsid w:val="007536FE"/>
    <w:rsid w:val="00753824"/>
    <w:rsid w:val="00753D0C"/>
    <w:rsid w:val="00755709"/>
    <w:rsid w:val="00755915"/>
    <w:rsid w:val="0075688F"/>
    <w:rsid w:val="007568B1"/>
    <w:rsid w:val="00756CD9"/>
    <w:rsid w:val="00760841"/>
    <w:rsid w:val="00761112"/>
    <w:rsid w:val="0076112C"/>
    <w:rsid w:val="00762195"/>
    <w:rsid w:val="0076363C"/>
    <w:rsid w:val="007642E8"/>
    <w:rsid w:val="00765386"/>
    <w:rsid w:val="00766F56"/>
    <w:rsid w:val="007711CE"/>
    <w:rsid w:val="00771B0D"/>
    <w:rsid w:val="00771B57"/>
    <w:rsid w:val="00773585"/>
    <w:rsid w:val="007744EA"/>
    <w:rsid w:val="00774A21"/>
    <w:rsid w:val="00776130"/>
    <w:rsid w:val="00776FF2"/>
    <w:rsid w:val="00777056"/>
    <w:rsid w:val="00782D6F"/>
    <w:rsid w:val="007839A9"/>
    <w:rsid w:val="007840AD"/>
    <w:rsid w:val="007859C3"/>
    <w:rsid w:val="00785B9E"/>
    <w:rsid w:val="00785C48"/>
    <w:rsid w:val="00786155"/>
    <w:rsid w:val="00787204"/>
    <w:rsid w:val="0078761B"/>
    <w:rsid w:val="00787656"/>
    <w:rsid w:val="007876A1"/>
    <w:rsid w:val="00787725"/>
    <w:rsid w:val="00787BA0"/>
    <w:rsid w:val="00787ED4"/>
    <w:rsid w:val="0079108F"/>
    <w:rsid w:val="00791531"/>
    <w:rsid w:val="00793952"/>
    <w:rsid w:val="00793BED"/>
    <w:rsid w:val="007946DF"/>
    <w:rsid w:val="00794FD7"/>
    <w:rsid w:val="0079612E"/>
    <w:rsid w:val="007A09ED"/>
    <w:rsid w:val="007A18DE"/>
    <w:rsid w:val="007A1BAA"/>
    <w:rsid w:val="007A1F0E"/>
    <w:rsid w:val="007A2251"/>
    <w:rsid w:val="007A2B85"/>
    <w:rsid w:val="007A2D1B"/>
    <w:rsid w:val="007A605D"/>
    <w:rsid w:val="007A64F9"/>
    <w:rsid w:val="007A73AA"/>
    <w:rsid w:val="007A79CF"/>
    <w:rsid w:val="007A7A8A"/>
    <w:rsid w:val="007A7ECC"/>
    <w:rsid w:val="007B1490"/>
    <w:rsid w:val="007B1EC1"/>
    <w:rsid w:val="007B69A8"/>
    <w:rsid w:val="007B6B90"/>
    <w:rsid w:val="007B70A5"/>
    <w:rsid w:val="007B7165"/>
    <w:rsid w:val="007C3676"/>
    <w:rsid w:val="007C45C5"/>
    <w:rsid w:val="007C57A7"/>
    <w:rsid w:val="007C5FD7"/>
    <w:rsid w:val="007C6137"/>
    <w:rsid w:val="007C7417"/>
    <w:rsid w:val="007D064D"/>
    <w:rsid w:val="007D0F35"/>
    <w:rsid w:val="007D1C51"/>
    <w:rsid w:val="007D3B32"/>
    <w:rsid w:val="007D3D2B"/>
    <w:rsid w:val="007D77F7"/>
    <w:rsid w:val="007E0DC4"/>
    <w:rsid w:val="007E146F"/>
    <w:rsid w:val="007E2C1E"/>
    <w:rsid w:val="007E4445"/>
    <w:rsid w:val="007E6575"/>
    <w:rsid w:val="007E7B08"/>
    <w:rsid w:val="007F0682"/>
    <w:rsid w:val="007F0A8D"/>
    <w:rsid w:val="007F10E7"/>
    <w:rsid w:val="007F1CBB"/>
    <w:rsid w:val="007F2AC2"/>
    <w:rsid w:val="007F2BA5"/>
    <w:rsid w:val="007F2EE2"/>
    <w:rsid w:val="007F40B1"/>
    <w:rsid w:val="007F439B"/>
    <w:rsid w:val="007F44F3"/>
    <w:rsid w:val="007F48B2"/>
    <w:rsid w:val="007F5036"/>
    <w:rsid w:val="008002CC"/>
    <w:rsid w:val="0080166A"/>
    <w:rsid w:val="00801D81"/>
    <w:rsid w:val="008023BB"/>
    <w:rsid w:val="00802DDC"/>
    <w:rsid w:val="00805C88"/>
    <w:rsid w:val="00806D2A"/>
    <w:rsid w:val="008075D0"/>
    <w:rsid w:val="0081011F"/>
    <w:rsid w:val="008105CD"/>
    <w:rsid w:val="0081144A"/>
    <w:rsid w:val="00811613"/>
    <w:rsid w:val="00812456"/>
    <w:rsid w:val="00813F50"/>
    <w:rsid w:val="008148AE"/>
    <w:rsid w:val="008171FD"/>
    <w:rsid w:val="00820160"/>
    <w:rsid w:val="0082405D"/>
    <w:rsid w:val="0082447E"/>
    <w:rsid w:val="00824720"/>
    <w:rsid w:val="00826350"/>
    <w:rsid w:val="00826BB9"/>
    <w:rsid w:val="00827EA5"/>
    <w:rsid w:val="00830F4E"/>
    <w:rsid w:val="00830FA5"/>
    <w:rsid w:val="00831A5C"/>
    <w:rsid w:val="00834344"/>
    <w:rsid w:val="008366E0"/>
    <w:rsid w:val="00836A65"/>
    <w:rsid w:val="0084161A"/>
    <w:rsid w:val="00841E69"/>
    <w:rsid w:val="00841FE8"/>
    <w:rsid w:val="00842DEF"/>
    <w:rsid w:val="00842ED5"/>
    <w:rsid w:val="0084314C"/>
    <w:rsid w:val="00844930"/>
    <w:rsid w:val="00844D1B"/>
    <w:rsid w:val="00844F5F"/>
    <w:rsid w:val="008457CC"/>
    <w:rsid w:val="00845B90"/>
    <w:rsid w:val="00846C5E"/>
    <w:rsid w:val="008518ED"/>
    <w:rsid w:val="008520B4"/>
    <w:rsid w:val="0085213A"/>
    <w:rsid w:val="0085348E"/>
    <w:rsid w:val="008541AA"/>
    <w:rsid w:val="00855311"/>
    <w:rsid w:val="00855B4F"/>
    <w:rsid w:val="0085622C"/>
    <w:rsid w:val="008562BF"/>
    <w:rsid w:val="00860F97"/>
    <w:rsid w:val="00861C2E"/>
    <w:rsid w:val="00862D08"/>
    <w:rsid w:val="00862D09"/>
    <w:rsid w:val="00863E26"/>
    <w:rsid w:val="00864514"/>
    <w:rsid w:val="00865DA5"/>
    <w:rsid w:val="0086692D"/>
    <w:rsid w:val="00866EE5"/>
    <w:rsid w:val="0086759E"/>
    <w:rsid w:val="008676C5"/>
    <w:rsid w:val="00867DBA"/>
    <w:rsid w:val="00870340"/>
    <w:rsid w:val="00870F8C"/>
    <w:rsid w:val="008710B3"/>
    <w:rsid w:val="00871212"/>
    <w:rsid w:val="0087174C"/>
    <w:rsid w:val="00871885"/>
    <w:rsid w:val="0087247F"/>
    <w:rsid w:val="00874EBF"/>
    <w:rsid w:val="0088182F"/>
    <w:rsid w:val="00883F2C"/>
    <w:rsid w:val="00884478"/>
    <w:rsid w:val="008844D8"/>
    <w:rsid w:val="00885432"/>
    <w:rsid w:val="008855A6"/>
    <w:rsid w:val="008865A0"/>
    <w:rsid w:val="00887E3D"/>
    <w:rsid w:val="00890064"/>
    <w:rsid w:val="00890580"/>
    <w:rsid w:val="00891BAD"/>
    <w:rsid w:val="00891FCD"/>
    <w:rsid w:val="00892C46"/>
    <w:rsid w:val="008930DD"/>
    <w:rsid w:val="00893354"/>
    <w:rsid w:val="00893A3B"/>
    <w:rsid w:val="00893B25"/>
    <w:rsid w:val="00893E28"/>
    <w:rsid w:val="00894383"/>
    <w:rsid w:val="00895399"/>
    <w:rsid w:val="00896346"/>
    <w:rsid w:val="00896B99"/>
    <w:rsid w:val="008A0002"/>
    <w:rsid w:val="008A0CD0"/>
    <w:rsid w:val="008A2671"/>
    <w:rsid w:val="008A2D49"/>
    <w:rsid w:val="008A2D75"/>
    <w:rsid w:val="008A3564"/>
    <w:rsid w:val="008A3931"/>
    <w:rsid w:val="008A3E4B"/>
    <w:rsid w:val="008A40EE"/>
    <w:rsid w:val="008A465A"/>
    <w:rsid w:val="008A4C28"/>
    <w:rsid w:val="008A5E5F"/>
    <w:rsid w:val="008B244F"/>
    <w:rsid w:val="008B27C9"/>
    <w:rsid w:val="008B3803"/>
    <w:rsid w:val="008B4435"/>
    <w:rsid w:val="008B5FD1"/>
    <w:rsid w:val="008B6137"/>
    <w:rsid w:val="008B7D2D"/>
    <w:rsid w:val="008C049E"/>
    <w:rsid w:val="008C0A37"/>
    <w:rsid w:val="008C0CAA"/>
    <w:rsid w:val="008C0F20"/>
    <w:rsid w:val="008C0F3B"/>
    <w:rsid w:val="008C19A4"/>
    <w:rsid w:val="008C1C38"/>
    <w:rsid w:val="008C3154"/>
    <w:rsid w:val="008C3836"/>
    <w:rsid w:val="008C4FDD"/>
    <w:rsid w:val="008C6A8A"/>
    <w:rsid w:val="008D0A6A"/>
    <w:rsid w:val="008D389A"/>
    <w:rsid w:val="008D39FC"/>
    <w:rsid w:val="008D5801"/>
    <w:rsid w:val="008D6066"/>
    <w:rsid w:val="008D69D0"/>
    <w:rsid w:val="008D767F"/>
    <w:rsid w:val="008E02D8"/>
    <w:rsid w:val="008E2115"/>
    <w:rsid w:val="008E2AC7"/>
    <w:rsid w:val="008E3D11"/>
    <w:rsid w:val="008E5990"/>
    <w:rsid w:val="008F017B"/>
    <w:rsid w:val="008F0999"/>
    <w:rsid w:val="008F12CF"/>
    <w:rsid w:val="008F2632"/>
    <w:rsid w:val="008F3FC7"/>
    <w:rsid w:val="008F5219"/>
    <w:rsid w:val="008F7451"/>
    <w:rsid w:val="008F79D8"/>
    <w:rsid w:val="00900D0A"/>
    <w:rsid w:val="00903B0C"/>
    <w:rsid w:val="00905192"/>
    <w:rsid w:val="00905539"/>
    <w:rsid w:val="00906101"/>
    <w:rsid w:val="0090635E"/>
    <w:rsid w:val="00906939"/>
    <w:rsid w:val="009070B4"/>
    <w:rsid w:val="0091029A"/>
    <w:rsid w:val="0091091F"/>
    <w:rsid w:val="0091170E"/>
    <w:rsid w:val="00911AF5"/>
    <w:rsid w:val="00911D7B"/>
    <w:rsid w:val="00911EE5"/>
    <w:rsid w:val="009122E4"/>
    <w:rsid w:val="009128A4"/>
    <w:rsid w:val="00912F07"/>
    <w:rsid w:val="00914251"/>
    <w:rsid w:val="009147F5"/>
    <w:rsid w:val="00917853"/>
    <w:rsid w:val="00917BE4"/>
    <w:rsid w:val="00917C87"/>
    <w:rsid w:val="0092010F"/>
    <w:rsid w:val="00920644"/>
    <w:rsid w:val="00920E1E"/>
    <w:rsid w:val="00921358"/>
    <w:rsid w:val="00923033"/>
    <w:rsid w:val="00924541"/>
    <w:rsid w:val="00925152"/>
    <w:rsid w:val="00925693"/>
    <w:rsid w:val="00925BA9"/>
    <w:rsid w:val="009265F9"/>
    <w:rsid w:val="00927E7B"/>
    <w:rsid w:val="00927F42"/>
    <w:rsid w:val="00930548"/>
    <w:rsid w:val="009306B0"/>
    <w:rsid w:val="0093237B"/>
    <w:rsid w:val="0093433A"/>
    <w:rsid w:val="00934AAD"/>
    <w:rsid w:val="00934D27"/>
    <w:rsid w:val="00935056"/>
    <w:rsid w:val="0093593E"/>
    <w:rsid w:val="00935F0C"/>
    <w:rsid w:val="0093607A"/>
    <w:rsid w:val="00936FEB"/>
    <w:rsid w:val="00937042"/>
    <w:rsid w:val="00941803"/>
    <w:rsid w:val="00941CE6"/>
    <w:rsid w:val="009441C6"/>
    <w:rsid w:val="009476AE"/>
    <w:rsid w:val="0095046E"/>
    <w:rsid w:val="00950E55"/>
    <w:rsid w:val="0095159B"/>
    <w:rsid w:val="0095174F"/>
    <w:rsid w:val="00953141"/>
    <w:rsid w:val="00953B24"/>
    <w:rsid w:val="00954475"/>
    <w:rsid w:val="00955159"/>
    <w:rsid w:val="0095565C"/>
    <w:rsid w:val="00955DCB"/>
    <w:rsid w:val="00957109"/>
    <w:rsid w:val="00960231"/>
    <w:rsid w:val="00960FD6"/>
    <w:rsid w:val="0096171C"/>
    <w:rsid w:val="00962624"/>
    <w:rsid w:val="00962792"/>
    <w:rsid w:val="00962D68"/>
    <w:rsid w:val="00964A19"/>
    <w:rsid w:val="00965883"/>
    <w:rsid w:val="00967F88"/>
    <w:rsid w:val="009704C7"/>
    <w:rsid w:val="00970A01"/>
    <w:rsid w:val="00970FAF"/>
    <w:rsid w:val="009717D0"/>
    <w:rsid w:val="0097338E"/>
    <w:rsid w:val="009751C4"/>
    <w:rsid w:val="00976015"/>
    <w:rsid w:val="0097761F"/>
    <w:rsid w:val="00977F6C"/>
    <w:rsid w:val="009804E5"/>
    <w:rsid w:val="00980AFC"/>
    <w:rsid w:val="00980B54"/>
    <w:rsid w:val="0098254C"/>
    <w:rsid w:val="009827EE"/>
    <w:rsid w:val="00982A00"/>
    <w:rsid w:val="009834C1"/>
    <w:rsid w:val="0098422D"/>
    <w:rsid w:val="00985D35"/>
    <w:rsid w:val="00985DBD"/>
    <w:rsid w:val="009908DD"/>
    <w:rsid w:val="00990CD2"/>
    <w:rsid w:val="00992156"/>
    <w:rsid w:val="00992291"/>
    <w:rsid w:val="00992330"/>
    <w:rsid w:val="00992B6F"/>
    <w:rsid w:val="00993D9E"/>
    <w:rsid w:val="009942B1"/>
    <w:rsid w:val="0099735B"/>
    <w:rsid w:val="009A0546"/>
    <w:rsid w:val="009A094C"/>
    <w:rsid w:val="009A28A2"/>
    <w:rsid w:val="009A30A7"/>
    <w:rsid w:val="009A36F7"/>
    <w:rsid w:val="009A5747"/>
    <w:rsid w:val="009A6487"/>
    <w:rsid w:val="009A6570"/>
    <w:rsid w:val="009A66BA"/>
    <w:rsid w:val="009B0364"/>
    <w:rsid w:val="009B1C64"/>
    <w:rsid w:val="009B1C95"/>
    <w:rsid w:val="009B32C9"/>
    <w:rsid w:val="009B32EF"/>
    <w:rsid w:val="009B43A5"/>
    <w:rsid w:val="009B4B45"/>
    <w:rsid w:val="009B4F9E"/>
    <w:rsid w:val="009B4FA6"/>
    <w:rsid w:val="009C0154"/>
    <w:rsid w:val="009C03AE"/>
    <w:rsid w:val="009C1D26"/>
    <w:rsid w:val="009C2EA6"/>
    <w:rsid w:val="009C5151"/>
    <w:rsid w:val="009C5F2E"/>
    <w:rsid w:val="009C740F"/>
    <w:rsid w:val="009D2EAB"/>
    <w:rsid w:val="009D428B"/>
    <w:rsid w:val="009D42A9"/>
    <w:rsid w:val="009D4FCF"/>
    <w:rsid w:val="009D50E9"/>
    <w:rsid w:val="009D53BB"/>
    <w:rsid w:val="009D5490"/>
    <w:rsid w:val="009D79AD"/>
    <w:rsid w:val="009E16D0"/>
    <w:rsid w:val="009E189A"/>
    <w:rsid w:val="009E1917"/>
    <w:rsid w:val="009E19BE"/>
    <w:rsid w:val="009E2193"/>
    <w:rsid w:val="009E3A84"/>
    <w:rsid w:val="009E5B45"/>
    <w:rsid w:val="009E672F"/>
    <w:rsid w:val="009E7B3E"/>
    <w:rsid w:val="009F0554"/>
    <w:rsid w:val="009F07EE"/>
    <w:rsid w:val="009F1416"/>
    <w:rsid w:val="009F16EA"/>
    <w:rsid w:val="009F1851"/>
    <w:rsid w:val="009F1A26"/>
    <w:rsid w:val="009F1EF7"/>
    <w:rsid w:val="009F22AB"/>
    <w:rsid w:val="009F2D9C"/>
    <w:rsid w:val="009F3960"/>
    <w:rsid w:val="009F572C"/>
    <w:rsid w:val="009F6231"/>
    <w:rsid w:val="009F65CE"/>
    <w:rsid w:val="009F6E21"/>
    <w:rsid w:val="009F7436"/>
    <w:rsid w:val="009F79DD"/>
    <w:rsid w:val="00A00298"/>
    <w:rsid w:val="00A00D39"/>
    <w:rsid w:val="00A01DF4"/>
    <w:rsid w:val="00A02693"/>
    <w:rsid w:val="00A0410D"/>
    <w:rsid w:val="00A05660"/>
    <w:rsid w:val="00A068C8"/>
    <w:rsid w:val="00A07610"/>
    <w:rsid w:val="00A0771F"/>
    <w:rsid w:val="00A1022E"/>
    <w:rsid w:val="00A10473"/>
    <w:rsid w:val="00A11E28"/>
    <w:rsid w:val="00A12922"/>
    <w:rsid w:val="00A12B8E"/>
    <w:rsid w:val="00A13343"/>
    <w:rsid w:val="00A15485"/>
    <w:rsid w:val="00A15BDE"/>
    <w:rsid w:val="00A16366"/>
    <w:rsid w:val="00A1696E"/>
    <w:rsid w:val="00A16E50"/>
    <w:rsid w:val="00A2058B"/>
    <w:rsid w:val="00A20753"/>
    <w:rsid w:val="00A215CE"/>
    <w:rsid w:val="00A21606"/>
    <w:rsid w:val="00A21889"/>
    <w:rsid w:val="00A22DE9"/>
    <w:rsid w:val="00A24670"/>
    <w:rsid w:val="00A25189"/>
    <w:rsid w:val="00A2580C"/>
    <w:rsid w:val="00A25968"/>
    <w:rsid w:val="00A25EE4"/>
    <w:rsid w:val="00A2626F"/>
    <w:rsid w:val="00A26999"/>
    <w:rsid w:val="00A27808"/>
    <w:rsid w:val="00A27D19"/>
    <w:rsid w:val="00A30849"/>
    <w:rsid w:val="00A30912"/>
    <w:rsid w:val="00A30B0B"/>
    <w:rsid w:val="00A32D15"/>
    <w:rsid w:val="00A332A9"/>
    <w:rsid w:val="00A34761"/>
    <w:rsid w:val="00A36B13"/>
    <w:rsid w:val="00A37392"/>
    <w:rsid w:val="00A379FE"/>
    <w:rsid w:val="00A37D66"/>
    <w:rsid w:val="00A4037E"/>
    <w:rsid w:val="00A4427C"/>
    <w:rsid w:val="00A44CE3"/>
    <w:rsid w:val="00A44E38"/>
    <w:rsid w:val="00A451E8"/>
    <w:rsid w:val="00A4523D"/>
    <w:rsid w:val="00A46C74"/>
    <w:rsid w:val="00A51A19"/>
    <w:rsid w:val="00A529C6"/>
    <w:rsid w:val="00A53FD6"/>
    <w:rsid w:val="00A543EA"/>
    <w:rsid w:val="00A5451E"/>
    <w:rsid w:val="00A54821"/>
    <w:rsid w:val="00A553C1"/>
    <w:rsid w:val="00A55FAE"/>
    <w:rsid w:val="00A56704"/>
    <w:rsid w:val="00A56D5B"/>
    <w:rsid w:val="00A570AE"/>
    <w:rsid w:val="00A57F97"/>
    <w:rsid w:val="00A60F5A"/>
    <w:rsid w:val="00A61211"/>
    <w:rsid w:val="00A6263F"/>
    <w:rsid w:val="00A62B19"/>
    <w:rsid w:val="00A64755"/>
    <w:rsid w:val="00A64D1F"/>
    <w:rsid w:val="00A65866"/>
    <w:rsid w:val="00A65EE9"/>
    <w:rsid w:val="00A67B51"/>
    <w:rsid w:val="00A701DE"/>
    <w:rsid w:val="00A728F3"/>
    <w:rsid w:val="00A73921"/>
    <w:rsid w:val="00A75501"/>
    <w:rsid w:val="00A755C7"/>
    <w:rsid w:val="00A75B72"/>
    <w:rsid w:val="00A773B6"/>
    <w:rsid w:val="00A80483"/>
    <w:rsid w:val="00A80DBA"/>
    <w:rsid w:val="00A814A2"/>
    <w:rsid w:val="00A8194C"/>
    <w:rsid w:val="00A81F9D"/>
    <w:rsid w:val="00A836F2"/>
    <w:rsid w:val="00A83925"/>
    <w:rsid w:val="00A840FF"/>
    <w:rsid w:val="00A84A00"/>
    <w:rsid w:val="00A86121"/>
    <w:rsid w:val="00A86A1B"/>
    <w:rsid w:val="00A926E9"/>
    <w:rsid w:val="00A92723"/>
    <w:rsid w:val="00A93521"/>
    <w:rsid w:val="00A93CF2"/>
    <w:rsid w:val="00A9567C"/>
    <w:rsid w:val="00A97EAF"/>
    <w:rsid w:val="00AA04AF"/>
    <w:rsid w:val="00AA0D0A"/>
    <w:rsid w:val="00AA22BC"/>
    <w:rsid w:val="00AA29D6"/>
    <w:rsid w:val="00AA2CDA"/>
    <w:rsid w:val="00AA36D2"/>
    <w:rsid w:val="00AA396D"/>
    <w:rsid w:val="00AA5016"/>
    <w:rsid w:val="00AA527F"/>
    <w:rsid w:val="00AA52C2"/>
    <w:rsid w:val="00AA5ACE"/>
    <w:rsid w:val="00AA5C9A"/>
    <w:rsid w:val="00AA6B6C"/>
    <w:rsid w:val="00AA6CBA"/>
    <w:rsid w:val="00AA6D0D"/>
    <w:rsid w:val="00AA73C4"/>
    <w:rsid w:val="00AB0164"/>
    <w:rsid w:val="00AB0498"/>
    <w:rsid w:val="00AB0B8A"/>
    <w:rsid w:val="00AB1249"/>
    <w:rsid w:val="00AB3424"/>
    <w:rsid w:val="00AB49BB"/>
    <w:rsid w:val="00AB4AD6"/>
    <w:rsid w:val="00AB59F3"/>
    <w:rsid w:val="00AB6BB3"/>
    <w:rsid w:val="00AB7BC6"/>
    <w:rsid w:val="00AC02F4"/>
    <w:rsid w:val="00AC148F"/>
    <w:rsid w:val="00AC158B"/>
    <w:rsid w:val="00AC1B13"/>
    <w:rsid w:val="00AC3ECC"/>
    <w:rsid w:val="00AC46D4"/>
    <w:rsid w:val="00AC6793"/>
    <w:rsid w:val="00AC7422"/>
    <w:rsid w:val="00AC7818"/>
    <w:rsid w:val="00AD08A9"/>
    <w:rsid w:val="00AD09D2"/>
    <w:rsid w:val="00AD1250"/>
    <w:rsid w:val="00AD29F2"/>
    <w:rsid w:val="00AD6104"/>
    <w:rsid w:val="00AD72C9"/>
    <w:rsid w:val="00AD7833"/>
    <w:rsid w:val="00AE1509"/>
    <w:rsid w:val="00AE16EC"/>
    <w:rsid w:val="00AE4E16"/>
    <w:rsid w:val="00AE5DD5"/>
    <w:rsid w:val="00AE6850"/>
    <w:rsid w:val="00AE79DE"/>
    <w:rsid w:val="00AE7D22"/>
    <w:rsid w:val="00AF1585"/>
    <w:rsid w:val="00AF1BCC"/>
    <w:rsid w:val="00AF1FB3"/>
    <w:rsid w:val="00AF2C6D"/>
    <w:rsid w:val="00AF3779"/>
    <w:rsid w:val="00AF3D74"/>
    <w:rsid w:val="00AF4911"/>
    <w:rsid w:val="00AF76E8"/>
    <w:rsid w:val="00B001CB"/>
    <w:rsid w:val="00B00991"/>
    <w:rsid w:val="00B009D9"/>
    <w:rsid w:val="00B0273C"/>
    <w:rsid w:val="00B02AC3"/>
    <w:rsid w:val="00B049E7"/>
    <w:rsid w:val="00B05E4A"/>
    <w:rsid w:val="00B06585"/>
    <w:rsid w:val="00B069D6"/>
    <w:rsid w:val="00B10607"/>
    <w:rsid w:val="00B11F92"/>
    <w:rsid w:val="00B1221B"/>
    <w:rsid w:val="00B133F5"/>
    <w:rsid w:val="00B13739"/>
    <w:rsid w:val="00B137B9"/>
    <w:rsid w:val="00B13DE9"/>
    <w:rsid w:val="00B14402"/>
    <w:rsid w:val="00B146A7"/>
    <w:rsid w:val="00B15EB0"/>
    <w:rsid w:val="00B17635"/>
    <w:rsid w:val="00B21965"/>
    <w:rsid w:val="00B2264B"/>
    <w:rsid w:val="00B22AD6"/>
    <w:rsid w:val="00B2346B"/>
    <w:rsid w:val="00B2377B"/>
    <w:rsid w:val="00B24B5F"/>
    <w:rsid w:val="00B25CAA"/>
    <w:rsid w:val="00B25F98"/>
    <w:rsid w:val="00B306C9"/>
    <w:rsid w:val="00B315CD"/>
    <w:rsid w:val="00B31748"/>
    <w:rsid w:val="00B33A9C"/>
    <w:rsid w:val="00B34BFE"/>
    <w:rsid w:val="00B3623D"/>
    <w:rsid w:val="00B36D28"/>
    <w:rsid w:val="00B37980"/>
    <w:rsid w:val="00B37FFB"/>
    <w:rsid w:val="00B4022F"/>
    <w:rsid w:val="00B40AE8"/>
    <w:rsid w:val="00B41B72"/>
    <w:rsid w:val="00B42236"/>
    <w:rsid w:val="00B42328"/>
    <w:rsid w:val="00B43003"/>
    <w:rsid w:val="00B43598"/>
    <w:rsid w:val="00B44F87"/>
    <w:rsid w:val="00B45714"/>
    <w:rsid w:val="00B46C30"/>
    <w:rsid w:val="00B47E20"/>
    <w:rsid w:val="00B506A8"/>
    <w:rsid w:val="00B50CF6"/>
    <w:rsid w:val="00B51137"/>
    <w:rsid w:val="00B537AA"/>
    <w:rsid w:val="00B537EA"/>
    <w:rsid w:val="00B53E11"/>
    <w:rsid w:val="00B5441D"/>
    <w:rsid w:val="00B545DC"/>
    <w:rsid w:val="00B5527D"/>
    <w:rsid w:val="00B56959"/>
    <w:rsid w:val="00B56C67"/>
    <w:rsid w:val="00B57B00"/>
    <w:rsid w:val="00B602A1"/>
    <w:rsid w:val="00B60A35"/>
    <w:rsid w:val="00B61697"/>
    <w:rsid w:val="00B618C1"/>
    <w:rsid w:val="00B61CC6"/>
    <w:rsid w:val="00B65016"/>
    <w:rsid w:val="00B65245"/>
    <w:rsid w:val="00B6551C"/>
    <w:rsid w:val="00B66422"/>
    <w:rsid w:val="00B70A0C"/>
    <w:rsid w:val="00B716A6"/>
    <w:rsid w:val="00B71A2F"/>
    <w:rsid w:val="00B728CE"/>
    <w:rsid w:val="00B734C0"/>
    <w:rsid w:val="00B736AA"/>
    <w:rsid w:val="00B74862"/>
    <w:rsid w:val="00B74E68"/>
    <w:rsid w:val="00B754EA"/>
    <w:rsid w:val="00B76292"/>
    <w:rsid w:val="00B7665E"/>
    <w:rsid w:val="00B767D9"/>
    <w:rsid w:val="00B7796C"/>
    <w:rsid w:val="00B77E80"/>
    <w:rsid w:val="00B8008B"/>
    <w:rsid w:val="00B8032F"/>
    <w:rsid w:val="00B8143D"/>
    <w:rsid w:val="00B818F4"/>
    <w:rsid w:val="00B81CD4"/>
    <w:rsid w:val="00B81CD9"/>
    <w:rsid w:val="00B828E4"/>
    <w:rsid w:val="00B82A45"/>
    <w:rsid w:val="00B841D5"/>
    <w:rsid w:val="00B84979"/>
    <w:rsid w:val="00B873CF"/>
    <w:rsid w:val="00B9009F"/>
    <w:rsid w:val="00B90830"/>
    <w:rsid w:val="00B91D0A"/>
    <w:rsid w:val="00B9222D"/>
    <w:rsid w:val="00B9334E"/>
    <w:rsid w:val="00B962D4"/>
    <w:rsid w:val="00BA03D2"/>
    <w:rsid w:val="00BA0B11"/>
    <w:rsid w:val="00BA2ED0"/>
    <w:rsid w:val="00BA3003"/>
    <w:rsid w:val="00BA366B"/>
    <w:rsid w:val="00BA3BE0"/>
    <w:rsid w:val="00BA4739"/>
    <w:rsid w:val="00BA5368"/>
    <w:rsid w:val="00BA6F4A"/>
    <w:rsid w:val="00BB0566"/>
    <w:rsid w:val="00BB0612"/>
    <w:rsid w:val="00BB10F7"/>
    <w:rsid w:val="00BB1C10"/>
    <w:rsid w:val="00BB20A5"/>
    <w:rsid w:val="00BB30A2"/>
    <w:rsid w:val="00BB310A"/>
    <w:rsid w:val="00BB3AC7"/>
    <w:rsid w:val="00BB3DB6"/>
    <w:rsid w:val="00BB4068"/>
    <w:rsid w:val="00BB4BC1"/>
    <w:rsid w:val="00BB64B9"/>
    <w:rsid w:val="00BB75B2"/>
    <w:rsid w:val="00BB7643"/>
    <w:rsid w:val="00BB7674"/>
    <w:rsid w:val="00BB772D"/>
    <w:rsid w:val="00BC0029"/>
    <w:rsid w:val="00BC0167"/>
    <w:rsid w:val="00BC0C5F"/>
    <w:rsid w:val="00BC23D3"/>
    <w:rsid w:val="00BC2806"/>
    <w:rsid w:val="00BC47F7"/>
    <w:rsid w:val="00BC4D49"/>
    <w:rsid w:val="00BC5324"/>
    <w:rsid w:val="00BC534A"/>
    <w:rsid w:val="00BC552E"/>
    <w:rsid w:val="00BC5ABF"/>
    <w:rsid w:val="00BC6AEE"/>
    <w:rsid w:val="00BC6FB3"/>
    <w:rsid w:val="00BC72AB"/>
    <w:rsid w:val="00BD0178"/>
    <w:rsid w:val="00BD0FDF"/>
    <w:rsid w:val="00BD16C3"/>
    <w:rsid w:val="00BD2894"/>
    <w:rsid w:val="00BD2F51"/>
    <w:rsid w:val="00BD370B"/>
    <w:rsid w:val="00BD442A"/>
    <w:rsid w:val="00BD4453"/>
    <w:rsid w:val="00BD488E"/>
    <w:rsid w:val="00BD6420"/>
    <w:rsid w:val="00BD6BD9"/>
    <w:rsid w:val="00BD7225"/>
    <w:rsid w:val="00BE0745"/>
    <w:rsid w:val="00BE18BD"/>
    <w:rsid w:val="00BE28F1"/>
    <w:rsid w:val="00BE2B5F"/>
    <w:rsid w:val="00BE2EA5"/>
    <w:rsid w:val="00BE2F0D"/>
    <w:rsid w:val="00BE369A"/>
    <w:rsid w:val="00BE3885"/>
    <w:rsid w:val="00BE3E97"/>
    <w:rsid w:val="00BE43C3"/>
    <w:rsid w:val="00BE4EF1"/>
    <w:rsid w:val="00BE56A0"/>
    <w:rsid w:val="00BE5C0F"/>
    <w:rsid w:val="00BF1072"/>
    <w:rsid w:val="00BF32C2"/>
    <w:rsid w:val="00BF3732"/>
    <w:rsid w:val="00BF43B0"/>
    <w:rsid w:val="00BF473F"/>
    <w:rsid w:val="00BF5A4D"/>
    <w:rsid w:val="00BF6912"/>
    <w:rsid w:val="00C001B5"/>
    <w:rsid w:val="00C008F8"/>
    <w:rsid w:val="00C01EDC"/>
    <w:rsid w:val="00C02807"/>
    <w:rsid w:val="00C02E2D"/>
    <w:rsid w:val="00C02FEE"/>
    <w:rsid w:val="00C061BB"/>
    <w:rsid w:val="00C1175D"/>
    <w:rsid w:val="00C12B6D"/>
    <w:rsid w:val="00C12BCE"/>
    <w:rsid w:val="00C14AB5"/>
    <w:rsid w:val="00C14CEB"/>
    <w:rsid w:val="00C15F1E"/>
    <w:rsid w:val="00C200E9"/>
    <w:rsid w:val="00C208A2"/>
    <w:rsid w:val="00C21274"/>
    <w:rsid w:val="00C2167F"/>
    <w:rsid w:val="00C21CE0"/>
    <w:rsid w:val="00C23CE5"/>
    <w:rsid w:val="00C24945"/>
    <w:rsid w:val="00C2554F"/>
    <w:rsid w:val="00C26B35"/>
    <w:rsid w:val="00C30640"/>
    <w:rsid w:val="00C30AC6"/>
    <w:rsid w:val="00C31D52"/>
    <w:rsid w:val="00C31EBC"/>
    <w:rsid w:val="00C320AF"/>
    <w:rsid w:val="00C32424"/>
    <w:rsid w:val="00C341A3"/>
    <w:rsid w:val="00C34562"/>
    <w:rsid w:val="00C35E7E"/>
    <w:rsid w:val="00C35ECA"/>
    <w:rsid w:val="00C368A7"/>
    <w:rsid w:val="00C369CA"/>
    <w:rsid w:val="00C36ADF"/>
    <w:rsid w:val="00C40F6A"/>
    <w:rsid w:val="00C411DD"/>
    <w:rsid w:val="00C41AB9"/>
    <w:rsid w:val="00C41E18"/>
    <w:rsid w:val="00C453D7"/>
    <w:rsid w:val="00C46058"/>
    <w:rsid w:val="00C46156"/>
    <w:rsid w:val="00C47485"/>
    <w:rsid w:val="00C50184"/>
    <w:rsid w:val="00C503A7"/>
    <w:rsid w:val="00C51F2D"/>
    <w:rsid w:val="00C52DCD"/>
    <w:rsid w:val="00C530A8"/>
    <w:rsid w:val="00C54061"/>
    <w:rsid w:val="00C5445C"/>
    <w:rsid w:val="00C550DC"/>
    <w:rsid w:val="00C557AA"/>
    <w:rsid w:val="00C55F80"/>
    <w:rsid w:val="00C56EE9"/>
    <w:rsid w:val="00C5745B"/>
    <w:rsid w:val="00C61481"/>
    <w:rsid w:val="00C615C0"/>
    <w:rsid w:val="00C62401"/>
    <w:rsid w:val="00C62B9C"/>
    <w:rsid w:val="00C63493"/>
    <w:rsid w:val="00C66C09"/>
    <w:rsid w:val="00C716C9"/>
    <w:rsid w:val="00C7321C"/>
    <w:rsid w:val="00C7401F"/>
    <w:rsid w:val="00C74CD9"/>
    <w:rsid w:val="00C75BB5"/>
    <w:rsid w:val="00C75F76"/>
    <w:rsid w:val="00C7738E"/>
    <w:rsid w:val="00C77822"/>
    <w:rsid w:val="00C7787C"/>
    <w:rsid w:val="00C8062F"/>
    <w:rsid w:val="00C81AF0"/>
    <w:rsid w:val="00C81D6D"/>
    <w:rsid w:val="00C82BF7"/>
    <w:rsid w:val="00C83268"/>
    <w:rsid w:val="00C839D2"/>
    <w:rsid w:val="00C83E57"/>
    <w:rsid w:val="00C84569"/>
    <w:rsid w:val="00C84AAE"/>
    <w:rsid w:val="00C84DF0"/>
    <w:rsid w:val="00C85483"/>
    <w:rsid w:val="00C86DC8"/>
    <w:rsid w:val="00C87E1F"/>
    <w:rsid w:val="00C92455"/>
    <w:rsid w:val="00C93E82"/>
    <w:rsid w:val="00C95B5E"/>
    <w:rsid w:val="00C96137"/>
    <w:rsid w:val="00CA0458"/>
    <w:rsid w:val="00CA0740"/>
    <w:rsid w:val="00CA0C78"/>
    <w:rsid w:val="00CA115D"/>
    <w:rsid w:val="00CA1ADE"/>
    <w:rsid w:val="00CA2698"/>
    <w:rsid w:val="00CA2C57"/>
    <w:rsid w:val="00CA32CF"/>
    <w:rsid w:val="00CA5EB1"/>
    <w:rsid w:val="00CA5F01"/>
    <w:rsid w:val="00CA6067"/>
    <w:rsid w:val="00CA627E"/>
    <w:rsid w:val="00CA6ABC"/>
    <w:rsid w:val="00CB2A6F"/>
    <w:rsid w:val="00CB4BB1"/>
    <w:rsid w:val="00CB5609"/>
    <w:rsid w:val="00CB595D"/>
    <w:rsid w:val="00CB69DE"/>
    <w:rsid w:val="00CB746D"/>
    <w:rsid w:val="00CB753B"/>
    <w:rsid w:val="00CB7D8C"/>
    <w:rsid w:val="00CC1A0C"/>
    <w:rsid w:val="00CC2A23"/>
    <w:rsid w:val="00CC3819"/>
    <w:rsid w:val="00CC520D"/>
    <w:rsid w:val="00CC791C"/>
    <w:rsid w:val="00CC7B60"/>
    <w:rsid w:val="00CD0BCC"/>
    <w:rsid w:val="00CD0D03"/>
    <w:rsid w:val="00CD1F0A"/>
    <w:rsid w:val="00CD265D"/>
    <w:rsid w:val="00CD3560"/>
    <w:rsid w:val="00CD394A"/>
    <w:rsid w:val="00CD3C7F"/>
    <w:rsid w:val="00CD49D6"/>
    <w:rsid w:val="00CD5621"/>
    <w:rsid w:val="00CD56F8"/>
    <w:rsid w:val="00CD7C06"/>
    <w:rsid w:val="00CE058A"/>
    <w:rsid w:val="00CE34D1"/>
    <w:rsid w:val="00CE3980"/>
    <w:rsid w:val="00CE53B8"/>
    <w:rsid w:val="00CE5437"/>
    <w:rsid w:val="00CE5B12"/>
    <w:rsid w:val="00CE7217"/>
    <w:rsid w:val="00CF04B8"/>
    <w:rsid w:val="00CF1278"/>
    <w:rsid w:val="00CF1689"/>
    <w:rsid w:val="00CF3B35"/>
    <w:rsid w:val="00CF3DDF"/>
    <w:rsid w:val="00CF4645"/>
    <w:rsid w:val="00CF5DE8"/>
    <w:rsid w:val="00CF7631"/>
    <w:rsid w:val="00CF7AAE"/>
    <w:rsid w:val="00CF7D88"/>
    <w:rsid w:val="00D003CF"/>
    <w:rsid w:val="00D00D5D"/>
    <w:rsid w:val="00D02BA3"/>
    <w:rsid w:val="00D0312E"/>
    <w:rsid w:val="00D036D2"/>
    <w:rsid w:val="00D03B80"/>
    <w:rsid w:val="00D0423B"/>
    <w:rsid w:val="00D04519"/>
    <w:rsid w:val="00D073D5"/>
    <w:rsid w:val="00D07EDB"/>
    <w:rsid w:val="00D104E2"/>
    <w:rsid w:val="00D11C4E"/>
    <w:rsid w:val="00D13F1E"/>
    <w:rsid w:val="00D14226"/>
    <w:rsid w:val="00D16124"/>
    <w:rsid w:val="00D2076F"/>
    <w:rsid w:val="00D2181B"/>
    <w:rsid w:val="00D2267D"/>
    <w:rsid w:val="00D2371B"/>
    <w:rsid w:val="00D238A3"/>
    <w:rsid w:val="00D2649D"/>
    <w:rsid w:val="00D26C46"/>
    <w:rsid w:val="00D2713F"/>
    <w:rsid w:val="00D27CC4"/>
    <w:rsid w:val="00D31853"/>
    <w:rsid w:val="00D319B4"/>
    <w:rsid w:val="00D323AA"/>
    <w:rsid w:val="00D34024"/>
    <w:rsid w:val="00D35363"/>
    <w:rsid w:val="00D3699A"/>
    <w:rsid w:val="00D374D2"/>
    <w:rsid w:val="00D37A18"/>
    <w:rsid w:val="00D41354"/>
    <w:rsid w:val="00D42237"/>
    <w:rsid w:val="00D458EA"/>
    <w:rsid w:val="00D45A75"/>
    <w:rsid w:val="00D45FCA"/>
    <w:rsid w:val="00D47878"/>
    <w:rsid w:val="00D5092F"/>
    <w:rsid w:val="00D50D0D"/>
    <w:rsid w:val="00D50E93"/>
    <w:rsid w:val="00D50F7A"/>
    <w:rsid w:val="00D510B1"/>
    <w:rsid w:val="00D51CB7"/>
    <w:rsid w:val="00D52176"/>
    <w:rsid w:val="00D533D7"/>
    <w:rsid w:val="00D536E0"/>
    <w:rsid w:val="00D53E08"/>
    <w:rsid w:val="00D542CE"/>
    <w:rsid w:val="00D54A46"/>
    <w:rsid w:val="00D54F89"/>
    <w:rsid w:val="00D55542"/>
    <w:rsid w:val="00D559CF"/>
    <w:rsid w:val="00D568C0"/>
    <w:rsid w:val="00D60738"/>
    <w:rsid w:val="00D618E2"/>
    <w:rsid w:val="00D61FA4"/>
    <w:rsid w:val="00D6235B"/>
    <w:rsid w:val="00D62632"/>
    <w:rsid w:val="00D64451"/>
    <w:rsid w:val="00D6509B"/>
    <w:rsid w:val="00D6559E"/>
    <w:rsid w:val="00D67A65"/>
    <w:rsid w:val="00D70CA5"/>
    <w:rsid w:val="00D710C6"/>
    <w:rsid w:val="00D71260"/>
    <w:rsid w:val="00D717B1"/>
    <w:rsid w:val="00D71EA2"/>
    <w:rsid w:val="00D74692"/>
    <w:rsid w:val="00D746A4"/>
    <w:rsid w:val="00D7570E"/>
    <w:rsid w:val="00D75B8B"/>
    <w:rsid w:val="00D76C68"/>
    <w:rsid w:val="00D8016D"/>
    <w:rsid w:val="00D81789"/>
    <w:rsid w:val="00D82035"/>
    <w:rsid w:val="00D82440"/>
    <w:rsid w:val="00D82B57"/>
    <w:rsid w:val="00D833F3"/>
    <w:rsid w:val="00D83A04"/>
    <w:rsid w:val="00D83B0A"/>
    <w:rsid w:val="00D83FB5"/>
    <w:rsid w:val="00D8456C"/>
    <w:rsid w:val="00D85CF0"/>
    <w:rsid w:val="00D86974"/>
    <w:rsid w:val="00D86A44"/>
    <w:rsid w:val="00D90476"/>
    <w:rsid w:val="00D905AA"/>
    <w:rsid w:val="00D90F34"/>
    <w:rsid w:val="00D918BF"/>
    <w:rsid w:val="00D918C9"/>
    <w:rsid w:val="00D91AAA"/>
    <w:rsid w:val="00D91BEF"/>
    <w:rsid w:val="00D91C80"/>
    <w:rsid w:val="00D92609"/>
    <w:rsid w:val="00D92B7C"/>
    <w:rsid w:val="00D9313B"/>
    <w:rsid w:val="00D94594"/>
    <w:rsid w:val="00D947A7"/>
    <w:rsid w:val="00D94947"/>
    <w:rsid w:val="00D95026"/>
    <w:rsid w:val="00D95DF1"/>
    <w:rsid w:val="00D96B44"/>
    <w:rsid w:val="00D96DB3"/>
    <w:rsid w:val="00D96ED3"/>
    <w:rsid w:val="00D9776A"/>
    <w:rsid w:val="00DA1743"/>
    <w:rsid w:val="00DA36EA"/>
    <w:rsid w:val="00DA54F3"/>
    <w:rsid w:val="00DA67AF"/>
    <w:rsid w:val="00DA6BFA"/>
    <w:rsid w:val="00DA7967"/>
    <w:rsid w:val="00DA7B73"/>
    <w:rsid w:val="00DB020E"/>
    <w:rsid w:val="00DB061B"/>
    <w:rsid w:val="00DB0A1C"/>
    <w:rsid w:val="00DB15DE"/>
    <w:rsid w:val="00DB16C4"/>
    <w:rsid w:val="00DB19A3"/>
    <w:rsid w:val="00DB2E1F"/>
    <w:rsid w:val="00DB3262"/>
    <w:rsid w:val="00DB3C20"/>
    <w:rsid w:val="00DB579C"/>
    <w:rsid w:val="00DB5804"/>
    <w:rsid w:val="00DB5FD3"/>
    <w:rsid w:val="00DB7412"/>
    <w:rsid w:val="00DB7981"/>
    <w:rsid w:val="00DC1342"/>
    <w:rsid w:val="00DC1583"/>
    <w:rsid w:val="00DC2782"/>
    <w:rsid w:val="00DC43C1"/>
    <w:rsid w:val="00DC4A05"/>
    <w:rsid w:val="00DC4EAF"/>
    <w:rsid w:val="00DC6031"/>
    <w:rsid w:val="00DC6B6E"/>
    <w:rsid w:val="00DD023E"/>
    <w:rsid w:val="00DD0E62"/>
    <w:rsid w:val="00DD1064"/>
    <w:rsid w:val="00DD19F7"/>
    <w:rsid w:val="00DD37C5"/>
    <w:rsid w:val="00DD3A1C"/>
    <w:rsid w:val="00DD3D89"/>
    <w:rsid w:val="00DD4950"/>
    <w:rsid w:val="00DD4BED"/>
    <w:rsid w:val="00DD4D97"/>
    <w:rsid w:val="00DD54E8"/>
    <w:rsid w:val="00DD5521"/>
    <w:rsid w:val="00DD6156"/>
    <w:rsid w:val="00DD6A16"/>
    <w:rsid w:val="00DE011D"/>
    <w:rsid w:val="00DE03B1"/>
    <w:rsid w:val="00DE20CE"/>
    <w:rsid w:val="00DE5680"/>
    <w:rsid w:val="00DE684D"/>
    <w:rsid w:val="00DE6FE0"/>
    <w:rsid w:val="00DE72F4"/>
    <w:rsid w:val="00DE78DA"/>
    <w:rsid w:val="00DE7B00"/>
    <w:rsid w:val="00DF20BF"/>
    <w:rsid w:val="00DF2291"/>
    <w:rsid w:val="00DF2BC6"/>
    <w:rsid w:val="00DF3137"/>
    <w:rsid w:val="00DF3DD6"/>
    <w:rsid w:val="00DF4482"/>
    <w:rsid w:val="00DF5470"/>
    <w:rsid w:val="00DF5BBF"/>
    <w:rsid w:val="00DF68A1"/>
    <w:rsid w:val="00DF7A2C"/>
    <w:rsid w:val="00E0049E"/>
    <w:rsid w:val="00E005D2"/>
    <w:rsid w:val="00E006B5"/>
    <w:rsid w:val="00E01EFE"/>
    <w:rsid w:val="00E01FDE"/>
    <w:rsid w:val="00E03681"/>
    <w:rsid w:val="00E04857"/>
    <w:rsid w:val="00E04B9C"/>
    <w:rsid w:val="00E05274"/>
    <w:rsid w:val="00E054C1"/>
    <w:rsid w:val="00E0758F"/>
    <w:rsid w:val="00E11DFE"/>
    <w:rsid w:val="00E13628"/>
    <w:rsid w:val="00E13726"/>
    <w:rsid w:val="00E1469D"/>
    <w:rsid w:val="00E14BF2"/>
    <w:rsid w:val="00E152BC"/>
    <w:rsid w:val="00E1573C"/>
    <w:rsid w:val="00E17D97"/>
    <w:rsid w:val="00E218B6"/>
    <w:rsid w:val="00E221FA"/>
    <w:rsid w:val="00E22B47"/>
    <w:rsid w:val="00E23362"/>
    <w:rsid w:val="00E23EF3"/>
    <w:rsid w:val="00E24FB0"/>
    <w:rsid w:val="00E25CE1"/>
    <w:rsid w:val="00E273A7"/>
    <w:rsid w:val="00E27A21"/>
    <w:rsid w:val="00E30321"/>
    <w:rsid w:val="00E31A46"/>
    <w:rsid w:val="00E31ADA"/>
    <w:rsid w:val="00E31E55"/>
    <w:rsid w:val="00E32A4B"/>
    <w:rsid w:val="00E32B0A"/>
    <w:rsid w:val="00E32E32"/>
    <w:rsid w:val="00E3438B"/>
    <w:rsid w:val="00E3470A"/>
    <w:rsid w:val="00E36901"/>
    <w:rsid w:val="00E37973"/>
    <w:rsid w:val="00E37D6C"/>
    <w:rsid w:val="00E37DA8"/>
    <w:rsid w:val="00E37F71"/>
    <w:rsid w:val="00E4117C"/>
    <w:rsid w:val="00E41C78"/>
    <w:rsid w:val="00E42A50"/>
    <w:rsid w:val="00E43C0F"/>
    <w:rsid w:val="00E44467"/>
    <w:rsid w:val="00E44963"/>
    <w:rsid w:val="00E44A14"/>
    <w:rsid w:val="00E4566C"/>
    <w:rsid w:val="00E46977"/>
    <w:rsid w:val="00E46B4B"/>
    <w:rsid w:val="00E50696"/>
    <w:rsid w:val="00E50801"/>
    <w:rsid w:val="00E51BBB"/>
    <w:rsid w:val="00E51CA8"/>
    <w:rsid w:val="00E52982"/>
    <w:rsid w:val="00E52D43"/>
    <w:rsid w:val="00E53E07"/>
    <w:rsid w:val="00E54E84"/>
    <w:rsid w:val="00E5556E"/>
    <w:rsid w:val="00E55D33"/>
    <w:rsid w:val="00E5796C"/>
    <w:rsid w:val="00E57A2E"/>
    <w:rsid w:val="00E60B62"/>
    <w:rsid w:val="00E62F35"/>
    <w:rsid w:val="00E631DE"/>
    <w:rsid w:val="00E6323D"/>
    <w:rsid w:val="00E634DF"/>
    <w:rsid w:val="00E63BB6"/>
    <w:rsid w:val="00E6474E"/>
    <w:rsid w:val="00E67373"/>
    <w:rsid w:val="00E67BE3"/>
    <w:rsid w:val="00E67C39"/>
    <w:rsid w:val="00E70802"/>
    <w:rsid w:val="00E71F3F"/>
    <w:rsid w:val="00E753FF"/>
    <w:rsid w:val="00E757F1"/>
    <w:rsid w:val="00E77125"/>
    <w:rsid w:val="00E803F3"/>
    <w:rsid w:val="00E80459"/>
    <w:rsid w:val="00E81714"/>
    <w:rsid w:val="00E81BCF"/>
    <w:rsid w:val="00E82A13"/>
    <w:rsid w:val="00E82B8B"/>
    <w:rsid w:val="00E82E30"/>
    <w:rsid w:val="00E831C9"/>
    <w:rsid w:val="00E84436"/>
    <w:rsid w:val="00E8599B"/>
    <w:rsid w:val="00E859FC"/>
    <w:rsid w:val="00E86B1A"/>
    <w:rsid w:val="00E87774"/>
    <w:rsid w:val="00E87E1A"/>
    <w:rsid w:val="00E905FB"/>
    <w:rsid w:val="00E908C3"/>
    <w:rsid w:val="00E90E4A"/>
    <w:rsid w:val="00E91AAE"/>
    <w:rsid w:val="00E91E5E"/>
    <w:rsid w:val="00E92502"/>
    <w:rsid w:val="00E934B4"/>
    <w:rsid w:val="00E93B95"/>
    <w:rsid w:val="00E944E1"/>
    <w:rsid w:val="00E94C30"/>
    <w:rsid w:val="00E9552C"/>
    <w:rsid w:val="00E97434"/>
    <w:rsid w:val="00EA0245"/>
    <w:rsid w:val="00EA08C4"/>
    <w:rsid w:val="00EA0974"/>
    <w:rsid w:val="00EA0F85"/>
    <w:rsid w:val="00EA1C88"/>
    <w:rsid w:val="00EA2360"/>
    <w:rsid w:val="00EA2E8B"/>
    <w:rsid w:val="00EA3325"/>
    <w:rsid w:val="00EA4480"/>
    <w:rsid w:val="00EA4AA6"/>
    <w:rsid w:val="00EA4FB3"/>
    <w:rsid w:val="00EA6D52"/>
    <w:rsid w:val="00EA7536"/>
    <w:rsid w:val="00EA76EB"/>
    <w:rsid w:val="00EA7EE1"/>
    <w:rsid w:val="00EB1C93"/>
    <w:rsid w:val="00EB1D94"/>
    <w:rsid w:val="00EB2968"/>
    <w:rsid w:val="00EB2F10"/>
    <w:rsid w:val="00EB4AE7"/>
    <w:rsid w:val="00EB4F57"/>
    <w:rsid w:val="00EB538D"/>
    <w:rsid w:val="00EB6086"/>
    <w:rsid w:val="00EB665F"/>
    <w:rsid w:val="00EB6766"/>
    <w:rsid w:val="00EC05BC"/>
    <w:rsid w:val="00EC1C17"/>
    <w:rsid w:val="00EC2D31"/>
    <w:rsid w:val="00EC2D46"/>
    <w:rsid w:val="00EC2F98"/>
    <w:rsid w:val="00EC51CA"/>
    <w:rsid w:val="00EC745B"/>
    <w:rsid w:val="00ED0421"/>
    <w:rsid w:val="00ED0D81"/>
    <w:rsid w:val="00ED1236"/>
    <w:rsid w:val="00ED1FB5"/>
    <w:rsid w:val="00ED207F"/>
    <w:rsid w:val="00ED269A"/>
    <w:rsid w:val="00ED2716"/>
    <w:rsid w:val="00ED292E"/>
    <w:rsid w:val="00ED45B4"/>
    <w:rsid w:val="00ED5D03"/>
    <w:rsid w:val="00ED6683"/>
    <w:rsid w:val="00ED7472"/>
    <w:rsid w:val="00ED77D5"/>
    <w:rsid w:val="00ED79C3"/>
    <w:rsid w:val="00EE014F"/>
    <w:rsid w:val="00EE02CC"/>
    <w:rsid w:val="00EE0CC6"/>
    <w:rsid w:val="00EE1697"/>
    <w:rsid w:val="00EE1A5B"/>
    <w:rsid w:val="00EE205B"/>
    <w:rsid w:val="00EE5057"/>
    <w:rsid w:val="00EE5518"/>
    <w:rsid w:val="00EE7BE6"/>
    <w:rsid w:val="00EE7E2A"/>
    <w:rsid w:val="00EF0B4B"/>
    <w:rsid w:val="00EF1648"/>
    <w:rsid w:val="00EF1893"/>
    <w:rsid w:val="00EF1E61"/>
    <w:rsid w:val="00EF1F3C"/>
    <w:rsid w:val="00EF301B"/>
    <w:rsid w:val="00EF39DA"/>
    <w:rsid w:val="00EF3DF0"/>
    <w:rsid w:val="00EF4593"/>
    <w:rsid w:val="00EF47B9"/>
    <w:rsid w:val="00EF55B7"/>
    <w:rsid w:val="00EF655A"/>
    <w:rsid w:val="00EF700F"/>
    <w:rsid w:val="00EF738C"/>
    <w:rsid w:val="00EF7F59"/>
    <w:rsid w:val="00F00EBD"/>
    <w:rsid w:val="00F01660"/>
    <w:rsid w:val="00F016EF"/>
    <w:rsid w:val="00F01A4A"/>
    <w:rsid w:val="00F020E5"/>
    <w:rsid w:val="00F0412E"/>
    <w:rsid w:val="00F05B03"/>
    <w:rsid w:val="00F07395"/>
    <w:rsid w:val="00F07760"/>
    <w:rsid w:val="00F12C4F"/>
    <w:rsid w:val="00F1484A"/>
    <w:rsid w:val="00F14B9B"/>
    <w:rsid w:val="00F15DD5"/>
    <w:rsid w:val="00F1778F"/>
    <w:rsid w:val="00F20305"/>
    <w:rsid w:val="00F22AF0"/>
    <w:rsid w:val="00F244FD"/>
    <w:rsid w:val="00F24D90"/>
    <w:rsid w:val="00F259F4"/>
    <w:rsid w:val="00F31EED"/>
    <w:rsid w:val="00F32FF8"/>
    <w:rsid w:val="00F33676"/>
    <w:rsid w:val="00F33F3D"/>
    <w:rsid w:val="00F344C2"/>
    <w:rsid w:val="00F34EA4"/>
    <w:rsid w:val="00F3564C"/>
    <w:rsid w:val="00F3595B"/>
    <w:rsid w:val="00F35AA6"/>
    <w:rsid w:val="00F3728D"/>
    <w:rsid w:val="00F37F82"/>
    <w:rsid w:val="00F4054F"/>
    <w:rsid w:val="00F41612"/>
    <w:rsid w:val="00F41614"/>
    <w:rsid w:val="00F4196D"/>
    <w:rsid w:val="00F4200A"/>
    <w:rsid w:val="00F4341D"/>
    <w:rsid w:val="00F4420E"/>
    <w:rsid w:val="00F44680"/>
    <w:rsid w:val="00F454FF"/>
    <w:rsid w:val="00F46778"/>
    <w:rsid w:val="00F46B86"/>
    <w:rsid w:val="00F46C81"/>
    <w:rsid w:val="00F47686"/>
    <w:rsid w:val="00F500B8"/>
    <w:rsid w:val="00F502D8"/>
    <w:rsid w:val="00F509AE"/>
    <w:rsid w:val="00F51021"/>
    <w:rsid w:val="00F51614"/>
    <w:rsid w:val="00F51910"/>
    <w:rsid w:val="00F53465"/>
    <w:rsid w:val="00F53AA3"/>
    <w:rsid w:val="00F54426"/>
    <w:rsid w:val="00F57F49"/>
    <w:rsid w:val="00F60297"/>
    <w:rsid w:val="00F60A30"/>
    <w:rsid w:val="00F6194E"/>
    <w:rsid w:val="00F620AD"/>
    <w:rsid w:val="00F62135"/>
    <w:rsid w:val="00F6260A"/>
    <w:rsid w:val="00F62BD6"/>
    <w:rsid w:val="00F63D6A"/>
    <w:rsid w:val="00F63F7E"/>
    <w:rsid w:val="00F650B7"/>
    <w:rsid w:val="00F65440"/>
    <w:rsid w:val="00F656B6"/>
    <w:rsid w:val="00F65D41"/>
    <w:rsid w:val="00F66416"/>
    <w:rsid w:val="00F66DF1"/>
    <w:rsid w:val="00F6739B"/>
    <w:rsid w:val="00F67467"/>
    <w:rsid w:val="00F67D55"/>
    <w:rsid w:val="00F70D1A"/>
    <w:rsid w:val="00F71355"/>
    <w:rsid w:val="00F72D1B"/>
    <w:rsid w:val="00F744D7"/>
    <w:rsid w:val="00F74CAB"/>
    <w:rsid w:val="00F756D5"/>
    <w:rsid w:val="00F756DF"/>
    <w:rsid w:val="00F80334"/>
    <w:rsid w:val="00F80E55"/>
    <w:rsid w:val="00F81067"/>
    <w:rsid w:val="00F81637"/>
    <w:rsid w:val="00F81DBE"/>
    <w:rsid w:val="00F82002"/>
    <w:rsid w:val="00F82598"/>
    <w:rsid w:val="00F82AE2"/>
    <w:rsid w:val="00F8410F"/>
    <w:rsid w:val="00F84288"/>
    <w:rsid w:val="00F85244"/>
    <w:rsid w:val="00F8678B"/>
    <w:rsid w:val="00F8796C"/>
    <w:rsid w:val="00F902BC"/>
    <w:rsid w:val="00F91D8A"/>
    <w:rsid w:val="00F92293"/>
    <w:rsid w:val="00F93212"/>
    <w:rsid w:val="00F93B04"/>
    <w:rsid w:val="00F9505D"/>
    <w:rsid w:val="00F9518A"/>
    <w:rsid w:val="00F96588"/>
    <w:rsid w:val="00F96D5F"/>
    <w:rsid w:val="00F97016"/>
    <w:rsid w:val="00F97C11"/>
    <w:rsid w:val="00F97F6A"/>
    <w:rsid w:val="00FA0AFC"/>
    <w:rsid w:val="00FA1DB5"/>
    <w:rsid w:val="00FA33AB"/>
    <w:rsid w:val="00FA3709"/>
    <w:rsid w:val="00FA3C0F"/>
    <w:rsid w:val="00FA5645"/>
    <w:rsid w:val="00FA575B"/>
    <w:rsid w:val="00FA584B"/>
    <w:rsid w:val="00FA59CC"/>
    <w:rsid w:val="00FA7275"/>
    <w:rsid w:val="00FA7360"/>
    <w:rsid w:val="00FA75DF"/>
    <w:rsid w:val="00FA775E"/>
    <w:rsid w:val="00FB1944"/>
    <w:rsid w:val="00FB1987"/>
    <w:rsid w:val="00FB28EE"/>
    <w:rsid w:val="00FB34AE"/>
    <w:rsid w:val="00FB37A2"/>
    <w:rsid w:val="00FB5841"/>
    <w:rsid w:val="00FB5E8F"/>
    <w:rsid w:val="00FC08C2"/>
    <w:rsid w:val="00FC0AED"/>
    <w:rsid w:val="00FC0DDA"/>
    <w:rsid w:val="00FC1001"/>
    <w:rsid w:val="00FC1029"/>
    <w:rsid w:val="00FC32BC"/>
    <w:rsid w:val="00FC4134"/>
    <w:rsid w:val="00FC427F"/>
    <w:rsid w:val="00FC4517"/>
    <w:rsid w:val="00FC4965"/>
    <w:rsid w:val="00FC4ADE"/>
    <w:rsid w:val="00FC60B7"/>
    <w:rsid w:val="00FC7970"/>
    <w:rsid w:val="00FC7FA7"/>
    <w:rsid w:val="00FD0464"/>
    <w:rsid w:val="00FD0610"/>
    <w:rsid w:val="00FD0699"/>
    <w:rsid w:val="00FD3144"/>
    <w:rsid w:val="00FE070D"/>
    <w:rsid w:val="00FE0919"/>
    <w:rsid w:val="00FE2D9E"/>
    <w:rsid w:val="00FE2FCF"/>
    <w:rsid w:val="00FE31A2"/>
    <w:rsid w:val="00FE45E5"/>
    <w:rsid w:val="00FE7D62"/>
    <w:rsid w:val="00FF0B65"/>
    <w:rsid w:val="00FF2141"/>
    <w:rsid w:val="00FF32E5"/>
    <w:rsid w:val="00FF34D1"/>
    <w:rsid w:val="00FF51B0"/>
    <w:rsid w:val="00FF643F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docId w15:val="{6776EED3-0539-3F45-BDBD-86D31290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  <w:style w:type="paragraph" w:styleId="Reviso">
    <w:name w:val="Revision"/>
    <w:hidden/>
    <w:uiPriority w:val="99"/>
    <w:semiHidden/>
    <w:rsid w:val="009942B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A4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AA6"/>
  </w:style>
  <w:style w:type="paragraph" w:styleId="Rodap">
    <w:name w:val="footer"/>
    <w:basedOn w:val="Normal"/>
    <w:link w:val="RodapChar"/>
    <w:uiPriority w:val="99"/>
    <w:unhideWhenUsed/>
    <w:rsid w:val="00EA4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AA6"/>
  </w:style>
  <w:style w:type="paragraph" w:customStyle="1" w:styleId="xmsonormal">
    <w:name w:val="x_msonormal"/>
    <w:basedOn w:val="Normal"/>
    <w:rsid w:val="0066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25152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8A356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6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0D81-38C3-49D8-B500-CC776D4D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8507</Words>
  <Characters>45941</Characters>
  <Application>Microsoft Office Word</Application>
  <DocSecurity>0</DocSecurity>
  <Lines>382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Gastao Giometti</cp:lastModifiedBy>
  <cp:revision>2</cp:revision>
  <cp:lastPrinted>2024-03-11T20:11:00Z</cp:lastPrinted>
  <dcterms:created xsi:type="dcterms:W3CDTF">2024-10-10T13:33:00Z</dcterms:created>
  <dcterms:modified xsi:type="dcterms:W3CDTF">2024-10-10T13:33:00Z</dcterms:modified>
</cp:coreProperties>
</file>