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200B3" w14:textId="41C0E320" w:rsidR="00C21CE0" w:rsidRPr="00D21870" w:rsidRDefault="00C21CE0" w:rsidP="001E3E6F">
      <w:pPr>
        <w:spacing w:after="0" w:line="240" w:lineRule="auto"/>
        <w:jc w:val="both"/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>MINISTÉRIO DA AGRICULTURA</w:t>
      </w:r>
      <w:r w:rsidR="00674876" w:rsidRPr="00D21870">
        <w:rPr>
          <w:rFonts w:cstheme="minorHAnsi"/>
          <w:b/>
          <w:bCs/>
        </w:rPr>
        <w:t xml:space="preserve"> E </w:t>
      </w:r>
      <w:r w:rsidRPr="00D21870">
        <w:rPr>
          <w:rFonts w:cstheme="minorHAnsi"/>
          <w:b/>
          <w:bCs/>
        </w:rPr>
        <w:t>PECUÁRIA</w:t>
      </w:r>
    </w:p>
    <w:p w14:paraId="3881A141" w14:textId="3FB3C008" w:rsidR="00C21CE0" w:rsidRPr="00D21870" w:rsidRDefault="00C21CE0" w:rsidP="00BA3003">
      <w:pPr>
        <w:spacing w:after="0" w:line="240" w:lineRule="auto"/>
        <w:jc w:val="both"/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>Secretaria de Comércio e Relações Internacionais</w:t>
      </w:r>
    </w:p>
    <w:p w14:paraId="68E3B5C0" w14:textId="6D53AD58" w:rsidR="00C21CE0" w:rsidRPr="00D21870" w:rsidRDefault="00C21CE0" w:rsidP="00BA3003">
      <w:pPr>
        <w:spacing w:after="0" w:line="240" w:lineRule="auto"/>
        <w:jc w:val="both"/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 xml:space="preserve">Departamento de </w:t>
      </w:r>
      <w:r w:rsidR="00290AFF" w:rsidRPr="00D21870">
        <w:rPr>
          <w:rFonts w:cstheme="minorHAnsi"/>
          <w:b/>
          <w:bCs/>
        </w:rPr>
        <w:t>Negociações e Análises Comerciais</w:t>
      </w:r>
    </w:p>
    <w:p w14:paraId="3E2DECB3" w14:textId="4EEDD2B7" w:rsidR="00290AFF" w:rsidRPr="00D21870" w:rsidRDefault="00290AFF" w:rsidP="00BA3003">
      <w:pPr>
        <w:spacing w:after="0" w:line="240" w:lineRule="auto"/>
        <w:jc w:val="both"/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>Coordenação-Geral de Estatística e Análise Comercial</w:t>
      </w:r>
    </w:p>
    <w:p w14:paraId="6014065D" w14:textId="77777777" w:rsidR="00C21CE0" w:rsidRPr="00D21870" w:rsidRDefault="00C21CE0" w:rsidP="00BA3003">
      <w:pPr>
        <w:jc w:val="both"/>
        <w:rPr>
          <w:rFonts w:cstheme="minorHAnsi"/>
        </w:rPr>
      </w:pPr>
    </w:p>
    <w:p w14:paraId="7B4C9DFA" w14:textId="2403EAFE" w:rsidR="00692A0D" w:rsidRPr="00D21870" w:rsidRDefault="009A094C" w:rsidP="00EA2E8B">
      <w:pPr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 xml:space="preserve">BALANÇA COMERCIAL DO AGRONEGÓCIO – </w:t>
      </w:r>
      <w:r w:rsidR="00250584" w:rsidRPr="00D21870">
        <w:rPr>
          <w:rFonts w:cstheme="minorHAnsi"/>
          <w:b/>
          <w:bCs/>
        </w:rPr>
        <w:t>OUTUBRO</w:t>
      </w:r>
      <w:r w:rsidRPr="00D21870">
        <w:rPr>
          <w:rFonts w:cstheme="minorHAnsi"/>
          <w:b/>
          <w:bCs/>
        </w:rPr>
        <w:t>/</w:t>
      </w:r>
      <w:r w:rsidR="00830FA5" w:rsidRPr="00D21870">
        <w:rPr>
          <w:rFonts w:cstheme="minorHAnsi"/>
          <w:b/>
          <w:bCs/>
        </w:rPr>
        <w:t>2024</w:t>
      </w:r>
    </w:p>
    <w:p w14:paraId="0136964A" w14:textId="77777777" w:rsidR="009A094C" w:rsidRPr="00D21870" w:rsidRDefault="009A094C" w:rsidP="00BA3003">
      <w:pPr>
        <w:jc w:val="both"/>
        <w:rPr>
          <w:rFonts w:cstheme="minorHAnsi"/>
          <w:b/>
          <w:bCs/>
        </w:rPr>
      </w:pPr>
    </w:p>
    <w:p w14:paraId="461D5BD2" w14:textId="062E2A1A" w:rsidR="00C21CE0" w:rsidRPr="00D21870" w:rsidRDefault="0018420A" w:rsidP="00BA3003">
      <w:pPr>
        <w:jc w:val="both"/>
        <w:rPr>
          <w:rFonts w:cstheme="minorHAnsi"/>
        </w:rPr>
      </w:pPr>
      <w:r w:rsidRPr="00D21870">
        <w:rPr>
          <w:rFonts w:cstheme="minorHAnsi"/>
          <w:noProof/>
        </w:rPr>
        <w:drawing>
          <wp:inline distT="0" distB="0" distL="0" distR="0" wp14:anchorId="3411DEF8" wp14:editId="0F9F9D3C">
            <wp:extent cx="6188710" cy="2809875"/>
            <wp:effectExtent l="0" t="0" r="2540" b="9525"/>
            <wp:docPr id="375792614" name="Imagem 1" descr="Uma imagem contendo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92614" name="Imagem 1" descr="Uma imagem contendo Diagrama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9113" w14:textId="252C5217" w:rsidR="001B31E4" w:rsidRPr="00D21870" w:rsidRDefault="001B31E4" w:rsidP="00BA3003">
      <w:pPr>
        <w:jc w:val="both"/>
        <w:rPr>
          <w:rFonts w:cstheme="minorHAnsi"/>
          <w:b/>
          <w:bCs/>
        </w:rPr>
      </w:pPr>
    </w:p>
    <w:p w14:paraId="276506CD" w14:textId="248E7009" w:rsidR="00C21CE0" w:rsidRPr="00D21870" w:rsidRDefault="00C21CE0" w:rsidP="00BA3003">
      <w:pPr>
        <w:jc w:val="both"/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 xml:space="preserve">I – Resultados do mês (comparativo </w:t>
      </w:r>
      <w:r w:rsidR="00250584" w:rsidRPr="00D21870">
        <w:rPr>
          <w:rFonts w:cstheme="minorHAnsi"/>
          <w:b/>
          <w:bCs/>
        </w:rPr>
        <w:t>Outubro</w:t>
      </w:r>
      <w:r w:rsidRPr="00D21870">
        <w:rPr>
          <w:rFonts w:cstheme="minorHAnsi"/>
          <w:b/>
          <w:bCs/>
        </w:rPr>
        <w:t>/</w:t>
      </w:r>
      <w:r w:rsidR="00830FA5" w:rsidRPr="00D21870">
        <w:rPr>
          <w:rFonts w:cstheme="minorHAnsi"/>
          <w:b/>
          <w:bCs/>
        </w:rPr>
        <w:t>2024</w:t>
      </w:r>
      <w:r w:rsidRPr="00D21870">
        <w:rPr>
          <w:rFonts w:cstheme="minorHAnsi"/>
          <w:b/>
          <w:bCs/>
        </w:rPr>
        <w:t xml:space="preserve"> – </w:t>
      </w:r>
      <w:r w:rsidR="00250584" w:rsidRPr="00D21870">
        <w:rPr>
          <w:rFonts w:cstheme="minorHAnsi"/>
          <w:b/>
          <w:bCs/>
        </w:rPr>
        <w:t>Outubro</w:t>
      </w:r>
      <w:r w:rsidRPr="00D21870">
        <w:rPr>
          <w:rFonts w:cstheme="minorHAnsi"/>
          <w:b/>
          <w:bCs/>
        </w:rPr>
        <w:t>/</w:t>
      </w:r>
      <w:r w:rsidR="00830FA5" w:rsidRPr="00D21870">
        <w:rPr>
          <w:rFonts w:cstheme="minorHAnsi"/>
          <w:b/>
          <w:bCs/>
        </w:rPr>
        <w:t>2023</w:t>
      </w:r>
      <w:r w:rsidRPr="00D21870">
        <w:rPr>
          <w:rFonts w:cstheme="minorHAnsi"/>
          <w:b/>
          <w:bCs/>
        </w:rPr>
        <w:t>)</w:t>
      </w:r>
    </w:p>
    <w:p w14:paraId="70D55982" w14:textId="244F5A20" w:rsidR="00A1450A" w:rsidRPr="003671C0" w:rsidRDefault="00A1450A" w:rsidP="00A1450A">
      <w:pPr>
        <w:jc w:val="both"/>
      </w:pPr>
      <w:r w:rsidRPr="003671C0">
        <w:t xml:space="preserve">Nesse mês de outubro de 2024, as exportações do agronegócio bateram recorde para o período, atingindo o valor de US$ 14,27 </w:t>
      </w:r>
      <w:r w:rsidR="00494E08">
        <w:t>b</w:t>
      </w:r>
      <w:r w:rsidRPr="003671C0">
        <w:t xml:space="preserve">ilhões. O montante significou um crescimento de 6,2% em comparação com os US$ 13,43 bilhões comercializados em outubro de 2023. O incremento das vendas externas ocorreu devido ao aumento do índice de </w:t>
      </w:r>
      <w:r w:rsidRPr="003671C0">
        <w:rPr>
          <w:i/>
          <w:iCs/>
        </w:rPr>
        <w:t xml:space="preserve">quantum </w:t>
      </w:r>
      <w:r w:rsidRPr="003671C0">
        <w:t xml:space="preserve">das exportações (+3,7%) e, também, do índice de preço (+2,5%). </w:t>
      </w:r>
    </w:p>
    <w:p w14:paraId="43D7D0F4" w14:textId="77777777" w:rsidR="00A1450A" w:rsidRPr="003671C0" w:rsidRDefault="00A1450A" w:rsidP="00A1450A">
      <w:pPr>
        <w:jc w:val="both"/>
      </w:pPr>
      <w:r w:rsidRPr="003671C0">
        <w:t xml:space="preserve">Quanto aos preços das exportações, as vendas externas do agronegócio ainda são afetadas pela queda nos preços dos grãos exportados, principalmente, da soja em grãos (-18,3%) e do milho (-12,3%). Estas reduções foram, todavia, compensadas pelo crescimento dos preços médios de exportações das carnes (+9,5%), celulose (+40,0%), café verde (+45,3%), dentre os principais produtos exportados. </w:t>
      </w:r>
    </w:p>
    <w:p w14:paraId="4977FCE1" w14:textId="77777777" w:rsidR="00A1450A" w:rsidRPr="003671C0" w:rsidRDefault="00A1450A" w:rsidP="00A1450A">
      <w:pPr>
        <w:jc w:val="both"/>
      </w:pPr>
      <w:r w:rsidRPr="003671C0">
        <w:t>É interessante observar que o índice de preço dos alimentos do Banco Mundial subiu pelo segundo mês consecutivo (+1,4%), após alguns meses de queda. No acumulado do ano, porém, há uma queda de 5,1% no índice apurado pelo banco. Há, entretanto, uma diferença em relação ao índice de preço apurado nas exportações do agronegócio brasileiro, pois o peso dos grãos, óleos e frutas é maior no caso do índice do Banco Mundial.</w:t>
      </w:r>
      <w:r w:rsidRPr="003671C0">
        <w:rPr>
          <w:rStyle w:val="Refdenotaderodap"/>
        </w:rPr>
        <w:footnoteReference w:id="1"/>
      </w:r>
      <w:r w:rsidRPr="003671C0">
        <w:t xml:space="preserve"> Já no caso do agronegócio brasileiro, há produtos como a celulose, que apresentou expressiva alta de preços nos últimos doze meses, sem falar nos preços do café, considerado no Banco Mundial no índice bebidas, dentro da agricultura, mas fora de alimentos.</w:t>
      </w:r>
    </w:p>
    <w:p w14:paraId="1B2D0E38" w14:textId="77777777" w:rsidR="00A1450A" w:rsidRPr="003671C0" w:rsidRDefault="00A1450A" w:rsidP="00A1450A">
      <w:pPr>
        <w:jc w:val="both"/>
      </w:pPr>
      <w:r w:rsidRPr="003671C0">
        <w:lastRenderedPageBreak/>
        <w:t>Em relação à quantidade exportada, houve queda no volume embarcado de grãos, principalmente de milho (- 2,04 milhões de toneladas) e soja em grãos (-889,90 mil toneladas)</w:t>
      </w:r>
      <w:r w:rsidRPr="003671C0">
        <w:rPr>
          <w:rStyle w:val="Refdenotaderodap"/>
        </w:rPr>
        <w:footnoteReference w:id="2"/>
      </w:r>
      <w:r w:rsidRPr="003671C0">
        <w:t xml:space="preserve">. Por outro lado, houve incremento no volume exportado de inúmeros produtos: açúcar de cana em bruto (+ 1,00 milhão de toneladas), farelo de soja (+ 452,56 mil toneladas), celulose (+ 423,43 mil toneladas), carnes (+ 190,67 mil toneladas). </w:t>
      </w:r>
    </w:p>
    <w:p w14:paraId="2A8742F3" w14:textId="77777777" w:rsidR="00A1450A" w:rsidRPr="003671C0" w:rsidRDefault="00A1450A" w:rsidP="00A1450A">
      <w:pPr>
        <w:jc w:val="both"/>
      </w:pPr>
      <w:r w:rsidRPr="003671C0">
        <w:t>As importações de produtos agropecuários subiram de US$ 1,37 bilhão em outubro de 2023 para US$ 1,77 bilhão em outubro de 2024 (+29,0%). O valor foi recorde e ocorreu em função da elevação nas aquisições de diversos produtos, como, por exemplo, o trigo (US$ 136,77 milhões; +68,9%) e o óleo de palma (US$ 50,35 milhões; +133,6%). Ainda no setor, houve aquisições de inúmeros insumos necessários à produção agropecuária brasileira: fertilizantes (US$ 1,51 bilhão; +11,9%); defensivos (US$ 727,60 milhões; +24,6%); nutrição animal (US$ 270,44 milhões; +26,2%).</w:t>
      </w:r>
      <w:r w:rsidRPr="003671C0">
        <w:rPr>
          <w:rStyle w:val="Refdenotaderodap"/>
        </w:rPr>
        <w:footnoteReference w:id="3"/>
      </w:r>
    </w:p>
    <w:p w14:paraId="6C6F1A86" w14:textId="3DFE87ED" w:rsidR="00F15DD5" w:rsidRPr="00D21870" w:rsidRDefault="00F15DD5" w:rsidP="00F15DD5">
      <w:pPr>
        <w:jc w:val="both"/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>I.a – Setores do Agronegócio</w:t>
      </w:r>
    </w:p>
    <w:p w14:paraId="5EFC1311" w14:textId="77777777" w:rsidR="00A1450A" w:rsidRPr="003671C0" w:rsidRDefault="00A1450A" w:rsidP="00A1450A">
      <w:pPr>
        <w:jc w:val="both"/>
      </w:pPr>
      <w:r w:rsidRPr="003671C0">
        <w:t xml:space="preserve">Os seis principais setores exportadores do agronegócio brasileiro exportaram US$ 11,80 bilhões em outubro de 2024. O valor correspondeu a 82,7% do total exportado pelo Brasil em produto do setor. No mesmo mês de outubro de 2023, os mesmos setores participaram com 84,6% do valor total exportado. A queda nas exportações de soja em grãos e milho, em conjunto, foi de US$ 1,55 bilhão. Esta redução nas vendas externas foi compensada pela elevação nos embarques de quatro setores: Carnes (+ US$ 729,75 milhões); Café (+ US$ 529,84 milhões); Produtos Florestais (+ US$ 491,58 milhões); e Complexo Sucroalcooleiro (+ US$ 209,84 milhões). O crescimento das exportações desses quatro setores foi, de forma agregada, de US$ 1,96 bilhão, suplantando, dessa forma, a queda nas vendas externas dos grãos. Faz-se abaixo a análise desses seis principais setores exportadores do agronegócio de outubro de 2024. </w:t>
      </w:r>
    </w:p>
    <w:p w14:paraId="07746119" w14:textId="77777777" w:rsidR="00A1450A" w:rsidRPr="003671C0" w:rsidRDefault="00A1450A" w:rsidP="00A1450A">
      <w:pPr>
        <w:jc w:val="both"/>
      </w:pPr>
      <w:r w:rsidRPr="003671C0">
        <w:t>As vendas externas do complexo soja diminuíram de US$ 3,93 bilhões em outubro de 2023 para US$ 3,03 bilhões em outubro de 2024 (-22,8%) ou - US$ 895,88 milhões em valores absolutos. Esse resultado ocorreu, principalmente, em função da diminuição das exportações de soja em grãos (-31,3%), seja em função da safra menor</w:t>
      </w:r>
      <w:r w:rsidRPr="003671C0">
        <w:rPr>
          <w:rStyle w:val="Refdenotaderodap"/>
        </w:rPr>
        <w:footnoteReference w:id="4"/>
      </w:r>
      <w:r w:rsidRPr="003671C0">
        <w:t xml:space="preserve"> ou devido à queda nos preços médios de exportação (-18,3%). A China continua adquirindo cerca de três quartas partes do volume exportado pelo Brasil de soja em grãos, com aquisições de US$ 1,51 bilhão (-41,3%) ou o equivalente 3,52 milhões de toneladas (-28,1%). Outros quatro mercados importaram mais de 100 mil toneladas de soja brasileira: Tailândia (US$ 153,29 milhões; +97,0%; ou 365,39 mil toneladas; +148,4%); Espanha (US$ 119,74 milhões; +774,8%; ou 283,08 mil toneladas; +922,0%); Rússia (US$ 86,98 milhões; +177,7%; ou 199,32 mil toneladas; +252,2%); e Irã (US$ 72,05 milhões; +125,8%; ou 163,43 mil toneladas; +148,7%). </w:t>
      </w:r>
    </w:p>
    <w:p w14:paraId="16BDC178" w14:textId="77777777" w:rsidR="00A1450A" w:rsidRPr="003671C0" w:rsidRDefault="00A1450A" w:rsidP="00A1450A">
      <w:pPr>
        <w:jc w:val="both"/>
      </w:pPr>
      <w:r w:rsidRPr="003671C0">
        <w:t xml:space="preserve">Os embarques de farelo de soja e óleo de soja compensaram em parte a queda nas vendas externas da soja em grãos, com US$ 917,29 milhões (+0,7%) e US$ 100,01 milhões (+17,7%), respectivamente. Os maiores importadores de farelo de soja brasileiro em outubro de 2024 foram: Indonésia (US$ 140,58 milhões; -30,0%); Países Baixos (US$ 104,15 milhões; +323,3%); França (US$ 93,28 milhões; -12,0%); Alemanha (US$ 85,98 </w:t>
      </w:r>
      <w:r w:rsidRPr="003671C0">
        <w:lastRenderedPageBreak/>
        <w:t xml:space="preserve">milhões; +12,3%); Irã (US$ 79,89 milhões; +28,3%).  No caso do óleo de soja em bruto, as aquisições foram concentradas na Índia, que adquiriu US$ 69,55 milhões (+2.235,1%). </w:t>
      </w:r>
    </w:p>
    <w:p w14:paraId="08B3D3B7" w14:textId="77777777" w:rsidR="00A1450A" w:rsidRPr="003671C0" w:rsidRDefault="00A1450A" w:rsidP="00A1450A">
      <w:pPr>
        <w:jc w:val="both"/>
      </w:pPr>
      <w:r w:rsidRPr="003671C0">
        <w:t xml:space="preserve">Outro setor que apresentou queda nas vendas externas foi o de cereais, farinhas e preparações, com embarques de US$ 1,37 bilhão ou -31,3%. O milho é o principal produto de exportação do setor. A redução na safra brasileira 2023/2024 de milho, bem como a queda nos preços médios de exportação (-12,3%), explicam a redução das exportações do cereal de US$ 1,88 bilhão em outubro de 2023 para US$ 1,25 bilhão em outubro de 2024 (-33,5%). Três mercados importaram mais de 500 mil toneladas de milho do Brasil: Irã (US$ 234,78 milhões; +140,2%; ou 1,18 milhão de toneladas; +181,0%); Vietnã (US$ 181,39 milhões; +192,9%; ou 933,38 mil toneladas; +231,0%); e Japão (US$ 117,22 milhões; -45,4%; ou 616,63 mil toneladas; -36,2%). </w:t>
      </w:r>
    </w:p>
    <w:p w14:paraId="75CDD304" w14:textId="77777777" w:rsidR="00A1450A" w:rsidRPr="003671C0" w:rsidRDefault="00A1450A" w:rsidP="00A1450A">
      <w:pPr>
        <w:jc w:val="both"/>
      </w:pPr>
      <w:r w:rsidRPr="003671C0">
        <w:t xml:space="preserve">As exportações de carnes foram de US$ 2,62 bilhões em outubro de 2024 (+38,6%). O crescimento das vendas externas de carnes foi de US$ 729,75 milhões em termos absolutos, sendo, dessa forma, um dos mencionados setores que compensou a queda nas exportações de grãos (soja e milho, principalmente). No setor, as vendas externas de carne bovina registraram US$ 1,36 bilhão, deste valor US$ 1,26 bilhão de carne bovina </w:t>
      </w:r>
      <w:r w:rsidRPr="003671C0">
        <w:rPr>
          <w:i/>
          <w:iCs/>
        </w:rPr>
        <w:t>in natura.</w:t>
      </w:r>
      <w:r w:rsidRPr="003671C0">
        <w:t xml:space="preserve"> O valor exportado é um recorde histórico, sendo o seu equivalente em volume, 270,33 mil toneladas de carne bovina </w:t>
      </w:r>
      <w:r w:rsidRPr="003671C0">
        <w:rPr>
          <w:i/>
          <w:iCs/>
        </w:rPr>
        <w:t>in natura</w:t>
      </w:r>
      <w:r w:rsidRPr="003671C0">
        <w:t xml:space="preserve">, também recorde. O recorde foi obtido em função da elevação das vendas externas aos principais importadores: China (US$ 723,24 milhões; +32,0% e + US$ 175,52 milhões em valores absolutos); Estados Unidos (US$ 126,19 milhões; +252,3% e + US$ 90,37 milhões em valores absolutos); Filipinas (US$ 42,69 milhões; +142,3% e + US$ 25,07 milhões em valores absolutos); Chile (US$ 41,87 milhões; +49,4% e + US$ 13,84 milhões em valores absolutos); México (US$ 33,42 milhões; +602,8% e + US$ 28,66 milhões em valores absolutos). </w:t>
      </w:r>
    </w:p>
    <w:p w14:paraId="742541DA" w14:textId="77777777" w:rsidR="00A1450A" w:rsidRPr="003671C0" w:rsidRDefault="00A1450A" w:rsidP="00A1450A">
      <w:pPr>
        <w:jc w:val="both"/>
      </w:pPr>
      <w:r w:rsidRPr="003671C0">
        <w:t xml:space="preserve">Em outubro de 2024, o valor exportado de carne de frango </w:t>
      </w:r>
      <w:r w:rsidRPr="003671C0">
        <w:rPr>
          <w:i/>
          <w:iCs/>
        </w:rPr>
        <w:t>in natura</w:t>
      </w:r>
      <w:r w:rsidRPr="003671C0">
        <w:t xml:space="preserve"> foi de US$ 776,93 milhões, montante que significou um crescimento de 13,8% em comparação com os US$ 682,44 milhões exportados em outubro de 2023. Os principais mercados importadores de carne de frango </w:t>
      </w:r>
      <w:r w:rsidRPr="003671C0">
        <w:rPr>
          <w:i/>
          <w:iCs/>
        </w:rPr>
        <w:t xml:space="preserve">in natura </w:t>
      </w:r>
      <w:r w:rsidRPr="003671C0">
        <w:t xml:space="preserve">foram: México (US$ 95,08 milhões; +47,5% e + US$ 30,62 milhões em valores absolutos); Japão (US$ 76,38 milhões; +17,4% e + US$ 11,32 milhões em valores absolutos); China (US$ 73,46 milhões; -19,3%); Emirados Árabes Unidos (US$ 64,90 milhões; -3,1%); Arábia Saudita (US$ 53,57 milhões; -13,3%). </w:t>
      </w:r>
    </w:p>
    <w:p w14:paraId="545C3CB5" w14:textId="77777777" w:rsidR="00A1450A" w:rsidRPr="003671C0" w:rsidRDefault="00A1450A" w:rsidP="00A1450A">
      <w:pPr>
        <w:jc w:val="both"/>
      </w:pPr>
      <w:r w:rsidRPr="003671C0">
        <w:t xml:space="preserve">Ainda no setor cárneo, as vendas externas de carne suína </w:t>
      </w:r>
      <w:r w:rsidRPr="003671C0">
        <w:rPr>
          <w:i/>
          <w:iCs/>
        </w:rPr>
        <w:t>in natura</w:t>
      </w:r>
      <w:r w:rsidRPr="003671C0">
        <w:t xml:space="preserve"> também bateram recorde histórico, chegando a US$ 294,71 milhões (+56,1%). Filipinas foi o principal país importador e o que mais contribui com o aumento das exportações, tendo adquirido US$ 83,28 milhões (+271,8%) ou o equivalente praticamente 60% do crescimento do valor exportado. É importante dizer que as Filipinas não estão aumentando a produção doméstica de carne suína, tendo o aumento do consumo doméstico sido atendido por aquisições externas</w:t>
      </w:r>
      <w:r w:rsidRPr="003671C0">
        <w:rPr>
          <w:rStyle w:val="Refdenotaderodap"/>
        </w:rPr>
        <w:footnoteReference w:id="5"/>
      </w:r>
      <w:r w:rsidRPr="003671C0">
        <w:t xml:space="preserve">. Neste contexto, o Brasil está se tornando o principal fornecedor de carne suína </w:t>
      </w:r>
      <w:r w:rsidRPr="003671C0">
        <w:rPr>
          <w:i/>
          <w:iCs/>
        </w:rPr>
        <w:t xml:space="preserve">in natura </w:t>
      </w:r>
      <w:r w:rsidRPr="003671C0">
        <w:t>ao país. Os outros cinco maiores mercados importadores foram: China (US$ 39,37 milhões; -25,1%); Japão (US$ 35,06 milhões; +300,3%); Chile (US$ 23,46 milhões; +90,5%); México (US$ 19,20 milhões; +39,6%); e Hong Kong (US$ 16,68 milhões; -16,4%).</w:t>
      </w:r>
    </w:p>
    <w:p w14:paraId="7191D6F9" w14:textId="77777777" w:rsidR="00A1450A" w:rsidRPr="003671C0" w:rsidRDefault="00A1450A" w:rsidP="00A1450A">
      <w:pPr>
        <w:jc w:val="both"/>
      </w:pPr>
      <w:r w:rsidRPr="003671C0">
        <w:t>As vendas externas de açúcar brasileiro continuam subindo neste ano de 2024, também compensando a queda nas exportações de grãos. Em outubro, foram embarcadas 3,73 milhões de toneladas de açúcar (+29,8%), que ao preço mais baixo, de US$ 473 por tonelada (-11,8%), geraram receitas de US$ 1,76 bilhão ao país. Segundo a FAO, há, ainda, preocupações em relação à produção brasileira 2024/2025, em virtude do prolongado período de seca. Porém, os preços ainda estariam abaixo do mesmo período do ano passado.</w:t>
      </w:r>
      <w:r w:rsidRPr="003671C0">
        <w:rPr>
          <w:rStyle w:val="Refdenotaderodap"/>
        </w:rPr>
        <w:footnoteReference w:id="6"/>
      </w:r>
      <w:r w:rsidRPr="003671C0">
        <w:t xml:space="preserve"> Cinco mercados importaram mais de US$ 100 milhões em açúcar de cana em bruto brasileiro: Indonésia (US$ 201,13 milhões; +72,6%); China (US$ 182,42 milhões; +74,5%); Índia (US$ 181,57 milhões; -9,0%); Egito (US$ </w:t>
      </w:r>
      <w:r w:rsidRPr="003671C0">
        <w:lastRenderedPageBreak/>
        <w:t>107,94 milhões; +309,6%); e Iraque (US$ 104,00 milhões; +198,8%). Ainda no setor, as exportações de álcool caíram de US$ 137,15 milhões em outubro de 2023 para US$ 124,75 milhões em outubro de 2024 (-9,0%).</w:t>
      </w:r>
    </w:p>
    <w:p w14:paraId="02F10BE4" w14:textId="4C55287B" w:rsidR="00A1450A" w:rsidRPr="003671C0" w:rsidRDefault="00A1450A" w:rsidP="00A1450A">
      <w:pPr>
        <w:jc w:val="both"/>
      </w:pPr>
      <w:r w:rsidRPr="003671C0">
        <w:t xml:space="preserve">O setor cafeeiro bateu recorde de exportações, embarcando US$ 1,40 bilhão ao exterior em outubro de 2024 (+61,1%). O valor foi US$ 529,84 milhões superior em comparação com o mesmo mês do ano anterior. As vendas externas de café verde bateram recorde de valor e quantidade, US$ 1,31 bilhão (+62,7%) e 279,26 mil toneladas (+12,0%), respectivamente. Os países que compõem a União Europeia são os maiores importadores de café verde brasileiro. Em outubro de 2024, o bloco europeu adquiriu US$ 746,55 milhões (+96,9%) ou o equivalente a 57,1% das exportações brasileiras do produto. Outros mercados que importaram mais de US$ 50 milhões foram: Estados Unidos (US$ 183,23 milhões; +64,2%); Japão (US$ 63,78 milhões; +90,1%); e Rússia (US$ 57,67 milhões; +496,4%). Ainda no setor, as vendas externas de café solúvel também bateram recorde para os meses de outubro, chegando a US$ 76,05 milhões (+33,9%). Neste caso, os maiores importadores foram: Estados Unidos (US$ 17,12 milhões; +89,0%); União Europeia (US$ 15,75 milhões; +31,3%); e Rússia (US$ 6,37 milhões; +751,1%).  </w:t>
      </w:r>
    </w:p>
    <w:p w14:paraId="7461E000" w14:textId="77777777" w:rsidR="00A1450A" w:rsidRPr="003671C0" w:rsidRDefault="00A1450A" w:rsidP="00A1450A">
      <w:pPr>
        <w:jc w:val="both"/>
      </w:pPr>
      <w:r w:rsidRPr="003671C0">
        <w:t xml:space="preserve">Por fim, outro setor dentre os seis principais setores exportadores que apresentou forte crescimento foi o de produtos florestais. As vendas subiram US$ 491,58 milhões em valores absolutos, passando de US$ 1,00 bilhão em exportações em outubro de 2023 para US$ 1,49 bilhão nesse mês de análise (+49,1%). A celulose teve incremento das vendas externas de US$ 449,48 milhões em valores absolutos, atingindo US$ 986,90 milhões (+83,6%). O valor foi obtido em função da expansão do volume (+31,2%) e do preço (+40,0%). A China foi a maior importadora da celulose brasileira, tendo adquirido US$ 609,53 milhões (+120,0%) ou, em termos de participação, 61,8% de todo o valor exportado pelo Brasil. Outros dois produtos comercializados pelo setor foram: madeiras e suas obras (US$ 306,34 milhões; +16,2%) e papel (US$ 198,09 milhões; -0,9%). </w:t>
      </w:r>
    </w:p>
    <w:p w14:paraId="69DB465A" w14:textId="77777777" w:rsidR="00A1450A" w:rsidRPr="003671C0" w:rsidRDefault="00A1450A" w:rsidP="00A1450A">
      <w:pPr>
        <w:jc w:val="both"/>
      </w:pPr>
      <w:r w:rsidRPr="003671C0">
        <w:t xml:space="preserve">Além desses produtos dos seis principais setores exportadores deve-se ressaltar as vendas externas de alguns produtos que se destacaram por crescimento no valor absoluto exportado: sucos de laranja (US$ 448,53 milhões; +68,8% ou + US$ 182,80 milhões em valor absoluto); algodão não cardado nem penteado (US$ 502,78 milhões; +15,4% ou + US$ 67,25 milhões em valor absoluto); bovinos vivos (US$ 95,29 milhões; +147,2% ou + US$ 56,75 milhões em valor absoluto); feijões secos (US$ 45,09 milhões; +191,5% ou + US$ 29,62 milhões em valor absoluto); óleo essencial de laranja (US$ 57,24 milhões; +80,9% ou + US$ 25,60 milhões em valor absoluto). Estes produtos, acima relacionados, foram responsáveis por uma expansão de US$ 362,01 milhões nas exportações de outubro de 2024 em comparação com outubro de 2023. </w:t>
      </w:r>
    </w:p>
    <w:p w14:paraId="1C26E043" w14:textId="77777777" w:rsidR="00A1450A" w:rsidRPr="003671C0" w:rsidRDefault="00A1450A" w:rsidP="00A1450A">
      <w:pPr>
        <w:jc w:val="both"/>
      </w:pPr>
      <w:r w:rsidRPr="003671C0">
        <w:t xml:space="preserve">As importações de produtos agropecuários foram recordes chegando a US$ 1,77 bilhão (+29,0%). Os principais produtos importados foram: trigo (US$ 136,77 milhões; +68,9%); papel (US$ 92,64 milhões; +24,4%); malte (US$ 87,05 milhões; -2,9%); salmões (US$ 80,90 milhões; +16,2%); azeite de oliva (US$ 57,77 milhões; -1,3%); arroz (US$ 57,57 milhões; +7,7%); leite em pó (US$ 55,29 milhões; -4,0%); vinho (US$ 52,59 milhões; +6,1%); óleo de palma (US$ 50,35 milhões; +133,6%). </w:t>
      </w:r>
    </w:p>
    <w:p w14:paraId="7EA901D4" w14:textId="49E39D95" w:rsidR="001C2663" w:rsidRPr="00D21870" w:rsidRDefault="001C2663" w:rsidP="001C2663">
      <w:pPr>
        <w:jc w:val="both"/>
        <w:rPr>
          <w:rFonts w:cstheme="minorHAnsi"/>
          <w:iCs/>
        </w:rPr>
      </w:pPr>
    </w:p>
    <w:p w14:paraId="23129B37" w14:textId="5B9F05A9" w:rsidR="00ED45B4" w:rsidRPr="00D21870" w:rsidRDefault="00ED45B4" w:rsidP="00BD370B">
      <w:pPr>
        <w:jc w:val="both"/>
        <w:rPr>
          <w:rFonts w:cstheme="minorHAnsi"/>
        </w:rPr>
      </w:pPr>
    </w:p>
    <w:p w14:paraId="6FC3713F" w14:textId="17666EC0" w:rsidR="00080C6A" w:rsidRPr="00D21870" w:rsidRDefault="00373085" w:rsidP="00826BB9">
      <w:pPr>
        <w:jc w:val="both"/>
        <w:rPr>
          <w:rFonts w:cstheme="minorHAnsi"/>
        </w:rPr>
      </w:pPr>
      <w:r w:rsidRPr="00D21870">
        <w:rPr>
          <w:rFonts w:cstheme="minorHAnsi"/>
          <w:noProof/>
        </w:rPr>
        <w:lastRenderedPageBreak/>
        <w:drawing>
          <wp:inline distT="0" distB="0" distL="0" distR="0" wp14:anchorId="4FB379DD" wp14:editId="03808CBB">
            <wp:extent cx="6188710" cy="3987800"/>
            <wp:effectExtent l="0" t="0" r="2540" b="0"/>
            <wp:docPr id="126669690" name="Imagem 1" descr="Interface gráfica do usuário, Aplicativo,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69690" name="Imagem 1" descr="Interface gráfica do usuário, Aplicativo, Tabela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264FF" w14:textId="77777777" w:rsidR="00802DDC" w:rsidRPr="00D21870" w:rsidRDefault="00802DDC" w:rsidP="00826BB9">
      <w:pPr>
        <w:jc w:val="both"/>
        <w:rPr>
          <w:rFonts w:cstheme="minorHAnsi"/>
        </w:rPr>
      </w:pPr>
    </w:p>
    <w:p w14:paraId="40A34FE9" w14:textId="57B77C03" w:rsidR="00826BB9" w:rsidRPr="00D21870" w:rsidRDefault="00826BB9" w:rsidP="00826BB9">
      <w:pPr>
        <w:jc w:val="both"/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>I.b – Blocos Econômicos e Regiões Geográficas</w:t>
      </w:r>
    </w:p>
    <w:p w14:paraId="2DADF24F" w14:textId="77777777" w:rsidR="00A1450A" w:rsidRPr="003671C0" w:rsidRDefault="00A1450A" w:rsidP="00A1450A">
      <w:pPr>
        <w:jc w:val="both"/>
      </w:pPr>
      <w:r w:rsidRPr="003671C0">
        <w:t xml:space="preserve">A Ásia (exclusive Oriente Médio) é o principal destino geográfico das exportações brasileiras do agronegócio. Nesse mês de outubro de 2024, as exportações à região foram de US$ 6,45 bilhões (-9,0%). A região é a maior importadora de diversos produtos da pauta exportadora brasileira: soja em grãos (US$ 1,68 bilhão; -37,6%); carne bovina </w:t>
      </w:r>
      <w:r w:rsidRPr="003671C0">
        <w:rPr>
          <w:i/>
          <w:iCs/>
        </w:rPr>
        <w:t>in natura</w:t>
      </w:r>
      <w:r w:rsidRPr="003671C0">
        <w:t xml:space="preserve"> (US$ 797,02 milhões; +36,1%); açúcar de cana em bruto (US$ 727,81 milhões; +46,4%); celulose (US$ 675,39 milhões; +116,6%); milho (US$ 555,93 milhões; -55,6%); algodão não cardado nem penteado (US$ 460,14 milhões; +12,7%). </w:t>
      </w:r>
    </w:p>
    <w:p w14:paraId="05359E70" w14:textId="77777777" w:rsidR="00A1450A" w:rsidRPr="003671C0" w:rsidRDefault="00A1450A" w:rsidP="00A1450A">
      <w:pPr>
        <w:jc w:val="both"/>
      </w:pPr>
      <w:r w:rsidRPr="003671C0">
        <w:t>Os países que formam a União Europeia ficaram na segunda posição dentre as principais regiões geográficas ou blocos econômicos analisados. No mês de outubro de 2024, as aquisições da União Europeia foram de US$ 2,39 bilhões, um valor 34,2% superior na comparação com os US$ 1,78 bilhão exportados em outubro de 2023. Cinco produtos concentram praticamente três quartas partes da pauta exportadora ao bloco: café verde (US$ 746,55 milhões; +96,9%); farelo de soja (US$ 481,68 milhões; +32,5%); sucos de laranja (US$ 305,12 milhões; +125,1%); soja em grãos (US$ 119,88 milhões; +189,1%); e celulose (US$ 109,82 milhões; +34,2%).</w:t>
      </w:r>
    </w:p>
    <w:p w14:paraId="362EF079" w14:textId="6D248923" w:rsidR="00CA1B0D" w:rsidRPr="00D21870" w:rsidRDefault="00CA1B0D" w:rsidP="00CA1B0D">
      <w:pPr>
        <w:jc w:val="both"/>
        <w:rPr>
          <w:rFonts w:cstheme="minorHAnsi"/>
        </w:rPr>
      </w:pPr>
    </w:p>
    <w:p w14:paraId="109B7064" w14:textId="4D14E838" w:rsidR="00ED1236" w:rsidRPr="00D21870" w:rsidRDefault="00373085" w:rsidP="0066725D">
      <w:pPr>
        <w:jc w:val="both"/>
        <w:rPr>
          <w:rFonts w:cstheme="minorHAnsi"/>
        </w:rPr>
      </w:pPr>
      <w:r w:rsidRPr="00D21870">
        <w:rPr>
          <w:rFonts w:cstheme="minorHAnsi"/>
          <w:noProof/>
        </w:rPr>
        <w:lastRenderedPageBreak/>
        <w:drawing>
          <wp:inline distT="0" distB="0" distL="0" distR="0" wp14:anchorId="361D9791" wp14:editId="2FAA959C">
            <wp:extent cx="6188710" cy="2475230"/>
            <wp:effectExtent l="0" t="0" r="2540" b="1270"/>
            <wp:docPr id="1674962970" name="Imagem 1" descr="Interface gráfica do usuário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962970" name="Imagem 1" descr="Interface gráfica do usuário, Texto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3B577" w14:textId="55EDFBA8" w:rsidR="0066725D" w:rsidRPr="00D21870" w:rsidRDefault="0066725D" w:rsidP="0066725D">
      <w:pPr>
        <w:jc w:val="both"/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>I.c – Países</w:t>
      </w:r>
    </w:p>
    <w:p w14:paraId="0983A8E1" w14:textId="77777777" w:rsidR="00A1450A" w:rsidRPr="003671C0" w:rsidRDefault="00A1450A" w:rsidP="00A1450A">
      <w:pPr>
        <w:jc w:val="both"/>
      </w:pPr>
      <w:r w:rsidRPr="003671C0">
        <w:t>Os vinte principais mercados importadores de produtos do agronegócio brasileiro são apresentados na Tabela 3 – Exportações do Agronegócio por Países, abaixo. Esses vinte mercados foram responsáveis por 73,1% do total comercializado em produtos do agronegócio, aumentando a participação em 0,5 ponto percentual. Todos os demais mercados participaram com 26,9% das aquisições, porcentagem que significou US$ 3,84 bilhões (+4,4%).</w:t>
      </w:r>
    </w:p>
    <w:p w14:paraId="1AF270E5" w14:textId="77777777" w:rsidR="00A1450A" w:rsidRPr="003671C0" w:rsidRDefault="00A1450A" w:rsidP="00A1450A">
      <w:pPr>
        <w:jc w:val="both"/>
      </w:pPr>
      <w:r w:rsidRPr="003671C0">
        <w:t xml:space="preserve">O principal mercado importador de produtos do agronegócio brasileiro é a China. Em outubro de 2024, houve queda nas vendas externas ao país asiático em 28,5%, com redução do valor de US$ 4,89 bilhões em outubro de 2023 para US$ 3,50 bilhões em outubro de 2024 (- US$ 1,39 bilhão). A queda nas exportações de soja em grãos (- US$ 1,06 bilhão) e milho (- US$ 730,73 milhões) explicam a redução das vendas à China. No caso da soja em grãos, houve queda na quantidade exportada de soja em grãos (-28,1% ou o equivalente a menos 1,38 milhão de toneladas), resultado em exportações de US$ 1,51 bilhão da oleaginosa (-41,3%). Já no caso do milho, a diminuição foi de 3,31 milhões de toneladas do cereal (-95,7%), queda de volume que reduziu o valor exportado de milho para US$ 28,10 milhões (-96,3%). Por outro lado, houve incremento nas exportações de outros produtos: carne bovina </w:t>
      </w:r>
      <w:r w:rsidRPr="003671C0">
        <w:rPr>
          <w:i/>
          <w:iCs/>
        </w:rPr>
        <w:t xml:space="preserve">in natura </w:t>
      </w:r>
      <w:r w:rsidRPr="003671C0">
        <w:t>(US$ 723,24 milhões; +32,0%); celulose (US$ 609,53 milhões; +120,0%); açúcar de cana em bruto (US$ 182,42 milhões; +74,5%).</w:t>
      </w:r>
    </w:p>
    <w:p w14:paraId="61E1BAA9" w14:textId="77777777" w:rsidR="00A1450A" w:rsidRPr="003671C0" w:rsidRDefault="00A1450A" w:rsidP="00A1450A">
      <w:pPr>
        <w:jc w:val="both"/>
      </w:pPr>
      <w:r w:rsidRPr="003671C0">
        <w:t xml:space="preserve">Para seis mercados as exportações mais que duplicaram nesse mês de outubro de 2024 na comparação com o mesmo mês do ano passado: Bangladesh (+281,2%); Iraque (+185,7%); Rússia (+126,9%); Vietnã (+123,3%); Bélgica (+119,8); e Alemanha (+107,3%). </w:t>
      </w:r>
    </w:p>
    <w:p w14:paraId="2BC2CB73" w14:textId="77777777" w:rsidR="00A1450A" w:rsidRPr="003671C0" w:rsidRDefault="00A1450A" w:rsidP="00A1450A">
      <w:pPr>
        <w:jc w:val="both"/>
      </w:pPr>
      <w:r w:rsidRPr="003671C0">
        <w:t>As exportações do agronegócio brasileiro para Bangladesh atingiram US$ 230,02 milhões (+281,2%), colocando o país 17ª posição dentre os maiores importadores, e são explicadas por cinco produtos: açúcar de cana em bruto (US$ 95,84 milhões; não houve importações em outubro de 2023); milho (US$ 47,04 milhões; +117,2%); algodão não cardado nem penteado (US$ 39,24 milhões; +40,0%); soja em grãos (US$ 23,47 milhões; não houve importações em outubro de 2023); e farelo de soja (US$ 22,82 milhões; não houve importações em outubro de 2023). Esses cinco produtos representaram 99,3% do total exportado pelo agronegócio brasileiro a Bangladesh.</w:t>
      </w:r>
    </w:p>
    <w:p w14:paraId="6B03BD63" w14:textId="77777777" w:rsidR="00A1450A" w:rsidRPr="003671C0" w:rsidRDefault="00A1450A" w:rsidP="00A1450A">
      <w:pPr>
        <w:jc w:val="both"/>
      </w:pPr>
      <w:r w:rsidRPr="003671C0">
        <w:t>As vendas externas do agronegócio brasileiro para o Iraque alcançaram a cifra de US$ 233,00 milhões em outubro de 2024, com crescimento de 185,7%. Os produtos que mais influenciaram na elevação registrada foram: açúcar de cana em bruto (+US$ 69,20 milhões), soja em grãos (+US$ 38,20 milhões), bovinos vivos (+US$ 22,98 milhões) e milho (+US$ 21,65 milhões).</w:t>
      </w:r>
    </w:p>
    <w:p w14:paraId="09856B2A" w14:textId="77777777" w:rsidR="00A1450A" w:rsidRPr="003671C0" w:rsidRDefault="00A1450A" w:rsidP="00A1450A">
      <w:pPr>
        <w:jc w:val="both"/>
      </w:pPr>
      <w:r w:rsidRPr="003671C0">
        <w:lastRenderedPageBreak/>
        <w:t xml:space="preserve">A Rússia aumentou as compras de produtos do agronegócio em 126,9%, atingindo US$ 209,31 milhões em importações, valor que colocou o país na 20ª posição dentre os principais importadores. Três produtos explicam 82,9% da pauta exportadora à Rússia nesse mês de outubro: soja em grãos (US$ 86,98 milhões; +177,7%); café verde (US$ 57,67 milhões; +496,4%); e carne bovina </w:t>
      </w:r>
      <w:r w:rsidRPr="003671C0">
        <w:rPr>
          <w:i/>
          <w:iCs/>
        </w:rPr>
        <w:t>in natura</w:t>
      </w:r>
      <w:r w:rsidRPr="003671C0">
        <w:t xml:space="preserve"> (US$ 28,94 milhões; +104,2%).</w:t>
      </w:r>
    </w:p>
    <w:p w14:paraId="5E6CE8D2" w14:textId="77777777" w:rsidR="00A1450A" w:rsidRPr="003671C0" w:rsidRDefault="00A1450A" w:rsidP="00A1450A">
      <w:pPr>
        <w:jc w:val="both"/>
      </w:pPr>
      <w:r w:rsidRPr="003671C0">
        <w:t xml:space="preserve">No caso do Vietnã as aquisições chegaram US$ 401,23 milhões, valor que significou expansão de 123,3% e colocou o país na oitava posição dentre os maiores importadores. Os dois principais produtos importados do agronegócio brasileiro foram: milho (US$ 182,39 milhões; +192,9%) e algodão não cardado nem penteado (US$ 124,12 milhões; +343,9%). </w:t>
      </w:r>
    </w:p>
    <w:p w14:paraId="132CB3D5" w14:textId="77777777" w:rsidR="00A1450A" w:rsidRPr="003671C0" w:rsidRDefault="00A1450A" w:rsidP="00A1450A">
      <w:pPr>
        <w:jc w:val="both"/>
      </w:pPr>
      <w:r w:rsidRPr="003671C0">
        <w:t xml:space="preserve">A Bélgica importou US$ 411,10 milhões em produtos do agronegócio brasileiro (+119,8%), ficando na sétima posição dentre os maiores importadores. Dois produtos explicam o crescimento das exportações: sucos de laranja (US$ 212,85 milhões; +247,5%) e café verde (US$ 121,93 milhões; +216,6%). </w:t>
      </w:r>
    </w:p>
    <w:p w14:paraId="34FBA94D" w14:textId="77777777" w:rsidR="00A1450A" w:rsidRPr="00A5493C" w:rsidRDefault="00A1450A" w:rsidP="00A1450A">
      <w:pPr>
        <w:jc w:val="both"/>
      </w:pPr>
      <w:r w:rsidRPr="003671C0">
        <w:t>Por fim, a Alemanha foi outro mercado que também mais que duplicou as aquisições nesse mês de outubro. As compras chegaram a US$ 495,82 milhões (+107,3%). O valor colocou a Alemanha na terceira posição dentre os principais países importadores. A pauta exportadora à Alemanha é concentrada, sendo o café verde responsável por cerca de 70% do valor exportado nesse período de análise. Os embarques de café verde foram de US$ 344,25 milhões (+187,1%).</w:t>
      </w:r>
      <w:r>
        <w:t xml:space="preserve"> </w:t>
      </w:r>
    </w:p>
    <w:p w14:paraId="57A9F208" w14:textId="611F516D" w:rsidR="00CA1B0D" w:rsidRPr="00D21870" w:rsidRDefault="00CA1B0D" w:rsidP="00CA1B0D">
      <w:pPr>
        <w:jc w:val="both"/>
        <w:rPr>
          <w:rFonts w:cstheme="minorHAnsi"/>
        </w:rPr>
      </w:pPr>
    </w:p>
    <w:p w14:paraId="20EF4954" w14:textId="11024971" w:rsidR="00080C6A" w:rsidRPr="00D21870" w:rsidRDefault="00926640" w:rsidP="00C51F2D">
      <w:pPr>
        <w:jc w:val="both"/>
        <w:rPr>
          <w:rFonts w:cstheme="minorHAnsi"/>
        </w:rPr>
      </w:pPr>
      <w:r w:rsidRPr="00D21870">
        <w:rPr>
          <w:rFonts w:cstheme="minorHAnsi"/>
          <w:noProof/>
        </w:rPr>
        <w:drawing>
          <wp:inline distT="0" distB="0" distL="0" distR="0" wp14:anchorId="1FC820A3" wp14:editId="1EF8D4F4">
            <wp:extent cx="6188710" cy="4089400"/>
            <wp:effectExtent l="0" t="0" r="2540" b="6350"/>
            <wp:docPr id="1083052747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052747" name="Imagem 1" descr="Tabela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C48BF" w14:textId="77777777" w:rsidR="00802DDC" w:rsidRPr="00D21870" w:rsidRDefault="00802DDC" w:rsidP="00C51F2D">
      <w:pPr>
        <w:jc w:val="both"/>
        <w:rPr>
          <w:rFonts w:cstheme="minorHAnsi"/>
        </w:rPr>
      </w:pPr>
    </w:p>
    <w:p w14:paraId="1D9321BC" w14:textId="7996E2FE" w:rsidR="00C51F2D" w:rsidRPr="00D21870" w:rsidRDefault="00C51F2D" w:rsidP="00C51F2D">
      <w:pPr>
        <w:jc w:val="both"/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>II – Resultados do Acumulado do Ano (comparativo Janeiro-</w:t>
      </w:r>
      <w:r w:rsidR="00250584" w:rsidRPr="00D21870">
        <w:rPr>
          <w:rFonts w:cstheme="minorHAnsi"/>
          <w:b/>
          <w:bCs/>
        </w:rPr>
        <w:t>Outubro</w:t>
      </w:r>
      <w:r w:rsidRPr="00D21870">
        <w:rPr>
          <w:rFonts w:cstheme="minorHAnsi"/>
          <w:b/>
          <w:bCs/>
        </w:rPr>
        <w:t>/</w:t>
      </w:r>
      <w:r w:rsidR="00830FA5" w:rsidRPr="00D21870">
        <w:rPr>
          <w:rFonts w:cstheme="minorHAnsi"/>
          <w:b/>
          <w:bCs/>
        </w:rPr>
        <w:t>2024</w:t>
      </w:r>
      <w:r w:rsidRPr="00D21870">
        <w:rPr>
          <w:rFonts w:cstheme="minorHAnsi"/>
          <w:b/>
          <w:bCs/>
        </w:rPr>
        <w:t xml:space="preserve"> –</w:t>
      </w:r>
      <w:r w:rsidR="00A755C7" w:rsidRPr="00D21870">
        <w:rPr>
          <w:rFonts w:cstheme="minorHAnsi"/>
          <w:b/>
          <w:bCs/>
        </w:rPr>
        <w:t xml:space="preserve"> </w:t>
      </w:r>
      <w:r w:rsidRPr="00D21870">
        <w:rPr>
          <w:rFonts w:cstheme="minorHAnsi"/>
          <w:b/>
          <w:bCs/>
        </w:rPr>
        <w:t>Janeiro-</w:t>
      </w:r>
      <w:r w:rsidR="00250584" w:rsidRPr="00D21870">
        <w:rPr>
          <w:rFonts w:cstheme="minorHAnsi"/>
          <w:b/>
          <w:bCs/>
        </w:rPr>
        <w:t>Outubro</w:t>
      </w:r>
      <w:r w:rsidRPr="00D21870">
        <w:rPr>
          <w:rFonts w:cstheme="minorHAnsi"/>
          <w:b/>
          <w:bCs/>
        </w:rPr>
        <w:t>/</w:t>
      </w:r>
      <w:r w:rsidR="00830FA5" w:rsidRPr="00D21870">
        <w:rPr>
          <w:rFonts w:cstheme="minorHAnsi"/>
          <w:b/>
          <w:bCs/>
        </w:rPr>
        <w:t>2023</w:t>
      </w:r>
      <w:r w:rsidRPr="00D21870">
        <w:rPr>
          <w:rFonts w:cstheme="minorHAnsi"/>
          <w:b/>
          <w:bCs/>
        </w:rPr>
        <w:t>)</w:t>
      </w:r>
    </w:p>
    <w:p w14:paraId="08FD26CE" w14:textId="6135F196" w:rsidR="00CA1B0D" w:rsidRDefault="00D21870" w:rsidP="00CA1B0D">
      <w:pPr>
        <w:jc w:val="both"/>
        <w:rPr>
          <w:rFonts w:cstheme="minorHAnsi"/>
        </w:rPr>
      </w:pPr>
      <w:r>
        <w:rPr>
          <w:rFonts w:cstheme="minorHAnsi"/>
        </w:rPr>
        <w:t>Entre janeiro e outubro de</w:t>
      </w:r>
      <w:r w:rsidR="003B18EF">
        <w:rPr>
          <w:rFonts w:cstheme="minorHAnsi"/>
        </w:rPr>
        <w:t xml:space="preserve"> 2024 </w:t>
      </w:r>
      <w:r w:rsidR="00784A3E">
        <w:rPr>
          <w:rFonts w:cstheme="minorHAnsi"/>
        </w:rPr>
        <w:t xml:space="preserve">as exportações do agronegócio somaram US$ </w:t>
      </w:r>
      <w:r w:rsidR="00E01D5D">
        <w:rPr>
          <w:rFonts w:cstheme="minorHAnsi"/>
        </w:rPr>
        <w:t xml:space="preserve">140,02 bilhões, o que representou um crescimento de 0,7% em relação aos US$ </w:t>
      </w:r>
      <w:r w:rsidR="001212AF">
        <w:rPr>
          <w:rFonts w:cstheme="minorHAnsi"/>
        </w:rPr>
        <w:t>139,62 bilhões exportados no mesmo per</w:t>
      </w:r>
      <w:r w:rsidR="006A1237">
        <w:rPr>
          <w:rFonts w:cstheme="minorHAnsi"/>
        </w:rPr>
        <w:t xml:space="preserve">íodo em </w:t>
      </w:r>
      <w:r w:rsidR="006A1237">
        <w:rPr>
          <w:rFonts w:cstheme="minorHAnsi"/>
        </w:rPr>
        <w:lastRenderedPageBreak/>
        <w:t>2023.</w:t>
      </w:r>
      <w:r w:rsidR="000A3496">
        <w:rPr>
          <w:rFonts w:cstheme="minorHAnsi"/>
        </w:rPr>
        <w:t xml:space="preserve"> </w:t>
      </w:r>
      <w:r w:rsidR="004959C8" w:rsidRPr="004959C8">
        <w:rPr>
          <w:rFonts w:cstheme="minorHAnsi"/>
        </w:rPr>
        <w:t xml:space="preserve">Atingiu-se, dessa forma, um valor recorde exportado para os meses de </w:t>
      </w:r>
      <w:r w:rsidR="00C17004">
        <w:rPr>
          <w:rFonts w:cstheme="minorHAnsi"/>
        </w:rPr>
        <w:t>outubro</w:t>
      </w:r>
      <w:r w:rsidR="004959C8" w:rsidRPr="004959C8">
        <w:rPr>
          <w:rFonts w:cstheme="minorHAnsi"/>
        </w:rPr>
        <w:t xml:space="preserve">. Esse recorde foi fortemente influenciado pela elevação do volume embarcado (índice de </w:t>
      </w:r>
      <w:r w:rsidR="004959C8" w:rsidRPr="00B4228C">
        <w:rPr>
          <w:rFonts w:cstheme="minorHAnsi"/>
          <w:i/>
          <w:iCs/>
        </w:rPr>
        <w:t>quantum</w:t>
      </w:r>
      <w:r w:rsidR="004959C8" w:rsidRPr="004959C8">
        <w:rPr>
          <w:rFonts w:cstheme="minorHAnsi"/>
        </w:rPr>
        <w:t xml:space="preserve">), que subiu </w:t>
      </w:r>
      <w:r w:rsidR="00C17004">
        <w:rPr>
          <w:rFonts w:cstheme="minorHAnsi"/>
        </w:rPr>
        <w:t>6,6%</w:t>
      </w:r>
      <w:r w:rsidR="004959C8" w:rsidRPr="004959C8">
        <w:rPr>
          <w:rFonts w:cstheme="minorHAnsi"/>
        </w:rPr>
        <w:t>.</w:t>
      </w:r>
      <w:r w:rsidR="00C17004" w:rsidRPr="00C17004">
        <w:rPr>
          <w:rFonts w:cstheme="minorHAnsi"/>
        </w:rPr>
        <w:t xml:space="preserve"> </w:t>
      </w:r>
      <w:r w:rsidR="00C17004">
        <w:rPr>
          <w:rFonts w:cstheme="minorHAnsi"/>
        </w:rPr>
        <w:t>Por outro lado, o índice de preços registrou queda de 5,9%</w:t>
      </w:r>
      <w:r w:rsidR="001B12D6">
        <w:rPr>
          <w:rFonts w:cstheme="minorHAnsi"/>
        </w:rPr>
        <w:t xml:space="preserve">, o que </w:t>
      </w:r>
      <w:r w:rsidR="003B36D5">
        <w:rPr>
          <w:rFonts w:cstheme="minorHAnsi"/>
        </w:rPr>
        <w:t>reduziu</w:t>
      </w:r>
      <w:r w:rsidR="001B12D6">
        <w:rPr>
          <w:rFonts w:cstheme="minorHAnsi"/>
        </w:rPr>
        <w:t xml:space="preserve"> a possibilidade </w:t>
      </w:r>
      <w:r w:rsidR="003B36D5">
        <w:rPr>
          <w:rFonts w:cstheme="minorHAnsi"/>
        </w:rPr>
        <w:t>d</w:t>
      </w:r>
      <w:r w:rsidR="00194BC5">
        <w:rPr>
          <w:rFonts w:cstheme="minorHAnsi"/>
        </w:rPr>
        <w:t>e se atingir um valor</w:t>
      </w:r>
      <w:r w:rsidR="001B12D6" w:rsidRPr="001B12D6">
        <w:rPr>
          <w:rFonts w:cstheme="minorHAnsi"/>
        </w:rPr>
        <w:t xml:space="preserve"> ainda mais expressivo nas exportações.</w:t>
      </w:r>
    </w:p>
    <w:p w14:paraId="432BF598" w14:textId="52BFBF29" w:rsidR="00784934" w:rsidRDefault="0084030E" w:rsidP="00CA1B0D">
      <w:pPr>
        <w:jc w:val="both"/>
        <w:rPr>
          <w:rFonts w:cstheme="minorHAnsi"/>
        </w:rPr>
      </w:pPr>
      <w:r w:rsidRPr="0084030E">
        <w:rPr>
          <w:rFonts w:cstheme="minorHAnsi"/>
        </w:rPr>
        <w:t>O agronegócio representou quase metade da pauta exportadora total brasileira no período</w:t>
      </w:r>
      <w:r w:rsidR="007D27DA">
        <w:rPr>
          <w:rFonts w:cstheme="minorHAnsi"/>
        </w:rPr>
        <w:t xml:space="preserve">, com </w:t>
      </w:r>
      <w:r w:rsidRPr="0084030E">
        <w:rPr>
          <w:rFonts w:cstheme="minorHAnsi"/>
        </w:rPr>
        <w:t>49,</w:t>
      </w:r>
      <w:r>
        <w:rPr>
          <w:rFonts w:cstheme="minorHAnsi"/>
        </w:rPr>
        <w:t>2</w:t>
      </w:r>
      <w:r w:rsidRPr="0084030E">
        <w:rPr>
          <w:rFonts w:cstheme="minorHAnsi"/>
        </w:rPr>
        <w:t>%</w:t>
      </w:r>
      <w:r w:rsidR="0088583F">
        <w:rPr>
          <w:rFonts w:cstheme="minorHAnsi"/>
        </w:rPr>
        <w:t>. O</w:t>
      </w:r>
      <w:r w:rsidRPr="0084030E">
        <w:rPr>
          <w:rFonts w:cstheme="minorHAnsi"/>
        </w:rPr>
        <w:t xml:space="preserve">s demais produtos </w:t>
      </w:r>
      <w:r w:rsidR="0088583F">
        <w:rPr>
          <w:rFonts w:cstheme="minorHAnsi"/>
        </w:rPr>
        <w:t>(além do agronegócio) registraram crescimento de</w:t>
      </w:r>
      <w:r w:rsidRPr="0084030E">
        <w:rPr>
          <w:rFonts w:cstheme="minorHAnsi"/>
        </w:rPr>
        <w:t xml:space="preserve"> </w:t>
      </w:r>
      <w:r w:rsidR="0088583F">
        <w:rPr>
          <w:rFonts w:cstheme="minorHAnsi"/>
        </w:rPr>
        <w:t>0,7</w:t>
      </w:r>
      <w:r w:rsidRPr="0084030E">
        <w:rPr>
          <w:rFonts w:cstheme="minorHAnsi"/>
        </w:rPr>
        <w:t xml:space="preserve">%, somando US$ </w:t>
      </w:r>
      <w:r w:rsidR="0088583F">
        <w:rPr>
          <w:rFonts w:cstheme="minorHAnsi"/>
        </w:rPr>
        <w:t>144,44</w:t>
      </w:r>
      <w:r w:rsidRPr="0084030E">
        <w:rPr>
          <w:rFonts w:cstheme="minorHAnsi"/>
        </w:rPr>
        <w:t xml:space="preserve"> bilhões.</w:t>
      </w:r>
      <w:r w:rsidR="0088583F">
        <w:rPr>
          <w:rFonts w:cstheme="minorHAnsi"/>
        </w:rPr>
        <w:t xml:space="preserve"> </w:t>
      </w:r>
    </w:p>
    <w:p w14:paraId="56684D31" w14:textId="69BA4798" w:rsidR="001570BD" w:rsidRPr="00E17BF4" w:rsidRDefault="00B42E40" w:rsidP="00CA1B0D">
      <w:pPr>
        <w:jc w:val="both"/>
        <w:rPr>
          <w:rFonts w:cstheme="minorHAnsi"/>
        </w:rPr>
      </w:pPr>
      <w:r w:rsidRPr="0055277C">
        <w:rPr>
          <w:sz w:val="24"/>
          <w:szCs w:val="24"/>
        </w:rPr>
        <w:t xml:space="preserve">As importações de produtos do agronegócio </w:t>
      </w:r>
      <w:r w:rsidR="00D82428">
        <w:rPr>
          <w:sz w:val="24"/>
          <w:szCs w:val="24"/>
        </w:rPr>
        <w:t>somaram</w:t>
      </w:r>
      <w:r w:rsidRPr="0055277C">
        <w:rPr>
          <w:sz w:val="24"/>
          <w:szCs w:val="24"/>
        </w:rPr>
        <w:t xml:space="preserve"> US$ </w:t>
      </w:r>
      <w:r w:rsidR="00D82428">
        <w:rPr>
          <w:sz w:val="24"/>
          <w:szCs w:val="24"/>
        </w:rPr>
        <w:t>16,24</w:t>
      </w:r>
      <w:r w:rsidRPr="0055277C">
        <w:rPr>
          <w:sz w:val="24"/>
          <w:szCs w:val="24"/>
        </w:rPr>
        <w:t xml:space="preserve"> bilhões, ou seja, </w:t>
      </w:r>
      <w:r w:rsidR="00D82428">
        <w:rPr>
          <w:sz w:val="24"/>
          <w:szCs w:val="24"/>
        </w:rPr>
        <w:t>17,2</w:t>
      </w:r>
      <w:r w:rsidRPr="0055277C">
        <w:rPr>
          <w:sz w:val="24"/>
          <w:szCs w:val="24"/>
        </w:rPr>
        <w:t xml:space="preserve">% acima do resultado observado no ano prévio (US$ </w:t>
      </w:r>
      <w:r w:rsidR="00D82428">
        <w:rPr>
          <w:sz w:val="24"/>
          <w:szCs w:val="24"/>
        </w:rPr>
        <w:t>13,86</w:t>
      </w:r>
      <w:r w:rsidRPr="0055277C">
        <w:rPr>
          <w:sz w:val="24"/>
          <w:szCs w:val="24"/>
        </w:rPr>
        <w:t xml:space="preserve"> bilhões). Cabe considerar, também, os insumos utilizados na produção agropecuária, como por exemplo fertilizantes e defensivos, que alcançaram </w:t>
      </w:r>
      <w:r w:rsidRPr="00FC025F">
        <w:rPr>
          <w:sz w:val="24"/>
          <w:szCs w:val="24"/>
        </w:rPr>
        <w:t xml:space="preserve">importações de US$ </w:t>
      </w:r>
      <w:r w:rsidR="00197A42" w:rsidRPr="00FC025F">
        <w:rPr>
          <w:sz w:val="24"/>
          <w:szCs w:val="24"/>
        </w:rPr>
        <w:t xml:space="preserve">11,39 </w:t>
      </w:r>
      <w:r w:rsidRPr="00FC025F">
        <w:rPr>
          <w:sz w:val="24"/>
          <w:szCs w:val="24"/>
        </w:rPr>
        <w:t>bilhões (-</w:t>
      </w:r>
      <w:r w:rsidR="00197A42" w:rsidRPr="00FC025F">
        <w:rPr>
          <w:sz w:val="24"/>
          <w:szCs w:val="24"/>
        </w:rPr>
        <w:t>6,5</w:t>
      </w:r>
      <w:r w:rsidRPr="00FC025F">
        <w:rPr>
          <w:sz w:val="24"/>
          <w:szCs w:val="24"/>
        </w:rPr>
        <w:t xml:space="preserve">%) e US$ </w:t>
      </w:r>
      <w:r w:rsidR="00FC025F" w:rsidRPr="00FC025F">
        <w:rPr>
          <w:sz w:val="24"/>
          <w:szCs w:val="24"/>
        </w:rPr>
        <w:t>4,39</w:t>
      </w:r>
      <w:r w:rsidRPr="00FC025F">
        <w:rPr>
          <w:sz w:val="24"/>
          <w:szCs w:val="24"/>
        </w:rPr>
        <w:t xml:space="preserve"> bilhões (-</w:t>
      </w:r>
      <w:r w:rsidR="00FC025F" w:rsidRPr="00FC025F">
        <w:rPr>
          <w:sz w:val="24"/>
          <w:szCs w:val="24"/>
        </w:rPr>
        <w:t>4,6</w:t>
      </w:r>
      <w:r w:rsidRPr="00FC025F">
        <w:rPr>
          <w:sz w:val="24"/>
          <w:szCs w:val="24"/>
        </w:rPr>
        <w:t>%), respectivamente</w:t>
      </w:r>
      <w:r w:rsidRPr="00FC025F">
        <w:rPr>
          <w:rStyle w:val="Refdenotaderodap"/>
          <w:sz w:val="24"/>
          <w:szCs w:val="24"/>
        </w:rPr>
        <w:footnoteReference w:id="7"/>
      </w:r>
      <w:r w:rsidRPr="00FC025F">
        <w:rPr>
          <w:sz w:val="24"/>
          <w:szCs w:val="24"/>
        </w:rPr>
        <w:t>.</w:t>
      </w:r>
    </w:p>
    <w:p w14:paraId="17FB2732" w14:textId="583031C5" w:rsidR="00C51F2D" w:rsidRPr="00D21870" w:rsidRDefault="00C51F2D" w:rsidP="00C51F2D">
      <w:pPr>
        <w:jc w:val="both"/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>II.a – Setores do Agronegócio</w:t>
      </w:r>
    </w:p>
    <w:p w14:paraId="6CB914A6" w14:textId="571B42F5" w:rsidR="00576C3E" w:rsidRPr="001013FD" w:rsidRDefault="00576C3E" w:rsidP="00576C3E">
      <w:pPr>
        <w:jc w:val="both"/>
        <w:rPr>
          <w:sz w:val="24"/>
          <w:szCs w:val="24"/>
        </w:rPr>
      </w:pPr>
      <w:r w:rsidRPr="00287E45">
        <w:rPr>
          <w:sz w:val="24"/>
          <w:szCs w:val="24"/>
        </w:rPr>
        <w:t xml:space="preserve">Em relação ao valor exportado, os setores que se destacaram no período acumulado do ano foram: complexo soja (US$ </w:t>
      </w:r>
      <w:r w:rsidR="003A6FAB" w:rsidRPr="00287E45">
        <w:rPr>
          <w:sz w:val="24"/>
          <w:szCs w:val="24"/>
        </w:rPr>
        <w:t>50,33</w:t>
      </w:r>
      <w:r w:rsidRPr="00287E45">
        <w:rPr>
          <w:sz w:val="24"/>
          <w:szCs w:val="24"/>
        </w:rPr>
        <w:t xml:space="preserve"> bilhões e </w:t>
      </w:r>
      <w:r w:rsidR="003A6FAB" w:rsidRPr="00287E45">
        <w:rPr>
          <w:sz w:val="24"/>
          <w:szCs w:val="24"/>
        </w:rPr>
        <w:t>35,9</w:t>
      </w:r>
      <w:r w:rsidRPr="00287E45">
        <w:rPr>
          <w:sz w:val="24"/>
          <w:szCs w:val="24"/>
        </w:rPr>
        <w:t xml:space="preserve">% do total exportado pelo agronegócio brasileiro); carnes (US$ </w:t>
      </w:r>
      <w:r w:rsidR="00CE5471" w:rsidRPr="00287E45">
        <w:rPr>
          <w:sz w:val="24"/>
          <w:szCs w:val="24"/>
        </w:rPr>
        <w:t>21,49</w:t>
      </w:r>
      <w:r w:rsidRPr="00287E45">
        <w:rPr>
          <w:sz w:val="24"/>
          <w:szCs w:val="24"/>
        </w:rPr>
        <w:t xml:space="preserve"> bilhões e 15,</w:t>
      </w:r>
      <w:r w:rsidR="00CE5471" w:rsidRPr="00287E45">
        <w:rPr>
          <w:sz w:val="24"/>
          <w:szCs w:val="24"/>
        </w:rPr>
        <w:t>3</w:t>
      </w:r>
      <w:r w:rsidRPr="00287E45">
        <w:rPr>
          <w:sz w:val="24"/>
          <w:szCs w:val="24"/>
        </w:rPr>
        <w:t xml:space="preserve">% do total exportado pelo agronegócio brasileiro); complexo sucroalcooleiro (US$ </w:t>
      </w:r>
      <w:r w:rsidR="00CE5471" w:rsidRPr="00287E45">
        <w:rPr>
          <w:sz w:val="24"/>
          <w:szCs w:val="24"/>
        </w:rPr>
        <w:t>16,60</w:t>
      </w:r>
      <w:r w:rsidRPr="00287E45">
        <w:rPr>
          <w:sz w:val="24"/>
          <w:szCs w:val="24"/>
        </w:rPr>
        <w:t xml:space="preserve"> bilhões e 11,</w:t>
      </w:r>
      <w:r w:rsidR="00CE5471" w:rsidRPr="00287E45">
        <w:rPr>
          <w:sz w:val="24"/>
          <w:szCs w:val="24"/>
        </w:rPr>
        <w:t>9</w:t>
      </w:r>
      <w:r w:rsidRPr="00287E45">
        <w:rPr>
          <w:sz w:val="24"/>
          <w:szCs w:val="24"/>
        </w:rPr>
        <w:t xml:space="preserve">% do total exportado pelo agronegócio brasileiro); produtos florestais (US$ </w:t>
      </w:r>
      <w:r w:rsidR="00D90D85" w:rsidRPr="00287E45">
        <w:rPr>
          <w:sz w:val="24"/>
          <w:szCs w:val="24"/>
        </w:rPr>
        <w:t>14,30</w:t>
      </w:r>
      <w:r w:rsidRPr="00287E45">
        <w:rPr>
          <w:sz w:val="24"/>
          <w:szCs w:val="24"/>
        </w:rPr>
        <w:t xml:space="preserve"> bilhões e </w:t>
      </w:r>
      <w:r w:rsidR="00D90D85" w:rsidRPr="00287E45">
        <w:rPr>
          <w:sz w:val="24"/>
          <w:szCs w:val="24"/>
        </w:rPr>
        <w:t>10,2</w:t>
      </w:r>
      <w:r w:rsidRPr="00287E45">
        <w:rPr>
          <w:sz w:val="24"/>
          <w:szCs w:val="24"/>
        </w:rPr>
        <w:t xml:space="preserve">% do total exportado pelo agronegócio brasileiro) e café (US$ </w:t>
      </w:r>
      <w:r w:rsidR="00D90D85" w:rsidRPr="00287E45">
        <w:rPr>
          <w:sz w:val="24"/>
          <w:szCs w:val="24"/>
        </w:rPr>
        <w:t>9,75</w:t>
      </w:r>
      <w:r w:rsidRPr="00287E45">
        <w:rPr>
          <w:sz w:val="24"/>
          <w:szCs w:val="24"/>
        </w:rPr>
        <w:t xml:space="preserve"> bilhões e </w:t>
      </w:r>
      <w:r w:rsidR="00D90D85" w:rsidRPr="00287E45">
        <w:rPr>
          <w:sz w:val="24"/>
          <w:szCs w:val="24"/>
        </w:rPr>
        <w:t>7,0</w:t>
      </w:r>
      <w:r w:rsidRPr="00287E45">
        <w:rPr>
          <w:sz w:val="24"/>
          <w:szCs w:val="24"/>
        </w:rPr>
        <w:t xml:space="preserve">% do total exportado pelo agronegócio brasileiro). Em conjunto os cinco setores mencionados foram responsáveis por </w:t>
      </w:r>
      <w:r w:rsidR="00287E45" w:rsidRPr="00287E45">
        <w:rPr>
          <w:sz w:val="24"/>
          <w:szCs w:val="24"/>
        </w:rPr>
        <w:t>80,3</w:t>
      </w:r>
      <w:r w:rsidRPr="00287E45">
        <w:rPr>
          <w:sz w:val="24"/>
          <w:szCs w:val="24"/>
        </w:rPr>
        <w:t xml:space="preserve">% das vendas externas do agronegócio brasileiro entre janeiro e </w:t>
      </w:r>
      <w:r w:rsidR="00287E45" w:rsidRPr="00287E45">
        <w:rPr>
          <w:sz w:val="24"/>
          <w:szCs w:val="24"/>
        </w:rPr>
        <w:t>outubro</w:t>
      </w:r>
      <w:r w:rsidRPr="00287E45">
        <w:rPr>
          <w:sz w:val="24"/>
          <w:szCs w:val="24"/>
        </w:rPr>
        <w:t xml:space="preserve"> de 2024. No mesmo período em 2023 os cinco principais setores (complexo soja, carnes, complexo sucroalcooleiro, produtos florestais e cereais, farinhas e preparações) </w:t>
      </w:r>
      <w:r w:rsidRPr="001013FD">
        <w:rPr>
          <w:sz w:val="24"/>
          <w:szCs w:val="24"/>
        </w:rPr>
        <w:t>representaram 84,</w:t>
      </w:r>
      <w:r w:rsidR="00287E45" w:rsidRPr="001013FD">
        <w:rPr>
          <w:sz w:val="24"/>
          <w:szCs w:val="24"/>
        </w:rPr>
        <w:t>0</w:t>
      </w:r>
      <w:r w:rsidRPr="001013FD">
        <w:rPr>
          <w:sz w:val="24"/>
          <w:szCs w:val="24"/>
        </w:rPr>
        <w:t>%, o que indica uma desconcentração da pauta exportadora no corrente ano. A seguir serão analisados cada um dos cinco setores destacados.</w:t>
      </w:r>
    </w:p>
    <w:p w14:paraId="2EF04CE9" w14:textId="781D27C2" w:rsidR="00A70EE5" w:rsidRDefault="00576C3E" w:rsidP="00576C3E">
      <w:pPr>
        <w:jc w:val="both"/>
        <w:rPr>
          <w:sz w:val="24"/>
          <w:szCs w:val="24"/>
        </w:rPr>
      </w:pPr>
      <w:r w:rsidRPr="001013FD">
        <w:rPr>
          <w:sz w:val="24"/>
          <w:szCs w:val="24"/>
        </w:rPr>
        <w:t xml:space="preserve">O complexo soja foi o principal setor exportador do agronegócio brasileiro </w:t>
      </w:r>
      <w:r w:rsidR="00AB2B07" w:rsidRPr="001013FD">
        <w:rPr>
          <w:sz w:val="24"/>
          <w:szCs w:val="24"/>
        </w:rPr>
        <w:t>entre janeiro e outubro de</w:t>
      </w:r>
      <w:r w:rsidRPr="001013FD">
        <w:rPr>
          <w:sz w:val="24"/>
          <w:szCs w:val="24"/>
        </w:rPr>
        <w:t xml:space="preserve"> 2024. As vendas somaram US$ </w:t>
      </w:r>
      <w:r w:rsidR="00AB2B07" w:rsidRPr="001013FD">
        <w:rPr>
          <w:sz w:val="24"/>
          <w:szCs w:val="24"/>
        </w:rPr>
        <w:t>50,33</w:t>
      </w:r>
      <w:r w:rsidRPr="001013FD">
        <w:rPr>
          <w:sz w:val="24"/>
          <w:szCs w:val="24"/>
        </w:rPr>
        <w:t xml:space="preserve"> bilhões, o que representou uma queda de 16,</w:t>
      </w:r>
      <w:r w:rsidR="00AB2B07" w:rsidRPr="001013FD">
        <w:rPr>
          <w:sz w:val="24"/>
          <w:szCs w:val="24"/>
        </w:rPr>
        <w:t>8</w:t>
      </w:r>
      <w:r w:rsidRPr="001013FD">
        <w:rPr>
          <w:sz w:val="24"/>
          <w:szCs w:val="24"/>
        </w:rPr>
        <w:t>% em relação ao ano anterior</w:t>
      </w:r>
      <w:r w:rsidR="00AB2B07" w:rsidRPr="001013FD">
        <w:rPr>
          <w:sz w:val="24"/>
          <w:szCs w:val="24"/>
        </w:rPr>
        <w:t xml:space="preserve">, quando as </w:t>
      </w:r>
      <w:r w:rsidR="004E598D" w:rsidRPr="001013FD">
        <w:rPr>
          <w:sz w:val="24"/>
          <w:szCs w:val="24"/>
        </w:rPr>
        <w:t>exportações haviam alcançado a cifra de US$ 60,47 bilhões</w:t>
      </w:r>
      <w:r w:rsidRPr="001013FD">
        <w:rPr>
          <w:sz w:val="24"/>
          <w:szCs w:val="24"/>
        </w:rPr>
        <w:t>. Esse resultado decorreu da retração no preço médio em 17,</w:t>
      </w:r>
      <w:r w:rsidR="002B1A8B" w:rsidRPr="001013FD">
        <w:rPr>
          <w:sz w:val="24"/>
          <w:szCs w:val="24"/>
        </w:rPr>
        <w:t>6</w:t>
      </w:r>
      <w:r w:rsidRPr="001013FD">
        <w:rPr>
          <w:sz w:val="24"/>
          <w:szCs w:val="24"/>
        </w:rPr>
        <w:t xml:space="preserve">%, uma vez que a quantidade embarcada aumentou </w:t>
      </w:r>
      <w:r w:rsidR="002B1A8B" w:rsidRPr="001013FD">
        <w:rPr>
          <w:sz w:val="24"/>
          <w:szCs w:val="24"/>
        </w:rPr>
        <w:t>1,0</w:t>
      </w:r>
      <w:r w:rsidRPr="001013FD">
        <w:rPr>
          <w:sz w:val="24"/>
          <w:szCs w:val="24"/>
        </w:rPr>
        <w:t xml:space="preserve">%. A soja em grãos é o principal produto do setor, sendo responsável por </w:t>
      </w:r>
      <w:r w:rsidR="002B1A8B" w:rsidRPr="001013FD">
        <w:rPr>
          <w:sz w:val="24"/>
          <w:szCs w:val="24"/>
        </w:rPr>
        <w:t>81,4</w:t>
      </w:r>
      <w:r w:rsidRPr="001013FD">
        <w:rPr>
          <w:sz w:val="24"/>
          <w:szCs w:val="24"/>
        </w:rPr>
        <w:t xml:space="preserve">% do </w:t>
      </w:r>
      <w:r w:rsidRPr="00F07657">
        <w:rPr>
          <w:sz w:val="24"/>
          <w:szCs w:val="24"/>
        </w:rPr>
        <w:t xml:space="preserve">valor exportado. As vendas do grão foram de US$ </w:t>
      </w:r>
      <w:r w:rsidR="001013FD" w:rsidRPr="00F07657">
        <w:rPr>
          <w:sz w:val="24"/>
          <w:szCs w:val="24"/>
        </w:rPr>
        <w:t>40,96</w:t>
      </w:r>
      <w:r w:rsidRPr="00F07657">
        <w:rPr>
          <w:sz w:val="24"/>
          <w:szCs w:val="24"/>
        </w:rPr>
        <w:t xml:space="preserve"> bilhões, isto é, </w:t>
      </w:r>
      <w:r w:rsidR="001013FD" w:rsidRPr="00F07657">
        <w:rPr>
          <w:sz w:val="24"/>
          <w:szCs w:val="24"/>
        </w:rPr>
        <w:t>15,6</w:t>
      </w:r>
      <w:r w:rsidRPr="00F07657">
        <w:rPr>
          <w:sz w:val="24"/>
          <w:szCs w:val="24"/>
        </w:rPr>
        <w:t>% inferiores a 2023. Apesar da quantidade embarcada ter sido recorde (</w:t>
      </w:r>
      <w:r w:rsidR="004C3B1F" w:rsidRPr="00F07657">
        <w:rPr>
          <w:sz w:val="24"/>
          <w:szCs w:val="24"/>
        </w:rPr>
        <w:t>94,25</w:t>
      </w:r>
      <w:r w:rsidRPr="00F07657">
        <w:rPr>
          <w:sz w:val="24"/>
          <w:szCs w:val="24"/>
        </w:rPr>
        <w:t xml:space="preserve"> milhões de toneladas) e </w:t>
      </w:r>
      <w:r w:rsidR="001F08A6" w:rsidRPr="00F07657">
        <w:rPr>
          <w:sz w:val="24"/>
          <w:szCs w:val="24"/>
        </w:rPr>
        <w:t>1,5</w:t>
      </w:r>
      <w:r w:rsidRPr="00F07657">
        <w:rPr>
          <w:sz w:val="24"/>
          <w:szCs w:val="24"/>
        </w:rPr>
        <w:t>% superior ao ano anterior, não foi suficiente para compensar a queda de 16,</w:t>
      </w:r>
      <w:r w:rsidR="001F08A6" w:rsidRPr="00F07657">
        <w:rPr>
          <w:sz w:val="24"/>
          <w:szCs w:val="24"/>
        </w:rPr>
        <w:t>8</w:t>
      </w:r>
      <w:r w:rsidRPr="00F07657">
        <w:rPr>
          <w:sz w:val="24"/>
          <w:szCs w:val="24"/>
        </w:rPr>
        <w:t xml:space="preserve">% no preço médio do produto, que passou de US$ 523 para US$ 435 por tonelada. </w:t>
      </w:r>
      <w:r w:rsidR="00737DEE">
        <w:rPr>
          <w:sz w:val="24"/>
          <w:szCs w:val="24"/>
        </w:rPr>
        <w:t xml:space="preserve">Os preços internacionais de soja caíram como reflexo </w:t>
      </w:r>
      <w:r w:rsidR="00F96EE1">
        <w:rPr>
          <w:sz w:val="24"/>
          <w:szCs w:val="24"/>
        </w:rPr>
        <w:t>da ampla oferta do mercado norte americano</w:t>
      </w:r>
      <w:r w:rsidR="008837BB">
        <w:rPr>
          <w:sz w:val="24"/>
          <w:szCs w:val="24"/>
        </w:rPr>
        <w:t xml:space="preserve"> e só não foram maiores em função da alta demanda pelo produto no mercado internacional</w:t>
      </w:r>
      <w:r w:rsidR="008837BB">
        <w:rPr>
          <w:rStyle w:val="Refdenotaderodap"/>
          <w:sz w:val="24"/>
          <w:szCs w:val="24"/>
        </w:rPr>
        <w:footnoteReference w:id="8"/>
      </w:r>
      <w:r w:rsidR="00F96EE1">
        <w:rPr>
          <w:sz w:val="24"/>
          <w:szCs w:val="24"/>
        </w:rPr>
        <w:t xml:space="preserve">. </w:t>
      </w:r>
      <w:r w:rsidRPr="00F07657">
        <w:rPr>
          <w:sz w:val="24"/>
          <w:szCs w:val="24"/>
        </w:rPr>
        <w:t xml:space="preserve">O mercado chinês foi o principal destino da soja em grãos brasileira, com US$ </w:t>
      </w:r>
      <w:r w:rsidR="007C671B" w:rsidRPr="00F07657">
        <w:rPr>
          <w:sz w:val="24"/>
          <w:szCs w:val="24"/>
        </w:rPr>
        <w:t>29,95</w:t>
      </w:r>
      <w:r w:rsidRPr="00F07657">
        <w:rPr>
          <w:sz w:val="24"/>
          <w:szCs w:val="24"/>
        </w:rPr>
        <w:t xml:space="preserve"> bilhões, ou 73,1% do total. A quantidade exportada para o destino </w:t>
      </w:r>
      <w:r w:rsidR="00AA1372" w:rsidRPr="00F07657">
        <w:rPr>
          <w:sz w:val="24"/>
          <w:szCs w:val="24"/>
        </w:rPr>
        <w:t>(</w:t>
      </w:r>
      <w:r w:rsidR="00332C9A" w:rsidRPr="00F07657">
        <w:rPr>
          <w:sz w:val="24"/>
          <w:szCs w:val="24"/>
        </w:rPr>
        <w:t xml:space="preserve">68,98 milhões de toneladas) </w:t>
      </w:r>
      <w:r w:rsidRPr="00F07657">
        <w:rPr>
          <w:sz w:val="24"/>
          <w:szCs w:val="24"/>
        </w:rPr>
        <w:t xml:space="preserve">foi </w:t>
      </w:r>
      <w:r w:rsidR="00AA1372" w:rsidRPr="00F07657">
        <w:rPr>
          <w:sz w:val="24"/>
          <w:szCs w:val="24"/>
        </w:rPr>
        <w:t>3,5</w:t>
      </w:r>
      <w:r w:rsidRPr="00F07657">
        <w:rPr>
          <w:sz w:val="24"/>
          <w:szCs w:val="24"/>
        </w:rPr>
        <w:t xml:space="preserve">% acima do que havia sido registrado no ano prévio, porém em função da queda no preço, houve retração de </w:t>
      </w:r>
      <w:r w:rsidR="00332C9A" w:rsidRPr="00F07657">
        <w:rPr>
          <w:sz w:val="24"/>
          <w:szCs w:val="24"/>
        </w:rPr>
        <w:t>14,0</w:t>
      </w:r>
      <w:r w:rsidRPr="00F07657">
        <w:rPr>
          <w:sz w:val="24"/>
          <w:szCs w:val="24"/>
        </w:rPr>
        <w:t xml:space="preserve">% em valor, ou em termos absolutos foram quase US$ </w:t>
      </w:r>
      <w:r w:rsidR="00F07657" w:rsidRPr="00F07657">
        <w:rPr>
          <w:sz w:val="24"/>
          <w:szCs w:val="24"/>
        </w:rPr>
        <w:t>5</w:t>
      </w:r>
      <w:r w:rsidRPr="00F07657">
        <w:rPr>
          <w:sz w:val="24"/>
          <w:szCs w:val="24"/>
        </w:rPr>
        <w:t xml:space="preserve"> </w:t>
      </w:r>
      <w:r w:rsidRPr="00F07657">
        <w:rPr>
          <w:sz w:val="24"/>
          <w:szCs w:val="24"/>
        </w:rPr>
        <w:lastRenderedPageBreak/>
        <w:t xml:space="preserve">bilhões a menos. </w:t>
      </w:r>
      <w:r w:rsidR="00E03F4F">
        <w:rPr>
          <w:sz w:val="24"/>
          <w:szCs w:val="24"/>
        </w:rPr>
        <w:t xml:space="preserve">A União </w:t>
      </w:r>
      <w:r w:rsidR="00A70EE5">
        <w:rPr>
          <w:sz w:val="24"/>
          <w:szCs w:val="24"/>
        </w:rPr>
        <w:t>E</w:t>
      </w:r>
      <w:r w:rsidR="00E03F4F">
        <w:rPr>
          <w:sz w:val="24"/>
          <w:szCs w:val="24"/>
        </w:rPr>
        <w:t xml:space="preserve">uropeia foi o segundo destino </w:t>
      </w:r>
      <w:r w:rsidR="00A70EE5">
        <w:rPr>
          <w:sz w:val="24"/>
          <w:szCs w:val="24"/>
        </w:rPr>
        <w:t xml:space="preserve">da soja em grãos brasileira, com US$ </w:t>
      </w:r>
      <w:r w:rsidR="009C1D73">
        <w:rPr>
          <w:sz w:val="24"/>
          <w:szCs w:val="24"/>
        </w:rPr>
        <w:t>2,92</w:t>
      </w:r>
      <w:r w:rsidR="009E0AE3">
        <w:rPr>
          <w:sz w:val="24"/>
          <w:szCs w:val="24"/>
        </w:rPr>
        <w:t xml:space="preserve"> bilhões (+2,4%); seguida pela Tailândia, que registrou US$ </w:t>
      </w:r>
      <w:r w:rsidR="00EC2F64">
        <w:rPr>
          <w:sz w:val="24"/>
          <w:szCs w:val="24"/>
        </w:rPr>
        <w:t>1,28</w:t>
      </w:r>
      <w:r w:rsidR="009E0AE3">
        <w:rPr>
          <w:sz w:val="24"/>
          <w:szCs w:val="24"/>
        </w:rPr>
        <w:t xml:space="preserve"> bilh</w:t>
      </w:r>
      <w:r w:rsidR="00EC2F64">
        <w:rPr>
          <w:sz w:val="24"/>
          <w:szCs w:val="24"/>
        </w:rPr>
        <w:t>ão</w:t>
      </w:r>
      <w:r w:rsidR="009E0AE3">
        <w:rPr>
          <w:sz w:val="24"/>
          <w:szCs w:val="24"/>
        </w:rPr>
        <w:t xml:space="preserve"> (+4,6%).</w:t>
      </w:r>
    </w:p>
    <w:p w14:paraId="7767ACC6" w14:textId="05CFF21F" w:rsidR="00576C3E" w:rsidRPr="004D4567" w:rsidRDefault="009B24E1" w:rsidP="00576C3E">
      <w:pPr>
        <w:jc w:val="both"/>
        <w:rPr>
          <w:sz w:val="24"/>
          <w:szCs w:val="24"/>
        </w:rPr>
      </w:pPr>
      <w:r w:rsidRPr="001B1E42">
        <w:rPr>
          <w:sz w:val="24"/>
          <w:szCs w:val="24"/>
        </w:rPr>
        <w:t xml:space="preserve">As exportações de </w:t>
      </w:r>
      <w:r w:rsidR="00576C3E" w:rsidRPr="001B1E42">
        <w:rPr>
          <w:sz w:val="24"/>
          <w:szCs w:val="24"/>
        </w:rPr>
        <w:t>farelo de soja</w:t>
      </w:r>
      <w:r w:rsidRPr="001B1E42">
        <w:rPr>
          <w:sz w:val="24"/>
          <w:szCs w:val="24"/>
        </w:rPr>
        <w:t xml:space="preserve"> </w:t>
      </w:r>
      <w:r w:rsidR="00576C3E" w:rsidRPr="001B1E42">
        <w:rPr>
          <w:sz w:val="24"/>
          <w:szCs w:val="24"/>
        </w:rPr>
        <w:t xml:space="preserve">somaram US$ </w:t>
      </w:r>
      <w:r w:rsidR="0025534F" w:rsidRPr="001B1E42">
        <w:rPr>
          <w:sz w:val="24"/>
          <w:szCs w:val="24"/>
        </w:rPr>
        <w:t>8,27</w:t>
      </w:r>
      <w:r w:rsidR="00576C3E" w:rsidRPr="001B1E42">
        <w:rPr>
          <w:sz w:val="24"/>
          <w:szCs w:val="24"/>
        </w:rPr>
        <w:t xml:space="preserve"> milhões. Assim como o grão, houve queda no valor exportado (-</w:t>
      </w:r>
      <w:r w:rsidR="0050519F" w:rsidRPr="001B1E42">
        <w:rPr>
          <w:sz w:val="24"/>
          <w:szCs w:val="24"/>
        </w:rPr>
        <w:t>14,5</w:t>
      </w:r>
      <w:r w:rsidR="00576C3E" w:rsidRPr="001B1E42">
        <w:rPr>
          <w:sz w:val="24"/>
          <w:szCs w:val="24"/>
        </w:rPr>
        <w:t>%), decorrente da redução no preço (-17,</w:t>
      </w:r>
      <w:r w:rsidR="0050519F" w:rsidRPr="001B1E42">
        <w:rPr>
          <w:sz w:val="24"/>
          <w:szCs w:val="24"/>
        </w:rPr>
        <w:t>6</w:t>
      </w:r>
      <w:r w:rsidR="00576C3E" w:rsidRPr="001B1E42">
        <w:rPr>
          <w:sz w:val="24"/>
          <w:szCs w:val="24"/>
        </w:rPr>
        <w:t>%), mesmo com a quantidade recorde (</w:t>
      </w:r>
      <w:r w:rsidR="00403A33" w:rsidRPr="001B1E42">
        <w:rPr>
          <w:sz w:val="24"/>
          <w:szCs w:val="24"/>
        </w:rPr>
        <w:t>19,48</w:t>
      </w:r>
      <w:r w:rsidR="00576C3E" w:rsidRPr="001B1E42">
        <w:rPr>
          <w:sz w:val="24"/>
          <w:szCs w:val="24"/>
        </w:rPr>
        <w:t xml:space="preserve"> milhões de toneladas e </w:t>
      </w:r>
      <w:r w:rsidR="00403A33" w:rsidRPr="001B1E42">
        <w:rPr>
          <w:sz w:val="24"/>
          <w:szCs w:val="24"/>
        </w:rPr>
        <w:t>+3,7</w:t>
      </w:r>
      <w:r w:rsidR="00576C3E" w:rsidRPr="001B1E42">
        <w:rPr>
          <w:sz w:val="24"/>
          <w:szCs w:val="24"/>
        </w:rPr>
        <w:t xml:space="preserve">% em </w:t>
      </w:r>
      <w:r w:rsidR="00403A33" w:rsidRPr="001B1E42">
        <w:rPr>
          <w:sz w:val="24"/>
          <w:szCs w:val="24"/>
        </w:rPr>
        <w:t xml:space="preserve">relação a </w:t>
      </w:r>
      <w:r w:rsidR="00576C3E" w:rsidRPr="001B1E42">
        <w:rPr>
          <w:sz w:val="24"/>
          <w:szCs w:val="24"/>
        </w:rPr>
        <w:t xml:space="preserve">2023). </w:t>
      </w:r>
      <w:r w:rsidR="00F66E62" w:rsidRPr="001B1E42">
        <w:rPr>
          <w:sz w:val="24"/>
          <w:szCs w:val="24"/>
        </w:rPr>
        <w:t xml:space="preserve">O principal destino foi a </w:t>
      </w:r>
      <w:r w:rsidR="00576C3E" w:rsidRPr="001B1E42">
        <w:rPr>
          <w:sz w:val="24"/>
          <w:szCs w:val="24"/>
        </w:rPr>
        <w:t xml:space="preserve">União Europeia </w:t>
      </w:r>
      <w:r w:rsidR="00F66E62" w:rsidRPr="001B1E42">
        <w:rPr>
          <w:sz w:val="24"/>
          <w:szCs w:val="24"/>
        </w:rPr>
        <w:t>que foi responsável por</w:t>
      </w:r>
      <w:r w:rsidR="00576C3E" w:rsidRPr="001B1E42">
        <w:rPr>
          <w:sz w:val="24"/>
          <w:szCs w:val="24"/>
        </w:rPr>
        <w:t xml:space="preserve"> </w:t>
      </w:r>
      <w:r w:rsidR="00F00AC9" w:rsidRPr="001B1E42">
        <w:rPr>
          <w:sz w:val="24"/>
          <w:szCs w:val="24"/>
        </w:rPr>
        <w:t>42,8</w:t>
      </w:r>
      <w:r w:rsidR="00576C3E" w:rsidRPr="001B1E42">
        <w:rPr>
          <w:sz w:val="24"/>
          <w:szCs w:val="24"/>
        </w:rPr>
        <w:t>% das vendas externas do produto brasileiro, somando US$ 3,</w:t>
      </w:r>
      <w:r w:rsidR="007C6EBF" w:rsidRPr="001B1E42">
        <w:rPr>
          <w:sz w:val="24"/>
          <w:szCs w:val="24"/>
        </w:rPr>
        <w:t>54</w:t>
      </w:r>
      <w:r w:rsidR="00576C3E" w:rsidRPr="001B1E42">
        <w:rPr>
          <w:sz w:val="24"/>
          <w:szCs w:val="24"/>
        </w:rPr>
        <w:t xml:space="preserve"> bilhões (-25,7%).  </w:t>
      </w:r>
      <w:r w:rsidR="00C30422" w:rsidRPr="001B1E42">
        <w:rPr>
          <w:sz w:val="24"/>
          <w:szCs w:val="24"/>
        </w:rPr>
        <w:t xml:space="preserve">Na comparação com o ano prévio houve queda de 21,0% nas vendas do produto </w:t>
      </w:r>
      <w:r w:rsidR="00C30422" w:rsidRPr="0055016D">
        <w:rPr>
          <w:sz w:val="24"/>
          <w:szCs w:val="24"/>
        </w:rPr>
        <w:t xml:space="preserve">brasileiro ao bloco. </w:t>
      </w:r>
      <w:r w:rsidR="00576C3E" w:rsidRPr="0055016D">
        <w:rPr>
          <w:sz w:val="24"/>
          <w:szCs w:val="24"/>
        </w:rPr>
        <w:t>Indonésia e Tailândia se destacaram em seguida, com US$ 1,</w:t>
      </w:r>
      <w:r w:rsidR="00F5517A" w:rsidRPr="0055016D">
        <w:rPr>
          <w:sz w:val="24"/>
          <w:szCs w:val="24"/>
        </w:rPr>
        <w:t>38</w:t>
      </w:r>
      <w:r w:rsidR="00576C3E" w:rsidRPr="0055016D">
        <w:rPr>
          <w:sz w:val="24"/>
          <w:szCs w:val="24"/>
        </w:rPr>
        <w:t xml:space="preserve"> bilhão (-</w:t>
      </w:r>
      <w:r w:rsidR="000C7BEB" w:rsidRPr="0055016D">
        <w:rPr>
          <w:sz w:val="24"/>
          <w:szCs w:val="24"/>
        </w:rPr>
        <w:t>9,1</w:t>
      </w:r>
      <w:r w:rsidR="00576C3E" w:rsidRPr="0055016D">
        <w:rPr>
          <w:sz w:val="24"/>
          <w:szCs w:val="24"/>
        </w:rPr>
        <w:t xml:space="preserve">%) e US$ </w:t>
      </w:r>
      <w:r w:rsidR="000C7BEB" w:rsidRPr="0055016D">
        <w:rPr>
          <w:sz w:val="24"/>
          <w:szCs w:val="24"/>
        </w:rPr>
        <w:t>1,02</w:t>
      </w:r>
      <w:r w:rsidR="00576C3E" w:rsidRPr="0055016D">
        <w:rPr>
          <w:sz w:val="24"/>
          <w:szCs w:val="24"/>
        </w:rPr>
        <w:t xml:space="preserve"> </w:t>
      </w:r>
      <w:r w:rsidR="000C7BEB" w:rsidRPr="0055016D">
        <w:rPr>
          <w:sz w:val="24"/>
          <w:szCs w:val="24"/>
        </w:rPr>
        <w:t>bilhão</w:t>
      </w:r>
      <w:r w:rsidR="00C30422" w:rsidRPr="0055016D">
        <w:rPr>
          <w:sz w:val="24"/>
          <w:szCs w:val="24"/>
        </w:rPr>
        <w:t xml:space="preserve"> (27,9%)</w:t>
      </w:r>
      <w:r w:rsidR="007C6EBF" w:rsidRPr="0055016D">
        <w:rPr>
          <w:sz w:val="24"/>
          <w:szCs w:val="24"/>
        </w:rPr>
        <w:t xml:space="preserve">. </w:t>
      </w:r>
      <w:r w:rsidR="00787104" w:rsidRPr="0055016D">
        <w:rPr>
          <w:sz w:val="24"/>
          <w:szCs w:val="24"/>
        </w:rPr>
        <w:t>Por outro lado, as</w:t>
      </w:r>
      <w:r w:rsidR="00576C3E" w:rsidRPr="0055016D">
        <w:rPr>
          <w:sz w:val="24"/>
          <w:szCs w:val="24"/>
        </w:rPr>
        <w:t xml:space="preserve"> exportações de óleo de soja</w:t>
      </w:r>
      <w:r w:rsidR="00DD2364" w:rsidRPr="0055016D">
        <w:rPr>
          <w:sz w:val="24"/>
          <w:szCs w:val="24"/>
        </w:rPr>
        <w:t xml:space="preserve"> registraram queda de 51,8%, somando </w:t>
      </w:r>
      <w:r w:rsidR="00576C3E" w:rsidRPr="0055016D">
        <w:rPr>
          <w:sz w:val="24"/>
          <w:szCs w:val="24"/>
        </w:rPr>
        <w:t>US$ 1,</w:t>
      </w:r>
      <w:r w:rsidR="00DD2364" w:rsidRPr="0055016D">
        <w:rPr>
          <w:sz w:val="24"/>
          <w:szCs w:val="24"/>
        </w:rPr>
        <w:t>0</w:t>
      </w:r>
      <w:r w:rsidR="00576C3E" w:rsidRPr="0055016D">
        <w:rPr>
          <w:sz w:val="24"/>
          <w:szCs w:val="24"/>
        </w:rPr>
        <w:t>0 bilhão</w:t>
      </w:r>
      <w:r w:rsidR="00115552" w:rsidRPr="0055016D">
        <w:rPr>
          <w:sz w:val="24"/>
          <w:szCs w:val="24"/>
        </w:rPr>
        <w:t xml:space="preserve">. Tanto a quantidade embarcada como o preço do produto sofreram redução: </w:t>
      </w:r>
      <w:r w:rsidR="00576C3E" w:rsidRPr="0055016D">
        <w:rPr>
          <w:sz w:val="24"/>
          <w:szCs w:val="24"/>
        </w:rPr>
        <w:t>-</w:t>
      </w:r>
      <w:r w:rsidR="000A7260" w:rsidRPr="0055016D">
        <w:rPr>
          <w:sz w:val="24"/>
          <w:szCs w:val="24"/>
        </w:rPr>
        <w:t>45,4</w:t>
      </w:r>
      <w:r w:rsidR="00576C3E" w:rsidRPr="0055016D">
        <w:rPr>
          <w:sz w:val="24"/>
          <w:szCs w:val="24"/>
        </w:rPr>
        <w:t>%</w:t>
      </w:r>
      <w:r w:rsidR="001B0415" w:rsidRPr="0055016D">
        <w:rPr>
          <w:sz w:val="24"/>
          <w:szCs w:val="24"/>
        </w:rPr>
        <w:t xml:space="preserve"> e </w:t>
      </w:r>
      <w:r w:rsidR="00576C3E" w:rsidRPr="0055016D">
        <w:rPr>
          <w:sz w:val="24"/>
          <w:szCs w:val="24"/>
        </w:rPr>
        <w:t>-</w:t>
      </w:r>
      <w:r w:rsidR="000A7260" w:rsidRPr="0055016D">
        <w:rPr>
          <w:sz w:val="24"/>
          <w:szCs w:val="24"/>
        </w:rPr>
        <w:t>11,8</w:t>
      </w:r>
      <w:r w:rsidR="00576C3E" w:rsidRPr="0055016D">
        <w:rPr>
          <w:sz w:val="24"/>
          <w:szCs w:val="24"/>
        </w:rPr>
        <w:t>%</w:t>
      </w:r>
      <w:r w:rsidR="001B0415" w:rsidRPr="0055016D">
        <w:rPr>
          <w:sz w:val="24"/>
          <w:szCs w:val="24"/>
        </w:rPr>
        <w:t>, respectivamente</w:t>
      </w:r>
      <w:r w:rsidR="00576C3E" w:rsidRPr="0055016D">
        <w:rPr>
          <w:sz w:val="24"/>
          <w:szCs w:val="24"/>
        </w:rPr>
        <w:t xml:space="preserve">. Os principais mercados de destino </w:t>
      </w:r>
      <w:r w:rsidR="00BB2685" w:rsidRPr="0055016D">
        <w:rPr>
          <w:sz w:val="24"/>
          <w:szCs w:val="24"/>
        </w:rPr>
        <w:t xml:space="preserve">do óleo de </w:t>
      </w:r>
      <w:r w:rsidR="00BB2685" w:rsidRPr="004D4567">
        <w:rPr>
          <w:sz w:val="24"/>
          <w:szCs w:val="24"/>
        </w:rPr>
        <w:t xml:space="preserve">soja em bruto </w:t>
      </w:r>
      <w:r w:rsidR="00576C3E" w:rsidRPr="004D4567">
        <w:rPr>
          <w:sz w:val="24"/>
          <w:szCs w:val="24"/>
        </w:rPr>
        <w:t xml:space="preserve">foram: Índia (US$ </w:t>
      </w:r>
      <w:r w:rsidR="00BB2685" w:rsidRPr="004D4567">
        <w:rPr>
          <w:sz w:val="24"/>
          <w:szCs w:val="24"/>
        </w:rPr>
        <w:t>575,50</w:t>
      </w:r>
      <w:r w:rsidR="00576C3E" w:rsidRPr="004D4567">
        <w:rPr>
          <w:sz w:val="24"/>
          <w:szCs w:val="24"/>
        </w:rPr>
        <w:t xml:space="preserve"> milhões</w:t>
      </w:r>
      <w:r w:rsidR="00BB2685" w:rsidRPr="004D4567">
        <w:rPr>
          <w:sz w:val="24"/>
          <w:szCs w:val="24"/>
        </w:rPr>
        <w:t xml:space="preserve"> e </w:t>
      </w:r>
      <w:r w:rsidR="00692436" w:rsidRPr="004D4567">
        <w:rPr>
          <w:sz w:val="24"/>
          <w:szCs w:val="24"/>
        </w:rPr>
        <w:t>-50,9%</w:t>
      </w:r>
      <w:r w:rsidR="0055016D" w:rsidRPr="004D4567">
        <w:rPr>
          <w:sz w:val="24"/>
          <w:szCs w:val="24"/>
        </w:rPr>
        <w:t xml:space="preserve"> em relação a 2023</w:t>
      </w:r>
      <w:r w:rsidR="00576C3E" w:rsidRPr="004D4567">
        <w:rPr>
          <w:sz w:val="24"/>
          <w:szCs w:val="24"/>
        </w:rPr>
        <w:t>), China (US$ 139,44 milhões</w:t>
      </w:r>
      <w:r w:rsidR="00692436" w:rsidRPr="004D4567">
        <w:rPr>
          <w:sz w:val="24"/>
          <w:szCs w:val="24"/>
        </w:rPr>
        <w:t xml:space="preserve"> e -47,1%</w:t>
      </w:r>
      <w:r w:rsidR="00576C3E" w:rsidRPr="004D4567">
        <w:rPr>
          <w:sz w:val="24"/>
          <w:szCs w:val="24"/>
        </w:rPr>
        <w:t>) e Bangladesh (US$ 114,80 milhões</w:t>
      </w:r>
      <w:r w:rsidR="00C745E9" w:rsidRPr="004D4567">
        <w:rPr>
          <w:sz w:val="24"/>
          <w:szCs w:val="24"/>
        </w:rPr>
        <w:t xml:space="preserve"> e -</w:t>
      </w:r>
      <w:r w:rsidR="0055016D" w:rsidRPr="004D4567">
        <w:rPr>
          <w:sz w:val="24"/>
          <w:szCs w:val="24"/>
        </w:rPr>
        <w:t>56,0%</w:t>
      </w:r>
      <w:r w:rsidR="00576C3E" w:rsidRPr="004D4567">
        <w:rPr>
          <w:sz w:val="24"/>
          <w:szCs w:val="24"/>
        </w:rPr>
        <w:t xml:space="preserve">). </w:t>
      </w:r>
    </w:p>
    <w:p w14:paraId="3075DCF1" w14:textId="2A5792A9" w:rsidR="008F5347" w:rsidRPr="007902B3" w:rsidRDefault="00301BED" w:rsidP="00224718">
      <w:pPr>
        <w:jc w:val="both"/>
        <w:rPr>
          <w:sz w:val="24"/>
          <w:szCs w:val="24"/>
        </w:rPr>
      </w:pPr>
      <w:r w:rsidRPr="004D4567">
        <w:rPr>
          <w:sz w:val="24"/>
          <w:szCs w:val="24"/>
        </w:rPr>
        <w:t xml:space="preserve">As carnes ocuparam a segunda posição no </w:t>
      </w:r>
      <w:r w:rsidR="00741FA0" w:rsidRPr="004D4567">
        <w:rPr>
          <w:i/>
          <w:iCs/>
          <w:sz w:val="24"/>
          <w:szCs w:val="24"/>
        </w:rPr>
        <w:t xml:space="preserve">ranking </w:t>
      </w:r>
      <w:r w:rsidR="00741FA0" w:rsidRPr="004D4567">
        <w:rPr>
          <w:sz w:val="24"/>
          <w:szCs w:val="24"/>
        </w:rPr>
        <w:t>de</w:t>
      </w:r>
      <w:r w:rsidRPr="004D4567">
        <w:rPr>
          <w:sz w:val="24"/>
          <w:szCs w:val="24"/>
        </w:rPr>
        <w:t xml:space="preserve"> setores exportadores do agro brasileiro, tendo alcançado a cifra de 21,49 bilhões</w:t>
      </w:r>
      <w:r w:rsidR="0063493E" w:rsidRPr="004D4567">
        <w:rPr>
          <w:sz w:val="24"/>
          <w:szCs w:val="24"/>
        </w:rPr>
        <w:t>, o que representou crescimento de 10,1%</w:t>
      </w:r>
      <w:r w:rsidR="00576C3E" w:rsidRPr="004D4567">
        <w:rPr>
          <w:sz w:val="24"/>
          <w:szCs w:val="24"/>
        </w:rPr>
        <w:t>. A carne bovina representou quase metade desse valor (48,</w:t>
      </w:r>
      <w:r w:rsidR="00741FA0" w:rsidRPr="004D4567">
        <w:rPr>
          <w:sz w:val="24"/>
          <w:szCs w:val="24"/>
        </w:rPr>
        <w:t>9</w:t>
      </w:r>
      <w:r w:rsidR="00576C3E" w:rsidRPr="004D4567">
        <w:rPr>
          <w:sz w:val="24"/>
          <w:szCs w:val="24"/>
        </w:rPr>
        <w:t xml:space="preserve">%), somando US$ </w:t>
      </w:r>
      <w:r w:rsidR="00741FA0" w:rsidRPr="004D4567">
        <w:rPr>
          <w:sz w:val="24"/>
          <w:szCs w:val="24"/>
        </w:rPr>
        <w:t>10,50</w:t>
      </w:r>
      <w:r w:rsidR="00576C3E" w:rsidRPr="004D4567">
        <w:rPr>
          <w:sz w:val="24"/>
          <w:szCs w:val="24"/>
        </w:rPr>
        <w:t xml:space="preserve"> bilhões, enquanto as carnes de frango e suína foram responsáveis por 37,</w:t>
      </w:r>
      <w:r w:rsidR="00741FA0" w:rsidRPr="004D4567">
        <w:rPr>
          <w:sz w:val="24"/>
          <w:szCs w:val="24"/>
        </w:rPr>
        <w:t>4</w:t>
      </w:r>
      <w:r w:rsidR="00576C3E" w:rsidRPr="004D4567">
        <w:rPr>
          <w:sz w:val="24"/>
          <w:szCs w:val="24"/>
        </w:rPr>
        <w:t>% e 11,</w:t>
      </w:r>
      <w:r w:rsidR="00741FA0" w:rsidRPr="004D4567">
        <w:rPr>
          <w:sz w:val="24"/>
          <w:szCs w:val="24"/>
        </w:rPr>
        <w:t>4</w:t>
      </w:r>
      <w:r w:rsidR="00576C3E" w:rsidRPr="004D4567">
        <w:rPr>
          <w:sz w:val="24"/>
          <w:szCs w:val="24"/>
        </w:rPr>
        <w:t xml:space="preserve">%, respectivamente. </w:t>
      </w:r>
      <w:r w:rsidR="00111136" w:rsidRPr="004D4567">
        <w:rPr>
          <w:sz w:val="24"/>
          <w:szCs w:val="24"/>
        </w:rPr>
        <w:t xml:space="preserve">As </w:t>
      </w:r>
      <w:r w:rsidR="00B1299F" w:rsidRPr="004D4567">
        <w:rPr>
          <w:sz w:val="24"/>
          <w:szCs w:val="24"/>
        </w:rPr>
        <w:t>exportações</w:t>
      </w:r>
      <w:r w:rsidR="00111136" w:rsidRPr="004D4567">
        <w:rPr>
          <w:sz w:val="24"/>
          <w:szCs w:val="24"/>
        </w:rPr>
        <w:t xml:space="preserve"> de carne bovina </w:t>
      </w:r>
      <w:r w:rsidR="00111136" w:rsidRPr="004D4567">
        <w:rPr>
          <w:i/>
          <w:iCs/>
          <w:sz w:val="24"/>
          <w:szCs w:val="24"/>
        </w:rPr>
        <w:t xml:space="preserve">in </w:t>
      </w:r>
      <w:r w:rsidR="00873A5C" w:rsidRPr="004D4567">
        <w:rPr>
          <w:i/>
          <w:iCs/>
          <w:sz w:val="24"/>
          <w:szCs w:val="24"/>
        </w:rPr>
        <w:t xml:space="preserve">natura </w:t>
      </w:r>
      <w:r w:rsidR="00873A5C" w:rsidRPr="004D4567">
        <w:rPr>
          <w:sz w:val="24"/>
          <w:szCs w:val="24"/>
        </w:rPr>
        <w:t>foram</w:t>
      </w:r>
      <w:r w:rsidR="00111136" w:rsidRPr="004D4567">
        <w:rPr>
          <w:sz w:val="24"/>
          <w:szCs w:val="24"/>
        </w:rPr>
        <w:t xml:space="preserve"> de US$ </w:t>
      </w:r>
      <w:r w:rsidR="00873A5C" w:rsidRPr="004D4567">
        <w:rPr>
          <w:sz w:val="24"/>
          <w:szCs w:val="24"/>
        </w:rPr>
        <w:t xml:space="preserve">9,54 bilhões, um incremento de 24,2% em relação a 2023. </w:t>
      </w:r>
      <w:r w:rsidR="005F47DF">
        <w:rPr>
          <w:sz w:val="24"/>
          <w:szCs w:val="24"/>
        </w:rPr>
        <w:t xml:space="preserve">A quantidade exportada foi recorde, com 2,12 milhões de toneladas. </w:t>
      </w:r>
      <w:r w:rsidR="00F51C73">
        <w:rPr>
          <w:sz w:val="24"/>
          <w:szCs w:val="24"/>
        </w:rPr>
        <w:t xml:space="preserve">De acordo com o CEPEA, </w:t>
      </w:r>
      <w:r w:rsidR="00CE650B">
        <w:rPr>
          <w:sz w:val="24"/>
          <w:szCs w:val="24"/>
        </w:rPr>
        <w:t>“</w:t>
      </w:r>
      <w:r w:rsidR="00224718">
        <w:rPr>
          <w:sz w:val="24"/>
          <w:szCs w:val="24"/>
        </w:rPr>
        <w:t>c</w:t>
      </w:r>
      <w:r w:rsidR="00224718" w:rsidRPr="00224718">
        <w:rPr>
          <w:sz w:val="24"/>
          <w:szCs w:val="24"/>
        </w:rPr>
        <w:t>om a oferta escassa dos Estados Unidos, o Brasil se mantém como o</w:t>
      </w:r>
      <w:r w:rsidR="0053675E">
        <w:rPr>
          <w:sz w:val="24"/>
          <w:szCs w:val="24"/>
        </w:rPr>
        <w:t xml:space="preserve"> </w:t>
      </w:r>
      <w:r w:rsidR="00224718" w:rsidRPr="00224718">
        <w:rPr>
          <w:sz w:val="24"/>
          <w:szCs w:val="24"/>
        </w:rPr>
        <w:t>grande provedor mundial e tem conseguido reajustar os preços em</w:t>
      </w:r>
      <w:r w:rsidR="0053675E">
        <w:rPr>
          <w:sz w:val="24"/>
          <w:szCs w:val="24"/>
        </w:rPr>
        <w:t xml:space="preserve"> </w:t>
      </w:r>
      <w:r w:rsidR="00224718" w:rsidRPr="00224718">
        <w:rPr>
          <w:sz w:val="24"/>
          <w:szCs w:val="24"/>
        </w:rPr>
        <w:t>dólar. Além disso, o câmbio também tem contribuído para as receitas</w:t>
      </w:r>
      <w:r w:rsidR="0053675E">
        <w:rPr>
          <w:sz w:val="24"/>
          <w:szCs w:val="24"/>
        </w:rPr>
        <w:t xml:space="preserve"> </w:t>
      </w:r>
      <w:r w:rsidR="00224718" w:rsidRPr="00224718">
        <w:rPr>
          <w:sz w:val="24"/>
          <w:szCs w:val="24"/>
        </w:rPr>
        <w:t>dos frigoríficos exportadores</w:t>
      </w:r>
      <w:r w:rsidR="0053675E">
        <w:rPr>
          <w:sz w:val="24"/>
          <w:szCs w:val="24"/>
        </w:rPr>
        <w:t>”</w:t>
      </w:r>
      <w:r w:rsidR="0053675E">
        <w:rPr>
          <w:rStyle w:val="Refdenotaderodap"/>
          <w:sz w:val="24"/>
          <w:szCs w:val="24"/>
        </w:rPr>
        <w:footnoteReference w:id="9"/>
      </w:r>
      <w:r w:rsidR="00224718" w:rsidRPr="00224718">
        <w:rPr>
          <w:sz w:val="24"/>
          <w:szCs w:val="24"/>
        </w:rPr>
        <w:t>.</w:t>
      </w:r>
      <w:r w:rsidR="0053675E">
        <w:rPr>
          <w:sz w:val="24"/>
          <w:szCs w:val="24"/>
        </w:rPr>
        <w:t xml:space="preserve"> </w:t>
      </w:r>
      <w:r w:rsidR="00576C3E" w:rsidRPr="004D4567">
        <w:rPr>
          <w:sz w:val="24"/>
          <w:szCs w:val="24"/>
        </w:rPr>
        <w:t xml:space="preserve">Os países que mais contribuíram para </w:t>
      </w:r>
      <w:r w:rsidR="00C239A6" w:rsidRPr="004D4567">
        <w:rPr>
          <w:sz w:val="24"/>
          <w:szCs w:val="24"/>
        </w:rPr>
        <w:t xml:space="preserve">as vendas de carne bovina </w:t>
      </w:r>
      <w:r w:rsidR="00C239A6" w:rsidRPr="004D4567">
        <w:rPr>
          <w:i/>
          <w:iCs/>
          <w:sz w:val="24"/>
          <w:szCs w:val="24"/>
        </w:rPr>
        <w:t xml:space="preserve">in </w:t>
      </w:r>
      <w:r w:rsidR="00B1299F" w:rsidRPr="004D4567">
        <w:rPr>
          <w:i/>
          <w:iCs/>
          <w:sz w:val="24"/>
          <w:szCs w:val="24"/>
        </w:rPr>
        <w:t xml:space="preserve">natura </w:t>
      </w:r>
      <w:r w:rsidR="00B1299F" w:rsidRPr="004D4567">
        <w:rPr>
          <w:sz w:val="24"/>
          <w:szCs w:val="24"/>
        </w:rPr>
        <w:t>brasileira</w:t>
      </w:r>
      <w:r w:rsidR="00576C3E" w:rsidRPr="004D4567">
        <w:rPr>
          <w:sz w:val="24"/>
          <w:szCs w:val="24"/>
        </w:rPr>
        <w:t xml:space="preserve"> foram: </w:t>
      </w:r>
      <w:r w:rsidR="009026CC" w:rsidRPr="004D4567">
        <w:rPr>
          <w:sz w:val="24"/>
          <w:szCs w:val="24"/>
        </w:rPr>
        <w:t>Estados Unidos</w:t>
      </w:r>
      <w:r w:rsidR="00576C3E" w:rsidRPr="004D4567">
        <w:rPr>
          <w:sz w:val="24"/>
          <w:szCs w:val="24"/>
        </w:rPr>
        <w:t xml:space="preserve"> (+</w:t>
      </w:r>
      <w:r w:rsidR="009026CC" w:rsidRPr="004D4567">
        <w:rPr>
          <w:sz w:val="24"/>
          <w:szCs w:val="24"/>
        </w:rPr>
        <w:t>US$ 383,57 milhões</w:t>
      </w:r>
      <w:r w:rsidR="00576C3E" w:rsidRPr="004D4567">
        <w:rPr>
          <w:sz w:val="24"/>
          <w:szCs w:val="24"/>
        </w:rPr>
        <w:t>); Emirados Árabes Unidos (</w:t>
      </w:r>
      <w:r w:rsidR="00C71418" w:rsidRPr="004D4567">
        <w:rPr>
          <w:sz w:val="24"/>
          <w:szCs w:val="24"/>
        </w:rPr>
        <w:t>+US$ 321,10 milhões</w:t>
      </w:r>
      <w:r w:rsidR="00576C3E" w:rsidRPr="004D4567">
        <w:rPr>
          <w:sz w:val="24"/>
          <w:szCs w:val="24"/>
        </w:rPr>
        <w:t xml:space="preserve">); </w:t>
      </w:r>
      <w:r w:rsidR="008F5347" w:rsidRPr="004D4567">
        <w:rPr>
          <w:sz w:val="24"/>
          <w:szCs w:val="24"/>
        </w:rPr>
        <w:t>México (+US$ 169,22 milhões</w:t>
      </w:r>
      <w:r w:rsidR="004D4567" w:rsidRPr="004D4567">
        <w:rPr>
          <w:sz w:val="24"/>
          <w:szCs w:val="24"/>
        </w:rPr>
        <w:t>); Argélia</w:t>
      </w:r>
      <w:r w:rsidR="00A53EEB" w:rsidRPr="004D4567">
        <w:rPr>
          <w:sz w:val="24"/>
          <w:szCs w:val="24"/>
        </w:rPr>
        <w:t xml:space="preserve"> (+US$ 167,</w:t>
      </w:r>
      <w:r w:rsidR="00C52198" w:rsidRPr="004D4567">
        <w:rPr>
          <w:sz w:val="24"/>
          <w:szCs w:val="24"/>
        </w:rPr>
        <w:t>43</w:t>
      </w:r>
      <w:r w:rsidR="00A53EEB" w:rsidRPr="004D4567">
        <w:rPr>
          <w:sz w:val="24"/>
          <w:szCs w:val="24"/>
        </w:rPr>
        <w:t xml:space="preserve"> milhões</w:t>
      </w:r>
      <w:r w:rsidR="00A31A2B" w:rsidRPr="004D4567">
        <w:rPr>
          <w:sz w:val="24"/>
          <w:szCs w:val="24"/>
        </w:rPr>
        <w:t>);</w:t>
      </w:r>
      <w:r w:rsidR="00C52198" w:rsidRPr="004D4567">
        <w:rPr>
          <w:sz w:val="24"/>
          <w:szCs w:val="24"/>
        </w:rPr>
        <w:t xml:space="preserve"> Turquia (+US$ </w:t>
      </w:r>
      <w:r w:rsidR="00D3101A" w:rsidRPr="004D4567">
        <w:rPr>
          <w:sz w:val="24"/>
          <w:szCs w:val="24"/>
        </w:rPr>
        <w:t>163,82</w:t>
      </w:r>
      <w:r w:rsidR="00C52198" w:rsidRPr="004D4567">
        <w:rPr>
          <w:sz w:val="24"/>
          <w:szCs w:val="24"/>
        </w:rPr>
        <w:t xml:space="preserve"> milhões</w:t>
      </w:r>
      <w:r w:rsidR="00D3101A" w:rsidRPr="004D4567">
        <w:rPr>
          <w:sz w:val="24"/>
          <w:szCs w:val="24"/>
        </w:rPr>
        <w:t xml:space="preserve">) e China (+US$ </w:t>
      </w:r>
      <w:r w:rsidR="00581342" w:rsidRPr="004D4567">
        <w:rPr>
          <w:sz w:val="24"/>
          <w:szCs w:val="24"/>
        </w:rPr>
        <w:t>129,83</w:t>
      </w:r>
      <w:r w:rsidR="00D3101A" w:rsidRPr="004D4567">
        <w:rPr>
          <w:sz w:val="24"/>
          <w:szCs w:val="24"/>
        </w:rPr>
        <w:t xml:space="preserve"> milhões).</w:t>
      </w:r>
      <w:r w:rsidR="00581342" w:rsidRPr="004D4567">
        <w:rPr>
          <w:sz w:val="24"/>
          <w:szCs w:val="24"/>
        </w:rPr>
        <w:t xml:space="preserve"> Apesar de não ter sido o mercado que mais contribuiu</w:t>
      </w:r>
      <w:r w:rsidR="00F92C68" w:rsidRPr="004D4567">
        <w:rPr>
          <w:sz w:val="24"/>
          <w:szCs w:val="24"/>
        </w:rPr>
        <w:t xml:space="preserve"> para o aumento das vendas</w:t>
      </w:r>
      <w:r w:rsidR="00581342" w:rsidRPr="004D4567">
        <w:rPr>
          <w:sz w:val="24"/>
          <w:szCs w:val="24"/>
        </w:rPr>
        <w:t xml:space="preserve">, a China foi o principal destino em </w:t>
      </w:r>
      <w:r w:rsidR="00F92C68" w:rsidRPr="004D4567">
        <w:rPr>
          <w:sz w:val="24"/>
          <w:szCs w:val="24"/>
        </w:rPr>
        <w:t xml:space="preserve">termos de valor exportado, somando US$ 4,84 bilhões, </w:t>
      </w:r>
      <w:r w:rsidR="004D4567" w:rsidRPr="004D4567">
        <w:rPr>
          <w:sz w:val="24"/>
          <w:szCs w:val="24"/>
        </w:rPr>
        <w:t xml:space="preserve">ou seja, mais da </w:t>
      </w:r>
      <w:r w:rsidR="004D4567" w:rsidRPr="007902B3">
        <w:rPr>
          <w:sz w:val="24"/>
          <w:szCs w:val="24"/>
        </w:rPr>
        <w:t>metade do total das vendas externas dessa proteína animal (50,7%).</w:t>
      </w:r>
    </w:p>
    <w:p w14:paraId="6E6DFE29" w14:textId="16BA6AFF" w:rsidR="00576C3E" w:rsidRPr="008B7DAF" w:rsidRDefault="00576C3E" w:rsidP="00576C3E">
      <w:pPr>
        <w:jc w:val="both"/>
        <w:rPr>
          <w:sz w:val="24"/>
          <w:szCs w:val="24"/>
        </w:rPr>
      </w:pPr>
      <w:r w:rsidRPr="007902B3">
        <w:rPr>
          <w:sz w:val="24"/>
          <w:szCs w:val="24"/>
        </w:rPr>
        <w:t xml:space="preserve">As </w:t>
      </w:r>
      <w:r w:rsidR="007902B3" w:rsidRPr="007902B3">
        <w:rPr>
          <w:sz w:val="24"/>
          <w:szCs w:val="24"/>
        </w:rPr>
        <w:t xml:space="preserve">vendas externas </w:t>
      </w:r>
      <w:r w:rsidRPr="007902B3">
        <w:rPr>
          <w:sz w:val="24"/>
          <w:szCs w:val="24"/>
        </w:rPr>
        <w:t xml:space="preserve">de carne de frango </w:t>
      </w:r>
      <w:r w:rsidRPr="007902B3">
        <w:rPr>
          <w:i/>
          <w:iCs/>
          <w:sz w:val="24"/>
          <w:szCs w:val="24"/>
        </w:rPr>
        <w:t>in natura</w:t>
      </w:r>
      <w:r w:rsidRPr="007902B3">
        <w:rPr>
          <w:sz w:val="24"/>
          <w:szCs w:val="24"/>
        </w:rPr>
        <w:t xml:space="preserve"> </w:t>
      </w:r>
      <w:r w:rsidR="007902B3" w:rsidRPr="007902B3">
        <w:rPr>
          <w:sz w:val="24"/>
          <w:szCs w:val="24"/>
        </w:rPr>
        <w:t>foram de</w:t>
      </w:r>
      <w:r w:rsidRPr="007902B3">
        <w:rPr>
          <w:sz w:val="24"/>
          <w:szCs w:val="24"/>
        </w:rPr>
        <w:t xml:space="preserve"> US$ </w:t>
      </w:r>
      <w:r w:rsidR="007902B3" w:rsidRPr="007902B3">
        <w:rPr>
          <w:sz w:val="24"/>
          <w:szCs w:val="24"/>
        </w:rPr>
        <w:t xml:space="preserve">7,54 </w:t>
      </w:r>
      <w:r w:rsidRPr="007902B3">
        <w:rPr>
          <w:sz w:val="24"/>
          <w:szCs w:val="24"/>
        </w:rPr>
        <w:t xml:space="preserve">bilhões, </w:t>
      </w:r>
      <w:r w:rsidR="007902B3" w:rsidRPr="007902B3">
        <w:rPr>
          <w:sz w:val="24"/>
          <w:szCs w:val="24"/>
        </w:rPr>
        <w:t>o que representa uma queda de 3,</w:t>
      </w:r>
      <w:r w:rsidR="007902B3" w:rsidRPr="00DF2B5E">
        <w:rPr>
          <w:sz w:val="24"/>
          <w:szCs w:val="24"/>
        </w:rPr>
        <w:t xml:space="preserve">7% </w:t>
      </w:r>
      <w:r w:rsidR="007902B3" w:rsidRPr="002746F1">
        <w:rPr>
          <w:sz w:val="24"/>
          <w:szCs w:val="24"/>
        </w:rPr>
        <w:t xml:space="preserve">ante </w:t>
      </w:r>
      <w:r w:rsidRPr="002746F1">
        <w:rPr>
          <w:sz w:val="24"/>
          <w:szCs w:val="24"/>
        </w:rPr>
        <w:t xml:space="preserve">2023. Tal resultado reflete </w:t>
      </w:r>
      <w:r w:rsidR="00DF2B5E" w:rsidRPr="002746F1">
        <w:rPr>
          <w:sz w:val="24"/>
          <w:szCs w:val="24"/>
        </w:rPr>
        <w:t xml:space="preserve">tanto </w:t>
      </w:r>
      <w:r w:rsidRPr="002746F1">
        <w:rPr>
          <w:sz w:val="24"/>
          <w:szCs w:val="24"/>
        </w:rPr>
        <w:t xml:space="preserve">a redução no </w:t>
      </w:r>
      <w:r w:rsidRPr="002746F1">
        <w:rPr>
          <w:i/>
          <w:iCs/>
          <w:sz w:val="24"/>
          <w:szCs w:val="24"/>
        </w:rPr>
        <w:t xml:space="preserve">quantum </w:t>
      </w:r>
      <w:r w:rsidRPr="002746F1">
        <w:rPr>
          <w:sz w:val="24"/>
          <w:szCs w:val="24"/>
        </w:rPr>
        <w:t>(-0,</w:t>
      </w:r>
      <w:r w:rsidR="00DF2B5E" w:rsidRPr="002746F1">
        <w:rPr>
          <w:sz w:val="24"/>
          <w:szCs w:val="24"/>
        </w:rPr>
        <w:t>4</w:t>
      </w:r>
      <w:r w:rsidRPr="002746F1">
        <w:rPr>
          <w:sz w:val="24"/>
          <w:szCs w:val="24"/>
        </w:rPr>
        <w:t xml:space="preserve">%), </w:t>
      </w:r>
      <w:r w:rsidR="00DF2B5E" w:rsidRPr="002746F1">
        <w:rPr>
          <w:sz w:val="24"/>
          <w:szCs w:val="24"/>
        </w:rPr>
        <w:t>como também</w:t>
      </w:r>
      <w:r w:rsidRPr="002746F1">
        <w:rPr>
          <w:sz w:val="24"/>
          <w:szCs w:val="24"/>
        </w:rPr>
        <w:t xml:space="preserve"> no preço médio (-</w:t>
      </w:r>
      <w:r w:rsidR="00DF2B5E" w:rsidRPr="002746F1">
        <w:rPr>
          <w:sz w:val="24"/>
          <w:szCs w:val="24"/>
        </w:rPr>
        <w:t>3,3</w:t>
      </w:r>
      <w:r w:rsidRPr="002746F1">
        <w:rPr>
          <w:sz w:val="24"/>
          <w:szCs w:val="24"/>
        </w:rPr>
        <w:t xml:space="preserve">%). A </w:t>
      </w:r>
      <w:r w:rsidR="00246D8E" w:rsidRPr="002746F1">
        <w:rPr>
          <w:sz w:val="24"/>
          <w:szCs w:val="24"/>
        </w:rPr>
        <w:t>retração observada</w:t>
      </w:r>
      <w:r w:rsidRPr="002746F1">
        <w:rPr>
          <w:sz w:val="24"/>
          <w:szCs w:val="24"/>
        </w:rPr>
        <w:t xml:space="preserve"> nas vendas para a China</w:t>
      </w:r>
      <w:r w:rsidR="00246D8E" w:rsidRPr="002746F1">
        <w:rPr>
          <w:sz w:val="24"/>
          <w:szCs w:val="24"/>
        </w:rPr>
        <w:t xml:space="preserve"> foi o que mais impactou esse </w:t>
      </w:r>
      <w:r w:rsidR="00246D8E" w:rsidRPr="008B7DAF">
        <w:rPr>
          <w:sz w:val="24"/>
          <w:szCs w:val="24"/>
        </w:rPr>
        <w:t xml:space="preserve">resultado, pois foram quase </w:t>
      </w:r>
      <w:r w:rsidR="00A04C54" w:rsidRPr="008B7DAF">
        <w:rPr>
          <w:sz w:val="24"/>
          <w:szCs w:val="24"/>
        </w:rPr>
        <w:t xml:space="preserve">US$ </w:t>
      </w:r>
      <w:r w:rsidR="00246D8E" w:rsidRPr="008B7DAF">
        <w:rPr>
          <w:sz w:val="24"/>
          <w:szCs w:val="24"/>
        </w:rPr>
        <w:t>500 milhões a menos do que havia sido registrado em 2023.</w:t>
      </w:r>
      <w:r w:rsidRPr="008B7DAF">
        <w:rPr>
          <w:sz w:val="24"/>
          <w:szCs w:val="24"/>
        </w:rPr>
        <w:t xml:space="preserve"> </w:t>
      </w:r>
      <w:r w:rsidR="00C060DE" w:rsidRPr="008B7DAF">
        <w:rPr>
          <w:sz w:val="24"/>
          <w:szCs w:val="24"/>
        </w:rPr>
        <w:t xml:space="preserve">Os principais destinos da carne de frango </w:t>
      </w:r>
      <w:r w:rsidR="00C060DE" w:rsidRPr="008B7DAF">
        <w:rPr>
          <w:i/>
          <w:iCs/>
          <w:sz w:val="24"/>
          <w:szCs w:val="24"/>
        </w:rPr>
        <w:t>in natura</w:t>
      </w:r>
      <w:r w:rsidR="00C060DE" w:rsidRPr="008B7DAF">
        <w:rPr>
          <w:sz w:val="24"/>
          <w:szCs w:val="24"/>
        </w:rPr>
        <w:t xml:space="preserve"> brasileira</w:t>
      </w:r>
      <w:r w:rsidR="00C75C90" w:rsidRPr="008B7DAF">
        <w:rPr>
          <w:sz w:val="24"/>
          <w:szCs w:val="24"/>
        </w:rPr>
        <w:t xml:space="preserve"> foram: China (US$ 935,17 milhões, ou 12,4%</w:t>
      </w:r>
      <w:r w:rsidR="009A5002" w:rsidRPr="008B7DAF">
        <w:rPr>
          <w:sz w:val="24"/>
          <w:szCs w:val="24"/>
        </w:rPr>
        <w:t xml:space="preserve"> do total;</w:t>
      </w:r>
      <w:r w:rsidRPr="008B7DAF">
        <w:rPr>
          <w:sz w:val="24"/>
          <w:szCs w:val="24"/>
        </w:rPr>
        <w:t xml:space="preserve"> Emirados Árabes Unidos</w:t>
      </w:r>
      <w:r w:rsidR="009A5002" w:rsidRPr="008B7DAF">
        <w:rPr>
          <w:sz w:val="24"/>
          <w:szCs w:val="24"/>
        </w:rPr>
        <w:t xml:space="preserve"> </w:t>
      </w:r>
      <w:r w:rsidRPr="008B7DAF">
        <w:rPr>
          <w:sz w:val="24"/>
          <w:szCs w:val="24"/>
        </w:rPr>
        <w:t xml:space="preserve">(US$ </w:t>
      </w:r>
      <w:r w:rsidR="009A5002" w:rsidRPr="008B7DAF">
        <w:rPr>
          <w:sz w:val="24"/>
          <w:szCs w:val="24"/>
        </w:rPr>
        <w:t>804,89</w:t>
      </w:r>
      <w:r w:rsidRPr="008B7DAF">
        <w:rPr>
          <w:sz w:val="24"/>
          <w:szCs w:val="24"/>
        </w:rPr>
        <w:t xml:space="preserve"> milhões</w:t>
      </w:r>
      <w:r w:rsidR="009A5002" w:rsidRPr="008B7DAF">
        <w:rPr>
          <w:sz w:val="24"/>
          <w:szCs w:val="24"/>
        </w:rPr>
        <w:t xml:space="preserve">, ou </w:t>
      </w:r>
      <w:r w:rsidR="00ED0826" w:rsidRPr="008B7DAF">
        <w:rPr>
          <w:sz w:val="24"/>
          <w:szCs w:val="24"/>
        </w:rPr>
        <w:t>10,7% do total</w:t>
      </w:r>
      <w:r w:rsidRPr="008B7DAF">
        <w:rPr>
          <w:sz w:val="24"/>
          <w:szCs w:val="24"/>
        </w:rPr>
        <w:t>)</w:t>
      </w:r>
      <w:r w:rsidR="00ED0826" w:rsidRPr="008B7DAF">
        <w:rPr>
          <w:sz w:val="24"/>
          <w:szCs w:val="24"/>
        </w:rPr>
        <w:t xml:space="preserve">; </w:t>
      </w:r>
      <w:r w:rsidR="005B4E0D" w:rsidRPr="008B7DAF">
        <w:rPr>
          <w:sz w:val="24"/>
          <w:szCs w:val="24"/>
        </w:rPr>
        <w:t>Japão</w:t>
      </w:r>
      <w:r w:rsidR="00ED0826" w:rsidRPr="008B7DAF">
        <w:rPr>
          <w:sz w:val="24"/>
          <w:szCs w:val="24"/>
        </w:rPr>
        <w:t xml:space="preserve"> (US$ 721,92 milhões, ou </w:t>
      </w:r>
      <w:r w:rsidR="00490A7E" w:rsidRPr="008B7DAF">
        <w:rPr>
          <w:sz w:val="24"/>
          <w:szCs w:val="24"/>
        </w:rPr>
        <w:t xml:space="preserve">9,6% do total), Arábia Saudita (US$ 681,23 milhões, ou </w:t>
      </w:r>
      <w:r w:rsidR="002746F1" w:rsidRPr="008B7DAF">
        <w:rPr>
          <w:sz w:val="24"/>
          <w:szCs w:val="24"/>
        </w:rPr>
        <w:t>9,0% do total</w:t>
      </w:r>
      <w:r w:rsidR="00490A7E" w:rsidRPr="008B7DAF">
        <w:rPr>
          <w:sz w:val="24"/>
          <w:szCs w:val="24"/>
        </w:rPr>
        <w:t xml:space="preserve">) e </w:t>
      </w:r>
      <w:r w:rsidR="005B4E0D" w:rsidRPr="008B7DAF">
        <w:rPr>
          <w:sz w:val="24"/>
          <w:szCs w:val="24"/>
        </w:rPr>
        <w:t>México (US$ 428,85 milhões, ou 5,7% do total)</w:t>
      </w:r>
      <w:r w:rsidRPr="008B7DAF">
        <w:rPr>
          <w:sz w:val="24"/>
          <w:szCs w:val="24"/>
        </w:rPr>
        <w:t>.</w:t>
      </w:r>
    </w:p>
    <w:p w14:paraId="5F04B8A4" w14:textId="138BA790" w:rsidR="00330729" w:rsidRPr="008B7DAF" w:rsidRDefault="002E674F" w:rsidP="00576C3E">
      <w:pPr>
        <w:jc w:val="both"/>
        <w:rPr>
          <w:sz w:val="24"/>
          <w:szCs w:val="24"/>
        </w:rPr>
      </w:pPr>
      <w:r w:rsidRPr="008B7DAF">
        <w:rPr>
          <w:sz w:val="24"/>
          <w:szCs w:val="24"/>
        </w:rPr>
        <w:t>A</w:t>
      </w:r>
      <w:r w:rsidR="00576C3E" w:rsidRPr="008B7DAF">
        <w:rPr>
          <w:sz w:val="24"/>
          <w:szCs w:val="24"/>
        </w:rPr>
        <w:t xml:space="preserve"> carne suína </w:t>
      </w:r>
      <w:r w:rsidR="00576C3E" w:rsidRPr="008B7DAF">
        <w:rPr>
          <w:i/>
          <w:iCs/>
          <w:sz w:val="24"/>
          <w:szCs w:val="24"/>
        </w:rPr>
        <w:t>in natura</w:t>
      </w:r>
      <w:r w:rsidR="00576C3E" w:rsidRPr="008B7DAF">
        <w:rPr>
          <w:sz w:val="24"/>
          <w:szCs w:val="24"/>
        </w:rPr>
        <w:t xml:space="preserve"> </w:t>
      </w:r>
      <w:r w:rsidRPr="008B7DAF">
        <w:rPr>
          <w:sz w:val="24"/>
          <w:szCs w:val="24"/>
        </w:rPr>
        <w:t xml:space="preserve">alcançou cifra e </w:t>
      </w:r>
      <w:r w:rsidRPr="008B7DAF">
        <w:rPr>
          <w:i/>
          <w:iCs/>
          <w:sz w:val="24"/>
          <w:szCs w:val="24"/>
        </w:rPr>
        <w:t xml:space="preserve">quantum </w:t>
      </w:r>
      <w:r w:rsidRPr="008B7DAF">
        <w:rPr>
          <w:sz w:val="24"/>
          <w:szCs w:val="24"/>
        </w:rPr>
        <w:t>recorde</w:t>
      </w:r>
      <w:r w:rsidR="00CB5645" w:rsidRPr="008B7DAF">
        <w:rPr>
          <w:sz w:val="24"/>
          <w:szCs w:val="24"/>
        </w:rPr>
        <w:t>s</w:t>
      </w:r>
      <w:r w:rsidRPr="008B7DAF">
        <w:rPr>
          <w:sz w:val="24"/>
          <w:szCs w:val="24"/>
        </w:rPr>
        <w:t xml:space="preserve"> </w:t>
      </w:r>
      <w:r w:rsidR="00576C3E" w:rsidRPr="008B7DAF">
        <w:rPr>
          <w:sz w:val="24"/>
          <w:szCs w:val="24"/>
        </w:rPr>
        <w:t xml:space="preserve">no período janeiro a </w:t>
      </w:r>
      <w:r w:rsidR="00CB5645" w:rsidRPr="008B7DAF">
        <w:rPr>
          <w:sz w:val="24"/>
          <w:szCs w:val="24"/>
        </w:rPr>
        <w:t>outubro</w:t>
      </w:r>
      <w:r w:rsidR="00576C3E" w:rsidRPr="008B7DAF">
        <w:rPr>
          <w:sz w:val="24"/>
          <w:szCs w:val="24"/>
        </w:rPr>
        <w:t xml:space="preserve"> de 2024, com US$ 2,</w:t>
      </w:r>
      <w:r w:rsidR="00CB5645" w:rsidRPr="008B7DAF">
        <w:rPr>
          <w:sz w:val="24"/>
          <w:szCs w:val="24"/>
        </w:rPr>
        <w:t>3</w:t>
      </w:r>
      <w:r w:rsidR="00576C3E" w:rsidRPr="008B7DAF">
        <w:rPr>
          <w:sz w:val="24"/>
          <w:szCs w:val="24"/>
        </w:rPr>
        <w:t>2 bilhões (+</w:t>
      </w:r>
      <w:r w:rsidR="00992075" w:rsidRPr="008B7DAF">
        <w:rPr>
          <w:sz w:val="24"/>
          <w:szCs w:val="24"/>
        </w:rPr>
        <w:t>5,0</w:t>
      </w:r>
      <w:r w:rsidR="00576C3E" w:rsidRPr="008B7DAF">
        <w:rPr>
          <w:sz w:val="24"/>
          <w:szCs w:val="24"/>
        </w:rPr>
        <w:t xml:space="preserve">%) e </w:t>
      </w:r>
      <w:r w:rsidR="00CB5645" w:rsidRPr="008B7DAF">
        <w:rPr>
          <w:sz w:val="24"/>
          <w:szCs w:val="24"/>
        </w:rPr>
        <w:t>978,34</w:t>
      </w:r>
      <w:r w:rsidR="00576C3E" w:rsidRPr="008B7DAF">
        <w:rPr>
          <w:sz w:val="24"/>
          <w:szCs w:val="24"/>
        </w:rPr>
        <w:t xml:space="preserve"> mil toneladas (+</w:t>
      </w:r>
      <w:r w:rsidR="00992075" w:rsidRPr="008B7DAF">
        <w:rPr>
          <w:sz w:val="24"/>
          <w:szCs w:val="24"/>
        </w:rPr>
        <w:t>8,6</w:t>
      </w:r>
      <w:r w:rsidR="00576C3E" w:rsidRPr="008B7DAF">
        <w:rPr>
          <w:sz w:val="24"/>
          <w:szCs w:val="24"/>
        </w:rPr>
        <w:t xml:space="preserve">%). </w:t>
      </w:r>
      <w:r w:rsidR="00330729" w:rsidRPr="008B7DAF">
        <w:rPr>
          <w:sz w:val="24"/>
          <w:szCs w:val="24"/>
        </w:rPr>
        <w:t xml:space="preserve">Filipinas foi o principal mercado de destino </w:t>
      </w:r>
      <w:r w:rsidR="003A594F" w:rsidRPr="008B7DAF">
        <w:rPr>
          <w:sz w:val="24"/>
          <w:szCs w:val="24"/>
        </w:rPr>
        <w:t>da carne suína brasileira no acumulado do ano, com US$ 426,86 milhões</w:t>
      </w:r>
      <w:r w:rsidR="00F530BF" w:rsidRPr="008B7DAF">
        <w:rPr>
          <w:sz w:val="24"/>
          <w:szCs w:val="24"/>
        </w:rPr>
        <w:t xml:space="preserve"> (18,4% do total)</w:t>
      </w:r>
      <w:r w:rsidR="003A594F" w:rsidRPr="008B7DAF">
        <w:rPr>
          <w:sz w:val="24"/>
          <w:szCs w:val="24"/>
        </w:rPr>
        <w:t xml:space="preserve">, </w:t>
      </w:r>
      <w:r w:rsidR="00F530BF" w:rsidRPr="008B7DAF">
        <w:rPr>
          <w:sz w:val="24"/>
          <w:szCs w:val="24"/>
        </w:rPr>
        <w:lastRenderedPageBreak/>
        <w:t>ultrapassando</w:t>
      </w:r>
      <w:r w:rsidR="003A594F" w:rsidRPr="008B7DAF">
        <w:rPr>
          <w:sz w:val="24"/>
          <w:szCs w:val="24"/>
        </w:rPr>
        <w:t xml:space="preserve"> as vendas ao mercado chin</w:t>
      </w:r>
      <w:r w:rsidR="00F530BF" w:rsidRPr="008B7DAF">
        <w:rPr>
          <w:sz w:val="24"/>
          <w:szCs w:val="24"/>
        </w:rPr>
        <w:t>ê</w:t>
      </w:r>
      <w:r w:rsidR="003A594F" w:rsidRPr="008B7DAF">
        <w:rPr>
          <w:sz w:val="24"/>
          <w:szCs w:val="24"/>
        </w:rPr>
        <w:t xml:space="preserve">s (US$ </w:t>
      </w:r>
      <w:r w:rsidR="00F530BF" w:rsidRPr="008B7DAF">
        <w:rPr>
          <w:sz w:val="24"/>
          <w:szCs w:val="24"/>
        </w:rPr>
        <w:t xml:space="preserve">384,54 milhões, ou 16,6%), que historicamente </w:t>
      </w:r>
      <w:r w:rsidR="00B0555F" w:rsidRPr="008B7DAF">
        <w:rPr>
          <w:sz w:val="24"/>
          <w:szCs w:val="24"/>
        </w:rPr>
        <w:t>figurava como principal destino do produto</w:t>
      </w:r>
      <w:r w:rsidR="00F530BF" w:rsidRPr="008B7DAF">
        <w:rPr>
          <w:sz w:val="24"/>
          <w:szCs w:val="24"/>
        </w:rPr>
        <w:t>.</w:t>
      </w:r>
      <w:r w:rsidR="00B0555F" w:rsidRPr="008B7DAF">
        <w:rPr>
          <w:sz w:val="24"/>
          <w:szCs w:val="24"/>
        </w:rPr>
        <w:t xml:space="preserve"> Enquanto houve crescimento de 88,3% nas vendas para Filipinas, para a China houve queda de </w:t>
      </w:r>
      <w:r w:rsidR="00AA332C" w:rsidRPr="008B7DAF">
        <w:rPr>
          <w:sz w:val="24"/>
          <w:szCs w:val="24"/>
        </w:rPr>
        <w:t>50,5% em termos de valor.</w:t>
      </w:r>
    </w:p>
    <w:p w14:paraId="31D5E1BB" w14:textId="7035AF4B" w:rsidR="00576C3E" w:rsidRPr="00576C3E" w:rsidRDefault="002E7403" w:rsidP="00576C3E">
      <w:pPr>
        <w:jc w:val="both"/>
        <w:rPr>
          <w:sz w:val="24"/>
          <w:szCs w:val="24"/>
          <w:highlight w:val="yellow"/>
        </w:rPr>
      </w:pPr>
      <w:r w:rsidRPr="008B7DAF">
        <w:rPr>
          <w:sz w:val="24"/>
          <w:szCs w:val="24"/>
        </w:rPr>
        <w:t>Em seguida destaca-se o</w:t>
      </w:r>
      <w:r w:rsidR="00576C3E" w:rsidRPr="008B7DAF">
        <w:rPr>
          <w:sz w:val="24"/>
          <w:szCs w:val="24"/>
        </w:rPr>
        <w:t xml:space="preserve"> complexo sucroalcooleiro, </w:t>
      </w:r>
      <w:r w:rsidRPr="008B7DAF">
        <w:rPr>
          <w:sz w:val="24"/>
          <w:szCs w:val="24"/>
        </w:rPr>
        <w:t>com a cifra de</w:t>
      </w:r>
      <w:r w:rsidR="00576C3E" w:rsidRPr="008B7DAF">
        <w:rPr>
          <w:sz w:val="24"/>
          <w:szCs w:val="24"/>
        </w:rPr>
        <w:t xml:space="preserve"> US$ </w:t>
      </w:r>
      <w:r w:rsidR="00FE1241" w:rsidRPr="008B7DAF">
        <w:rPr>
          <w:sz w:val="24"/>
          <w:szCs w:val="24"/>
        </w:rPr>
        <w:t>16,60</w:t>
      </w:r>
      <w:r w:rsidR="00576C3E" w:rsidRPr="008B7DAF">
        <w:rPr>
          <w:sz w:val="24"/>
          <w:szCs w:val="24"/>
        </w:rPr>
        <w:t xml:space="preserve"> bilhões</w:t>
      </w:r>
      <w:r w:rsidR="00FE1241" w:rsidRPr="008B7DAF">
        <w:rPr>
          <w:sz w:val="24"/>
          <w:szCs w:val="24"/>
        </w:rPr>
        <w:t>, ou seja,</w:t>
      </w:r>
      <w:r w:rsidR="00A94076" w:rsidRPr="008B7DAF">
        <w:rPr>
          <w:sz w:val="24"/>
          <w:szCs w:val="24"/>
        </w:rPr>
        <w:t xml:space="preserve">26,6% </w:t>
      </w:r>
      <w:r w:rsidR="00A94076" w:rsidRPr="002564F8">
        <w:rPr>
          <w:sz w:val="24"/>
          <w:szCs w:val="24"/>
        </w:rPr>
        <w:t xml:space="preserve">acima do que foi observado </w:t>
      </w:r>
      <w:r w:rsidR="008B7DAF" w:rsidRPr="002564F8">
        <w:rPr>
          <w:sz w:val="24"/>
          <w:szCs w:val="24"/>
        </w:rPr>
        <w:t>em 2023 (US$ 13,12 bilhões). Tal resultado se deu em função da elevação n</w:t>
      </w:r>
      <w:r w:rsidR="00576C3E" w:rsidRPr="002564F8">
        <w:rPr>
          <w:sz w:val="24"/>
          <w:szCs w:val="24"/>
        </w:rPr>
        <w:t>a quantidade em 31,</w:t>
      </w:r>
      <w:r w:rsidR="008B7DAF" w:rsidRPr="002564F8">
        <w:rPr>
          <w:sz w:val="24"/>
          <w:szCs w:val="24"/>
        </w:rPr>
        <w:t>0</w:t>
      </w:r>
      <w:r w:rsidR="00576C3E" w:rsidRPr="002564F8">
        <w:rPr>
          <w:sz w:val="24"/>
          <w:szCs w:val="24"/>
        </w:rPr>
        <w:t>%, que compensou a queda no preço (-</w:t>
      </w:r>
      <w:r w:rsidR="008B7DAF" w:rsidRPr="002564F8">
        <w:rPr>
          <w:sz w:val="24"/>
          <w:szCs w:val="24"/>
        </w:rPr>
        <w:t>3,4</w:t>
      </w:r>
      <w:r w:rsidR="00576C3E" w:rsidRPr="002564F8">
        <w:rPr>
          <w:sz w:val="24"/>
          <w:szCs w:val="24"/>
        </w:rPr>
        <w:t>%). O açúcar representou 94,</w:t>
      </w:r>
      <w:r w:rsidR="003C0AF1" w:rsidRPr="002564F8">
        <w:rPr>
          <w:sz w:val="24"/>
          <w:szCs w:val="24"/>
        </w:rPr>
        <w:t>2</w:t>
      </w:r>
      <w:r w:rsidR="00576C3E" w:rsidRPr="002564F8">
        <w:rPr>
          <w:sz w:val="24"/>
          <w:szCs w:val="24"/>
        </w:rPr>
        <w:t xml:space="preserve">% do </w:t>
      </w:r>
      <w:r w:rsidR="00576C3E" w:rsidRPr="0072007D">
        <w:rPr>
          <w:sz w:val="24"/>
          <w:szCs w:val="24"/>
        </w:rPr>
        <w:t xml:space="preserve">valor exportado pelo complexo, com US$ </w:t>
      </w:r>
      <w:r w:rsidR="00AF7E76" w:rsidRPr="0072007D">
        <w:rPr>
          <w:sz w:val="24"/>
          <w:szCs w:val="24"/>
        </w:rPr>
        <w:t>15,64</w:t>
      </w:r>
      <w:r w:rsidR="00576C3E" w:rsidRPr="0072007D">
        <w:rPr>
          <w:sz w:val="24"/>
          <w:szCs w:val="24"/>
        </w:rPr>
        <w:t xml:space="preserve"> bilhões. As exportações de açúcar de cana em bruto alcançaram os maiores patamares da série histórica, tanto em valor (US$ </w:t>
      </w:r>
      <w:r w:rsidR="008B1A4A" w:rsidRPr="0072007D">
        <w:rPr>
          <w:sz w:val="24"/>
          <w:szCs w:val="24"/>
        </w:rPr>
        <w:t>13,31</w:t>
      </w:r>
      <w:r w:rsidR="00576C3E" w:rsidRPr="0072007D">
        <w:rPr>
          <w:sz w:val="24"/>
          <w:szCs w:val="24"/>
        </w:rPr>
        <w:t xml:space="preserve"> bilhões), quanto em quantidade (</w:t>
      </w:r>
      <w:r w:rsidR="002564F8" w:rsidRPr="0072007D">
        <w:rPr>
          <w:sz w:val="24"/>
          <w:szCs w:val="24"/>
        </w:rPr>
        <w:t>27,94</w:t>
      </w:r>
      <w:r w:rsidR="00576C3E" w:rsidRPr="0072007D">
        <w:rPr>
          <w:sz w:val="24"/>
          <w:szCs w:val="24"/>
        </w:rPr>
        <w:t xml:space="preserve"> milhões de toneladas). Os mercados que mais contribuíram para esse resultado foram: Indonésia (+US$ </w:t>
      </w:r>
      <w:r w:rsidR="00E414DF" w:rsidRPr="0072007D">
        <w:rPr>
          <w:sz w:val="24"/>
          <w:szCs w:val="24"/>
        </w:rPr>
        <w:t>903,81</w:t>
      </w:r>
      <w:r w:rsidR="00576C3E" w:rsidRPr="0072007D">
        <w:rPr>
          <w:sz w:val="24"/>
          <w:szCs w:val="24"/>
        </w:rPr>
        <w:t xml:space="preserve"> milhões); Emirados Árabes Unidos (+US$ 67</w:t>
      </w:r>
      <w:r w:rsidR="00B366C4" w:rsidRPr="0072007D">
        <w:rPr>
          <w:sz w:val="24"/>
          <w:szCs w:val="24"/>
        </w:rPr>
        <w:t>6,36</w:t>
      </w:r>
      <w:r w:rsidR="00576C3E" w:rsidRPr="0072007D">
        <w:rPr>
          <w:sz w:val="24"/>
          <w:szCs w:val="24"/>
        </w:rPr>
        <w:t xml:space="preserve"> milhões); </w:t>
      </w:r>
      <w:r w:rsidR="00E21BCD" w:rsidRPr="0072007D">
        <w:rPr>
          <w:sz w:val="24"/>
          <w:szCs w:val="24"/>
        </w:rPr>
        <w:t xml:space="preserve">Egito </w:t>
      </w:r>
      <w:r w:rsidR="00576C3E" w:rsidRPr="0072007D">
        <w:rPr>
          <w:sz w:val="24"/>
          <w:szCs w:val="24"/>
        </w:rPr>
        <w:t xml:space="preserve">(+US$ </w:t>
      </w:r>
      <w:r w:rsidR="00B366C4" w:rsidRPr="0072007D">
        <w:rPr>
          <w:sz w:val="24"/>
          <w:szCs w:val="24"/>
        </w:rPr>
        <w:t>505,79</w:t>
      </w:r>
      <w:r w:rsidR="00576C3E" w:rsidRPr="0072007D">
        <w:rPr>
          <w:sz w:val="24"/>
          <w:szCs w:val="24"/>
        </w:rPr>
        <w:t xml:space="preserve"> milhões); </w:t>
      </w:r>
      <w:r w:rsidR="00E21BCD" w:rsidRPr="0072007D">
        <w:rPr>
          <w:sz w:val="24"/>
          <w:szCs w:val="24"/>
        </w:rPr>
        <w:t xml:space="preserve">Índia </w:t>
      </w:r>
      <w:r w:rsidR="00576C3E" w:rsidRPr="0072007D">
        <w:rPr>
          <w:sz w:val="24"/>
          <w:szCs w:val="24"/>
        </w:rPr>
        <w:t xml:space="preserve">(+US$ </w:t>
      </w:r>
      <w:r w:rsidR="00E21BCD" w:rsidRPr="0072007D">
        <w:rPr>
          <w:sz w:val="24"/>
          <w:szCs w:val="24"/>
        </w:rPr>
        <w:t>400,78</w:t>
      </w:r>
      <w:r w:rsidR="00576C3E" w:rsidRPr="0072007D">
        <w:rPr>
          <w:sz w:val="24"/>
          <w:szCs w:val="24"/>
        </w:rPr>
        <w:t xml:space="preserve"> milhões) e Irã (+US$ </w:t>
      </w:r>
      <w:r w:rsidR="007B76EB" w:rsidRPr="0072007D">
        <w:rPr>
          <w:sz w:val="24"/>
          <w:szCs w:val="24"/>
        </w:rPr>
        <w:t>259,27</w:t>
      </w:r>
      <w:r w:rsidR="00576C3E" w:rsidRPr="0072007D">
        <w:rPr>
          <w:sz w:val="24"/>
          <w:szCs w:val="24"/>
        </w:rPr>
        <w:t xml:space="preserve"> milhões). As exportações de álcool alcançaram o montante de US$ </w:t>
      </w:r>
      <w:r w:rsidR="007B76EB" w:rsidRPr="0072007D">
        <w:rPr>
          <w:sz w:val="24"/>
          <w:szCs w:val="24"/>
        </w:rPr>
        <w:t>940,74</w:t>
      </w:r>
      <w:r w:rsidR="00576C3E" w:rsidRPr="0072007D">
        <w:rPr>
          <w:sz w:val="24"/>
          <w:szCs w:val="24"/>
        </w:rPr>
        <w:t xml:space="preserve"> milhões, o que representou uma queda de </w:t>
      </w:r>
      <w:r w:rsidR="007B76EB" w:rsidRPr="0072007D">
        <w:rPr>
          <w:sz w:val="24"/>
          <w:szCs w:val="24"/>
        </w:rPr>
        <w:t>28,8</w:t>
      </w:r>
      <w:r w:rsidR="00576C3E" w:rsidRPr="0072007D">
        <w:rPr>
          <w:sz w:val="24"/>
          <w:szCs w:val="24"/>
        </w:rPr>
        <w:t>% em valor. Esse resultado decorreu tanto da redução na quantidade embarcada (-</w:t>
      </w:r>
      <w:r w:rsidR="0072007D" w:rsidRPr="0072007D">
        <w:rPr>
          <w:sz w:val="24"/>
          <w:szCs w:val="24"/>
        </w:rPr>
        <w:t>16,7</w:t>
      </w:r>
      <w:r w:rsidR="00576C3E" w:rsidRPr="0072007D">
        <w:rPr>
          <w:sz w:val="24"/>
          <w:szCs w:val="24"/>
        </w:rPr>
        <w:t>%), como do preço médio (-</w:t>
      </w:r>
      <w:r w:rsidR="0072007D" w:rsidRPr="0072007D">
        <w:rPr>
          <w:sz w:val="24"/>
          <w:szCs w:val="24"/>
        </w:rPr>
        <w:t>14,5</w:t>
      </w:r>
      <w:r w:rsidR="00576C3E" w:rsidRPr="0072007D">
        <w:rPr>
          <w:sz w:val="24"/>
          <w:szCs w:val="24"/>
        </w:rPr>
        <w:t xml:space="preserve">%). </w:t>
      </w:r>
    </w:p>
    <w:p w14:paraId="754199B3" w14:textId="6D9D511F" w:rsidR="00576C3E" w:rsidRPr="00576C3E" w:rsidRDefault="00576C3E" w:rsidP="00576C3E">
      <w:pPr>
        <w:jc w:val="both"/>
        <w:rPr>
          <w:sz w:val="24"/>
          <w:szCs w:val="24"/>
          <w:highlight w:val="yellow"/>
        </w:rPr>
      </w:pPr>
      <w:r w:rsidRPr="00A40318">
        <w:rPr>
          <w:sz w:val="24"/>
          <w:szCs w:val="24"/>
        </w:rPr>
        <w:t xml:space="preserve">As </w:t>
      </w:r>
      <w:r w:rsidR="00F00ADA" w:rsidRPr="00A40318">
        <w:rPr>
          <w:sz w:val="24"/>
          <w:szCs w:val="24"/>
        </w:rPr>
        <w:t>exportações de</w:t>
      </w:r>
      <w:r w:rsidRPr="00A40318">
        <w:rPr>
          <w:sz w:val="24"/>
          <w:szCs w:val="24"/>
        </w:rPr>
        <w:t xml:space="preserve"> produtos florestais foram de US$ </w:t>
      </w:r>
      <w:r w:rsidR="00F00ADA" w:rsidRPr="00A40318">
        <w:rPr>
          <w:sz w:val="24"/>
          <w:szCs w:val="24"/>
        </w:rPr>
        <w:t>14,31</w:t>
      </w:r>
      <w:r w:rsidRPr="00A40318">
        <w:rPr>
          <w:sz w:val="24"/>
          <w:szCs w:val="24"/>
        </w:rPr>
        <w:t xml:space="preserve"> bilhões (+</w:t>
      </w:r>
      <w:r w:rsidR="00F00ADA" w:rsidRPr="00A40318">
        <w:rPr>
          <w:sz w:val="24"/>
          <w:szCs w:val="24"/>
        </w:rPr>
        <w:t>20,4</w:t>
      </w:r>
      <w:r w:rsidRPr="00A40318">
        <w:rPr>
          <w:sz w:val="24"/>
          <w:szCs w:val="24"/>
        </w:rPr>
        <w:t xml:space="preserve">%). A celulose representou </w:t>
      </w:r>
      <w:r w:rsidR="00A40318" w:rsidRPr="00A40318">
        <w:rPr>
          <w:sz w:val="24"/>
          <w:szCs w:val="24"/>
        </w:rPr>
        <w:t>61,4</w:t>
      </w:r>
      <w:r w:rsidRPr="00A40318">
        <w:rPr>
          <w:sz w:val="24"/>
          <w:szCs w:val="24"/>
        </w:rPr>
        <w:t xml:space="preserve">% desse valor, enquanto madeira e suas obras foram responsáveis por </w:t>
      </w:r>
      <w:r w:rsidR="00A40318" w:rsidRPr="00A40318">
        <w:rPr>
          <w:sz w:val="24"/>
          <w:szCs w:val="24"/>
        </w:rPr>
        <w:t>23,9</w:t>
      </w:r>
      <w:r w:rsidRPr="00A40318">
        <w:rPr>
          <w:sz w:val="24"/>
          <w:szCs w:val="24"/>
        </w:rPr>
        <w:t xml:space="preserve">% e papel </w:t>
      </w:r>
      <w:r w:rsidRPr="00711C06">
        <w:rPr>
          <w:sz w:val="24"/>
          <w:szCs w:val="24"/>
        </w:rPr>
        <w:t>representou 14,</w:t>
      </w:r>
      <w:r w:rsidR="00A40318" w:rsidRPr="00711C06">
        <w:rPr>
          <w:sz w:val="24"/>
          <w:szCs w:val="24"/>
        </w:rPr>
        <w:t>6</w:t>
      </w:r>
      <w:r w:rsidRPr="00711C06">
        <w:rPr>
          <w:sz w:val="24"/>
          <w:szCs w:val="24"/>
        </w:rPr>
        <w:t xml:space="preserve">% das vendas externas do setor. O valor exportado de celulose </w:t>
      </w:r>
      <w:r w:rsidR="005B6CCC" w:rsidRPr="00711C06">
        <w:rPr>
          <w:sz w:val="24"/>
          <w:szCs w:val="24"/>
        </w:rPr>
        <w:t>foi</w:t>
      </w:r>
      <w:r w:rsidRPr="00711C06">
        <w:rPr>
          <w:sz w:val="24"/>
          <w:szCs w:val="24"/>
        </w:rPr>
        <w:t xml:space="preserve"> </w:t>
      </w:r>
      <w:r w:rsidR="005B6CCC" w:rsidRPr="00711C06">
        <w:rPr>
          <w:sz w:val="24"/>
          <w:szCs w:val="24"/>
        </w:rPr>
        <w:t xml:space="preserve">recorde </w:t>
      </w:r>
      <w:r w:rsidRPr="00711C06">
        <w:rPr>
          <w:sz w:val="24"/>
          <w:szCs w:val="24"/>
        </w:rPr>
        <w:t>para o período janeiro-</w:t>
      </w:r>
      <w:r w:rsidR="005B6CCC" w:rsidRPr="00711C06">
        <w:rPr>
          <w:sz w:val="24"/>
          <w:szCs w:val="24"/>
        </w:rPr>
        <w:t>outubro</w:t>
      </w:r>
      <w:r w:rsidRPr="00711C06">
        <w:rPr>
          <w:sz w:val="24"/>
          <w:szCs w:val="24"/>
        </w:rPr>
        <w:t xml:space="preserve">: US$ </w:t>
      </w:r>
      <w:r w:rsidR="00910A76" w:rsidRPr="00711C06">
        <w:rPr>
          <w:sz w:val="24"/>
          <w:szCs w:val="24"/>
        </w:rPr>
        <w:t>8,79</w:t>
      </w:r>
      <w:r w:rsidRPr="00711C06">
        <w:rPr>
          <w:sz w:val="24"/>
          <w:szCs w:val="24"/>
        </w:rPr>
        <w:t xml:space="preserve"> bilhões. Na comparação com o ano anterior o aumento foi de </w:t>
      </w:r>
      <w:r w:rsidR="00910A76" w:rsidRPr="00711C06">
        <w:rPr>
          <w:sz w:val="24"/>
          <w:szCs w:val="24"/>
        </w:rPr>
        <w:t>33,9</w:t>
      </w:r>
      <w:r w:rsidRPr="00711C06">
        <w:rPr>
          <w:sz w:val="24"/>
          <w:szCs w:val="24"/>
        </w:rPr>
        <w:t xml:space="preserve">% em valor, </w:t>
      </w:r>
      <w:r w:rsidR="00910A76" w:rsidRPr="00711C06">
        <w:rPr>
          <w:sz w:val="24"/>
          <w:szCs w:val="24"/>
        </w:rPr>
        <w:t xml:space="preserve">decorrente não somente da ampliação da </w:t>
      </w:r>
      <w:r w:rsidR="00711C06" w:rsidRPr="00711C06">
        <w:rPr>
          <w:sz w:val="24"/>
          <w:szCs w:val="24"/>
        </w:rPr>
        <w:t>quantidade (</w:t>
      </w:r>
      <w:r w:rsidR="00910A76" w:rsidRPr="00711C06">
        <w:rPr>
          <w:sz w:val="24"/>
          <w:szCs w:val="24"/>
        </w:rPr>
        <w:t xml:space="preserve">+3,5%), mas principalmente </w:t>
      </w:r>
      <w:r w:rsidR="00910A76" w:rsidRPr="008E5809">
        <w:rPr>
          <w:sz w:val="24"/>
          <w:szCs w:val="24"/>
        </w:rPr>
        <w:t xml:space="preserve">do </w:t>
      </w:r>
      <w:r w:rsidRPr="008E5809">
        <w:rPr>
          <w:sz w:val="24"/>
          <w:szCs w:val="24"/>
        </w:rPr>
        <w:t>preço médio</w:t>
      </w:r>
      <w:r w:rsidR="00910A76" w:rsidRPr="008E5809">
        <w:rPr>
          <w:sz w:val="24"/>
          <w:szCs w:val="24"/>
        </w:rPr>
        <w:t xml:space="preserve"> (</w:t>
      </w:r>
      <w:r w:rsidRPr="008E5809">
        <w:rPr>
          <w:sz w:val="24"/>
          <w:szCs w:val="24"/>
        </w:rPr>
        <w:t>+</w:t>
      </w:r>
      <w:r w:rsidR="00711C06" w:rsidRPr="008E5809">
        <w:rPr>
          <w:sz w:val="24"/>
          <w:szCs w:val="24"/>
        </w:rPr>
        <w:t>29,4</w:t>
      </w:r>
      <w:r w:rsidRPr="008E5809">
        <w:rPr>
          <w:sz w:val="24"/>
          <w:szCs w:val="24"/>
        </w:rPr>
        <w:t>%</w:t>
      </w:r>
      <w:r w:rsidR="00711C06" w:rsidRPr="008E5809">
        <w:rPr>
          <w:sz w:val="24"/>
          <w:szCs w:val="24"/>
        </w:rPr>
        <w:t>)</w:t>
      </w:r>
      <w:r w:rsidRPr="008E5809">
        <w:rPr>
          <w:sz w:val="24"/>
          <w:szCs w:val="24"/>
        </w:rPr>
        <w:t xml:space="preserve">. </w:t>
      </w:r>
      <w:r w:rsidR="00711C06" w:rsidRPr="008E5809">
        <w:rPr>
          <w:sz w:val="24"/>
          <w:szCs w:val="24"/>
        </w:rPr>
        <w:t>Os principais mercados de destino</w:t>
      </w:r>
      <w:r w:rsidRPr="008E5809">
        <w:rPr>
          <w:sz w:val="24"/>
          <w:szCs w:val="24"/>
        </w:rPr>
        <w:t xml:space="preserve"> foram: </w:t>
      </w:r>
      <w:r w:rsidR="00CD7DFE" w:rsidRPr="008E5809">
        <w:rPr>
          <w:sz w:val="24"/>
          <w:szCs w:val="24"/>
        </w:rPr>
        <w:t xml:space="preserve">China (US$ </w:t>
      </w:r>
      <w:r w:rsidR="00084534" w:rsidRPr="008E5809">
        <w:rPr>
          <w:sz w:val="24"/>
          <w:szCs w:val="24"/>
        </w:rPr>
        <w:t>3,79 b</w:t>
      </w:r>
      <w:r w:rsidR="00CD7DFE" w:rsidRPr="008E5809">
        <w:rPr>
          <w:sz w:val="24"/>
          <w:szCs w:val="24"/>
        </w:rPr>
        <w:t>ilhões</w:t>
      </w:r>
      <w:r w:rsidR="002A0F69">
        <w:rPr>
          <w:sz w:val="24"/>
          <w:szCs w:val="24"/>
        </w:rPr>
        <w:t>; +22,4%</w:t>
      </w:r>
      <w:r w:rsidR="00CD7DFE" w:rsidRPr="008E5809">
        <w:rPr>
          <w:sz w:val="24"/>
          <w:szCs w:val="24"/>
        </w:rPr>
        <w:t xml:space="preserve">); </w:t>
      </w:r>
      <w:r w:rsidRPr="008E5809">
        <w:rPr>
          <w:sz w:val="24"/>
          <w:szCs w:val="24"/>
        </w:rPr>
        <w:t xml:space="preserve">União Europeia (US$ </w:t>
      </w:r>
      <w:r w:rsidR="00084534" w:rsidRPr="008E5809">
        <w:rPr>
          <w:sz w:val="24"/>
          <w:szCs w:val="24"/>
        </w:rPr>
        <w:t>2,06 b</w:t>
      </w:r>
      <w:r w:rsidRPr="008E5809">
        <w:rPr>
          <w:sz w:val="24"/>
          <w:szCs w:val="24"/>
        </w:rPr>
        <w:t>ilhões</w:t>
      </w:r>
      <w:r w:rsidR="002A0F69">
        <w:rPr>
          <w:sz w:val="24"/>
          <w:szCs w:val="24"/>
        </w:rPr>
        <w:t>; +56,5%</w:t>
      </w:r>
      <w:r w:rsidRPr="008E5809">
        <w:rPr>
          <w:sz w:val="24"/>
          <w:szCs w:val="24"/>
        </w:rPr>
        <w:t xml:space="preserve">) e Estados Unidos (US$ </w:t>
      </w:r>
      <w:r w:rsidR="00AC04F0" w:rsidRPr="008E5809">
        <w:rPr>
          <w:sz w:val="24"/>
          <w:szCs w:val="24"/>
        </w:rPr>
        <w:t>1,40 bilhão</w:t>
      </w:r>
      <w:r w:rsidR="002A0F69">
        <w:rPr>
          <w:sz w:val="24"/>
          <w:szCs w:val="24"/>
        </w:rPr>
        <w:t>; +36,5%</w:t>
      </w:r>
      <w:r w:rsidRPr="008E5809">
        <w:rPr>
          <w:sz w:val="24"/>
          <w:szCs w:val="24"/>
        </w:rPr>
        <w:t>). Em conjunto, os três mercados representaram 82,</w:t>
      </w:r>
      <w:r w:rsidR="00D01CF7" w:rsidRPr="008E5809">
        <w:rPr>
          <w:sz w:val="24"/>
          <w:szCs w:val="24"/>
        </w:rPr>
        <w:t>5</w:t>
      </w:r>
      <w:r w:rsidRPr="008E5809">
        <w:rPr>
          <w:sz w:val="24"/>
          <w:szCs w:val="24"/>
        </w:rPr>
        <w:t>% das exportações brasileiras do produto. As exportações de madeiras e suas obras alcançaram a cifra de US$ 3,</w:t>
      </w:r>
      <w:r w:rsidR="001D63A5" w:rsidRPr="008E5809">
        <w:rPr>
          <w:sz w:val="24"/>
          <w:szCs w:val="24"/>
        </w:rPr>
        <w:t>42</w:t>
      </w:r>
      <w:r w:rsidRPr="008E5809">
        <w:rPr>
          <w:sz w:val="24"/>
          <w:szCs w:val="24"/>
        </w:rPr>
        <w:t xml:space="preserve"> bilhões (+</w:t>
      </w:r>
      <w:r w:rsidR="001D63A5" w:rsidRPr="008E5809">
        <w:rPr>
          <w:sz w:val="24"/>
          <w:szCs w:val="24"/>
        </w:rPr>
        <w:t>2,7</w:t>
      </w:r>
      <w:r w:rsidRPr="008E5809">
        <w:rPr>
          <w:sz w:val="24"/>
          <w:szCs w:val="24"/>
        </w:rPr>
        <w:t xml:space="preserve">%), quanto as vendas de papel foram de US$ </w:t>
      </w:r>
      <w:r w:rsidR="001D63A5" w:rsidRPr="008E5809">
        <w:rPr>
          <w:sz w:val="24"/>
          <w:szCs w:val="24"/>
        </w:rPr>
        <w:t>2,09</w:t>
      </w:r>
      <w:r w:rsidRPr="008E5809">
        <w:rPr>
          <w:sz w:val="24"/>
          <w:szCs w:val="24"/>
        </w:rPr>
        <w:t xml:space="preserve"> bilh</w:t>
      </w:r>
      <w:r w:rsidR="001D63A5" w:rsidRPr="008E5809">
        <w:rPr>
          <w:sz w:val="24"/>
          <w:szCs w:val="24"/>
        </w:rPr>
        <w:t>ões</w:t>
      </w:r>
      <w:r w:rsidRPr="008E5809">
        <w:rPr>
          <w:sz w:val="24"/>
          <w:szCs w:val="24"/>
        </w:rPr>
        <w:t xml:space="preserve"> (+5,</w:t>
      </w:r>
      <w:r w:rsidR="008E5809" w:rsidRPr="008E5809">
        <w:rPr>
          <w:sz w:val="24"/>
          <w:szCs w:val="24"/>
        </w:rPr>
        <w:t>2</w:t>
      </w:r>
      <w:r w:rsidRPr="008E5809">
        <w:rPr>
          <w:sz w:val="24"/>
          <w:szCs w:val="24"/>
        </w:rPr>
        <w:t>%).</w:t>
      </w:r>
    </w:p>
    <w:p w14:paraId="70B24EE7" w14:textId="1F8E3D10" w:rsidR="00576C3E" w:rsidRPr="00266B54" w:rsidRDefault="00576C3E" w:rsidP="00576C3E">
      <w:pPr>
        <w:jc w:val="both"/>
        <w:rPr>
          <w:sz w:val="24"/>
          <w:szCs w:val="24"/>
        </w:rPr>
      </w:pPr>
      <w:r w:rsidRPr="00F76EED">
        <w:rPr>
          <w:sz w:val="24"/>
          <w:szCs w:val="24"/>
        </w:rPr>
        <w:t xml:space="preserve">Por fim, </w:t>
      </w:r>
      <w:r w:rsidR="008E5809" w:rsidRPr="00F76EED">
        <w:rPr>
          <w:sz w:val="24"/>
          <w:szCs w:val="24"/>
        </w:rPr>
        <w:t xml:space="preserve">destaca-se </w:t>
      </w:r>
      <w:r w:rsidRPr="00F76EED">
        <w:rPr>
          <w:sz w:val="24"/>
          <w:szCs w:val="24"/>
        </w:rPr>
        <w:t xml:space="preserve">o setor de café </w:t>
      </w:r>
      <w:r w:rsidR="008E5809" w:rsidRPr="00F76EED">
        <w:rPr>
          <w:sz w:val="24"/>
          <w:szCs w:val="24"/>
        </w:rPr>
        <w:t>com</w:t>
      </w:r>
      <w:r w:rsidRPr="00F76EED">
        <w:rPr>
          <w:sz w:val="24"/>
          <w:szCs w:val="24"/>
        </w:rPr>
        <w:t xml:space="preserve"> a cifra de US$ </w:t>
      </w:r>
      <w:r w:rsidR="008E5809" w:rsidRPr="00F76EED">
        <w:rPr>
          <w:sz w:val="24"/>
          <w:szCs w:val="24"/>
        </w:rPr>
        <w:t>9,75</w:t>
      </w:r>
      <w:r w:rsidRPr="00F76EED">
        <w:rPr>
          <w:sz w:val="24"/>
          <w:szCs w:val="24"/>
        </w:rPr>
        <w:t xml:space="preserve"> bilhões, ou seja, </w:t>
      </w:r>
      <w:r w:rsidR="008E5809" w:rsidRPr="00F76EED">
        <w:rPr>
          <w:sz w:val="24"/>
          <w:szCs w:val="24"/>
        </w:rPr>
        <w:t>51,0</w:t>
      </w:r>
      <w:r w:rsidRPr="00F76EED">
        <w:rPr>
          <w:sz w:val="24"/>
          <w:szCs w:val="24"/>
        </w:rPr>
        <w:t>% acima do</w:t>
      </w:r>
      <w:r w:rsidR="00F76EED" w:rsidRPr="00F76EED">
        <w:rPr>
          <w:sz w:val="24"/>
          <w:szCs w:val="24"/>
        </w:rPr>
        <w:t xml:space="preserve"> </w:t>
      </w:r>
      <w:r w:rsidR="008E5809" w:rsidRPr="00F76EED">
        <w:rPr>
          <w:sz w:val="24"/>
          <w:szCs w:val="24"/>
        </w:rPr>
        <w:t xml:space="preserve">que </w:t>
      </w:r>
      <w:r w:rsidR="00F76EED" w:rsidRPr="00F76EED">
        <w:rPr>
          <w:sz w:val="24"/>
          <w:szCs w:val="24"/>
        </w:rPr>
        <w:t xml:space="preserve">foi </w:t>
      </w:r>
      <w:r w:rsidRPr="00F76EED">
        <w:rPr>
          <w:sz w:val="24"/>
          <w:szCs w:val="24"/>
        </w:rPr>
        <w:t>registrado em 202</w:t>
      </w:r>
      <w:r w:rsidR="00F76EED" w:rsidRPr="00F76EED">
        <w:rPr>
          <w:sz w:val="24"/>
          <w:szCs w:val="24"/>
        </w:rPr>
        <w:t>3</w:t>
      </w:r>
      <w:r w:rsidRPr="00F76EED">
        <w:rPr>
          <w:sz w:val="24"/>
          <w:szCs w:val="24"/>
        </w:rPr>
        <w:t xml:space="preserve">. </w:t>
      </w:r>
      <w:r w:rsidRPr="00430312">
        <w:rPr>
          <w:sz w:val="24"/>
          <w:szCs w:val="24"/>
        </w:rPr>
        <w:t xml:space="preserve">Tanto as exportações de café verde, como de café solúvel foram recordes em valor e </w:t>
      </w:r>
      <w:r w:rsidRPr="00593384">
        <w:rPr>
          <w:sz w:val="24"/>
          <w:szCs w:val="24"/>
        </w:rPr>
        <w:t xml:space="preserve">quantidade. </w:t>
      </w:r>
      <w:r w:rsidR="004F6695">
        <w:rPr>
          <w:sz w:val="24"/>
          <w:szCs w:val="24"/>
        </w:rPr>
        <w:t xml:space="preserve">Em um ano de </w:t>
      </w:r>
      <w:r w:rsidR="004F6695" w:rsidRPr="00A47058">
        <w:rPr>
          <w:sz w:val="24"/>
          <w:szCs w:val="24"/>
        </w:rPr>
        <w:t>bienalidade positiva</w:t>
      </w:r>
      <w:r w:rsidR="004F6695">
        <w:rPr>
          <w:sz w:val="24"/>
          <w:szCs w:val="24"/>
        </w:rPr>
        <w:t>, a safra de café arábica e conilon é estimada em 54,79 mil sacas, o que representa uma ligeira queda de 0,5% em relação aos 55,07 milhões de sacas produzidas em 2023</w:t>
      </w:r>
      <w:r w:rsidR="00F81FBC">
        <w:rPr>
          <w:sz w:val="24"/>
          <w:szCs w:val="24"/>
        </w:rPr>
        <w:t xml:space="preserve">. </w:t>
      </w:r>
      <w:r w:rsidR="008212B1">
        <w:rPr>
          <w:sz w:val="24"/>
          <w:szCs w:val="24"/>
        </w:rPr>
        <w:t xml:space="preserve">Mas </w:t>
      </w:r>
      <w:r w:rsidR="001A252E">
        <w:rPr>
          <w:sz w:val="24"/>
          <w:szCs w:val="24"/>
        </w:rPr>
        <w:t xml:space="preserve">é um resultado </w:t>
      </w:r>
      <w:r w:rsidR="00DC75B5">
        <w:rPr>
          <w:sz w:val="24"/>
          <w:szCs w:val="24"/>
        </w:rPr>
        <w:t>superior ao que foi observado em 2022 (50,92</w:t>
      </w:r>
      <w:r w:rsidR="003C16D5">
        <w:rPr>
          <w:sz w:val="24"/>
          <w:szCs w:val="24"/>
        </w:rPr>
        <w:t xml:space="preserve"> milhões de sacas</w:t>
      </w:r>
      <w:r w:rsidR="002A0F69">
        <w:rPr>
          <w:sz w:val="24"/>
          <w:szCs w:val="24"/>
        </w:rPr>
        <w:t>)</w:t>
      </w:r>
      <w:r w:rsidR="003C16D5">
        <w:rPr>
          <w:sz w:val="24"/>
          <w:szCs w:val="24"/>
        </w:rPr>
        <w:t xml:space="preserve"> </w:t>
      </w:r>
      <w:r w:rsidR="00DC75B5">
        <w:rPr>
          <w:sz w:val="24"/>
          <w:szCs w:val="24"/>
        </w:rPr>
        <w:t>e 2021</w:t>
      </w:r>
      <w:r w:rsidR="003C16D5">
        <w:rPr>
          <w:sz w:val="24"/>
          <w:szCs w:val="24"/>
        </w:rPr>
        <w:t xml:space="preserve"> </w:t>
      </w:r>
      <w:r w:rsidR="002A0F69">
        <w:rPr>
          <w:sz w:val="24"/>
          <w:szCs w:val="24"/>
        </w:rPr>
        <w:t>(</w:t>
      </w:r>
      <w:r w:rsidR="003C16D5">
        <w:rPr>
          <w:sz w:val="24"/>
          <w:szCs w:val="24"/>
        </w:rPr>
        <w:t>47,72 milhões de sacas)</w:t>
      </w:r>
      <w:r w:rsidR="004F6695">
        <w:rPr>
          <w:rStyle w:val="Refdenotaderodap"/>
          <w:sz w:val="24"/>
          <w:szCs w:val="24"/>
        </w:rPr>
        <w:footnoteReference w:id="10"/>
      </w:r>
      <w:r w:rsidR="004F6695">
        <w:rPr>
          <w:sz w:val="24"/>
          <w:szCs w:val="24"/>
        </w:rPr>
        <w:t xml:space="preserve">. </w:t>
      </w:r>
      <w:r w:rsidRPr="00593384">
        <w:rPr>
          <w:sz w:val="24"/>
          <w:szCs w:val="24"/>
        </w:rPr>
        <w:t xml:space="preserve">Foram exportados US$ </w:t>
      </w:r>
      <w:r w:rsidR="00593384" w:rsidRPr="00593384">
        <w:rPr>
          <w:sz w:val="24"/>
          <w:szCs w:val="24"/>
        </w:rPr>
        <w:t>8,96</w:t>
      </w:r>
      <w:r w:rsidRPr="00593384">
        <w:rPr>
          <w:sz w:val="24"/>
          <w:szCs w:val="24"/>
        </w:rPr>
        <w:t xml:space="preserve"> bilhões de café verde (+</w:t>
      </w:r>
      <w:r w:rsidR="00593384" w:rsidRPr="00593384">
        <w:rPr>
          <w:sz w:val="24"/>
          <w:szCs w:val="24"/>
        </w:rPr>
        <w:t>54,4</w:t>
      </w:r>
      <w:r w:rsidRPr="00593384">
        <w:rPr>
          <w:sz w:val="24"/>
          <w:szCs w:val="24"/>
        </w:rPr>
        <w:t xml:space="preserve">%), ou o equivalente a </w:t>
      </w:r>
      <w:r w:rsidRPr="00C7291B">
        <w:rPr>
          <w:sz w:val="24"/>
          <w:szCs w:val="24"/>
        </w:rPr>
        <w:t>2,</w:t>
      </w:r>
      <w:r w:rsidR="00593384" w:rsidRPr="00C7291B">
        <w:rPr>
          <w:sz w:val="24"/>
          <w:szCs w:val="24"/>
        </w:rPr>
        <w:t>28</w:t>
      </w:r>
      <w:r w:rsidRPr="00C7291B">
        <w:rPr>
          <w:sz w:val="24"/>
          <w:szCs w:val="24"/>
        </w:rPr>
        <w:t xml:space="preserve"> milhões de toneladas. A União Europeia foi o principal destino com US$ </w:t>
      </w:r>
      <w:r w:rsidR="00C14285" w:rsidRPr="00C7291B">
        <w:rPr>
          <w:sz w:val="24"/>
          <w:szCs w:val="24"/>
        </w:rPr>
        <w:t>4,57</w:t>
      </w:r>
      <w:r w:rsidRPr="00C7291B">
        <w:rPr>
          <w:sz w:val="24"/>
          <w:szCs w:val="24"/>
        </w:rPr>
        <w:t xml:space="preserve"> bilhões (+</w:t>
      </w:r>
      <w:r w:rsidR="00877E9F" w:rsidRPr="00C7291B">
        <w:rPr>
          <w:sz w:val="24"/>
          <w:szCs w:val="24"/>
        </w:rPr>
        <w:t>72,2</w:t>
      </w:r>
      <w:r w:rsidRPr="00C7291B">
        <w:rPr>
          <w:sz w:val="24"/>
          <w:szCs w:val="24"/>
        </w:rPr>
        <w:t>%)</w:t>
      </w:r>
      <w:r w:rsidR="000524C0" w:rsidRPr="00C7291B">
        <w:rPr>
          <w:sz w:val="24"/>
          <w:szCs w:val="24"/>
        </w:rPr>
        <w:t xml:space="preserve">, </w:t>
      </w:r>
      <w:r w:rsidRPr="00C7291B">
        <w:rPr>
          <w:sz w:val="24"/>
          <w:szCs w:val="24"/>
        </w:rPr>
        <w:t xml:space="preserve">seguida </w:t>
      </w:r>
      <w:r w:rsidR="00C51247" w:rsidRPr="00C7291B">
        <w:rPr>
          <w:sz w:val="24"/>
          <w:szCs w:val="24"/>
        </w:rPr>
        <w:t>pel</w:t>
      </w:r>
      <w:r w:rsidRPr="00C7291B">
        <w:rPr>
          <w:sz w:val="24"/>
          <w:szCs w:val="24"/>
        </w:rPr>
        <w:t>os Estados Unidos</w:t>
      </w:r>
      <w:r w:rsidR="00C51247" w:rsidRPr="00C7291B">
        <w:rPr>
          <w:sz w:val="24"/>
          <w:szCs w:val="24"/>
        </w:rPr>
        <w:t xml:space="preserve"> (</w:t>
      </w:r>
      <w:r w:rsidRPr="00C7291B">
        <w:rPr>
          <w:sz w:val="24"/>
          <w:szCs w:val="24"/>
        </w:rPr>
        <w:t>US$ 1,</w:t>
      </w:r>
      <w:r w:rsidR="00C51247" w:rsidRPr="00C7291B">
        <w:rPr>
          <w:sz w:val="24"/>
          <w:szCs w:val="24"/>
        </w:rPr>
        <w:t>39</w:t>
      </w:r>
      <w:r w:rsidRPr="00C7291B">
        <w:rPr>
          <w:sz w:val="24"/>
          <w:szCs w:val="24"/>
        </w:rPr>
        <w:t xml:space="preserve"> bilhão</w:t>
      </w:r>
      <w:r w:rsidR="00C51247" w:rsidRPr="00C7291B">
        <w:rPr>
          <w:sz w:val="24"/>
          <w:szCs w:val="24"/>
        </w:rPr>
        <w:t xml:space="preserve">, </w:t>
      </w:r>
      <w:r w:rsidRPr="00C7291B">
        <w:rPr>
          <w:sz w:val="24"/>
          <w:szCs w:val="24"/>
        </w:rPr>
        <w:t>+4</w:t>
      </w:r>
      <w:r w:rsidR="00C51247" w:rsidRPr="00C7291B">
        <w:rPr>
          <w:sz w:val="24"/>
          <w:szCs w:val="24"/>
        </w:rPr>
        <w:t>7,9</w:t>
      </w:r>
      <w:r w:rsidRPr="00C7291B">
        <w:rPr>
          <w:sz w:val="24"/>
          <w:szCs w:val="24"/>
        </w:rPr>
        <w:t>%)</w:t>
      </w:r>
      <w:r w:rsidR="00EE7A51" w:rsidRPr="00C7291B">
        <w:rPr>
          <w:sz w:val="24"/>
          <w:szCs w:val="24"/>
        </w:rPr>
        <w:t xml:space="preserve">. As vendas externas de </w:t>
      </w:r>
      <w:r w:rsidRPr="00C7291B">
        <w:rPr>
          <w:sz w:val="24"/>
          <w:szCs w:val="24"/>
        </w:rPr>
        <w:t xml:space="preserve">café solúvel foram </w:t>
      </w:r>
      <w:r w:rsidRPr="00266B54">
        <w:rPr>
          <w:sz w:val="24"/>
          <w:szCs w:val="24"/>
        </w:rPr>
        <w:t xml:space="preserve">de US$ </w:t>
      </w:r>
      <w:r w:rsidR="00C7291B" w:rsidRPr="00266B54">
        <w:rPr>
          <w:sz w:val="24"/>
          <w:szCs w:val="24"/>
        </w:rPr>
        <w:t>707,72</w:t>
      </w:r>
      <w:r w:rsidRPr="00266B54">
        <w:rPr>
          <w:sz w:val="24"/>
          <w:szCs w:val="24"/>
        </w:rPr>
        <w:t xml:space="preserve"> milhões (+</w:t>
      </w:r>
      <w:r w:rsidR="00C7291B" w:rsidRPr="00266B54">
        <w:rPr>
          <w:sz w:val="24"/>
          <w:szCs w:val="24"/>
        </w:rPr>
        <w:t>24,1</w:t>
      </w:r>
      <w:r w:rsidRPr="00266B54">
        <w:rPr>
          <w:sz w:val="24"/>
          <w:szCs w:val="24"/>
        </w:rPr>
        <w:t xml:space="preserve">%) e </w:t>
      </w:r>
      <w:r w:rsidR="00C7291B" w:rsidRPr="00266B54">
        <w:rPr>
          <w:sz w:val="24"/>
          <w:szCs w:val="24"/>
        </w:rPr>
        <w:t>74,08</w:t>
      </w:r>
      <w:r w:rsidRPr="00266B54">
        <w:rPr>
          <w:sz w:val="24"/>
          <w:szCs w:val="24"/>
        </w:rPr>
        <w:t xml:space="preserve"> mil toneladas (+9,4%).</w:t>
      </w:r>
      <w:r w:rsidR="00424353">
        <w:rPr>
          <w:sz w:val="24"/>
          <w:szCs w:val="24"/>
        </w:rPr>
        <w:t xml:space="preserve"> </w:t>
      </w:r>
    </w:p>
    <w:p w14:paraId="0389DCE6" w14:textId="6DC2F3BC" w:rsidR="00576C3E" w:rsidRPr="00266B54" w:rsidRDefault="00576C3E" w:rsidP="00576C3E">
      <w:pPr>
        <w:jc w:val="both"/>
        <w:rPr>
          <w:sz w:val="24"/>
          <w:szCs w:val="24"/>
        </w:rPr>
      </w:pPr>
      <w:r w:rsidRPr="00266B54">
        <w:rPr>
          <w:sz w:val="24"/>
          <w:szCs w:val="24"/>
        </w:rPr>
        <w:t xml:space="preserve">Outros produtos que não pertencem aos cinco setores acima </w:t>
      </w:r>
      <w:r w:rsidR="0073193B" w:rsidRPr="00266B54">
        <w:rPr>
          <w:sz w:val="24"/>
          <w:szCs w:val="24"/>
        </w:rPr>
        <w:t>destacados</w:t>
      </w:r>
      <w:r w:rsidRPr="00266B54">
        <w:rPr>
          <w:sz w:val="24"/>
          <w:szCs w:val="24"/>
        </w:rPr>
        <w:t xml:space="preserve"> e que registraram recordes em exportação foram: algodão não cardado nem penteado: recorde em valor (US$ </w:t>
      </w:r>
      <w:r w:rsidR="00301EB9" w:rsidRPr="00266B54">
        <w:rPr>
          <w:sz w:val="24"/>
          <w:szCs w:val="24"/>
        </w:rPr>
        <w:t>4,00</w:t>
      </w:r>
      <w:r w:rsidRPr="00266B54">
        <w:rPr>
          <w:sz w:val="24"/>
          <w:szCs w:val="24"/>
        </w:rPr>
        <w:t xml:space="preserve"> bilhões) e quantidade (</w:t>
      </w:r>
      <w:r w:rsidR="00301EB9" w:rsidRPr="00266B54">
        <w:rPr>
          <w:sz w:val="24"/>
          <w:szCs w:val="24"/>
        </w:rPr>
        <w:t>2,12</w:t>
      </w:r>
      <w:r w:rsidRPr="00266B54">
        <w:rPr>
          <w:sz w:val="24"/>
          <w:szCs w:val="24"/>
        </w:rPr>
        <w:t xml:space="preserve"> milh</w:t>
      </w:r>
      <w:r w:rsidR="00301EB9" w:rsidRPr="00266B54">
        <w:rPr>
          <w:sz w:val="24"/>
          <w:szCs w:val="24"/>
        </w:rPr>
        <w:t>ões</w:t>
      </w:r>
      <w:r w:rsidRPr="00266B54">
        <w:rPr>
          <w:sz w:val="24"/>
          <w:szCs w:val="24"/>
        </w:rPr>
        <w:t xml:space="preserve"> de toneladas)</w:t>
      </w:r>
      <w:r w:rsidR="004412BA">
        <w:rPr>
          <w:rStyle w:val="Refdenotaderodap"/>
          <w:sz w:val="24"/>
          <w:szCs w:val="24"/>
        </w:rPr>
        <w:footnoteReference w:id="11"/>
      </w:r>
      <w:r w:rsidRPr="00266B54">
        <w:rPr>
          <w:sz w:val="24"/>
          <w:szCs w:val="24"/>
        </w:rPr>
        <w:t xml:space="preserve">; bovinos vivos: recorde em valor (US$ </w:t>
      </w:r>
      <w:r w:rsidR="00D83B12" w:rsidRPr="00266B54">
        <w:rPr>
          <w:sz w:val="24"/>
          <w:szCs w:val="24"/>
        </w:rPr>
        <w:t>653,02</w:t>
      </w:r>
      <w:r w:rsidRPr="00266B54">
        <w:rPr>
          <w:sz w:val="24"/>
          <w:szCs w:val="24"/>
        </w:rPr>
        <w:t xml:space="preserve"> milhões) e quantidade (</w:t>
      </w:r>
      <w:r w:rsidR="00D83B12" w:rsidRPr="00266B54">
        <w:rPr>
          <w:sz w:val="24"/>
          <w:szCs w:val="24"/>
        </w:rPr>
        <w:t>286,69</w:t>
      </w:r>
      <w:r w:rsidRPr="00266B54">
        <w:rPr>
          <w:sz w:val="24"/>
          <w:szCs w:val="24"/>
        </w:rPr>
        <w:t xml:space="preserve"> mil toneladas); suco de laranja: recorde em valor (US$ 2,</w:t>
      </w:r>
      <w:r w:rsidR="00266B54" w:rsidRPr="00266B54">
        <w:rPr>
          <w:sz w:val="24"/>
          <w:szCs w:val="24"/>
        </w:rPr>
        <w:t>60</w:t>
      </w:r>
      <w:r w:rsidRPr="00266B54">
        <w:rPr>
          <w:sz w:val="24"/>
          <w:szCs w:val="24"/>
        </w:rPr>
        <w:t xml:space="preserve"> bilhões); trigo: </w:t>
      </w:r>
      <w:r w:rsidRPr="00266B54">
        <w:rPr>
          <w:sz w:val="24"/>
          <w:szCs w:val="24"/>
        </w:rPr>
        <w:lastRenderedPageBreak/>
        <w:t>recorde em quantidade (2,</w:t>
      </w:r>
      <w:r w:rsidR="00266B54" w:rsidRPr="00266B54">
        <w:rPr>
          <w:sz w:val="24"/>
          <w:szCs w:val="24"/>
        </w:rPr>
        <w:t>49</w:t>
      </w:r>
      <w:r w:rsidRPr="00266B54">
        <w:rPr>
          <w:sz w:val="24"/>
          <w:szCs w:val="24"/>
        </w:rPr>
        <w:t xml:space="preserve"> milhões de toneladas) e outros couros/peles curtidos: recorde em quantidade (3</w:t>
      </w:r>
      <w:r w:rsidR="00266B54" w:rsidRPr="00266B54">
        <w:rPr>
          <w:sz w:val="24"/>
          <w:szCs w:val="24"/>
        </w:rPr>
        <w:t xml:space="preserve">74,06 </w:t>
      </w:r>
      <w:r w:rsidRPr="00266B54">
        <w:rPr>
          <w:sz w:val="24"/>
          <w:szCs w:val="24"/>
        </w:rPr>
        <w:t>mil toneladas).</w:t>
      </w:r>
    </w:p>
    <w:p w14:paraId="5AEC0319" w14:textId="47E7946C" w:rsidR="00576C3E" w:rsidRPr="0055277C" w:rsidRDefault="00576C3E" w:rsidP="00576C3E">
      <w:pPr>
        <w:jc w:val="both"/>
        <w:rPr>
          <w:iCs/>
          <w:sz w:val="24"/>
          <w:szCs w:val="24"/>
        </w:rPr>
      </w:pPr>
      <w:r w:rsidRPr="00F953A9">
        <w:rPr>
          <w:sz w:val="24"/>
          <w:szCs w:val="24"/>
        </w:rPr>
        <w:t xml:space="preserve">Em relação às importações, o Brasil adquiriu entre janeiro e </w:t>
      </w:r>
      <w:r w:rsidR="00E7484F" w:rsidRPr="00F953A9">
        <w:rPr>
          <w:sz w:val="24"/>
          <w:szCs w:val="24"/>
        </w:rPr>
        <w:t>outubro</w:t>
      </w:r>
      <w:r w:rsidRPr="00F953A9">
        <w:rPr>
          <w:sz w:val="24"/>
          <w:szCs w:val="24"/>
        </w:rPr>
        <w:t xml:space="preserve"> de 2024</w:t>
      </w:r>
      <w:r w:rsidR="00E7484F" w:rsidRPr="00F953A9">
        <w:rPr>
          <w:sz w:val="24"/>
          <w:szCs w:val="24"/>
        </w:rPr>
        <w:t>,</w:t>
      </w:r>
      <w:r w:rsidRPr="00F953A9">
        <w:rPr>
          <w:sz w:val="24"/>
          <w:szCs w:val="24"/>
        </w:rPr>
        <w:t xml:space="preserve"> US$ </w:t>
      </w:r>
      <w:r w:rsidR="00E704BC" w:rsidRPr="00F953A9">
        <w:rPr>
          <w:sz w:val="24"/>
          <w:szCs w:val="24"/>
        </w:rPr>
        <w:t>16,24</w:t>
      </w:r>
      <w:r w:rsidRPr="00F953A9">
        <w:rPr>
          <w:sz w:val="24"/>
          <w:szCs w:val="24"/>
        </w:rPr>
        <w:t xml:space="preserve"> bilhões em produtos do agronegócio, o que representou um crescimento de </w:t>
      </w:r>
      <w:r w:rsidR="00E704BC" w:rsidRPr="00F953A9">
        <w:rPr>
          <w:sz w:val="24"/>
          <w:szCs w:val="24"/>
        </w:rPr>
        <w:t>17,2</w:t>
      </w:r>
      <w:r w:rsidRPr="00F953A9">
        <w:rPr>
          <w:sz w:val="24"/>
          <w:szCs w:val="24"/>
        </w:rPr>
        <w:t xml:space="preserve">% em relação ao mesmo período do ano anterior. </w:t>
      </w:r>
      <w:r w:rsidR="00F953A9" w:rsidRPr="00F953A9">
        <w:rPr>
          <w:sz w:val="24"/>
          <w:szCs w:val="24"/>
        </w:rPr>
        <w:t>O aumento nas compras de trigo (</w:t>
      </w:r>
      <w:r w:rsidR="002A0F69">
        <w:rPr>
          <w:sz w:val="24"/>
          <w:szCs w:val="24"/>
        </w:rPr>
        <w:t>+</w:t>
      </w:r>
      <w:r w:rsidR="00F953A9" w:rsidRPr="00F953A9">
        <w:rPr>
          <w:sz w:val="24"/>
          <w:szCs w:val="24"/>
        </w:rPr>
        <w:t>US$ 309,23 milhões), soja em grãos (+US$ 245,09 milhões), e azeite de oliva (+US$ 232,34 milhões) foi o que mais contribuiu para o crescimento das importações. Os produtos que se destacaram em termos de valor importado foram: trigo (US$ 1,42 bilhão e +27,9% em relação a 2023); papel (US$ 821,34 milhões e +8,9%); salmões (US$ 751,99 milhões e +7,8%); azeite de oliva (US$ 697,58 milhões e +49,9%); arroz (US$ 616,84 milhões e +38,5%); vestuário outros produtos têxteis de algodão (US$ 606,06 milhões e +14,9%); malte (US$ 604,06 milhões e -13,2%); leite em pó (US$ 532,01 milhões e -13,2%); óleo de palma (US$ 508,76 milhões e +20,8%) e vinho (US$ 437,58 milhões e +13,3%).</w:t>
      </w:r>
    </w:p>
    <w:p w14:paraId="05C52EE2" w14:textId="058FD8AC" w:rsidR="00C51F2D" w:rsidRPr="00D21870" w:rsidRDefault="00926640" w:rsidP="00C51F2D">
      <w:pPr>
        <w:jc w:val="both"/>
        <w:rPr>
          <w:rFonts w:cstheme="minorHAnsi"/>
        </w:rPr>
      </w:pPr>
      <w:r w:rsidRPr="00D21870">
        <w:rPr>
          <w:rFonts w:cstheme="minorHAnsi"/>
          <w:noProof/>
        </w:rPr>
        <w:drawing>
          <wp:inline distT="0" distB="0" distL="0" distR="0" wp14:anchorId="7A7803B7" wp14:editId="004D1450">
            <wp:extent cx="6188710" cy="3987800"/>
            <wp:effectExtent l="0" t="0" r="2540" b="0"/>
            <wp:docPr id="303254337" name="Imagem 1" descr="Interface gráfica do usuário,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54337" name="Imagem 1" descr="Interface gráfica do usuário, Tabela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3BC61" w14:textId="77777777" w:rsidR="00802DDC" w:rsidRPr="00D21870" w:rsidRDefault="00802DDC" w:rsidP="00C51F2D">
      <w:pPr>
        <w:jc w:val="both"/>
        <w:rPr>
          <w:rFonts w:cstheme="minorHAnsi"/>
        </w:rPr>
      </w:pPr>
    </w:p>
    <w:p w14:paraId="537489A0" w14:textId="4869DD31" w:rsidR="000E630C" w:rsidRPr="00D21870" w:rsidRDefault="000E630C" w:rsidP="000E630C">
      <w:pPr>
        <w:jc w:val="both"/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>II.b – Blocos Econômicos e Regiões Geográficas</w:t>
      </w:r>
    </w:p>
    <w:p w14:paraId="3D541DB8" w14:textId="11AB4E7B" w:rsidR="00CA1B0D" w:rsidRDefault="00574360" w:rsidP="00CA1B0D">
      <w:pPr>
        <w:jc w:val="both"/>
        <w:rPr>
          <w:rFonts w:cstheme="minorHAnsi"/>
        </w:rPr>
      </w:pPr>
      <w:r w:rsidRPr="00574360">
        <w:rPr>
          <w:rFonts w:cstheme="minorHAnsi"/>
        </w:rPr>
        <w:t xml:space="preserve">A Ásia (exclusive o Oriente Médio) representou 49,8% das exportações do agronegócio brasileiro (US$ 69,71 bilhões; -6,6%). </w:t>
      </w:r>
      <w:r w:rsidR="0040204D">
        <w:rPr>
          <w:rFonts w:cstheme="minorHAnsi"/>
        </w:rPr>
        <w:t>Os p</w:t>
      </w:r>
      <w:r w:rsidRPr="00574360">
        <w:rPr>
          <w:rFonts w:cstheme="minorHAnsi"/>
        </w:rPr>
        <w:t>rincipais produtos</w:t>
      </w:r>
      <w:r w:rsidR="0040204D">
        <w:rPr>
          <w:rFonts w:cstheme="minorHAnsi"/>
        </w:rPr>
        <w:t xml:space="preserve"> exportados foram</w:t>
      </w:r>
      <w:r w:rsidRPr="00574360">
        <w:rPr>
          <w:rFonts w:cstheme="minorHAnsi"/>
        </w:rPr>
        <w:t xml:space="preserve">: soja em grãos (US$ 33,39 bilhões, -12,8%); carne bovina </w:t>
      </w:r>
      <w:r w:rsidRPr="0040204D">
        <w:rPr>
          <w:rFonts w:cstheme="minorHAnsi"/>
          <w:i/>
          <w:iCs/>
        </w:rPr>
        <w:t>in natura</w:t>
      </w:r>
      <w:r w:rsidRPr="00574360">
        <w:rPr>
          <w:rFonts w:cstheme="minorHAnsi"/>
        </w:rPr>
        <w:t xml:space="preserve"> (US$ 5,44 bilhões, +5,7%); açúcar de cana em bruto (US$ 5,31 bilhões, +50,1%); celulose (US$ 4,42 bilhões, +24,9%); farelo de soja (US$ 3,53 bilhões, -20,2%) e algodão não cardado nem penteado (US$ 3,53 bilhões, +109,2%).</w:t>
      </w:r>
    </w:p>
    <w:p w14:paraId="66402408" w14:textId="2A59895B" w:rsidR="009C03AE" w:rsidRDefault="004124A9" w:rsidP="00C51F2D">
      <w:pPr>
        <w:jc w:val="both"/>
        <w:rPr>
          <w:rFonts w:cstheme="minorHAnsi"/>
        </w:rPr>
      </w:pPr>
      <w:r w:rsidRPr="004124A9">
        <w:rPr>
          <w:rFonts w:cstheme="minorHAnsi"/>
        </w:rPr>
        <w:t>A União Europeia</w:t>
      </w:r>
      <w:r>
        <w:rPr>
          <w:rFonts w:cstheme="minorHAnsi"/>
        </w:rPr>
        <w:t xml:space="preserve"> foi</w:t>
      </w:r>
      <w:r w:rsidRPr="004124A9">
        <w:rPr>
          <w:rFonts w:cstheme="minorHAnsi"/>
        </w:rPr>
        <w:t xml:space="preserve"> segundo principal destino das exportações brasileiras do agronegócio (14,1% de participação), com US$ 19,81 bilhões (+7,4%). Os produtos </w:t>
      </w:r>
      <w:r>
        <w:rPr>
          <w:rFonts w:cstheme="minorHAnsi"/>
        </w:rPr>
        <w:t xml:space="preserve">que se destacaram </w:t>
      </w:r>
      <w:r w:rsidRPr="004124A9">
        <w:rPr>
          <w:rFonts w:cstheme="minorHAnsi"/>
        </w:rPr>
        <w:t xml:space="preserve">foram: café verde (US$ 4,57 </w:t>
      </w:r>
      <w:r w:rsidRPr="004124A9">
        <w:rPr>
          <w:rFonts w:cstheme="minorHAnsi"/>
        </w:rPr>
        <w:lastRenderedPageBreak/>
        <w:t>bilhões e +72,2%); farelo de soja (US$ 3,54 bilhões e -21,0%); soja em grãos (US$ 2,92 bilhões e +2,4%) e celulose (US$ 2,06 bilhão e +56,5%).</w:t>
      </w:r>
    </w:p>
    <w:p w14:paraId="728E32E6" w14:textId="77777777" w:rsidR="00A1450A" w:rsidRPr="00D21870" w:rsidRDefault="00A1450A" w:rsidP="00C51F2D">
      <w:pPr>
        <w:jc w:val="both"/>
        <w:rPr>
          <w:rFonts w:cstheme="minorHAnsi"/>
          <w:b/>
          <w:bCs/>
        </w:rPr>
      </w:pPr>
    </w:p>
    <w:p w14:paraId="6A96C10E" w14:textId="0B15BB66" w:rsidR="005673BE" w:rsidRPr="00D21870" w:rsidRDefault="001C1DB9" w:rsidP="00753D0C">
      <w:pPr>
        <w:jc w:val="both"/>
        <w:rPr>
          <w:rFonts w:cstheme="minorHAnsi"/>
        </w:rPr>
      </w:pPr>
      <w:r w:rsidRPr="00D21870">
        <w:rPr>
          <w:rFonts w:cstheme="minorHAnsi"/>
          <w:noProof/>
        </w:rPr>
        <w:drawing>
          <wp:inline distT="0" distB="0" distL="0" distR="0" wp14:anchorId="5BC2ECA7" wp14:editId="4EAD4BB3">
            <wp:extent cx="6188710" cy="2475230"/>
            <wp:effectExtent l="0" t="0" r="2540" b="1270"/>
            <wp:docPr id="487697902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697902" name="Imagem 1" descr="Interface gráfica do usuário, Texto, Aplicativo, Email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8814C" w14:textId="77777777" w:rsidR="00A1450A" w:rsidRDefault="00A1450A" w:rsidP="00753D0C">
      <w:pPr>
        <w:jc w:val="both"/>
        <w:rPr>
          <w:rFonts w:cstheme="minorHAnsi"/>
          <w:b/>
          <w:bCs/>
        </w:rPr>
      </w:pPr>
    </w:p>
    <w:p w14:paraId="544D4C4F" w14:textId="54438F2D" w:rsidR="00ED77D5" w:rsidRPr="00D21870" w:rsidRDefault="00ED77D5" w:rsidP="00753D0C">
      <w:pPr>
        <w:jc w:val="both"/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>II.c – Países</w:t>
      </w:r>
    </w:p>
    <w:p w14:paraId="0BAB030A" w14:textId="32944359" w:rsidR="00CA1B0D" w:rsidRDefault="00EF0FDE" w:rsidP="00CA1B0D">
      <w:pPr>
        <w:jc w:val="both"/>
        <w:rPr>
          <w:rFonts w:cstheme="minorHAnsi"/>
        </w:rPr>
      </w:pPr>
      <w:r w:rsidRPr="00EF0FDE">
        <w:rPr>
          <w:rFonts w:cstheme="minorHAnsi"/>
        </w:rPr>
        <w:t>A China</w:t>
      </w:r>
      <w:r>
        <w:rPr>
          <w:rFonts w:cstheme="minorHAnsi"/>
        </w:rPr>
        <w:t xml:space="preserve">, principal país de destino do agro brasileiro </w:t>
      </w:r>
      <w:r w:rsidRPr="00EF0FDE">
        <w:rPr>
          <w:rFonts w:cstheme="minorHAnsi"/>
        </w:rPr>
        <w:t xml:space="preserve">apresentou participação de 32,1% nas exportações do agronegócio em 2024 (US$ 44,91 bilhões; -12,2%). </w:t>
      </w:r>
      <w:r w:rsidR="00040157">
        <w:rPr>
          <w:rFonts w:cstheme="minorHAnsi"/>
        </w:rPr>
        <w:t>Os</w:t>
      </w:r>
      <w:r w:rsidRPr="00EF0FDE">
        <w:rPr>
          <w:rFonts w:cstheme="minorHAnsi"/>
        </w:rPr>
        <w:t xml:space="preserve"> produtos</w:t>
      </w:r>
      <w:r w:rsidR="00040157">
        <w:rPr>
          <w:rFonts w:cstheme="minorHAnsi"/>
        </w:rPr>
        <w:t xml:space="preserve"> que se destacaram foram</w:t>
      </w:r>
      <w:r w:rsidRPr="00EF0FDE">
        <w:rPr>
          <w:rFonts w:cstheme="minorHAnsi"/>
        </w:rPr>
        <w:t xml:space="preserve">: soja em grãos (US$ 29,95 bilhões, -14,0%, 66,7% de participação); carne bovina </w:t>
      </w:r>
      <w:r w:rsidRPr="00F661E5">
        <w:rPr>
          <w:rFonts w:cstheme="minorHAnsi"/>
          <w:i/>
          <w:iCs/>
        </w:rPr>
        <w:t>in natura</w:t>
      </w:r>
      <w:r w:rsidRPr="00EF0FDE">
        <w:rPr>
          <w:rFonts w:cstheme="minorHAnsi"/>
        </w:rPr>
        <w:t xml:space="preserve"> (US$ 4,84 bilhões, +2,8%, 10,8% de participação); celulose (US$ 3,79 bilhões, +22,4%, 8,4%), algodão não cardado nem penteado (US$ 1,44 bilhão, +91,5%, 3,2%); açúcar de cana em bruto (US$ 1,32 bilhão; +9,2%; 2,9% de participação) e carne de frango </w:t>
      </w:r>
      <w:r w:rsidRPr="00F661E5">
        <w:rPr>
          <w:rFonts w:cstheme="minorHAnsi"/>
          <w:i/>
          <w:iCs/>
        </w:rPr>
        <w:t>in natura</w:t>
      </w:r>
      <w:r w:rsidRPr="00EF0FDE">
        <w:rPr>
          <w:rFonts w:cstheme="minorHAnsi"/>
        </w:rPr>
        <w:t xml:space="preserve"> (US$ 935,17 milhões; -33,6%; 2,1%).</w:t>
      </w:r>
    </w:p>
    <w:p w14:paraId="5927174C" w14:textId="4C40D9A7" w:rsidR="00FB5357" w:rsidRDefault="00FB5357" w:rsidP="00CA1B0D">
      <w:pPr>
        <w:jc w:val="both"/>
        <w:rPr>
          <w:rFonts w:cstheme="minorHAnsi"/>
        </w:rPr>
      </w:pPr>
      <w:r w:rsidRPr="00FB5357">
        <w:rPr>
          <w:rFonts w:cstheme="minorHAnsi"/>
        </w:rPr>
        <w:t xml:space="preserve">Para os Estados Unidos o Brasil registrou vendas de US$ 9,54 bilhões (+19,7%) e 6,8% de participação. Os principais produtos foram: celulose (US$ 1,40 bilhão e +36,5% em relação a 2023); café verde (US$ 1,39 bilhão e +47,9% em relação a 2023); suco de laranja (US$ 738,08 milhões e +17,1% em relação a 2023); carne bovina </w:t>
      </w:r>
      <w:r w:rsidRPr="00FB5357">
        <w:rPr>
          <w:rFonts w:cstheme="minorHAnsi"/>
          <w:i/>
          <w:iCs/>
        </w:rPr>
        <w:t>in natura</w:t>
      </w:r>
      <w:r w:rsidRPr="00FB5357">
        <w:rPr>
          <w:rFonts w:cstheme="minorHAnsi"/>
        </w:rPr>
        <w:t xml:space="preserve"> (US$ 691,78 milhões e +124,5% em relação a 2023); madeira perfilada (US$ 389,06 milhões e +0,8% em relação a 2023) e açúcar de cana em bruto (US$ 361,81 milhões e +38,2% em relação a 2023).</w:t>
      </w:r>
    </w:p>
    <w:p w14:paraId="4E12711C" w14:textId="5481B611" w:rsidR="00130838" w:rsidRPr="00D21870" w:rsidRDefault="00130838" w:rsidP="00CA1B0D">
      <w:pPr>
        <w:jc w:val="both"/>
        <w:rPr>
          <w:rFonts w:cstheme="minorHAnsi"/>
        </w:rPr>
      </w:pPr>
      <w:r w:rsidRPr="00130838">
        <w:rPr>
          <w:rFonts w:cstheme="minorHAnsi"/>
        </w:rPr>
        <w:t>Os países que mais contribuíram para o crescimento das exportações brasileiras do agronegócio entre janeiro e outubro de 2024 foram: Estados Unidos (+US$ 1,57 bilhão); Egito (+US$ 1,21 bilhão) e Emirados Árabes Unidos (+US$ 1,15 bilhão).</w:t>
      </w:r>
    </w:p>
    <w:p w14:paraId="362A0629" w14:textId="77777777" w:rsidR="000E630C" w:rsidRPr="00D21870" w:rsidRDefault="000E630C" w:rsidP="00753D0C">
      <w:pPr>
        <w:jc w:val="both"/>
        <w:rPr>
          <w:rFonts w:cstheme="minorHAnsi"/>
          <w:b/>
          <w:bCs/>
        </w:rPr>
      </w:pPr>
    </w:p>
    <w:p w14:paraId="4954ABE9" w14:textId="0E13B54C" w:rsidR="004F6523" w:rsidRPr="00D21870" w:rsidRDefault="001C1DB9" w:rsidP="00C51F2D">
      <w:pPr>
        <w:jc w:val="both"/>
        <w:rPr>
          <w:rFonts w:cstheme="minorHAnsi"/>
        </w:rPr>
      </w:pPr>
      <w:r w:rsidRPr="00D21870">
        <w:rPr>
          <w:rFonts w:cstheme="minorHAnsi"/>
          <w:noProof/>
        </w:rPr>
        <w:lastRenderedPageBreak/>
        <w:drawing>
          <wp:inline distT="0" distB="0" distL="0" distR="0" wp14:anchorId="251ED098" wp14:editId="32B4E799">
            <wp:extent cx="6188710" cy="4089400"/>
            <wp:effectExtent l="0" t="0" r="2540" b="6350"/>
            <wp:docPr id="1233832381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832381" name="Imagem 1" descr="Tabela&#10;&#10;Descrição gerada automa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A85F2" w14:textId="77DA072A" w:rsidR="00A836F2" w:rsidRPr="00D21870" w:rsidRDefault="00A836F2" w:rsidP="00A836F2">
      <w:pPr>
        <w:jc w:val="both"/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 xml:space="preserve">III – Resultados de </w:t>
      </w:r>
      <w:r w:rsidR="00250584" w:rsidRPr="00D21870">
        <w:rPr>
          <w:rFonts w:cstheme="minorHAnsi"/>
          <w:b/>
          <w:bCs/>
        </w:rPr>
        <w:t>Novembro</w:t>
      </w:r>
      <w:r w:rsidRPr="00D21870">
        <w:rPr>
          <w:rFonts w:cstheme="minorHAnsi"/>
          <w:b/>
          <w:bCs/>
        </w:rPr>
        <w:t xml:space="preserve"> de </w:t>
      </w:r>
      <w:r w:rsidR="00830FA5" w:rsidRPr="00D21870">
        <w:rPr>
          <w:rFonts w:cstheme="minorHAnsi"/>
          <w:b/>
          <w:bCs/>
        </w:rPr>
        <w:t>2023</w:t>
      </w:r>
      <w:r w:rsidRPr="00D21870">
        <w:rPr>
          <w:rFonts w:cstheme="minorHAnsi"/>
          <w:b/>
          <w:bCs/>
        </w:rPr>
        <w:t xml:space="preserve"> a </w:t>
      </w:r>
      <w:r w:rsidR="00250584" w:rsidRPr="00D21870">
        <w:rPr>
          <w:rFonts w:cstheme="minorHAnsi"/>
          <w:b/>
          <w:bCs/>
        </w:rPr>
        <w:t>Outubro</w:t>
      </w:r>
      <w:r w:rsidRPr="00D21870">
        <w:rPr>
          <w:rFonts w:cstheme="minorHAnsi"/>
          <w:b/>
          <w:bCs/>
        </w:rPr>
        <w:t xml:space="preserve"> de </w:t>
      </w:r>
      <w:r w:rsidR="00830FA5" w:rsidRPr="00D21870">
        <w:rPr>
          <w:rFonts w:cstheme="minorHAnsi"/>
          <w:b/>
          <w:bCs/>
        </w:rPr>
        <w:t>2024</w:t>
      </w:r>
      <w:r w:rsidRPr="00D21870">
        <w:rPr>
          <w:rFonts w:cstheme="minorHAnsi"/>
          <w:b/>
          <w:bCs/>
        </w:rPr>
        <w:t xml:space="preserve"> (Acumulado 12 meses)</w:t>
      </w:r>
    </w:p>
    <w:p w14:paraId="2F285325" w14:textId="77777777" w:rsidR="00A1450A" w:rsidRPr="00A6119A" w:rsidRDefault="00A1450A" w:rsidP="00A1450A">
      <w:pPr>
        <w:jc w:val="both"/>
      </w:pPr>
      <w:r w:rsidRPr="00A6119A">
        <w:t xml:space="preserve">Nos últimos doze meses, entre novembro de 2023 e outubro de 2024, as exportações do agronegócio brasileiro alcançaram o montante de US$ 166,89 bilhões, o que representou expansão de 2,4% em comparação aos US$ 162,94 bilhões exportados nos doze meses imediatamente anteriores. Dessa forma, os produtos do agronegócio brasileiro representaram 48,9% das exportações brasileiras no período, 0,6 ponto percentual a mais do que a participação do setor nas vendas externas nos 12 meses precedentes. Pelo lado das importações, entre novembro de 2023 e outubro de 2024, registrou-se um total de US$ 18,99 bilhões, ante US$ 16,79 bilhões adquiridos entre novembro de 2022 e outubro de 2023, o que significou elevação de 13,1% no período. A participação das importações agropecuárias no total importado pelo Brasil cresceu no período, passando de 6,8% para 7,3% nos últimos doze meses. Como resultado, a balança comercial do agronegócio no acumulado dos últimos doze meses apresentou superávit de US$ 147,90 bilhões (+1,2%), compensando o resultado negativo de US$ 66,77 bilhões dos demais produtos. </w:t>
      </w:r>
    </w:p>
    <w:p w14:paraId="390A919A" w14:textId="77777777" w:rsidR="00A1450A" w:rsidRPr="00A6119A" w:rsidRDefault="00A1450A" w:rsidP="00A1450A">
      <w:pPr>
        <w:jc w:val="both"/>
        <w:rPr>
          <w:b/>
          <w:bCs/>
        </w:rPr>
      </w:pPr>
      <w:r w:rsidRPr="00A6119A">
        <w:t>No entanto, cabe destacar que, no conceito aqui retratado, não constam os valores de diversos insumos utilizados na agropecuária nacional, tais como máquinas, equipamentos, defensivos, fertilizantes e combustíveis. Para se ter uma ideia, somente as importações de defensivos e fertilizantes entre novembro de 2023 e outubro de 2024 totalizaram US$ 19,19 bilhões.</w:t>
      </w:r>
    </w:p>
    <w:p w14:paraId="70CAA6FE" w14:textId="6EC38DA6" w:rsidR="00F020E5" w:rsidRPr="00D21870" w:rsidRDefault="00A836F2" w:rsidP="003B3A3D">
      <w:pPr>
        <w:jc w:val="both"/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>III.a – Setores do Agronegócio</w:t>
      </w:r>
    </w:p>
    <w:p w14:paraId="42020C22" w14:textId="77777777" w:rsidR="00A1450A" w:rsidRPr="00A6119A" w:rsidRDefault="00A1450A" w:rsidP="00A1450A">
      <w:pPr>
        <w:jc w:val="both"/>
      </w:pPr>
      <w:r w:rsidRPr="00A6119A">
        <w:t>Os cinco principais setores do agronegócio brasileiro em valor exportado entre novembro de 2023 e outubro de 2024 foram: complexo soja, com vendas externas de US$ 57,10 bilhões e participação de 34,2%; as carnes, com US$ 25,48 bilhões e 15,3%; complexo sucroalcooleiro, com exportações totais de US$ 20,87 bilhões e participação de 12,5%; produtos florestais, com US$ 16,70 bilhões e 10,0%; e café, com US$ 11,38 bilhões e 6,8%.</w:t>
      </w:r>
    </w:p>
    <w:p w14:paraId="63985DC6" w14:textId="77777777" w:rsidR="00A1450A" w:rsidRPr="00A6119A" w:rsidRDefault="00A1450A" w:rsidP="00A1450A">
      <w:pPr>
        <w:jc w:val="both"/>
      </w:pPr>
      <w:r w:rsidRPr="00A6119A">
        <w:lastRenderedPageBreak/>
        <w:t>Em conjunto, os cinco setores foram responsáveis por 78,8% de todas as exportações do agronegócio brasileiro nos últimos doze meses. Os cinco principais setores do período anterior apresentaram participação de 82,8%, o que demonstra que houve desconcentração da pauta agropecuária, tomando como base os cinco maiores segmentos em valor exportado.</w:t>
      </w:r>
    </w:p>
    <w:p w14:paraId="67526492" w14:textId="77777777" w:rsidR="00A1450A" w:rsidRPr="00A6119A" w:rsidRDefault="00A1450A" w:rsidP="00A1450A">
      <w:pPr>
        <w:jc w:val="both"/>
      </w:pPr>
      <w:r w:rsidRPr="00A6119A">
        <w:t xml:space="preserve">Como já mencionado, o complexo soja foi o principal setor do agronegócio brasileiro, em valor exportado, entre novembro de 2023 e outubro de 2024, com vendas externas de US$ 57,10 bilhões e 127,82 milhões de toneladas comercializadas, o que significou queda de 12,4% e crescimento de 5,4%, respectivamente. O principal produto exportado pelo segmento foi a soja em grãos, com a soma de US$ 45,68 bilhões e retração de 10,9% em comparação aos US$ 51,27 bilhões negociados nos doze meses imediatamente anteriores. Em quantidade, houve incremento de 6,1%, com 103,27 milhões de toneladas embarcadas. Por conseguinte, o preço médio do produto brasileiro vendido no mercado internacional caiu 16,1%, finalizando o período com a média de US$ 442 por tonelada. Os principais compradores da soja brasileira nos últimos doze meses foram: China, com US$ 34,05 bilhões (-7,6% e 74,5% de participação); União Europeia, com US$ 2,95 bilhões (+0,1% e 6,5% de </w:t>
      </w:r>
      <w:r w:rsidRPr="00A6119A">
        <w:rPr>
          <w:i/>
          <w:iCs/>
        </w:rPr>
        <w:t>market share</w:t>
      </w:r>
      <w:r w:rsidRPr="00A6119A">
        <w:t>); Tailândia, com US$ 1,45 bilhão (-0,6% e 3,2%); e Turquia, com US$ 1,08 bilhão (+17,5% e 2,4% de participação). As vendas externas de farelo de soja totalizaram US$ 10,10 bilhões, com diminuição de 8,3% em função da queda do preço médio no período (-15,2%), uma vez que foi registrado incremento da quantidade comercializada (+8,1%), com 23,17 milhões de toneladas. Os principais destinos do farelo de soja brasileiro nos últimos doze meses foram: União Europeia, com US$ 4,31 bilhões (-16,9%); Indonésia, com US$ 1,78 bilhão (+0,4%); Tailândia, com US$ 1,16 bilhão (-26,1%); Irã, com US$ 926,81 milhões (+418,4%); e Coreia do Sul, com US$ 621,65 milhões (+13,7%). Já as exportações de óleo de soja atingiram a soma de US$ 1,33 bilhão (-54,6%), para um total de 1,37 milhão de toneladas comercializadas (-46,8%) a uma cotação média de US$ 968 por tonelada entre novembro de 2023 e outubro de 2024 (-14,7%). A Índia foi o principal comprador do óleo de soja nacional, absorvendo 53,7% das exportações brasileiras em volume (737,51 mil toneladas).</w:t>
      </w:r>
    </w:p>
    <w:p w14:paraId="5EE9279A" w14:textId="77777777" w:rsidR="00A1450A" w:rsidRPr="00A6119A" w:rsidRDefault="00A1450A" w:rsidP="00A1450A">
      <w:pPr>
        <w:jc w:val="both"/>
      </w:pPr>
      <w:r w:rsidRPr="00A6119A">
        <w:t xml:space="preserve">O setor de carnes foi o segundo colocado entre os maiores exportadores do agronegócio brasileiro nos últimos doze meses, com a cifra de US$ 25,48 bilhões e participação de 15,3% de todas as exportações agropecuárias brasileiras no período. O incremento observado foi resultado da elevação do volume comercializado (+10,8%), uma vez que os preços médios caíram 1,4%. </w:t>
      </w:r>
    </w:p>
    <w:p w14:paraId="31A134BC" w14:textId="77777777" w:rsidR="00A1450A" w:rsidRPr="00A6119A" w:rsidRDefault="00A1450A" w:rsidP="00A1450A">
      <w:pPr>
        <w:jc w:val="both"/>
      </w:pPr>
      <w:r w:rsidRPr="00A6119A">
        <w:t xml:space="preserve">O principal destaque foi a carne bovina, cujas vendas externas totalizaram US$ 12,48 bilhões (+21,6%) e representaram 49,0% das vendas do setor. O volume negociado da mercadoria cresceu 29,4%, totalizando 2,83 milhões de toneladas, enquanto o preço médio diminuiu 6,0%, alcançando US$ 4.406 por tonelada. O principal destino da carne bovina in natura brasileira entre novembro de 2023 e outubro de 2024 foi a China, com a soma de US$ 5,86 bilhões e </w:t>
      </w:r>
      <w:r w:rsidRPr="00A6119A">
        <w:rPr>
          <w:i/>
          <w:iCs/>
        </w:rPr>
        <w:t>market share</w:t>
      </w:r>
      <w:r w:rsidRPr="00A6119A">
        <w:t xml:space="preserve"> de 51,6%. Nos últimos doze meses, a China aumentou as compras de carne bovina in natura do Brasil em US$ 166,44 milhões. Os principais mercados que intensificaram suas aquisições da proteína animal brasileira foram: Estados Unidos (+US$ 435,38 milhões), Emirados Árabes Unidos (+US$ 382,38 milhões), Turquia (+US$ 183,40 milhões) e Argélia (+US$ 178,90 milhões).</w:t>
      </w:r>
    </w:p>
    <w:p w14:paraId="1070D875" w14:textId="77777777" w:rsidR="00A1450A" w:rsidRPr="00A6119A" w:rsidRDefault="00A1450A" w:rsidP="00A1450A">
      <w:pPr>
        <w:jc w:val="both"/>
      </w:pPr>
      <w:r w:rsidRPr="00A6119A">
        <w:t xml:space="preserve">Em seguida destacaram-se as vendas de carne de frango, com o montante de US$ 9,50 bilhões (-1,8%) para um total de 5,09 milhões de toneladas (+3,6%) e queda do preço médio no período de 5,2%. Os principais destinos da carne de frango in natura brasileira nos últimos doze meses foram: China (US$ 1,14 bilhão, -31,0%), Emirados Árabes Unidos (US$ 949,74 milhões, +7,6%), Japão (US$ 891,19 milhões, -4,3%) e Arábia Saudita (US$ 824,77 milhões, +0,1%). Já as exportações de carne suína totalizaram US$ 2,90 bilhões entre novembro de 2023 e outubro de 2024. A expansão de 3,0% no valor exportado foi resultado da elevação de 9,1% no volume negociado (1,29 milhão de toneladas) e da queda de 5,6% na cotação média do produto brasileiro negociado no mercado internacional. Os mercados que mais aumentaram as suas compras de carne suína in natura do Brasil foram as Filipinas (+US$ 233,72 milhões) e Japão (+US$ 151,70 milhões). Em contrapartida, a </w:t>
      </w:r>
      <w:r w:rsidRPr="00A6119A">
        <w:lastRenderedPageBreak/>
        <w:t>China foi o principal destino do produto, com a cifra de US$ 483,58 milhões e decréscimo absoluto de US$ 542,36 milhões em relação aos doze meses anteriores.</w:t>
      </w:r>
    </w:p>
    <w:p w14:paraId="542CB0E8" w14:textId="77777777" w:rsidR="00A1450A" w:rsidRPr="00A6119A" w:rsidRDefault="00A1450A" w:rsidP="00A1450A">
      <w:pPr>
        <w:jc w:val="both"/>
      </w:pPr>
      <w:r w:rsidRPr="00A6119A">
        <w:t>O terceiro principal setor do agronegócio nos últimos doze meses, em valor de exportação, foi o sucroalcooleiro, que auferiu receita de exportação de US$ 20,87 bilhões (+31,7%), resultado da elevação de 30,9% na quantidade negociada e alta de 0,6% na cotação média dos produtos do setor. O açúcar foi o principal produto comercializado no período, com vendas de US$ 19,62 bilhões e crescimento de 38,9% em relação aos valores de novembro de 2022 e outubro de 2023 (US$ 14,12 bilhões). O volume comercializado cresceu 34,3% no período, atingindo 39,47 milhões de toneladas, e o preço do produto subiu 3,5%, alcançando média de US$ 497 por tonelada. Os principais compradores do açúcar de cana em bruto do Brasil nos últimos doze meses foram: China (US$ 1,97 bilhão, +27,8%), Indonésia (US$ 1,71 bilhão, +176,3%), Índia (US$ 1,62 bilhão, +79,5%), Emirados Árabes Unidos (US$ 1,13 bilhão, +156,4%), Argélia (US$ 1,06 bilhão, +14,9</w:t>
      </w:r>
      <w:r>
        <w:t>%</w:t>
      </w:r>
      <w:r w:rsidRPr="00A6119A">
        <w:t>) e Egito (US$ 1,05 bilhão, +93,3%). Já as exportações de álcool totalizaram US$ 1,23 bilhão, com retração de 27,9% em virtude do declínio de 15,9% no volume comercializado (de 2,07 milhões de toneladas para 1,74 milhão de toneladas) e da retração de 14,3% no preço médio do produto.</w:t>
      </w:r>
    </w:p>
    <w:p w14:paraId="518B9B28" w14:textId="77777777" w:rsidR="00A1450A" w:rsidRPr="00A6119A" w:rsidRDefault="00A1450A" w:rsidP="00A1450A">
      <w:pPr>
        <w:jc w:val="both"/>
      </w:pPr>
      <w:r w:rsidRPr="00A6119A">
        <w:t xml:space="preserve">Na quarta posição, os produtos florestais alcançaram montante exportado de US$ 16,70 bilhões e expansão de 16,4% em relação aos valores registrados entre novembro de 2022 e outubro de 2023 (US$ 14,36 bilhões), resultado da elevação de 2,8% na quantidade comercializada e da alta de 13,2% no preço médio dos produtos do setor. O principal produto exportado pelo segmento foi a celulose, com US$ 10,16 bilhões (+27,0%) para um volume comercializado de 19,66 milhões de toneladas (+3,3%) a um preço médio de US$ 517 por tonelada (+23,0%). Os principais destinos da celulose no período foram: China, com US$ 4,50 bilhões (+19,6%); União Europeia, com US$ 2,31 bilhões (+41,6%); e Estados Unidos, com US$ 1,57 bilhão (+26,6%). As vendas externas de madeiras e suas obras somaram US$ 4,05 bilhões no período (+1,8%), com recuo de 1,6% na quantidade embarcada e elevação de 3,4% na cotação média do produto no mercado internacional. O principal destino da madeira brasileira nos últimos doze meses foram os Estados Unidos com a soma de US$ 1,72 bilhão (+2,6%) e </w:t>
      </w:r>
      <w:r w:rsidRPr="00A6119A">
        <w:rPr>
          <w:i/>
          <w:iCs/>
        </w:rPr>
        <w:t>market share</w:t>
      </w:r>
      <w:r w:rsidRPr="00A6119A">
        <w:t xml:space="preserve"> de 42,4%. Fechando o setor, as exportações de papel alcançaram o montante de US$ 2,47 bilhões (+4,5%) para um total de 2,46 milhões de toneladas comercializadas (+14,3%) a um preço médio de US$ 1.005 por tonelada (-8,5%).</w:t>
      </w:r>
    </w:p>
    <w:p w14:paraId="7C50FF30" w14:textId="30C02A54" w:rsidR="00A1450A" w:rsidRPr="00A6119A" w:rsidRDefault="00A1450A" w:rsidP="00A1450A">
      <w:pPr>
        <w:jc w:val="both"/>
      </w:pPr>
      <w:r w:rsidRPr="00A6119A">
        <w:t>Completando os cinco principais setores do agronegócio no acumulado dos últimos doze meses, destaca-se o setor cafeeiro, cujas vendas externas alcançaram a soma de US$ 11,38 bilhões entre novembro de 2023 e outubro de 2024. Na comparação com os doze meses imediatamente anteriores houve crescimento de 39,4% em valor, como resultado da expansão na quantidade (+34,1%) e da oscilação positiva no preço médio (+4,0%). O café verde representou 92,0% do valor exportado pelo setor e registrou valor e quantidade recordes: US$ 10,47 bilhões (+41,8%) e 2,76 milhões de toneladas (+35,5%). Os principais destinos do produto foram: União Europeia (US$ 5,29 bilhões, +54,3%); Estados Unidos (US$ 1,58 bilhão, +26,5%), Japão (US$ 533,78 milhões, +23,8%) e Turquia (US$ 305,60 milhões, +8,0%). Já as vendas de café solúvel registraram recorde em valor para o período, com US$ 813,31 milhões (+19,0%).</w:t>
      </w:r>
    </w:p>
    <w:p w14:paraId="4A5ABD90" w14:textId="77777777" w:rsidR="00A1450A" w:rsidRPr="00A6119A" w:rsidRDefault="00A1450A" w:rsidP="00A1450A">
      <w:pPr>
        <w:jc w:val="both"/>
      </w:pPr>
      <w:r w:rsidRPr="00A6119A">
        <w:t xml:space="preserve">Os produtos que que se destacaram nos últimos doze meses, com vendas recordes, foram: açúcar de cana em bruto, com recorde em valor (US$16,71 bilhões) e em quantidade (34,40 milhões de toneladas); </w:t>
      </w:r>
      <w:r>
        <w:t xml:space="preserve">café verde em valor (US$ 10,47 bilhões) e quantidade (2,76 milhões de toneladas; </w:t>
      </w:r>
      <w:r w:rsidRPr="00A6119A">
        <w:t xml:space="preserve">algodão não cardado nem penteado, com recorde em valor (US$ 5,17 bilhões) e quantidade (2,73 milhões de toneladas); carne suína in natura, com recorde em valor (US$ 2,74 bilhões) e em volume (1,17 milhão de toneladas); </w:t>
      </w:r>
      <w:r>
        <w:t xml:space="preserve">celulose em valor (US$ 10,16 bilhões); </w:t>
      </w:r>
      <w:r w:rsidRPr="00A6119A">
        <w:t>suco de laranja, com recorde em valor (US$ 3,13 bilhões)</w:t>
      </w:r>
      <w:r>
        <w:t xml:space="preserve"> e </w:t>
      </w:r>
      <w:r w:rsidRPr="00A6119A">
        <w:t>carne bovina in natura, com recorde em quantidade (2,51 milhões de toneladas).</w:t>
      </w:r>
    </w:p>
    <w:p w14:paraId="16271129" w14:textId="77777777" w:rsidR="00A1450A" w:rsidRPr="00A6119A" w:rsidRDefault="00A1450A" w:rsidP="00A1450A">
      <w:pPr>
        <w:jc w:val="both"/>
      </w:pPr>
      <w:r w:rsidRPr="00A6119A">
        <w:t xml:space="preserve"> </w:t>
      </w:r>
    </w:p>
    <w:p w14:paraId="3BDF2EEE" w14:textId="12E5132F" w:rsidR="003B3A3D" w:rsidRPr="00D21870" w:rsidRDefault="00A1450A" w:rsidP="003B3A3D">
      <w:pPr>
        <w:jc w:val="both"/>
        <w:rPr>
          <w:rFonts w:cstheme="minorHAnsi"/>
          <w:b/>
          <w:bCs/>
        </w:rPr>
      </w:pPr>
      <w:r w:rsidRPr="00A6119A">
        <w:lastRenderedPageBreak/>
        <w:t>No que tange às importações do agronegócio entre novembro de 2023 e outubro de 2024, totalizaram US$ 18,99 bilhões e cresceram 13,1% em comparação aos doze meses imediatamente precedentes. Os dez principais produtos importados no período foram: trigo (US$ 1,60 bilhão e 14,5%); papel (US$ 957,19 milhões e +3,7%); salmões (US$ 892,43 milhões e +7,1%); azeite de oliva (US$ 822,51 milhões e +41,1%); malte (US$ 776,26 milhões e -8,1%); vestuário e outros produtos têxteis de algodão (US$ 706,01 milhões e +15,8%); arroz (US$ 697,12 milhões e +39,0%); leite em pó (US$ 657,52 milhões e -9,1%); óleo de dendê ou de palma (US$ 568,62 milhões e +13,6%); e vinho (US$ 519,37 milhões e +11,8%).</w:t>
      </w:r>
    </w:p>
    <w:p w14:paraId="352AC1D6" w14:textId="3B2544FF" w:rsidR="001D49FB" w:rsidRPr="00D21870" w:rsidRDefault="00AB208A" w:rsidP="00A836F2">
      <w:pPr>
        <w:jc w:val="both"/>
        <w:rPr>
          <w:rFonts w:cstheme="minorHAnsi"/>
        </w:rPr>
      </w:pPr>
      <w:r w:rsidRPr="00D21870">
        <w:rPr>
          <w:rFonts w:cstheme="minorHAnsi"/>
          <w:noProof/>
        </w:rPr>
        <w:drawing>
          <wp:inline distT="0" distB="0" distL="0" distR="0" wp14:anchorId="1FD4B7BD" wp14:editId="447A07AD">
            <wp:extent cx="6188710" cy="3987800"/>
            <wp:effectExtent l="0" t="0" r="2540" b="0"/>
            <wp:docPr id="1959561328" name="Imagem 1" descr="Interface gráfica do usuário, Aplicativo, Tabela, Exce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561328" name="Imagem 1" descr="Interface gráfica do usuário, Aplicativo, Tabela, Excel&#10;&#10;Descrição gerada automa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7C4CF" w14:textId="3A41C720" w:rsidR="00A836F2" w:rsidRPr="00D21870" w:rsidRDefault="00A836F2" w:rsidP="00A836F2">
      <w:pPr>
        <w:jc w:val="both"/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>III.b – Blocos Econômicos e Regiões Geográficas</w:t>
      </w:r>
    </w:p>
    <w:p w14:paraId="31874655" w14:textId="77777777" w:rsidR="00A1450A" w:rsidRPr="00A6119A" w:rsidRDefault="00A1450A" w:rsidP="00A1450A">
      <w:pPr>
        <w:jc w:val="both"/>
      </w:pPr>
      <w:r w:rsidRPr="00A6119A">
        <w:t>No que se refere às exportações do agronegócio por blocos econômicos e regiões geográficas, a Ásia permanece como principal destino brasileiro, com a soma de US$ 84,22 bilhões e redução de 0,8% em comparação aos valores registrados entre novembro de 2022 e outubro de 2023 (US$ 84,90 bilhões). Os principais produtos da pauta exportadora agropecuária brasileira para o continente asiático nos últimos doze meses foram: soja em grãos (US$ 37,81 bilhões, -6,9%); açúcar de cana em bruto (US$ 7,09 bilhões, +69,9%); carne bovina in natura (US$ 6,56 bilhões, +5,6%); celulose (US$ 5,26 bilhões, +23,0%); milho (US$ 4,93 bilhões, -34,7%); algodão não cardado nem penteado (US$ 4,64 bilhões, +88,4%); farelo de soja (US$ 4,30 bilhões, -13,8%); carne de frango in natura (US$ 2,98 bilhões, -19,4%); carne suína in natura (US$ 1,82 bilhão, -6,3%); e café verde (US$ 1,36 bilhão, +41,8%). Em consequência de tal desempenho, a participação do continente asiático nas exportações do agronegócio brasileiro caiu de 52,1% para 50,5% nos últimos doze meses.</w:t>
      </w:r>
    </w:p>
    <w:p w14:paraId="2DA1FE20" w14:textId="77777777" w:rsidR="00A1450A" w:rsidRPr="00A6119A" w:rsidRDefault="00A1450A" w:rsidP="00A1450A">
      <w:pPr>
        <w:jc w:val="both"/>
      </w:pPr>
      <w:r w:rsidRPr="00A6119A">
        <w:t xml:space="preserve">O segundo principal parceiro da agropecuária nacional foi a União Europeia, com vendas externas de US$ 22,90 bilhões e crescimento de 2,4% em relação ao período compreendido entre novembro de 2022 e outubro de 2023 (US$ 22,36 bilhões). Mesmo com o aumento dos valores adquiridos no período, a participação do bloco europeu nas exportações brasileiras se manteve estável, com 13,7%. Os produtos que apresentaram maiores incrementos nas suas aquisições pela União Europeia nos últimos doze meses foram: café verde (+US$ 1,86 bilhão), celulose (+US$ 678,79 milhões) e suco de laranja (+US$ 592,14 milhões). Pelo lado do declínio </w:t>
      </w:r>
      <w:r w:rsidRPr="00A6119A">
        <w:lastRenderedPageBreak/>
        <w:t>das vendas nacionais para o mercado europeu, os destaques foram o milho (-US$ 948,85 milhões), o farelo de soja (-US$ 876,86 milhões) e o açúcar de cana em bruto (-US$ 406,34 milhões).</w:t>
      </w:r>
    </w:p>
    <w:p w14:paraId="023653C5" w14:textId="791DABFE" w:rsidR="00CA1B0D" w:rsidRPr="00D21870" w:rsidRDefault="00A1450A" w:rsidP="00CA1B0D">
      <w:pPr>
        <w:jc w:val="both"/>
        <w:rPr>
          <w:rFonts w:cstheme="minorHAnsi"/>
        </w:rPr>
      </w:pPr>
      <w:r w:rsidRPr="00A6119A">
        <w:t xml:space="preserve">Os outros destaques no acumulado dos últimos doze meses, conforme observado na Tabela 8, foram os demais países da Europa ocidental, com aumento de 25,5% nas vendas agropecuárias brasileiras (US$ 3,02 bilhões), a África, com exportações de US$ 12,18 bilhões e incremento de 23,6% e Oriente Médio, com crescimento de 22,6% (US$ 13,71 bilhões). </w:t>
      </w:r>
    </w:p>
    <w:p w14:paraId="5657F89C" w14:textId="27DE1F1C" w:rsidR="00E37DA8" w:rsidRPr="00D21870" w:rsidRDefault="00AB208A" w:rsidP="00E37DA8">
      <w:pPr>
        <w:jc w:val="both"/>
        <w:rPr>
          <w:rFonts w:cstheme="minorHAnsi"/>
        </w:rPr>
      </w:pPr>
      <w:r w:rsidRPr="00D21870">
        <w:rPr>
          <w:rFonts w:cstheme="minorHAnsi"/>
          <w:noProof/>
        </w:rPr>
        <w:drawing>
          <wp:inline distT="0" distB="0" distL="0" distR="0" wp14:anchorId="0F5C4533" wp14:editId="379D243A">
            <wp:extent cx="6188710" cy="2475230"/>
            <wp:effectExtent l="0" t="0" r="2540" b="1270"/>
            <wp:docPr id="1664191407" name="Imagem 1" descr="Interface gráfica do usuário, Texto, Aplicativo,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191407" name="Imagem 1" descr="Interface gráfica do usuário, Texto, Aplicativo, Tabela&#10;&#10;Descrição gerada automa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3620C" w14:textId="75F183FE" w:rsidR="001D49FB" w:rsidRPr="00D21870" w:rsidRDefault="001D49FB" w:rsidP="001D49FB">
      <w:pPr>
        <w:jc w:val="both"/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>III.c – Países</w:t>
      </w:r>
    </w:p>
    <w:p w14:paraId="4B8A99E5" w14:textId="77777777" w:rsidR="00A1450A" w:rsidRPr="00A6119A" w:rsidRDefault="00A1450A" w:rsidP="00A1450A">
      <w:pPr>
        <w:jc w:val="both"/>
      </w:pPr>
      <w:r w:rsidRPr="00A6119A">
        <w:t>No que tange às exportações do agronegócio brasileiro por países de destino nos últimos doze meses, a China permanece como destaque, com vendas externas de US$ 54,01 bilhões e queda de 4,8% sobre os valores dos doze meses anteriores. Com a retração das vendas no período, a participação chinesa caiu de 34,8% para 32,4%. O principal produto agropecuário brasileiro exportado para o mercado chinês entre novembro de 2023 e outubro de 2024 foi a soja em grãos, com o montante de US$ 34,05 bilhões, representando 63,0% das vendas do agronegócio brasileiro para esse mercado. Em volume, foram 76,80 milhões de toneladas exportadas para a China, o que significou incremento de 9,8% em relação ao período anterior e participação de 74,4% do total das exportações brasileiras do grão para o mundo. Ademais, a China é o principal comprador de outros produtos brasileiros muito importantes como: carne bovina in natura (US$ 5,86 bilhões e 51,6% de participação</w:t>
      </w:r>
      <w:r>
        <w:t xml:space="preserve"> nas exportações brasileiras do produto para o mundo</w:t>
      </w:r>
      <w:r w:rsidRPr="00A6119A">
        <w:t>); celulose (US$ 4,50 bilhões e 44,3% de participação); algodão não cardado nem penteado (US$ 2,18 bilhões e 42,3% de participação) e açúcar de cana em bruto (US$ 1,97 bilhão e 11,8% de participação), entre outros.</w:t>
      </w:r>
    </w:p>
    <w:p w14:paraId="1F3EB851" w14:textId="77777777" w:rsidR="00A1450A" w:rsidRPr="00A6119A" w:rsidRDefault="00A1450A" w:rsidP="00A1450A">
      <w:pPr>
        <w:jc w:val="both"/>
      </w:pPr>
      <w:r w:rsidRPr="00A6119A">
        <w:t>O segundo principal destino dos produtos do agronegócio brasileiro nos últimos doze meses foram os Estados Unidos, com a soma de US$ 11,39 bilhões e aumento de 17,0%, o que acarretou ganho de participação de 6,0% para 6,8%. Os produtos que apresentaram maior impacto para essa elevação de valores foram: carne bovina in natura (+US$ 435,38 milhões); café verde (+US$ 331,45 milhões); celulose (+US$ 329,30 milhões); açúcar de cana em bruto (+US$ 210,88 milhões); sebo bovino (+US$ 186,40 milhões) e suco de laranja (+US$ 141,68 milhões).</w:t>
      </w:r>
    </w:p>
    <w:p w14:paraId="4431B1E6" w14:textId="77777777" w:rsidR="00A1450A" w:rsidRPr="00A6119A" w:rsidRDefault="00A1450A" w:rsidP="00A1450A">
      <w:pPr>
        <w:jc w:val="both"/>
      </w:pPr>
      <w:r w:rsidRPr="00A6119A">
        <w:t>Os Países Baixos ficaram na terceira posição em valor exportado, com US$ 5,32 bilhões e incremento de 1,7%, o que permitiu que a participação do país europeu se mantivesse estável em 3,2%. Os principais produtos do agronegócio da pauta exportadora Brasil – Países Baixos foram: farelo de soja (US$ 909,14 milhões, +0,1%), celulose (US$ 833,09 milhões, +58,6%), suco de laranja (US$ 721,30 milhões, +44,2%), soja em grãos (US$ 465,33 milhões, -30,8%), café verde (US$ 335,02 milhões, +46,7%) e carne de frango in natura (US$ 318,62 milhões, -7,5%).</w:t>
      </w:r>
    </w:p>
    <w:p w14:paraId="4182A06B" w14:textId="77777777" w:rsidR="00A1450A" w:rsidRPr="00A6119A" w:rsidRDefault="00A1450A" w:rsidP="00A1450A">
      <w:pPr>
        <w:jc w:val="both"/>
      </w:pPr>
      <w:r w:rsidRPr="00A6119A">
        <w:lastRenderedPageBreak/>
        <w:t>Outros destaques quanto ao dinamismo das exportações entre novembro de 2023 e outubro de 2024 foram: Egito, com o total de US$ 2,94 bilhões e alta de 66,6%, sobretudo pelo crescimento das compras de açúcar de cana em bruto (+US$ 507,52 milhões), milho (+US$ 301,88 milhões) e soja em grãos (+US$ 269,13 milhões); Emirados Árabes Unidos, com vendas externas de US$ 3,49 bilhões e crescimento de 56,5% em função do aumento das vendas de açúcar de cana em bruto (+US$ 692,05 milhões) e carne bovina in natura (+US$ 382,38 milhões); Bélgica, com a soma de US$ 2,98 bilhões e expansão de 39,4% causada principalmente pelo incremento das aquisições de café verde (+US$ 530,0 milhões) e de suco de laranja (+US$ 362,27 milhões); Irã, com a cifra de US$ 3,03 bilhões e avanço de 30,9%, causado principalmente pelo aumento das compras de farelo de soja (+US$ 748,04</w:t>
      </w:r>
    </w:p>
    <w:p w14:paraId="4B50F6DF" w14:textId="77777777" w:rsidR="00A1450A" w:rsidRDefault="00A1450A" w:rsidP="00A1450A">
      <w:pPr>
        <w:jc w:val="both"/>
      </w:pPr>
      <w:r w:rsidRPr="00A6119A">
        <w:t>milhões) e açúcar de cana em bruto (+US$ 228,49 milhões); Turquia, com o montante de US$ 3,01 bilhões e expansão de 26,2% em virtude do aumento das exportações de carne bovina in natura (+US$ 183,40 milhões), algodão não cardado nem penteado (+US$ 165,92 milhões), soja em grãos (+US$ 160,64 milhões) e celulose (+US$ 117,20 milhões); e Bangladesh, com a cifra de US$ 2,39 bilhões e elevação de 23,4%, sobretudo por conta do crescimento das vendas de algodão não cardado nem penteado (+US$ 179,89 milhões), açúcar de cana em bruto (+US$ 165,87 milhões), milho (+US$ 119,93 milhões) e farelo de soja (+US$ 113,16 milhões).</w:t>
      </w:r>
    </w:p>
    <w:p w14:paraId="3C586418" w14:textId="77777777" w:rsidR="00A1450A" w:rsidRPr="000E630C" w:rsidRDefault="00A1450A" w:rsidP="00A1450A">
      <w:pPr>
        <w:jc w:val="both"/>
      </w:pPr>
    </w:p>
    <w:p w14:paraId="55B9471C" w14:textId="23399F02" w:rsidR="00B2346B" w:rsidRPr="00D21870" w:rsidRDefault="0058346D" w:rsidP="00C66C09">
      <w:pPr>
        <w:jc w:val="both"/>
        <w:rPr>
          <w:rFonts w:cstheme="minorHAnsi"/>
        </w:rPr>
      </w:pPr>
      <w:r w:rsidRPr="00D21870">
        <w:rPr>
          <w:rFonts w:cstheme="minorHAnsi"/>
          <w:noProof/>
        </w:rPr>
        <w:drawing>
          <wp:inline distT="0" distB="0" distL="0" distR="0" wp14:anchorId="7495CD8A" wp14:editId="46F0C4D8">
            <wp:extent cx="6188710" cy="4089400"/>
            <wp:effectExtent l="0" t="0" r="2540" b="6350"/>
            <wp:docPr id="964953178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953178" name="Imagem 1" descr="Tabela&#10;&#10;Descrição gerada automa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FA82C" w14:textId="77777777" w:rsidR="009F1416" w:rsidRPr="00D21870" w:rsidRDefault="009F1416" w:rsidP="00C66C09">
      <w:pPr>
        <w:jc w:val="both"/>
        <w:rPr>
          <w:rFonts w:cstheme="minorHAnsi"/>
        </w:rPr>
      </w:pPr>
    </w:p>
    <w:p w14:paraId="2C9B1A55" w14:textId="77777777" w:rsidR="00A836F2" w:rsidRPr="00D21870" w:rsidRDefault="00A836F2" w:rsidP="00A836F2">
      <w:pPr>
        <w:jc w:val="both"/>
        <w:rPr>
          <w:rFonts w:cstheme="minorHAnsi"/>
        </w:rPr>
      </w:pPr>
      <w:r w:rsidRPr="00D21870">
        <w:rPr>
          <w:rFonts w:cstheme="minorHAnsi"/>
          <w:noProof/>
          <w:lang w:eastAsia="pt-BR"/>
        </w:rPr>
        <w:lastRenderedPageBreak/>
        <mc:AlternateContent>
          <mc:Choice Requires="wps">
            <w:drawing>
              <wp:inline distT="0" distB="0" distL="0" distR="0" wp14:anchorId="4DCDE637" wp14:editId="6F059EEC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A9544" w14:textId="77777777" w:rsidR="00482C5C" w:rsidRPr="009A094C" w:rsidRDefault="00482C5C" w:rsidP="00A836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2F3D1F41" w14:textId="1DF6DAF4" w:rsidR="00482C5C" w:rsidRDefault="00482C5C" w:rsidP="00A836F2">
                            <w:r>
                              <w:t>A classificação de produtos do agronegócio utilizada nesta nota foi atualizada de acordo com a Resolução GECEX Nº 560, de 19/02/2024,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      </w:r>
                          </w:p>
                          <w:p w14:paraId="56E4DA60" w14:textId="4175C62C" w:rsidR="00482C5C" w:rsidRDefault="00482C5C" w:rsidP="00A836F2">
                            <w:r>
                              <w:t>A Balança Comercial do Agronegócio utiliza uma classificação dos produtos do agronegócio que reúne 3.</w:t>
                            </w:r>
                            <w:r w:rsidR="001C2663">
                              <w:t>104</w:t>
                            </w:r>
                            <w:r>
                              <w:t xml:space="preserve"> NCM’s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r w:rsidRPr="009A094C">
                              <w:rPr>
                                <w:i/>
                                <w:iCs/>
                              </w:rPr>
                              <w:t>on line</w:t>
                            </w:r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8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CDE63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" fillcolor="white [3201]" strokeweight=".5pt">
                <v:textbox>
                  <w:txbxContent>
                    <w:p w14:paraId="33FA9544" w14:textId="77777777" w:rsidR="00482C5C" w:rsidRPr="009A094C" w:rsidRDefault="00482C5C" w:rsidP="00A836F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2F3D1F41" w14:textId="1DF6DAF4" w:rsidR="00482C5C" w:rsidRDefault="00482C5C" w:rsidP="00A836F2">
                      <w:r>
                        <w:t>A classificação de produtos do agronegócio utilizada nesta nota foi atualizada de acordo com a Resolução GECEX Nº 560, de 19/02/2024,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</w:r>
                    </w:p>
                    <w:p w14:paraId="56E4DA60" w14:textId="4175C62C" w:rsidR="00482C5C" w:rsidRDefault="00482C5C" w:rsidP="00A836F2">
                      <w:r>
                        <w:t>A Balança Comercial do Agronegócio utiliza uma classificação dos produtos do agronegócio que reúne 3.</w:t>
                      </w:r>
                      <w:r w:rsidR="001C2663">
                        <w:t>104</w:t>
                      </w:r>
                      <w:r>
                        <w:t xml:space="preserve"> NCM’s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r w:rsidRPr="009A094C">
                        <w:rPr>
                          <w:i/>
                          <w:iCs/>
                        </w:rPr>
                        <w:t>on line</w:t>
                      </w:r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9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54E0BCA" w14:textId="223A8195" w:rsidR="00A836F2" w:rsidRPr="00D21870" w:rsidRDefault="00A836F2" w:rsidP="00A836F2">
      <w:pPr>
        <w:jc w:val="both"/>
        <w:rPr>
          <w:rFonts w:cstheme="minorHAnsi"/>
        </w:rPr>
      </w:pPr>
      <w:r w:rsidRPr="00D21870">
        <w:rPr>
          <w:rFonts w:cstheme="minorHAnsi"/>
        </w:rPr>
        <w:t>MAPA/SCRI/DNAC/CGEA</w:t>
      </w:r>
      <w:r w:rsidR="00830FA5" w:rsidRPr="00D21870">
        <w:rPr>
          <w:rStyle w:val="Refdenotaderodap"/>
          <w:rFonts w:cstheme="minorHAnsi"/>
        </w:rPr>
        <w:footnoteReference w:id="12"/>
      </w:r>
    </w:p>
    <w:p w14:paraId="6AFCF99D" w14:textId="12142788" w:rsidR="00C21CE0" w:rsidRPr="00D21870" w:rsidRDefault="00A836F2" w:rsidP="00BA3003">
      <w:pPr>
        <w:jc w:val="both"/>
        <w:rPr>
          <w:rFonts w:cstheme="minorHAnsi"/>
        </w:rPr>
      </w:pPr>
      <w:r w:rsidRPr="00D21870">
        <w:rPr>
          <w:rFonts w:cstheme="minorHAnsi"/>
        </w:rPr>
        <w:fldChar w:fldCharType="begin"/>
      </w:r>
      <w:r w:rsidRPr="00D21870">
        <w:rPr>
          <w:rFonts w:cstheme="minorHAnsi"/>
        </w:rPr>
        <w:instrText xml:space="preserve"> TIME \@ "dd/MM/yyyy" </w:instrText>
      </w:r>
      <w:r w:rsidRPr="00D21870">
        <w:rPr>
          <w:rFonts w:cstheme="minorHAnsi"/>
        </w:rPr>
        <w:fldChar w:fldCharType="separate"/>
      </w:r>
      <w:r w:rsidR="00494E08">
        <w:rPr>
          <w:rFonts w:cstheme="minorHAnsi"/>
          <w:noProof/>
        </w:rPr>
        <w:t>13/11/2024</w:t>
      </w:r>
      <w:r w:rsidRPr="00D21870">
        <w:rPr>
          <w:rFonts w:cstheme="minorHAnsi"/>
        </w:rPr>
        <w:fldChar w:fldCharType="end"/>
      </w:r>
    </w:p>
    <w:sectPr w:rsidR="00C21CE0" w:rsidRPr="00D21870" w:rsidSect="00D07ED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5BCE1" w14:textId="77777777" w:rsidR="00DD7470" w:rsidRDefault="00DD7470" w:rsidP="00D036D2">
      <w:pPr>
        <w:spacing w:after="0" w:line="240" w:lineRule="auto"/>
      </w:pPr>
      <w:r>
        <w:separator/>
      </w:r>
    </w:p>
  </w:endnote>
  <w:endnote w:type="continuationSeparator" w:id="0">
    <w:p w14:paraId="255DDA8C" w14:textId="77777777" w:rsidR="00DD7470" w:rsidRDefault="00DD7470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36F71" w14:textId="77777777" w:rsidR="00DD7470" w:rsidRDefault="00DD7470" w:rsidP="00D036D2">
      <w:pPr>
        <w:spacing w:after="0" w:line="240" w:lineRule="auto"/>
      </w:pPr>
      <w:r>
        <w:separator/>
      </w:r>
    </w:p>
  </w:footnote>
  <w:footnote w:type="continuationSeparator" w:id="0">
    <w:p w14:paraId="4F7FE666" w14:textId="77777777" w:rsidR="00DD7470" w:rsidRDefault="00DD7470" w:rsidP="00D036D2">
      <w:pPr>
        <w:spacing w:after="0" w:line="240" w:lineRule="auto"/>
      </w:pPr>
      <w:r>
        <w:continuationSeparator/>
      </w:r>
    </w:p>
  </w:footnote>
  <w:footnote w:id="1">
    <w:p w14:paraId="22203E7E" w14:textId="77777777" w:rsidR="00A1450A" w:rsidRDefault="00A1450A" w:rsidP="00A1450A">
      <w:pPr>
        <w:pStyle w:val="Textodenotaderodap"/>
      </w:pPr>
      <w:r>
        <w:rPr>
          <w:rStyle w:val="Refdenotaderodap"/>
        </w:rPr>
        <w:footnoteRef/>
      </w:r>
      <w:r>
        <w:t xml:space="preserve"> O índice de preço dos alimentos do Banco Mundial possui a seguinte participação: cereais (28,2% - contendo arroz, trigo, milho e cevada); Óleos e Carnes (40,8% - complexo soja com 26,1%, óleo de palma com 12,3% e outros óleos); e outros alimentos (31,0% - açúcar com 9,8%; bananas com 4,9%; carnes com 12,8%; e laranjas 3,6%. </w:t>
      </w:r>
    </w:p>
  </w:footnote>
  <w:footnote w:id="2">
    <w:p w14:paraId="4A0A35EC" w14:textId="77777777" w:rsidR="00A1450A" w:rsidRDefault="00A1450A" w:rsidP="00A1450A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 safra brasileira 2023/2024 registrou produção de 297,85 milhões de toneladas ou 21,96 milhões de toneladas inferior em comparação com a safra 2022/2023, que foi avaliada em 319,81 milhões de toneladas pela Conab. Essa queda ocorreu devido a condições climáticas adversas ao longo da produção. A produção de soja foi de 147,38 milhões de toneladas (-7,23 milhões de toneladas), enquanto a produção de milho ficou em 115,70 milhões de toneladas (-16,19 milhões de toneladas).</w:t>
      </w:r>
    </w:p>
  </w:footnote>
  <w:footnote w:id="3">
    <w:p w14:paraId="04C389E3" w14:textId="77777777" w:rsidR="00A1450A" w:rsidRDefault="00A1450A" w:rsidP="00A1450A">
      <w:pPr>
        <w:pStyle w:val="Textodenotaderodap"/>
      </w:pPr>
      <w:r>
        <w:rPr>
          <w:rStyle w:val="Refdenotaderodap"/>
        </w:rPr>
        <w:footnoteRef/>
      </w:r>
      <w:r>
        <w:t xml:space="preserve"> Esses produtos mencionados não visam contemplar todos os produtos necessários à produção do agronegócio brasileiro. Há, como exemplo, a importação de diesel utilizado nas caminhonetes, tratores, colhedoras e caminhões, com importações de US$ 831,88 milhões em outubro de 2024.</w:t>
      </w:r>
    </w:p>
  </w:footnote>
  <w:footnote w:id="4">
    <w:p w14:paraId="1A761D98" w14:textId="77777777" w:rsidR="00A1450A" w:rsidRDefault="00A1450A" w:rsidP="00A1450A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 safra brasileira 2023/2024 registrou produção de 147,38 milhões de toneladas ou 7,2 milhões de toneladas inferior em comparação com a safra 2022/2023, que foi avaliada em 154,61 milhões de toneladas pela Conab. Essa queda ocorreu devido a condições climáticas adversas ao longo da produção.</w:t>
      </w:r>
    </w:p>
  </w:footnote>
  <w:footnote w:id="5">
    <w:p w14:paraId="405A0CFC" w14:textId="77777777" w:rsidR="00A1450A" w:rsidRPr="00AF205F" w:rsidRDefault="00A1450A" w:rsidP="00A1450A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AF205F">
        <w:rPr>
          <w:sz w:val="16"/>
          <w:szCs w:val="16"/>
        </w:rPr>
        <w:t>Estatísticas do TradeMap e do Departamento de Agricultura dos Estados Unidos.</w:t>
      </w:r>
    </w:p>
  </w:footnote>
  <w:footnote w:id="6">
    <w:p w14:paraId="59B1054C" w14:textId="77777777" w:rsidR="00A1450A" w:rsidRDefault="00A1450A" w:rsidP="00A1450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95F6A">
        <w:rPr>
          <w:sz w:val="16"/>
          <w:szCs w:val="16"/>
        </w:rPr>
        <w:t>Índice de preço dos Alimentos da FAO</w:t>
      </w:r>
      <w:r>
        <w:rPr>
          <w:sz w:val="16"/>
          <w:szCs w:val="16"/>
        </w:rPr>
        <w:t xml:space="preserve"> (fonte: </w:t>
      </w:r>
      <w:hyperlink r:id="rId1" w:history="1">
        <w:r w:rsidRPr="00D75FB9">
          <w:rPr>
            <w:rStyle w:val="Hyperlink"/>
            <w:sz w:val="16"/>
            <w:szCs w:val="16"/>
          </w:rPr>
          <w:t>https://www.fao.org/worldfoodsituation/foodpricesindex/en/</w:t>
        </w:r>
      </w:hyperlink>
      <w:r>
        <w:rPr>
          <w:sz w:val="16"/>
          <w:szCs w:val="16"/>
        </w:rPr>
        <w:t xml:space="preserve"> )</w:t>
      </w:r>
    </w:p>
  </w:footnote>
  <w:footnote w:id="7">
    <w:p w14:paraId="2DE64BE2" w14:textId="77777777" w:rsidR="00B42E40" w:rsidRDefault="00B42E40" w:rsidP="00B42E4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93E28">
        <w:t>Outros exemplos de produtos que podem ser mencionados são: óleo diesel para tratores e caminhões utilizados na produção do agronegócio, medicamentos de uso veterinário, nutrição animal e máquinas e equipamentos agrícolas, etc.</w:t>
      </w:r>
    </w:p>
  </w:footnote>
  <w:footnote w:id="8">
    <w:p w14:paraId="118B2ACD" w14:textId="44F1CF36" w:rsidR="008837BB" w:rsidRDefault="008837BB">
      <w:pPr>
        <w:pStyle w:val="Textodenotaderodap"/>
      </w:pPr>
      <w:r>
        <w:rPr>
          <w:rStyle w:val="Refdenotaderodap"/>
        </w:rPr>
        <w:footnoteRef/>
      </w:r>
      <w:r>
        <w:t xml:space="preserve"> Fonte: CEPEA/E</w:t>
      </w:r>
      <w:r w:rsidR="001969DE">
        <w:t xml:space="preserve">salq-USP. Boletim Agromensal OUT/24. Disponível em: </w:t>
      </w:r>
      <w:r w:rsidR="001969DE" w:rsidRPr="005E7FAA">
        <w:t>https://cepea.esalq.usp.br/br/categoria/agromensal.aspx?mes=10&amp;ano=2024</w:t>
      </w:r>
    </w:p>
  </w:footnote>
  <w:footnote w:id="9">
    <w:p w14:paraId="7CA2167D" w14:textId="208113EE" w:rsidR="0053675E" w:rsidRDefault="0053675E">
      <w:pPr>
        <w:pStyle w:val="Textodenotaderodap"/>
      </w:pPr>
      <w:r>
        <w:rPr>
          <w:rStyle w:val="Refdenotaderodap"/>
        </w:rPr>
        <w:footnoteRef/>
      </w:r>
      <w:r>
        <w:t xml:space="preserve"> Fonte: CEPEA/</w:t>
      </w:r>
      <w:r w:rsidR="001969DE">
        <w:t xml:space="preserve">Esalq-USP. </w:t>
      </w:r>
      <w:r w:rsidR="005E7FAA">
        <w:t xml:space="preserve">Boletim </w:t>
      </w:r>
      <w:r>
        <w:t>Agromensal</w:t>
      </w:r>
      <w:r w:rsidR="005E7FAA">
        <w:t xml:space="preserve"> OUT/24</w:t>
      </w:r>
      <w:r>
        <w:t xml:space="preserve">. Disponível em: </w:t>
      </w:r>
      <w:r w:rsidR="005E7FAA" w:rsidRPr="005E7FAA">
        <w:t>https://cepea.esalq.usp.br/br/categoria/agromensal.aspx?mes=10&amp;ano=2024</w:t>
      </w:r>
    </w:p>
  </w:footnote>
  <w:footnote w:id="10">
    <w:p w14:paraId="0D8ABCAB" w14:textId="77777777" w:rsidR="004F6695" w:rsidRDefault="004F6695" w:rsidP="004F6695">
      <w:pPr>
        <w:pStyle w:val="Textodenotaderodap"/>
      </w:pPr>
      <w:r>
        <w:rPr>
          <w:rStyle w:val="Refdenotaderodap"/>
        </w:rPr>
        <w:footnoteRef/>
      </w:r>
      <w:r>
        <w:t xml:space="preserve"> Fonte: CONAB. Disponível em: </w:t>
      </w:r>
      <w:r w:rsidRPr="004F6695">
        <w:t>https://www.conab.gov.br/info-agro/safras/serie-historica-das-safras/itemlist/category/895-cafe-total-arabica-e-conilon</w:t>
      </w:r>
    </w:p>
  </w:footnote>
  <w:footnote w:id="11">
    <w:p w14:paraId="6B0D57EC" w14:textId="6B492DB8" w:rsidR="004412BA" w:rsidRDefault="004412BA">
      <w:pPr>
        <w:pStyle w:val="Textodenotaderodap"/>
      </w:pPr>
      <w:r>
        <w:rPr>
          <w:rStyle w:val="Refdenotaderodap"/>
        </w:rPr>
        <w:footnoteRef/>
      </w:r>
      <w:r>
        <w:t xml:space="preserve"> A produção de algodão na safra 2023/24 </w:t>
      </w:r>
      <w:r w:rsidR="00562A29">
        <w:t>alcançou valor</w:t>
      </w:r>
      <w:r>
        <w:t xml:space="preserve"> recorde</w:t>
      </w:r>
      <w:r w:rsidR="00562A29">
        <w:t xml:space="preserve"> para a série histórica</w:t>
      </w:r>
      <w:r>
        <w:t xml:space="preserve">, com </w:t>
      </w:r>
      <w:r w:rsidR="008B04B3">
        <w:t>8,91 milhões de toneladas</w:t>
      </w:r>
      <w:r w:rsidR="00562A29">
        <w:t xml:space="preserve">. Fonte: CONAB. Disponível em: </w:t>
      </w:r>
      <w:r w:rsidR="008E5DF6" w:rsidRPr="008E5DF6">
        <w:t>https://www.conab.gov.br/info-agro/safras/serie-historica-das-safras/itemlist/category/898-algodao</w:t>
      </w:r>
    </w:p>
  </w:footnote>
  <w:footnote w:id="12">
    <w:p w14:paraId="3989FAC9" w14:textId="45D96E19" w:rsidR="00482C5C" w:rsidRDefault="00482C5C">
      <w:pPr>
        <w:pStyle w:val="Textodenotaderodap"/>
      </w:pPr>
      <w:r>
        <w:rPr>
          <w:rStyle w:val="Refdenotaderodap"/>
        </w:rPr>
        <w:footnoteRef/>
      </w:r>
      <w:r>
        <w:t xml:space="preserve"> Fonte: </w:t>
      </w:r>
      <w:r w:rsidRPr="00830FA5">
        <w:t>https://www.in.gov.br/en/web/dou/-/resolucao-gecex-n-560-de-19-de-</w:t>
      </w:r>
      <w:r w:rsidR="00F00EBD">
        <w:t>Julho</w:t>
      </w:r>
      <w:r w:rsidRPr="00830FA5">
        <w:t>-de-2024-*-545414354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6104"/>
    <w:multiLevelType w:val="hybridMultilevel"/>
    <w:tmpl w:val="46C08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962DD"/>
    <w:multiLevelType w:val="hybridMultilevel"/>
    <w:tmpl w:val="60C859A8"/>
    <w:lvl w:ilvl="0" w:tplc="CC08CE6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E2F29"/>
    <w:multiLevelType w:val="hybridMultilevel"/>
    <w:tmpl w:val="6FDA80CC"/>
    <w:lvl w:ilvl="0" w:tplc="8B5A775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762703">
    <w:abstractNumId w:val="0"/>
  </w:num>
  <w:num w:numId="2" w16cid:durableId="493492366">
    <w:abstractNumId w:val="1"/>
  </w:num>
  <w:num w:numId="3" w16cid:durableId="530580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E0"/>
    <w:rsid w:val="00000506"/>
    <w:rsid w:val="00000D1F"/>
    <w:rsid w:val="0000131B"/>
    <w:rsid w:val="0000186B"/>
    <w:rsid w:val="00005669"/>
    <w:rsid w:val="000059D6"/>
    <w:rsid w:val="000061DF"/>
    <w:rsid w:val="000072E0"/>
    <w:rsid w:val="000079F2"/>
    <w:rsid w:val="000106E0"/>
    <w:rsid w:val="00010E22"/>
    <w:rsid w:val="00012542"/>
    <w:rsid w:val="00013AAC"/>
    <w:rsid w:val="0001437E"/>
    <w:rsid w:val="00021DFB"/>
    <w:rsid w:val="000224B0"/>
    <w:rsid w:val="000251F2"/>
    <w:rsid w:val="00026FC9"/>
    <w:rsid w:val="000306F2"/>
    <w:rsid w:val="00031914"/>
    <w:rsid w:val="00032F56"/>
    <w:rsid w:val="000340BC"/>
    <w:rsid w:val="000342E7"/>
    <w:rsid w:val="000344E1"/>
    <w:rsid w:val="0003597E"/>
    <w:rsid w:val="00035E37"/>
    <w:rsid w:val="00037E65"/>
    <w:rsid w:val="00040157"/>
    <w:rsid w:val="000410C3"/>
    <w:rsid w:val="00041DF4"/>
    <w:rsid w:val="000440F9"/>
    <w:rsid w:val="00044256"/>
    <w:rsid w:val="00045170"/>
    <w:rsid w:val="000469BA"/>
    <w:rsid w:val="00050A31"/>
    <w:rsid w:val="00052444"/>
    <w:rsid w:val="000524C0"/>
    <w:rsid w:val="00053023"/>
    <w:rsid w:val="000533C4"/>
    <w:rsid w:val="000541BB"/>
    <w:rsid w:val="00054806"/>
    <w:rsid w:val="000548B4"/>
    <w:rsid w:val="00055D2E"/>
    <w:rsid w:val="000561C6"/>
    <w:rsid w:val="00056395"/>
    <w:rsid w:val="00056B3A"/>
    <w:rsid w:val="000574BB"/>
    <w:rsid w:val="0006037D"/>
    <w:rsid w:val="00060AA0"/>
    <w:rsid w:val="00061F94"/>
    <w:rsid w:val="0006208A"/>
    <w:rsid w:val="0006381B"/>
    <w:rsid w:val="0006391F"/>
    <w:rsid w:val="00063EAE"/>
    <w:rsid w:val="00063F4B"/>
    <w:rsid w:val="0006481B"/>
    <w:rsid w:val="00065535"/>
    <w:rsid w:val="00065736"/>
    <w:rsid w:val="00065D5D"/>
    <w:rsid w:val="00066D09"/>
    <w:rsid w:val="00066E9B"/>
    <w:rsid w:val="00067AA4"/>
    <w:rsid w:val="00071396"/>
    <w:rsid w:val="0007194B"/>
    <w:rsid w:val="00071F11"/>
    <w:rsid w:val="00072550"/>
    <w:rsid w:val="0007381D"/>
    <w:rsid w:val="00074055"/>
    <w:rsid w:val="00074CE5"/>
    <w:rsid w:val="00075B5D"/>
    <w:rsid w:val="000809E5"/>
    <w:rsid w:val="00080C6A"/>
    <w:rsid w:val="00081736"/>
    <w:rsid w:val="00081BDF"/>
    <w:rsid w:val="00082772"/>
    <w:rsid w:val="00082EFF"/>
    <w:rsid w:val="0008349F"/>
    <w:rsid w:val="00083F1D"/>
    <w:rsid w:val="00084313"/>
    <w:rsid w:val="00084534"/>
    <w:rsid w:val="00084803"/>
    <w:rsid w:val="00085804"/>
    <w:rsid w:val="000860A8"/>
    <w:rsid w:val="0008654E"/>
    <w:rsid w:val="00087329"/>
    <w:rsid w:val="0008764B"/>
    <w:rsid w:val="0009037A"/>
    <w:rsid w:val="0009084F"/>
    <w:rsid w:val="00093E42"/>
    <w:rsid w:val="000941FA"/>
    <w:rsid w:val="0009422D"/>
    <w:rsid w:val="000955C9"/>
    <w:rsid w:val="00095625"/>
    <w:rsid w:val="000959D3"/>
    <w:rsid w:val="000967A5"/>
    <w:rsid w:val="0009684F"/>
    <w:rsid w:val="00097AF5"/>
    <w:rsid w:val="00097C30"/>
    <w:rsid w:val="00097C85"/>
    <w:rsid w:val="00097DA7"/>
    <w:rsid w:val="000A00AC"/>
    <w:rsid w:val="000A039E"/>
    <w:rsid w:val="000A2033"/>
    <w:rsid w:val="000A222E"/>
    <w:rsid w:val="000A2937"/>
    <w:rsid w:val="000A3496"/>
    <w:rsid w:val="000A3A58"/>
    <w:rsid w:val="000A46E1"/>
    <w:rsid w:val="000A486D"/>
    <w:rsid w:val="000A4E80"/>
    <w:rsid w:val="000A5F17"/>
    <w:rsid w:val="000A6B4A"/>
    <w:rsid w:val="000A6FE7"/>
    <w:rsid w:val="000A7260"/>
    <w:rsid w:val="000A7342"/>
    <w:rsid w:val="000A7365"/>
    <w:rsid w:val="000B285F"/>
    <w:rsid w:val="000B3425"/>
    <w:rsid w:val="000B4AFE"/>
    <w:rsid w:val="000B5766"/>
    <w:rsid w:val="000B6497"/>
    <w:rsid w:val="000B7B24"/>
    <w:rsid w:val="000B7CA8"/>
    <w:rsid w:val="000C0B0E"/>
    <w:rsid w:val="000C256D"/>
    <w:rsid w:val="000C2EA1"/>
    <w:rsid w:val="000C36B1"/>
    <w:rsid w:val="000C49B6"/>
    <w:rsid w:val="000C529A"/>
    <w:rsid w:val="000C54C4"/>
    <w:rsid w:val="000C7BEB"/>
    <w:rsid w:val="000C7C3D"/>
    <w:rsid w:val="000D161A"/>
    <w:rsid w:val="000D25F1"/>
    <w:rsid w:val="000D31E1"/>
    <w:rsid w:val="000D36D9"/>
    <w:rsid w:val="000D3716"/>
    <w:rsid w:val="000D497F"/>
    <w:rsid w:val="000D50A8"/>
    <w:rsid w:val="000D5AD6"/>
    <w:rsid w:val="000D6986"/>
    <w:rsid w:val="000D6EAE"/>
    <w:rsid w:val="000D7078"/>
    <w:rsid w:val="000D754C"/>
    <w:rsid w:val="000D79D6"/>
    <w:rsid w:val="000E241E"/>
    <w:rsid w:val="000E4875"/>
    <w:rsid w:val="000E630C"/>
    <w:rsid w:val="000E6BC9"/>
    <w:rsid w:val="000E6E94"/>
    <w:rsid w:val="000E6FFF"/>
    <w:rsid w:val="000E7A49"/>
    <w:rsid w:val="000F105D"/>
    <w:rsid w:val="000F1C1C"/>
    <w:rsid w:val="000F2159"/>
    <w:rsid w:val="000F2CF5"/>
    <w:rsid w:val="000F497B"/>
    <w:rsid w:val="000F6056"/>
    <w:rsid w:val="000F6E77"/>
    <w:rsid w:val="000F6E89"/>
    <w:rsid w:val="000F741F"/>
    <w:rsid w:val="000F74F8"/>
    <w:rsid w:val="000F7516"/>
    <w:rsid w:val="000F7961"/>
    <w:rsid w:val="000F7BA7"/>
    <w:rsid w:val="00100011"/>
    <w:rsid w:val="00100758"/>
    <w:rsid w:val="001010A5"/>
    <w:rsid w:val="001013FD"/>
    <w:rsid w:val="00102052"/>
    <w:rsid w:val="00102BAF"/>
    <w:rsid w:val="00103639"/>
    <w:rsid w:val="00104254"/>
    <w:rsid w:val="00105AE9"/>
    <w:rsid w:val="00106218"/>
    <w:rsid w:val="00107651"/>
    <w:rsid w:val="00111136"/>
    <w:rsid w:val="00112C02"/>
    <w:rsid w:val="00114C69"/>
    <w:rsid w:val="001150D4"/>
    <w:rsid w:val="00115552"/>
    <w:rsid w:val="0011621D"/>
    <w:rsid w:val="00116D0C"/>
    <w:rsid w:val="00117ED8"/>
    <w:rsid w:val="00120E30"/>
    <w:rsid w:val="00120EA7"/>
    <w:rsid w:val="00121182"/>
    <w:rsid w:val="001212AF"/>
    <w:rsid w:val="001217A9"/>
    <w:rsid w:val="001222CC"/>
    <w:rsid w:val="001226B9"/>
    <w:rsid w:val="00122A68"/>
    <w:rsid w:val="001241F2"/>
    <w:rsid w:val="00124E6E"/>
    <w:rsid w:val="00125308"/>
    <w:rsid w:val="00125FDB"/>
    <w:rsid w:val="001275E8"/>
    <w:rsid w:val="00127D67"/>
    <w:rsid w:val="00130349"/>
    <w:rsid w:val="001307B6"/>
    <w:rsid w:val="00130838"/>
    <w:rsid w:val="00134206"/>
    <w:rsid w:val="0013427C"/>
    <w:rsid w:val="001346CE"/>
    <w:rsid w:val="00134F72"/>
    <w:rsid w:val="00135D1F"/>
    <w:rsid w:val="001361F8"/>
    <w:rsid w:val="0014147F"/>
    <w:rsid w:val="0014204A"/>
    <w:rsid w:val="0014239D"/>
    <w:rsid w:val="00142656"/>
    <w:rsid w:val="00142A16"/>
    <w:rsid w:val="00142EF2"/>
    <w:rsid w:val="0014415A"/>
    <w:rsid w:val="0014471F"/>
    <w:rsid w:val="001453F9"/>
    <w:rsid w:val="001455E8"/>
    <w:rsid w:val="0014641A"/>
    <w:rsid w:val="00146A7D"/>
    <w:rsid w:val="00150345"/>
    <w:rsid w:val="00150561"/>
    <w:rsid w:val="00151599"/>
    <w:rsid w:val="001517DC"/>
    <w:rsid w:val="00151C7B"/>
    <w:rsid w:val="0015325E"/>
    <w:rsid w:val="00153559"/>
    <w:rsid w:val="001539D4"/>
    <w:rsid w:val="00154314"/>
    <w:rsid w:val="0015438E"/>
    <w:rsid w:val="00155698"/>
    <w:rsid w:val="00155B62"/>
    <w:rsid w:val="001570BD"/>
    <w:rsid w:val="0015781D"/>
    <w:rsid w:val="0016021D"/>
    <w:rsid w:val="00160B82"/>
    <w:rsid w:val="0016166C"/>
    <w:rsid w:val="001616B1"/>
    <w:rsid w:val="001618E6"/>
    <w:rsid w:val="00161B34"/>
    <w:rsid w:val="00161FFA"/>
    <w:rsid w:val="00162FF9"/>
    <w:rsid w:val="001630B1"/>
    <w:rsid w:val="001638F9"/>
    <w:rsid w:val="00165CAE"/>
    <w:rsid w:val="00165EED"/>
    <w:rsid w:val="00170B19"/>
    <w:rsid w:val="00172B7F"/>
    <w:rsid w:val="00172CA5"/>
    <w:rsid w:val="0017417F"/>
    <w:rsid w:val="001744AE"/>
    <w:rsid w:val="001748B0"/>
    <w:rsid w:val="00176A18"/>
    <w:rsid w:val="001770B2"/>
    <w:rsid w:val="00181E33"/>
    <w:rsid w:val="00183584"/>
    <w:rsid w:val="0018420A"/>
    <w:rsid w:val="001843F4"/>
    <w:rsid w:val="001847E7"/>
    <w:rsid w:val="0019099C"/>
    <w:rsid w:val="00192305"/>
    <w:rsid w:val="0019276F"/>
    <w:rsid w:val="0019359B"/>
    <w:rsid w:val="00193B50"/>
    <w:rsid w:val="0019428E"/>
    <w:rsid w:val="00194400"/>
    <w:rsid w:val="00194BC5"/>
    <w:rsid w:val="00194FD0"/>
    <w:rsid w:val="00195324"/>
    <w:rsid w:val="00195DF9"/>
    <w:rsid w:val="00195F39"/>
    <w:rsid w:val="001969DE"/>
    <w:rsid w:val="00197211"/>
    <w:rsid w:val="00197945"/>
    <w:rsid w:val="00197A42"/>
    <w:rsid w:val="00197BC6"/>
    <w:rsid w:val="00197FAB"/>
    <w:rsid w:val="001A03D5"/>
    <w:rsid w:val="001A09C4"/>
    <w:rsid w:val="001A1562"/>
    <w:rsid w:val="001A1E04"/>
    <w:rsid w:val="001A252E"/>
    <w:rsid w:val="001A26B8"/>
    <w:rsid w:val="001A2B52"/>
    <w:rsid w:val="001A2B92"/>
    <w:rsid w:val="001A3678"/>
    <w:rsid w:val="001A5547"/>
    <w:rsid w:val="001A59D3"/>
    <w:rsid w:val="001A615F"/>
    <w:rsid w:val="001A7228"/>
    <w:rsid w:val="001B0415"/>
    <w:rsid w:val="001B12D6"/>
    <w:rsid w:val="001B17A0"/>
    <w:rsid w:val="001B192A"/>
    <w:rsid w:val="001B1E42"/>
    <w:rsid w:val="001B2356"/>
    <w:rsid w:val="001B24F2"/>
    <w:rsid w:val="001B2ECE"/>
    <w:rsid w:val="001B31E4"/>
    <w:rsid w:val="001B4796"/>
    <w:rsid w:val="001B5ED3"/>
    <w:rsid w:val="001B6BDE"/>
    <w:rsid w:val="001B76A4"/>
    <w:rsid w:val="001B7C24"/>
    <w:rsid w:val="001C1C40"/>
    <w:rsid w:val="001C1DB9"/>
    <w:rsid w:val="001C2663"/>
    <w:rsid w:val="001C2AC5"/>
    <w:rsid w:val="001C3022"/>
    <w:rsid w:val="001C3F48"/>
    <w:rsid w:val="001C4C14"/>
    <w:rsid w:val="001C5096"/>
    <w:rsid w:val="001C7B3D"/>
    <w:rsid w:val="001C7BA1"/>
    <w:rsid w:val="001D0DD5"/>
    <w:rsid w:val="001D2DF5"/>
    <w:rsid w:val="001D3657"/>
    <w:rsid w:val="001D4197"/>
    <w:rsid w:val="001D42E7"/>
    <w:rsid w:val="001D4951"/>
    <w:rsid w:val="001D49FB"/>
    <w:rsid w:val="001D5274"/>
    <w:rsid w:val="001D53CF"/>
    <w:rsid w:val="001D63A5"/>
    <w:rsid w:val="001D73EF"/>
    <w:rsid w:val="001E09AA"/>
    <w:rsid w:val="001E3583"/>
    <w:rsid w:val="001E3E6F"/>
    <w:rsid w:val="001E46C6"/>
    <w:rsid w:val="001E5703"/>
    <w:rsid w:val="001F02EE"/>
    <w:rsid w:val="001F08A6"/>
    <w:rsid w:val="001F0F62"/>
    <w:rsid w:val="001F1AA3"/>
    <w:rsid w:val="001F466A"/>
    <w:rsid w:val="001F52AD"/>
    <w:rsid w:val="00200ABF"/>
    <w:rsid w:val="00202EE1"/>
    <w:rsid w:val="00203D60"/>
    <w:rsid w:val="00203FF3"/>
    <w:rsid w:val="002047C5"/>
    <w:rsid w:val="00204CAD"/>
    <w:rsid w:val="00204E6E"/>
    <w:rsid w:val="00204E89"/>
    <w:rsid w:val="00206B3E"/>
    <w:rsid w:val="002074D7"/>
    <w:rsid w:val="00210920"/>
    <w:rsid w:val="00210BAE"/>
    <w:rsid w:val="00210F5C"/>
    <w:rsid w:val="002119B8"/>
    <w:rsid w:val="002138A9"/>
    <w:rsid w:val="00214515"/>
    <w:rsid w:val="002156BE"/>
    <w:rsid w:val="002160B4"/>
    <w:rsid w:val="00216EC4"/>
    <w:rsid w:val="00217161"/>
    <w:rsid w:val="0021751B"/>
    <w:rsid w:val="00217BA3"/>
    <w:rsid w:val="00220AAF"/>
    <w:rsid w:val="00220C3C"/>
    <w:rsid w:val="00221459"/>
    <w:rsid w:val="00221B9A"/>
    <w:rsid w:val="00221D09"/>
    <w:rsid w:val="002226D1"/>
    <w:rsid w:val="00224718"/>
    <w:rsid w:val="002258D9"/>
    <w:rsid w:val="002263A1"/>
    <w:rsid w:val="00226561"/>
    <w:rsid w:val="00226B2C"/>
    <w:rsid w:val="002308E1"/>
    <w:rsid w:val="00231BCF"/>
    <w:rsid w:val="00231FC8"/>
    <w:rsid w:val="00232926"/>
    <w:rsid w:val="00234626"/>
    <w:rsid w:val="00234AEE"/>
    <w:rsid w:val="0023521C"/>
    <w:rsid w:val="002357F1"/>
    <w:rsid w:val="00237A84"/>
    <w:rsid w:val="00240C1B"/>
    <w:rsid w:val="00243115"/>
    <w:rsid w:val="00243AD5"/>
    <w:rsid w:val="00244AEA"/>
    <w:rsid w:val="0024516D"/>
    <w:rsid w:val="00245717"/>
    <w:rsid w:val="00246461"/>
    <w:rsid w:val="0024680D"/>
    <w:rsid w:val="00246D55"/>
    <w:rsid w:val="00246D8E"/>
    <w:rsid w:val="00250584"/>
    <w:rsid w:val="00250F1E"/>
    <w:rsid w:val="0025282D"/>
    <w:rsid w:val="00253884"/>
    <w:rsid w:val="0025534F"/>
    <w:rsid w:val="00255A58"/>
    <w:rsid w:val="002564F8"/>
    <w:rsid w:val="002571FF"/>
    <w:rsid w:val="00260457"/>
    <w:rsid w:val="00261D06"/>
    <w:rsid w:val="002623C6"/>
    <w:rsid w:val="00262ACC"/>
    <w:rsid w:val="00262E62"/>
    <w:rsid w:val="00263945"/>
    <w:rsid w:val="00264127"/>
    <w:rsid w:val="002656E4"/>
    <w:rsid w:val="00266B54"/>
    <w:rsid w:val="002671B5"/>
    <w:rsid w:val="002677D3"/>
    <w:rsid w:val="0027122C"/>
    <w:rsid w:val="00271593"/>
    <w:rsid w:val="0027226F"/>
    <w:rsid w:val="00272708"/>
    <w:rsid w:val="00272E44"/>
    <w:rsid w:val="002730CE"/>
    <w:rsid w:val="00273974"/>
    <w:rsid w:val="00273B93"/>
    <w:rsid w:val="00273CE9"/>
    <w:rsid w:val="00273F37"/>
    <w:rsid w:val="00274068"/>
    <w:rsid w:val="002746F1"/>
    <w:rsid w:val="002766D3"/>
    <w:rsid w:val="0027756F"/>
    <w:rsid w:val="00280491"/>
    <w:rsid w:val="002808F5"/>
    <w:rsid w:val="00281E1C"/>
    <w:rsid w:val="0028354D"/>
    <w:rsid w:val="00283B9D"/>
    <w:rsid w:val="002853E4"/>
    <w:rsid w:val="00285B11"/>
    <w:rsid w:val="002862CD"/>
    <w:rsid w:val="00287E45"/>
    <w:rsid w:val="00290AFF"/>
    <w:rsid w:val="00290B04"/>
    <w:rsid w:val="00292489"/>
    <w:rsid w:val="0029295A"/>
    <w:rsid w:val="00294136"/>
    <w:rsid w:val="002952D0"/>
    <w:rsid w:val="00295D42"/>
    <w:rsid w:val="00295E78"/>
    <w:rsid w:val="00297ACD"/>
    <w:rsid w:val="002A04BF"/>
    <w:rsid w:val="002A0F69"/>
    <w:rsid w:val="002A1E25"/>
    <w:rsid w:val="002A27C3"/>
    <w:rsid w:val="002A3825"/>
    <w:rsid w:val="002A5358"/>
    <w:rsid w:val="002A5730"/>
    <w:rsid w:val="002A78A4"/>
    <w:rsid w:val="002B0659"/>
    <w:rsid w:val="002B1A8B"/>
    <w:rsid w:val="002B1DDA"/>
    <w:rsid w:val="002B3F3F"/>
    <w:rsid w:val="002B6487"/>
    <w:rsid w:val="002C231D"/>
    <w:rsid w:val="002C4AB4"/>
    <w:rsid w:val="002C58C3"/>
    <w:rsid w:val="002C5D11"/>
    <w:rsid w:val="002C5DE5"/>
    <w:rsid w:val="002C5EFF"/>
    <w:rsid w:val="002C6580"/>
    <w:rsid w:val="002D0BE0"/>
    <w:rsid w:val="002D168C"/>
    <w:rsid w:val="002D1C89"/>
    <w:rsid w:val="002D20AE"/>
    <w:rsid w:val="002D3639"/>
    <w:rsid w:val="002D4475"/>
    <w:rsid w:val="002D5A30"/>
    <w:rsid w:val="002D67B7"/>
    <w:rsid w:val="002D7CB7"/>
    <w:rsid w:val="002D7CBB"/>
    <w:rsid w:val="002E1BF2"/>
    <w:rsid w:val="002E23C4"/>
    <w:rsid w:val="002E30C8"/>
    <w:rsid w:val="002E3917"/>
    <w:rsid w:val="002E496A"/>
    <w:rsid w:val="002E5418"/>
    <w:rsid w:val="002E5BEE"/>
    <w:rsid w:val="002E674F"/>
    <w:rsid w:val="002E7403"/>
    <w:rsid w:val="002E7520"/>
    <w:rsid w:val="002F0AE0"/>
    <w:rsid w:val="002F0E59"/>
    <w:rsid w:val="002F13CF"/>
    <w:rsid w:val="002F1F5F"/>
    <w:rsid w:val="002F2CC6"/>
    <w:rsid w:val="002F317D"/>
    <w:rsid w:val="002F3EBF"/>
    <w:rsid w:val="002F5381"/>
    <w:rsid w:val="00301851"/>
    <w:rsid w:val="00301BED"/>
    <w:rsid w:val="00301EB9"/>
    <w:rsid w:val="00302144"/>
    <w:rsid w:val="0030234A"/>
    <w:rsid w:val="0030368C"/>
    <w:rsid w:val="00303C7B"/>
    <w:rsid w:val="00304332"/>
    <w:rsid w:val="003051C6"/>
    <w:rsid w:val="00305427"/>
    <w:rsid w:val="00305F6D"/>
    <w:rsid w:val="003061A4"/>
    <w:rsid w:val="0030633C"/>
    <w:rsid w:val="0030677E"/>
    <w:rsid w:val="0030729F"/>
    <w:rsid w:val="00310B63"/>
    <w:rsid w:val="00310E49"/>
    <w:rsid w:val="00311ECB"/>
    <w:rsid w:val="003126BA"/>
    <w:rsid w:val="00312DDD"/>
    <w:rsid w:val="00313574"/>
    <w:rsid w:val="00314014"/>
    <w:rsid w:val="0031445F"/>
    <w:rsid w:val="00315000"/>
    <w:rsid w:val="00315B3B"/>
    <w:rsid w:val="0031606A"/>
    <w:rsid w:val="00316B44"/>
    <w:rsid w:val="003176EA"/>
    <w:rsid w:val="00320002"/>
    <w:rsid w:val="0032120C"/>
    <w:rsid w:val="00321445"/>
    <w:rsid w:val="00321E14"/>
    <w:rsid w:val="003225B9"/>
    <w:rsid w:val="00324041"/>
    <w:rsid w:val="00324168"/>
    <w:rsid w:val="00324A08"/>
    <w:rsid w:val="00325830"/>
    <w:rsid w:val="00326205"/>
    <w:rsid w:val="00326FC3"/>
    <w:rsid w:val="00327782"/>
    <w:rsid w:val="00327DF1"/>
    <w:rsid w:val="0033008D"/>
    <w:rsid w:val="00330729"/>
    <w:rsid w:val="00331900"/>
    <w:rsid w:val="00332711"/>
    <w:rsid w:val="00332C9A"/>
    <w:rsid w:val="0033322D"/>
    <w:rsid w:val="00333623"/>
    <w:rsid w:val="00334C8D"/>
    <w:rsid w:val="00334E8E"/>
    <w:rsid w:val="003352C4"/>
    <w:rsid w:val="0033617A"/>
    <w:rsid w:val="00336227"/>
    <w:rsid w:val="0034017C"/>
    <w:rsid w:val="003407FF"/>
    <w:rsid w:val="00341A68"/>
    <w:rsid w:val="00341D8E"/>
    <w:rsid w:val="003422A9"/>
    <w:rsid w:val="003428E7"/>
    <w:rsid w:val="003440E2"/>
    <w:rsid w:val="00344211"/>
    <w:rsid w:val="00344334"/>
    <w:rsid w:val="003463CA"/>
    <w:rsid w:val="00346F62"/>
    <w:rsid w:val="0035011F"/>
    <w:rsid w:val="00350C23"/>
    <w:rsid w:val="0035252E"/>
    <w:rsid w:val="003531FA"/>
    <w:rsid w:val="00354831"/>
    <w:rsid w:val="003557CB"/>
    <w:rsid w:val="00355BE3"/>
    <w:rsid w:val="0035624A"/>
    <w:rsid w:val="00356AD1"/>
    <w:rsid w:val="00356B29"/>
    <w:rsid w:val="00357FE0"/>
    <w:rsid w:val="003610DE"/>
    <w:rsid w:val="0036145A"/>
    <w:rsid w:val="0036210B"/>
    <w:rsid w:val="003632C3"/>
    <w:rsid w:val="00365592"/>
    <w:rsid w:val="00365650"/>
    <w:rsid w:val="00366A9C"/>
    <w:rsid w:val="00370186"/>
    <w:rsid w:val="003714F7"/>
    <w:rsid w:val="00371DA1"/>
    <w:rsid w:val="00372DB7"/>
    <w:rsid w:val="00373085"/>
    <w:rsid w:val="00373EF3"/>
    <w:rsid w:val="00374BEC"/>
    <w:rsid w:val="00374D38"/>
    <w:rsid w:val="0038149E"/>
    <w:rsid w:val="003815F6"/>
    <w:rsid w:val="0038295D"/>
    <w:rsid w:val="00382E98"/>
    <w:rsid w:val="0038336A"/>
    <w:rsid w:val="0038436F"/>
    <w:rsid w:val="0038482E"/>
    <w:rsid w:val="00384E5F"/>
    <w:rsid w:val="00385967"/>
    <w:rsid w:val="00386AA9"/>
    <w:rsid w:val="003938E3"/>
    <w:rsid w:val="003962CA"/>
    <w:rsid w:val="00396874"/>
    <w:rsid w:val="00396987"/>
    <w:rsid w:val="00397E4E"/>
    <w:rsid w:val="003A42E7"/>
    <w:rsid w:val="003A594F"/>
    <w:rsid w:val="003A5A77"/>
    <w:rsid w:val="003A5B8E"/>
    <w:rsid w:val="003A6FAB"/>
    <w:rsid w:val="003A789F"/>
    <w:rsid w:val="003B0E04"/>
    <w:rsid w:val="003B18EF"/>
    <w:rsid w:val="003B1A1B"/>
    <w:rsid w:val="003B36D5"/>
    <w:rsid w:val="003B3A3D"/>
    <w:rsid w:val="003B5C2A"/>
    <w:rsid w:val="003B5E09"/>
    <w:rsid w:val="003B6C2C"/>
    <w:rsid w:val="003B72FF"/>
    <w:rsid w:val="003B7571"/>
    <w:rsid w:val="003B7791"/>
    <w:rsid w:val="003C0AF1"/>
    <w:rsid w:val="003C0F8B"/>
    <w:rsid w:val="003C16D5"/>
    <w:rsid w:val="003C3617"/>
    <w:rsid w:val="003C39C6"/>
    <w:rsid w:val="003C3F1A"/>
    <w:rsid w:val="003C6C44"/>
    <w:rsid w:val="003D00B6"/>
    <w:rsid w:val="003D0E1F"/>
    <w:rsid w:val="003D1CF6"/>
    <w:rsid w:val="003D33A7"/>
    <w:rsid w:val="003D3F6B"/>
    <w:rsid w:val="003D595E"/>
    <w:rsid w:val="003D5C0C"/>
    <w:rsid w:val="003D613F"/>
    <w:rsid w:val="003D61A7"/>
    <w:rsid w:val="003D6421"/>
    <w:rsid w:val="003D64DF"/>
    <w:rsid w:val="003D6841"/>
    <w:rsid w:val="003D6991"/>
    <w:rsid w:val="003E063B"/>
    <w:rsid w:val="003E292A"/>
    <w:rsid w:val="003E4783"/>
    <w:rsid w:val="003E5169"/>
    <w:rsid w:val="003E5553"/>
    <w:rsid w:val="003E59F4"/>
    <w:rsid w:val="003E616E"/>
    <w:rsid w:val="003E6571"/>
    <w:rsid w:val="003E6907"/>
    <w:rsid w:val="003E7BE5"/>
    <w:rsid w:val="003F0994"/>
    <w:rsid w:val="003F0DB9"/>
    <w:rsid w:val="003F14D4"/>
    <w:rsid w:val="003F4D58"/>
    <w:rsid w:val="003F5C94"/>
    <w:rsid w:val="003F66B6"/>
    <w:rsid w:val="003F6798"/>
    <w:rsid w:val="003F6C4D"/>
    <w:rsid w:val="003F73F9"/>
    <w:rsid w:val="0040204D"/>
    <w:rsid w:val="004028A5"/>
    <w:rsid w:val="00402B12"/>
    <w:rsid w:val="00403A33"/>
    <w:rsid w:val="00403E87"/>
    <w:rsid w:val="00406F34"/>
    <w:rsid w:val="00406F63"/>
    <w:rsid w:val="004116E0"/>
    <w:rsid w:val="00411A7B"/>
    <w:rsid w:val="004124A9"/>
    <w:rsid w:val="00412FE6"/>
    <w:rsid w:val="00413379"/>
    <w:rsid w:val="004137D8"/>
    <w:rsid w:val="00414B90"/>
    <w:rsid w:val="004155B8"/>
    <w:rsid w:val="004160AD"/>
    <w:rsid w:val="0041682D"/>
    <w:rsid w:val="00417061"/>
    <w:rsid w:val="00417077"/>
    <w:rsid w:val="00417EB4"/>
    <w:rsid w:val="0042132F"/>
    <w:rsid w:val="00423AFF"/>
    <w:rsid w:val="00423BF0"/>
    <w:rsid w:val="00424353"/>
    <w:rsid w:val="00424590"/>
    <w:rsid w:val="00424E86"/>
    <w:rsid w:val="00424E96"/>
    <w:rsid w:val="00425118"/>
    <w:rsid w:val="0042577F"/>
    <w:rsid w:val="004278A7"/>
    <w:rsid w:val="00427F87"/>
    <w:rsid w:val="00430312"/>
    <w:rsid w:val="00431096"/>
    <w:rsid w:val="00433A20"/>
    <w:rsid w:val="00434587"/>
    <w:rsid w:val="00435B92"/>
    <w:rsid w:val="0043627D"/>
    <w:rsid w:val="00436627"/>
    <w:rsid w:val="0043734A"/>
    <w:rsid w:val="004376DB"/>
    <w:rsid w:val="00437929"/>
    <w:rsid w:val="004412BA"/>
    <w:rsid w:val="0044225A"/>
    <w:rsid w:val="004426AB"/>
    <w:rsid w:val="0044345A"/>
    <w:rsid w:val="004438CD"/>
    <w:rsid w:val="00443BEA"/>
    <w:rsid w:val="004444AD"/>
    <w:rsid w:val="00444FEC"/>
    <w:rsid w:val="00445664"/>
    <w:rsid w:val="00445AAA"/>
    <w:rsid w:val="004467B6"/>
    <w:rsid w:val="004475A7"/>
    <w:rsid w:val="00450A15"/>
    <w:rsid w:val="00452737"/>
    <w:rsid w:val="00453530"/>
    <w:rsid w:val="0045358D"/>
    <w:rsid w:val="00453841"/>
    <w:rsid w:val="00453AB6"/>
    <w:rsid w:val="00454B9F"/>
    <w:rsid w:val="00454E87"/>
    <w:rsid w:val="0045629F"/>
    <w:rsid w:val="004562B3"/>
    <w:rsid w:val="00457C43"/>
    <w:rsid w:val="00461BF1"/>
    <w:rsid w:val="00462C65"/>
    <w:rsid w:val="004633DD"/>
    <w:rsid w:val="004636E4"/>
    <w:rsid w:val="004644BA"/>
    <w:rsid w:val="00464F6C"/>
    <w:rsid w:val="00465C47"/>
    <w:rsid w:val="0046661E"/>
    <w:rsid w:val="00467E19"/>
    <w:rsid w:val="0047047D"/>
    <w:rsid w:val="00470D90"/>
    <w:rsid w:val="00472CE6"/>
    <w:rsid w:val="00472DF3"/>
    <w:rsid w:val="004737E7"/>
    <w:rsid w:val="00473A5C"/>
    <w:rsid w:val="0047625A"/>
    <w:rsid w:val="00476CD0"/>
    <w:rsid w:val="00477419"/>
    <w:rsid w:val="004774AA"/>
    <w:rsid w:val="00480110"/>
    <w:rsid w:val="00480748"/>
    <w:rsid w:val="004807A4"/>
    <w:rsid w:val="0048081B"/>
    <w:rsid w:val="004810DD"/>
    <w:rsid w:val="00481A65"/>
    <w:rsid w:val="00482C5C"/>
    <w:rsid w:val="00483619"/>
    <w:rsid w:val="004840A4"/>
    <w:rsid w:val="0048579F"/>
    <w:rsid w:val="00486315"/>
    <w:rsid w:val="00487E03"/>
    <w:rsid w:val="00490A7E"/>
    <w:rsid w:val="00490A99"/>
    <w:rsid w:val="00491584"/>
    <w:rsid w:val="00491763"/>
    <w:rsid w:val="0049185C"/>
    <w:rsid w:val="00491FED"/>
    <w:rsid w:val="004921DC"/>
    <w:rsid w:val="004922A9"/>
    <w:rsid w:val="004927F9"/>
    <w:rsid w:val="00493CD6"/>
    <w:rsid w:val="004940B4"/>
    <w:rsid w:val="00494333"/>
    <w:rsid w:val="00494E08"/>
    <w:rsid w:val="004959C8"/>
    <w:rsid w:val="004968CE"/>
    <w:rsid w:val="00497435"/>
    <w:rsid w:val="004A1A50"/>
    <w:rsid w:val="004A291D"/>
    <w:rsid w:val="004A2BC6"/>
    <w:rsid w:val="004A32EB"/>
    <w:rsid w:val="004A345C"/>
    <w:rsid w:val="004A3E3F"/>
    <w:rsid w:val="004A45E3"/>
    <w:rsid w:val="004A6FE6"/>
    <w:rsid w:val="004B1222"/>
    <w:rsid w:val="004B1504"/>
    <w:rsid w:val="004B2130"/>
    <w:rsid w:val="004B2DF4"/>
    <w:rsid w:val="004B2EF2"/>
    <w:rsid w:val="004B48C7"/>
    <w:rsid w:val="004B55F8"/>
    <w:rsid w:val="004B5FB3"/>
    <w:rsid w:val="004B78B8"/>
    <w:rsid w:val="004B7C37"/>
    <w:rsid w:val="004C010D"/>
    <w:rsid w:val="004C0DC5"/>
    <w:rsid w:val="004C0F7A"/>
    <w:rsid w:val="004C11C0"/>
    <w:rsid w:val="004C2307"/>
    <w:rsid w:val="004C3584"/>
    <w:rsid w:val="004C3B1F"/>
    <w:rsid w:val="004C5AA5"/>
    <w:rsid w:val="004C606E"/>
    <w:rsid w:val="004C790B"/>
    <w:rsid w:val="004D155F"/>
    <w:rsid w:val="004D20D7"/>
    <w:rsid w:val="004D26D9"/>
    <w:rsid w:val="004D2985"/>
    <w:rsid w:val="004D2BE7"/>
    <w:rsid w:val="004D4567"/>
    <w:rsid w:val="004D4EB3"/>
    <w:rsid w:val="004D56E9"/>
    <w:rsid w:val="004D6C2C"/>
    <w:rsid w:val="004D6D94"/>
    <w:rsid w:val="004D7CA2"/>
    <w:rsid w:val="004E112B"/>
    <w:rsid w:val="004E1957"/>
    <w:rsid w:val="004E4B95"/>
    <w:rsid w:val="004E5648"/>
    <w:rsid w:val="004E598D"/>
    <w:rsid w:val="004E6174"/>
    <w:rsid w:val="004E6276"/>
    <w:rsid w:val="004E63E2"/>
    <w:rsid w:val="004E648B"/>
    <w:rsid w:val="004F16EA"/>
    <w:rsid w:val="004F1C41"/>
    <w:rsid w:val="004F1F98"/>
    <w:rsid w:val="004F1F9E"/>
    <w:rsid w:val="004F3361"/>
    <w:rsid w:val="004F4746"/>
    <w:rsid w:val="004F4E4A"/>
    <w:rsid w:val="004F6523"/>
    <w:rsid w:val="004F6695"/>
    <w:rsid w:val="004F6EA0"/>
    <w:rsid w:val="004F6FBC"/>
    <w:rsid w:val="005026AD"/>
    <w:rsid w:val="0050493D"/>
    <w:rsid w:val="0050519F"/>
    <w:rsid w:val="00505DEF"/>
    <w:rsid w:val="00506A0A"/>
    <w:rsid w:val="005103BD"/>
    <w:rsid w:val="00510410"/>
    <w:rsid w:val="00510A4E"/>
    <w:rsid w:val="005115EA"/>
    <w:rsid w:val="00511C44"/>
    <w:rsid w:val="00513057"/>
    <w:rsid w:val="00514839"/>
    <w:rsid w:val="00515044"/>
    <w:rsid w:val="00516223"/>
    <w:rsid w:val="00517DFA"/>
    <w:rsid w:val="00520276"/>
    <w:rsid w:val="00520D46"/>
    <w:rsid w:val="00521A0C"/>
    <w:rsid w:val="00522267"/>
    <w:rsid w:val="00522BA3"/>
    <w:rsid w:val="0052614C"/>
    <w:rsid w:val="005269F4"/>
    <w:rsid w:val="00526E2A"/>
    <w:rsid w:val="00527C12"/>
    <w:rsid w:val="00527C80"/>
    <w:rsid w:val="00530BDE"/>
    <w:rsid w:val="00530C54"/>
    <w:rsid w:val="00530E55"/>
    <w:rsid w:val="00534521"/>
    <w:rsid w:val="00534BD4"/>
    <w:rsid w:val="00535CFB"/>
    <w:rsid w:val="00535E65"/>
    <w:rsid w:val="00535E7B"/>
    <w:rsid w:val="005362BB"/>
    <w:rsid w:val="0053675E"/>
    <w:rsid w:val="00537614"/>
    <w:rsid w:val="00540543"/>
    <w:rsid w:val="005413C9"/>
    <w:rsid w:val="00542A3D"/>
    <w:rsid w:val="0054472E"/>
    <w:rsid w:val="00545A70"/>
    <w:rsid w:val="00546AEA"/>
    <w:rsid w:val="005474AD"/>
    <w:rsid w:val="00547BF6"/>
    <w:rsid w:val="00547E5C"/>
    <w:rsid w:val="005500B5"/>
    <w:rsid w:val="0055016D"/>
    <w:rsid w:val="00550C8F"/>
    <w:rsid w:val="00550D36"/>
    <w:rsid w:val="0055277C"/>
    <w:rsid w:val="00553E24"/>
    <w:rsid w:val="0055421C"/>
    <w:rsid w:val="0055493A"/>
    <w:rsid w:val="00555EFB"/>
    <w:rsid w:val="005567BE"/>
    <w:rsid w:val="00556A98"/>
    <w:rsid w:val="005573E6"/>
    <w:rsid w:val="00560623"/>
    <w:rsid w:val="005608BB"/>
    <w:rsid w:val="00561533"/>
    <w:rsid w:val="005618B3"/>
    <w:rsid w:val="00561E9E"/>
    <w:rsid w:val="005620FD"/>
    <w:rsid w:val="005624ED"/>
    <w:rsid w:val="00562A29"/>
    <w:rsid w:val="00562C7E"/>
    <w:rsid w:val="00562CCE"/>
    <w:rsid w:val="00564445"/>
    <w:rsid w:val="00564634"/>
    <w:rsid w:val="005651AE"/>
    <w:rsid w:val="005654C5"/>
    <w:rsid w:val="00565558"/>
    <w:rsid w:val="00565DA0"/>
    <w:rsid w:val="005673BE"/>
    <w:rsid w:val="005700D4"/>
    <w:rsid w:val="0057107B"/>
    <w:rsid w:val="00571198"/>
    <w:rsid w:val="0057176D"/>
    <w:rsid w:val="00571AF9"/>
    <w:rsid w:val="00571E36"/>
    <w:rsid w:val="00572347"/>
    <w:rsid w:val="00572914"/>
    <w:rsid w:val="00572A37"/>
    <w:rsid w:val="00572FCD"/>
    <w:rsid w:val="00573BEF"/>
    <w:rsid w:val="00574360"/>
    <w:rsid w:val="005748F6"/>
    <w:rsid w:val="00575BEB"/>
    <w:rsid w:val="0057624C"/>
    <w:rsid w:val="00576C3E"/>
    <w:rsid w:val="00577A50"/>
    <w:rsid w:val="00580B0D"/>
    <w:rsid w:val="00581342"/>
    <w:rsid w:val="00581B2C"/>
    <w:rsid w:val="00582A84"/>
    <w:rsid w:val="0058346D"/>
    <w:rsid w:val="00584BF1"/>
    <w:rsid w:val="0058577F"/>
    <w:rsid w:val="00585C7C"/>
    <w:rsid w:val="005867CC"/>
    <w:rsid w:val="005869F5"/>
    <w:rsid w:val="0058745D"/>
    <w:rsid w:val="00587715"/>
    <w:rsid w:val="005878E2"/>
    <w:rsid w:val="0059011B"/>
    <w:rsid w:val="00590169"/>
    <w:rsid w:val="005913B9"/>
    <w:rsid w:val="00592394"/>
    <w:rsid w:val="00593384"/>
    <w:rsid w:val="00593E7A"/>
    <w:rsid w:val="00594867"/>
    <w:rsid w:val="00594E8D"/>
    <w:rsid w:val="005951F5"/>
    <w:rsid w:val="00595F82"/>
    <w:rsid w:val="00596E7B"/>
    <w:rsid w:val="00597E30"/>
    <w:rsid w:val="005A010B"/>
    <w:rsid w:val="005A0A1B"/>
    <w:rsid w:val="005A0DA1"/>
    <w:rsid w:val="005A0E68"/>
    <w:rsid w:val="005A2352"/>
    <w:rsid w:val="005A3D2B"/>
    <w:rsid w:val="005A3F2F"/>
    <w:rsid w:val="005A4002"/>
    <w:rsid w:val="005A43D8"/>
    <w:rsid w:val="005A52BD"/>
    <w:rsid w:val="005A57E0"/>
    <w:rsid w:val="005A5BAB"/>
    <w:rsid w:val="005A5F38"/>
    <w:rsid w:val="005A61B3"/>
    <w:rsid w:val="005A63AF"/>
    <w:rsid w:val="005B26AC"/>
    <w:rsid w:val="005B294B"/>
    <w:rsid w:val="005B4036"/>
    <w:rsid w:val="005B4E0D"/>
    <w:rsid w:val="005B6CCC"/>
    <w:rsid w:val="005B7258"/>
    <w:rsid w:val="005C2746"/>
    <w:rsid w:val="005C3186"/>
    <w:rsid w:val="005C3778"/>
    <w:rsid w:val="005C4ABE"/>
    <w:rsid w:val="005C65E0"/>
    <w:rsid w:val="005C6794"/>
    <w:rsid w:val="005C693B"/>
    <w:rsid w:val="005C6C1D"/>
    <w:rsid w:val="005C7C19"/>
    <w:rsid w:val="005D018E"/>
    <w:rsid w:val="005D200B"/>
    <w:rsid w:val="005D3434"/>
    <w:rsid w:val="005D4E24"/>
    <w:rsid w:val="005D55F9"/>
    <w:rsid w:val="005D5B36"/>
    <w:rsid w:val="005D61A6"/>
    <w:rsid w:val="005D6C73"/>
    <w:rsid w:val="005D71A3"/>
    <w:rsid w:val="005E10DD"/>
    <w:rsid w:val="005E21FC"/>
    <w:rsid w:val="005E4251"/>
    <w:rsid w:val="005E4F63"/>
    <w:rsid w:val="005E5E1E"/>
    <w:rsid w:val="005E5F59"/>
    <w:rsid w:val="005E659C"/>
    <w:rsid w:val="005E6B94"/>
    <w:rsid w:val="005E6D90"/>
    <w:rsid w:val="005E7FAA"/>
    <w:rsid w:val="005E7FAB"/>
    <w:rsid w:val="005F0AEE"/>
    <w:rsid w:val="005F11A8"/>
    <w:rsid w:val="005F13C6"/>
    <w:rsid w:val="005F28CD"/>
    <w:rsid w:val="005F3B4A"/>
    <w:rsid w:val="005F4547"/>
    <w:rsid w:val="005F47DF"/>
    <w:rsid w:val="005F4C39"/>
    <w:rsid w:val="00600CB1"/>
    <w:rsid w:val="006032AB"/>
    <w:rsid w:val="00603B49"/>
    <w:rsid w:val="00605AD2"/>
    <w:rsid w:val="00607886"/>
    <w:rsid w:val="006079D6"/>
    <w:rsid w:val="0061012C"/>
    <w:rsid w:val="00610265"/>
    <w:rsid w:val="00610A33"/>
    <w:rsid w:val="00611146"/>
    <w:rsid w:val="006121CB"/>
    <w:rsid w:val="00613779"/>
    <w:rsid w:val="0061486B"/>
    <w:rsid w:val="00621549"/>
    <w:rsid w:val="00623898"/>
    <w:rsid w:val="00625857"/>
    <w:rsid w:val="0062631B"/>
    <w:rsid w:val="00627C49"/>
    <w:rsid w:val="006303A0"/>
    <w:rsid w:val="0063099B"/>
    <w:rsid w:val="00630FB3"/>
    <w:rsid w:val="006335D0"/>
    <w:rsid w:val="00634110"/>
    <w:rsid w:val="0063462D"/>
    <w:rsid w:val="0063493E"/>
    <w:rsid w:val="00635169"/>
    <w:rsid w:val="006357DE"/>
    <w:rsid w:val="00636E0E"/>
    <w:rsid w:val="00637162"/>
    <w:rsid w:val="0064001E"/>
    <w:rsid w:val="00640804"/>
    <w:rsid w:val="00640EA2"/>
    <w:rsid w:val="0064127E"/>
    <w:rsid w:val="00641547"/>
    <w:rsid w:val="00642F32"/>
    <w:rsid w:val="00644E67"/>
    <w:rsid w:val="0064584E"/>
    <w:rsid w:val="0064757B"/>
    <w:rsid w:val="006512B8"/>
    <w:rsid w:val="00653106"/>
    <w:rsid w:val="00653196"/>
    <w:rsid w:val="006547AC"/>
    <w:rsid w:val="00654B8A"/>
    <w:rsid w:val="00655AAE"/>
    <w:rsid w:val="00656294"/>
    <w:rsid w:val="00656E5A"/>
    <w:rsid w:val="006602EE"/>
    <w:rsid w:val="006619D4"/>
    <w:rsid w:val="00661B64"/>
    <w:rsid w:val="00661FAC"/>
    <w:rsid w:val="00665091"/>
    <w:rsid w:val="00665DD7"/>
    <w:rsid w:val="0066725D"/>
    <w:rsid w:val="0067370B"/>
    <w:rsid w:val="00674876"/>
    <w:rsid w:val="006821A0"/>
    <w:rsid w:val="00682B9A"/>
    <w:rsid w:val="0068425D"/>
    <w:rsid w:val="00684FFC"/>
    <w:rsid w:val="0068511B"/>
    <w:rsid w:val="00686893"/>
    <w:rsid w:val="00687455"/>
    <w:rsid w:val="00690729"/>
    <w:rsid w:val="00691557"/>
    <w:rsid w:val="00692436"/>
    <w:rsid w:val="00692A0D"/>
    <w:rsid w:val="006933E5"/>
    <w:rsid w:val="006935EB"/>
    <w:rsid w:val="00695D78"/>
    <w:rsid w:val="00695FAD"/>
    <w:rsid w:val="0069696F"/>
    <w:rsid w:val="00696C6D"/>
    <w:rsid w:val="006975D7"/>
    <w:rsid w:val="006976F2"/>
    <w:rsid w:val="006A02E8"/>
    <w:rsid w:val="006A1237"/>
    <w:rsid w:val="006A1416"/>
    <w:rsid w:val="006A199E"/>
    <w:rsid w:val="006A2005"/>
    <w:rsid w:val="006A244A"/>
    <w:rsid w:val="006A255E"/>
    <w:rsid w:val="006A3A4C"/>
    <w:rsid w:val="006A4E75"/>
    <w:rsid w:val="006A5719"/>
    <w:rsid w:val="006B08E1"/>
    <w:rsid w:val="006B0A14"/>
    <w:rsid w:val="006B0C02"/>
    <w:rsid w:val="006B0E35"/>
    <w:rsid w:val="006B12A8"/>
    <w:rsid w:val="006B2A27"/>
    <w:rsid w:val="006B3512"/>
    <w:rsid w:val="006B4078"/>
    <w:rsid w:val="006B4665"/>
    <w:rsid w:val="006B4AAC"/>
    <w:rsid w:val="006B5385"/>
    <w:rsid w:val="006B53E9"/>
    <w:rsid w:val="006B67E1"/>
    <w:rsid w:val="006B6BB7"/>
    <w:rsid w:val="006B777C"/>
    <w:rsid w:val="006C0192"/>
    <w:rsid w:val="006C073C"/>
    <w:rsid w:val="006C0DCD"/>
    <w:rsid w:val="006C1BBA"/>
    <w:rsid w:val="006C1F42"/>
    <w:rsid w:val="006C2543"/>
    <w:rsid w:val="006C286D"/>
    <w:rsid w:val="006C2AD4"/>
    <w:rsid w:val="006C33A3"/>
    <w:rsid w:val="006C36E1"/>
    <w:rsid w:val="006C52A5"/>
    <w:rsid w:val="006C6800"/>
    <w:rsid w:val="006D02B7"/>
    <w:rsid w:val="006D0F5F"/>
    <w:rsid w:val="006D29FA"/>
    <w:rsid w:val="006D2CE3"/>
    <w:rsid w:val="006D4821"/>
    <w:rsid w:val="006D51BC"/>
    <w:rsid w:val="006D54D1"/>
    <w:rsid w:val="006D5DD9"/>
    <w:rsid w:val="006D60B3"/>
    <w:rsid w:val="006D6A9F"/>
    <w:rsid w:val="006E0B3D"/>
    <w:rsid w:val="006E2F4A"/>
    <w:rsid w:val="006E4834"/>
    <w:rsid w:val="006E4AD4"/>
    <w:rsid w:val="006E5294"/>
    <w:rsid w:val="006E5A96"/>
    <w:rsid w:val="006E6D42"/>
    <w:rsid w:val="006E714D"/>
    <w:rsid w:val="006F078C"/>
    <w:rsid w:val="006F1F2E"/>
    <w:rsid w:val="006F35DD"/>
    <w:rsid w:val="006F3649"/>
    <w:rsid w:val="006F3D69"/>
    <w:rsid w:val="006F3E45"/>
    <w:rsid w:val="006F3F44"/>
    <w:rsid w:val="006F4CA4"/>
    <w:rsid w:val="006F6BB2"/>
    <w:rsid w:val="006F6CDC"/>
    <w:rsid w:val="006F74CE"/>
    <w:rsid w:val="006F7AB1"/>
    <w:rsid w:val="006F7ECD"/>
    <w:rsid w:val="00700C38"/>
    <w:rsid w:val="00700D06"/>
    <w:rsid w:val="00701E70"/>
    <w:rsid w:val="00702AA3"/>
    <w:rsid w:val="00702D60"/>
    <w:rsid w:val="00702DC0"/>
    <w:rsid w:val="00703D52"/>
    <w:rsid w:val="007054D9"/>
    <w:rsid w:val="00705694"/>
    <w:rsid w:val="0070665F"/>
    <w:rsid w:val="0070698B"/>
    <w:rsid w:val="00706CC0"/>
    <w:rsid w:val="00711C06"/>
    <w:rsid w:val="00712E84"/>
    <w:rsid w:val="00713448"/>
    <w:rsid w:val="00713B2E"/>
    <w:rsid w:val="00714EBE"/>
    <w:rsid w:val="007172BB"/>
    <w:rsid w:val="0072007D"/>
    <w:rsid w:val="00721467"/>
    <w:rsid w:val="00721D65"/>
    <w:rsid w:val="0072591C"/>
    <w:rsid w:val="0072678E"/>
    <w:rsid w:val="00727917"/>
    <w:rsid w:val="00727EC5"/>
    <w:rsid w:val="00730D60"/>
    <w:rsid w:val="0073193B"/>
    <w:rsid w:val="00731FF4"/>
    <w:rsid w:val="00733129"/>
    <w:rsid w:val="0073427E"/>
    <w:rsid w:val="00734A5A"/>
    <w:rsid w:val="0073500E"/>
    <w:rsid w:val="007350D8"/>
    <w:rsid w:val="00736BA8"/>
    <w:rsid w:val="00736D9A"/>
    <w:rsid w:val="00736E12"/>
    <w:rsid w:val="00737DEE"/>
    <w:rsid w:val="00737E4C"/>
    <w:rsid w:val="0074020D"/>
    <w:rsid w:val="007409D8"/>
    <w:rsid w:val="00741372"/>
    <w:rsid w:val="00741FA0"/>
    <w:rsid w:val="007423B4"/>
    <w:rsid w:val="00744C57"/>
    <w:rsid w:val="0074582E"/>
    <w:rsid w:val="00745DD0"/>
    <w:rsid w:val="0074658A"/>
    <w:rsid w:val="00750603"/>
    <w:rsid w:val="00750EB7"/>
    <w:rsid w:val="007511A8"/>
    <w:rsid w:val="00751DE0"/>
    <w:rsid w:val="00752CF8"/>
    <w:rsid w:val="007536FE"/>
    <w:rsid w:val="00753824"/>
    <w:rsid w:val="00753D0C"/>
    <w:rsid w:val="00755709"/>
    <w:rsid w:val="00755915"/>
    <w:rsid w:val="0075688F"/>
    <w:rsid w:val="007568B1"/>
    <w:rsid w:val="00756CD9"/>
    <w:rsid w:val="00760841"/>
    <w:rsid w:val="00761112"/>
    <w:rsid w:val="0076112C"/>
    <w:rsid w:val="00762195"/>
    <w:rsid w:val="00762650"/>
    <w:rsid w:val="0076363C"/>
    <w:rsid w:val="007642E8"/>
    <w:rsid w:val="00765386"/>
    <w:rsid w:val="00766F56"/>
    <w:rsid w:val="007711CE"/>
    <w:rsid w:val="00771B0D"/>
    <w:rsid w:val="00771B57"/>
    <w:rsid w:val="00773585"/>
    <w:rsid w:val="007744EA"/>
    <w:rsid w:val="00774A21"/>
    <w:rsid w:val="00776130"/>
    <w:rsid w:val="00776FF2"/>
    <w:rsid w:val="00777056"/>
    <w:rsid w:val="00782D6F"/>
    <w:rsid w:val="007839A9"/>
    <w:rsid w:val="007840AD"/>
    <w:rsid w:val="00784934"/>
    <w:rsid w:val="00784A3E"/>
    <w:rsid w:val="007859C3"/>
    <w:rsid w:val="00785B9E"/>
    <w:rsid w:val="00785C48"/>
    <w:rsid w:val="00786155"/>
    <w:rsid w:val="00787104"/>
    <w:rsid w:val="00787204"/>
    <w:rsid w:val="0078761B"/>
    <w:rsid w:val="00787656"/>
    <w:rsid w:val="007876A1"/>
    <w:rsid w:val="00787725"/>
    <w:rsid w:val="007877C6"/>
    <w:rsid w:val="00787BA0"/>
    <w:rsid w:val="00787ED4"/>
    <w:rsid w:val="007902B3"/>
    <w:rsid w:val="0079108F"/>
    <w:rsid w:val="00791531"/>
    <w:rsid w:val="00793952"/>
    <w:rsid w:val="00793BED"/>
    <w:rsid w:val="007946DF"/>
    <w:rsid w:val="00794FD7"/>
    <w:rsid w:val="0079612E"/>
    <w:rsid w:val="007A09ED"/>
    <w:rsid w:val="007A18DE"/>
    <w:rsid w:val="007A1BAA"/>
    <w:rsid w:val="007A1F0E"/>
    <w:rsid w:val="007A2251"/>
    <w:rsid w:val="007A2B85"/>
    <w:rsid w:val="007A2D1B"/>
    <w:rsid w:val="007A605D"/>
    <w:rsid w:val="007A64F9"/>
    <w:rsid w:val="007A73AA"/>
    <w:rsid w:val="007A79CF"/>
    <w:rsid w:val="007A7A8A"/>
    <w:rsid w:val="007A7ECC"/>
    <w:rsid w:val="007B1490"/>
    <w:rsid w:val="007B1EC1"/>
    <w:rsid w:val="007B69A8"/>
    <w:rsid w:val="007B6B90"/>
    <w:rsid w:val="007B70A5"/>
    <w:rsid w:val="007B7165"/>
    <w:rsid w:val="007B76EB"/>
    <w:rsid w:val="007C3676"/>
    <w:rsid w:val="007C45C5"/>
    <w:rsid w:val="007C57A7"/>
    <w:rsid w:val="007C5FD7"/>
    <w:rsid w:val="007C6137"/>
    <w:rsid w:val="007C671B"/>
    <w:rsid w:val="007C6EBF"/>
    <w:rsid w:val="007C7417"/>
    <w:rsid w:val="007D064D"/>
    <w:rsid w:val="007D0F35"/>
    <w:rsid w:val="007D1C51"/>
    <w:rsid w:val="007D27DA"/>
    <w:rsid w:val="007D3B32"/>
    <w:rsid w:val="007D3D2B"/>
    <w:rsid w:val="007D77F7"/>
    <w:rsid w:val="007E0DC4"/>
    <w:rsid w:val="007E146F"/>
    <w:rsid w:val="007E2C1E"/>
    <w:rsid w:val="007E4445"/>
    <w:rsid w:val="007E6575"/>
    <w:rsid w:val="007E7B08"/>
    <w:rsid w:val="007F0682"/>
    <w:rsid w:val="007F0A8D"/>
    <w:rsid w:val="007F10E7"/>
    <w:rsid w:val="007F1CBB"/>
    <w:rsid w:val="007F2AC2"/>
    <w:rsid w:val="007F2BA5"/>
    <w:rsid w:val="007F2EE2"/>
    <w:rsid w:val="007F40B1"/>
    <w:rsid w:val="007F439B"/>
    <w:rsid w:val="007F44F3"/>
    <w:rsid w:val="007F48B2"/>
    <w:rsid w:val="007F5036"/>
    <w:rsid w:val="008002CC"/>
    <w:rsid w:val="0080166A"/>
    <w:rsid w:val="00801D81"/>
    <w:rsid w:val="008023BB"/>
    <w:rsid w:val="00802DDC"/>
    <w:rsid w:val="00805C88"/>
    <w:rsid w:val="00806D2A"/>
    <w:rsid w:val="008075D0"/>
    <w:rsid w:val="0081011F"/>
    <w:rsid w:val="008105CD"/>
    <w:rsid w:val="0081144A"/>
    <w:rsid w:val="00811613"/>
    <w:rsid w:val="00812456"/>
    <w:rsid w:val="00813F50"/>
    <w:rsid w:val="008148AE"/>
    <w:rsid w:val="008171FD"/>
    <w:rsid w:val="00820160"/>
    <w:rsid w:val="008212B1"/>
    <w:rsid w:val="0082405D"/>
    <w:rsid w:val="0082447E"/>
    <w:rsid w:val="00824720"/>
    <w:rsid w:val="00826350"/>
    <w:rsid w:val="00826BB9"/>
    <w:rsid w:val="00827EA5"/>
    <w:rsid w:val="00830F4E"/>
    <w:rsid w:val="00830FA5"/>
    <w:rsid w:val="00831A5C"/>
    <w:rsid w:val="00834344"/>
    <w:rsid w:val="008366E0"/>
    <w:rsid w:val="00836A65"/>
    <w:rsid w:val="0084030E"/>
    <w:rsid w:val="0084161A"/>
    <w:rsid w:val="00841E69"/>
    <w:rsid w:val="00841FE8"/>
    <w:rsid w:val="00842DEF"/>
    <w:rsid w:val="00842ED5"/>
    <w:rsid w:val="0084314C"/>
    <w:rsid w:val="00844930"/>
    <w:rsid w:val="00844D1B"/>
    <w:rsid w:val="00844F5F"/>
    <w:rsid w:val="008457CC"/>
    <w:rsid w:val="00845B90"/>
    <w:rsid w:val="00846C5E"/>
    <w:rsid w:val="008518ED"/>
    <w:rsid w:val="008520B4"/>
    <w:rsid w:val="0085213A"/>
    <w:rsid w:val="0085348E"/>
    <w:rsid w:val="008541AA"/>
    <w:rsid w:val="00855311"/>
    <w:rsid w:val="00855B4F"/>
    <w:rsid w:val="0085622C"/>
    <w:rsid w:val="008562BF"/>
    <w:rsid w:val="00860F97"/>
    <w:rsid w:val="00861C2E"/>
    <w:rsid w:val="00862D08"/>
    <w:rsid w:val="00862D09"/>
    <w:rsid w:val="00863E26"/>
    <w:rsid w:val="00864514"/>
    <w:rsid w:val="00864E74"/>
    <w:rsid w:val="00865DA5"/>
    <w:rsid w:val="0086692D"/>
    <w:rsid w:val="00866EE5"/>
    <w:rsid w:val="0086759E"/>
    <w:rsid w:val="008676C5"/>
    <w:rsid w:val="00867DBA"/>
    <w:rsid w:val="00870340"/>
    <w:rsid w:val="00870F8C"/>
    <w:rsid w:val="008710B3"/>
    <w:rsid w:val="00871212"/>
    <w:rsid w:val="0087174C"/>
    <w:rsid w:val="00871885"/>
    <w:rsid w:val="0087247F"/>
    <w:rsid w:val="00873A5C"/>
    <w:rsid w:val="00874EBF"/>
    <w:rsid w:val="00877E9F"/>
    <w:rsid w:val="0088182F"/>
    <w:rsid w:val="008837BB"/>
    <w:rsid w:val="00883F2C"/>
    <w:rsid w:val="00884478"/>
    <w:rsid w:val="008844D8"/>
    <w:rsid w:val="00885432"/>
    <w:rsid w:val="008855A6"/>
    <w:rsid w:val="0088583F"/>
    <w:rsid w:val="008865A0"/>
    <w:rsid w:val="00887E3D"/>
    <w:rsid w:val="00890064"/>
    <w:rsid w:val="00890580"/>
    <w:rsid w:val="00891BAD"/>
    <w:rsid w:val="00891FCD"/>
    <w:rsid w:val="00892C46"/>
    <w:rsid w:val="008930DD"/>
    <w:rsid w:val="00893354"/>
    <w:rsid w:val="00893A3B"/>
    <w:rsid w:val="00893B25"/>
    <w:rsid w:val="00893E28"/>
    <w:rsid w:val="00894383"/>
    <w:rsid w:val="00895399"/>
    <w:rsid w:val="00896346"/>
    <w:rsid w:val="00896B99"/>
    <w:rsid w:val="008A0002"/>
    <w:rsid w:val="008A0CD0"/>
    <w:rsid w:val="008A2671"/>
    <w:rsid w:val="008A2D49"/>
    <w:rsid w:val="008A2D75"/>
    <w:rsid w:val="008A3564"/>
    <w:rsid w:val="008A3931"/>
    <w:rsid w:val="008A3E4B"/>
    <w:rsid w:val="008A40EE"/>
    <w:rsid w:val="008A465A"/>
    <w:rsid w:val="008A4C28"/>
    <w:rsid w:val="008A5E5F"/>
    <w:rsid w:val="008B04B3"/>
    <w:rsid w:val="008B1A4A"/>
    <w:rsid w:val="008B244F"/>
    <w:rsid w:val="008B27C9"/>
    <w:rsid w:val="008B3803"/>
    <w:rsid w:val="008B4435"/>
    <w:rsid w:val="008B5FD1"/>
    <w:rsid w:val="008B6137"/>
    <w:rsid w:val="008B7D2D"/>
    <w:rsid w:val="008B7DAF"/>
    <w:rsid w:val="008C049E"/>
    <w:rsid w:val="008C0A37"/>
    <w:rsid w:val="008C0CAA"/>
    <w:rsid w:val="008C0F20"/>
    <w:rsid w:val="008C0F3B"/>
    <w:rsid w:val="008C19A4"/>
    <w:rsid w:val="008C1C38"/>
    <w:rsid w:val="008C3154"/>
    <w:rsid w:val="008C3836"/>
    <w:rsid w:val="008C4FDD"/>
    <w:rsid w:val="008C6A8A"/>
    <w:rsid w:val="008D0A6A"/>
    <w:rsid w:val="008D389A"/>
    <w:rsid w:val="008D39FC"/>
    <w:rsid w:val="008D5801"/>
    <w:rsid w:val="008D6066"/>
    <w:rsid w:val="008D69D0"/>
    <w:rsid w:val="008D767F"/>
    <w:rsid w:val="008E02D8"/>
    <w:rsid w:val="008E2115"/>
    <w:rsid w:val="008E2AC7"/>
    <w:rsid w:val="008E3D11"/>
    <w:rsid w:val="008E5809"/>
    <w:rsid w:val="008E5990"/>
    <w:rsid w:val="008E5DF6"/>
    <w:rsid w:val="008F017B"/>
    <w:rsid w:val="008F0999"/>
    <w:rsid w:val="008F12CF"/>
    <w:rsid w:val="008F2632"/>
    <w:rsid w:val="008F3FC7"/>
    <w:rsid w:val="008F5219"/>
    <w:rsid w:val="008F5347"/>
    <w:rsid w:val="008F7451"/>
    <w:rsid w:val="008F79D8"/>
    <w:rsid w:val="00900D0A"/>
    <w:rsid w:val="009026CC"/>
    <w:rsid w:val="00903B0C"/>
    <w:rsid w:val="00905192"/>
    <w:rsid w:val="00905539"/>
    <w:rsid w:val="00906101"/>
    <w:rsid w:val="0090635E"/>
    <w:rsid w:val="00906939"/>
    <w:rsid w:val="009070B4"/>
    <w:rsid w:val="0091029A"/>
    <w:rsid w:val="0091091F"/>
    <w:rsid w:val="00910A76"/>
    <w:rsid w:val="0091170E"/>
    <w:rsid w:val="00911AF5"/>
    <w:rsid w:val="00911D7B"/>
    <w:rsid w:val="00911EE5"/>
    <w:rsid w:val="009122E4"/>
    <w:rsid w:val="009128A4"/>
    <w:rsid w:val="00912F07"/>
    <w:rsid w:val="00914251"/>
    <w:rsid w:val="009147F5"/>
    <w:rsid w:val="00917853"/>
    <w:rsid w:val="00917BE4"/>
    <w:rsid w:val="00917C87"/>
    <w:rsid w:val="0092010F"/>
    <w:rsid w:val="00920644"/>
    <w:rsid w:val="00920E1E"/>
    <w:rsid w:val="00921358"/>
    <w:rsid w:val="00923033"/>
    <w:rsid w:val="00924541"/>
    <w:rsid w:val="00925152"/>
    <w:rsid w:val="00925693"/>
    <w:rsid w:val="00925BA9"/>
    <w:rsid w:val="009265F9"/>
    <w:rsid w:val="00926640"/>
    <w:rsid w:val="00927E7B"/>
    <w:rsid w:val="00927F42"/>
    <w:rsid w:val="00930548"/>
    <w:rsid w:val="009306B0"/>
    <w:rsid w:val="0093237B"/>
    <w:rsid w:val="0093433A"/>
    <w:rsid w:val="00934AAD"/>
    <w:rsid w:val="00934D27"/>
    <w:rsid w:val="00935056"/>
    <w:rsid w:val="0093593E"/>
    <w:rsid w:val="00935F0C"/>
    <w:rsid w:val="0093607A"/>
    <w:rsid w:val="00936FEB"/>
    <w:rsid w:val="00937042"/>
    <w:rsid w:val="00941803"/>
    <w:rsid w:val="00941CE6"/>
    <w:rsid w:val="009441C6"/>
    <w:rsid w:val="009476AE"/>
    <w:rsid w:val="0095046E"/>
    <w:rsid w:val="00950E55"/>
    <w:rsid w:val="0095159B"/>
    <w:rsid w:val="0095174F"/>
    <w:rsid w:val="00953141"/>
    <w:rsid w:val="00953B24"/>
    <w:rsid w:val="00954475"/>
    <w:rsid w:val="00955159"/>
    <w:rsid w:val="0095565C"/>
    <w:rsid w:val="00955DCB"/>
    <w:rsid w:val="00957109"/>
    <w:rsid w:val="00960231"/>
    <w:rsid w:val="00960FD6"/>
    <w:rsid w:val="0096171C"/>
    <w:rsid w:val="00962624"/>
    <w:rsid w:val="00962792"/>
    <w:rsid w:val="00962D68"/>
    <w:rsid w:val="00964A19"/>
    <w:rsid w:val="00965883"/>
    <w:rsid w:val="00967F88"/>
    <w:rsid w:val="009704C7"/>
    <w:rsid w:val="00970A01"/>
    <w:rsid w:val="00970FAF"/>
    <w:rsid w:val="009717D0"/>
    <w:rsid w:val="0097338E"/>
    <w:rsid w:val="009751C4"/>
    <w:rsid w:val="00976015"/>
    <w:rsid w:val="0097761F"/>
    <w:rsid w:val="00977F6C"/>
    <w:rsid w:val="009804E5"/>
    <w:rsid w:val="00980AFC"/>
    <w:rsid w:val="00980B54"/>
    <w:rsid w:val="0098254C"/>
    <w:rsid w:val="009827EE"/>
    <w:rsid w:val="00982A00"/>
    <w:rsid w:val="009834C1"/>
    <w:rsid w:val="0098422D"/>
    <w:rsid w:val="00985D35"/>
    <w:rsid w:val="00985DBD"/>
    <w:rsid w:val="009908DD"/>
    <w:rsid w:val="00990CD2"/>
    <w:rsid w:val="00992075"/>
    <w:rsid w:val="00992156"/>
    <w:rsid w:val="00992291"/>
    <w:rsid w:val="00992330"/>
    <w:rsid w:val="00992B6F"/>
    <w:rsid w:val="00993D9E"/>
    <w:rsid w:val="009942B1"/>
    <w:rsid w:val="0099735B"/>
    <w:rsid w:val="009A0546"/>
    <w:rsid w:val="009A094C"/>
    <w:rsid w:val="009A28A2"/>
    <w:rsid w:val="009A30A7"/>
    <w:rsid w:val="009A36F7"/>
    <w:rsid w:val="009A5002"/>
    <w:rsid w:val="009A5747"/>
    <w:rsid w:val="009A6487"/>
    <w:rsid w:val="009A6570"/>
    <w:rsid w:val="009A66BA"/>
    <w:rsid w:val="009B0364"/>
    <w:rsid w:val="009B1C64"/>
    <w:rsid w:val="009B1C95"/>
    <w:rsid w:val="009B24E1"/>
    <w:rsid w:val="009B32C9"/>
    <w:rsid w:val="009B32EF"/>
    <w:rsid w:val="009B43A5"/>
    <w:rsid w:val="009B4B45"/>
    <w:rsid w:val="009B4F9E"/>
    <w:rsid w:val="009B4FA6"/>
    <w:rsid w:val="009C0154"/>
    <w:rsid w:val="009C03AE"/>
    <w:rsid w:val="009C1D26"/>
    <w:rsid w:val="009C1D73"/>
    <w:rsid w:val="009C2EA6"/>
    <w:rsid w:val="009C5151"/>
    <w:rsid w:val="009C5F2E"/>
    <w:rsid w:val="009C740F"/>
    <w:rsid w:val="009D2EAB"/>
    <w:rsid w:val="009D428B"/>
    <w:rsid w:val="009D42A9"/>
    <w:rsid w:val="009D4FCF"/>
    <w:rsid w:val="009D50E9"/>
    <w:rsid w:val="009D53BB"/>
    <w:rsid w:val="009D5490"/>
    <w:rsid w:val="009D79AD"/>
    <w:rsid w:val="009E0AE3"/>
    <w:rsid w:val="009E16D0"/>
    <w:rsid w:val="009E189A"/>
    <w:rsid w:val="009E1917"/>
    <w:rsid w:val="009E19BE"/>
    <w:rsid w:val="009E2193"/>
    <w:rsid w:val="009E3A84"/>
    <w:rsid w:val="009E5B45"/>
    <w:rsid w:val="009E672F"/>
    <w:rsid w:val="009E7B3E"/>
    <w:rsid w:val="009F0554"/>
    <w:rsid w:val="009F07EE"/>
    <w:rsid w:val="009F1416"/>
    <w:rsid w:val="009F16EA"/>
    <w:rsid w:val="009F1851"/>
    <w:rsid w:val="009F1A26"/>
    <w:rsid w:val="009F1EF7"/>
    <w:rsid w:val="009F22AB"/>
    <w:rsid w:val="009F2D9C"/>
    <w:rsid w:val="009F3960"/>
    <w:rsid w:val="009F572C"/>
    <w:rsid w:val="009F6231"/>
    <w:rsid w:val="009F65CE"/>
    <w:rsid w:val="009F6E21"/>
    <w:rsid w:val="009F7436"/>
    <w:rsid w:val="009F79DD"/>
    <w:rsid w:val="00A00298"/>
    <w:rsid w:val="00A00D39"/>
    <w:rsid w:val="00A01DF4"/>
    <w:rsid w:val="00A02693"/>
    <w:rsid w:val="00A0410D"/>
    <w:rsid w:val="00A04C54"/>
    <w:rsid w:val="00A05660"/>
    <w:rsid w:val="00A068C8"/>
    <w:rsid w:val="00A07610"/>
    <w:rsid w:val="00A0771F"/>
    <w:rsid w:val="00A1022E"/>
    <w:rsid w:val="00A10473"/>
    <w:rsid w:val="00A11E28"/>
    <w:rsid w:val="00A12922"/>
    <w:rsid w:val="00A12B8E"/>
    <w:rsid w:val="00A13343"/>
    <w:rsid w:val="00A1450A"/>
    <w:rsid w:val="00A15485"/>
    <w:rsid w:val="00A15BDE"/>
    <w:rsid w:val="00A16366"/>
    <w:rsid w:val="00A1696E"/>
    <w:rsid w:val="00A16E50"/>
    <w:rsid w:val="00A2058B"/>
    <w:rsid w:val="00A20753"/>
    <w:rsid w:val="00A215CE"/>
    <w:rsid w:val="00A21606"/>
    <w:rsid w:val="00A21889"/>
    <w:rsid w:val="00A22DE9"/>
    <w:rsid w:val="00A24670"/>
    <w:rsid w:val="00A25189"/>
    <w:rsid w:val="00A2580C"/>
    <w:rsid w:val="00A25968"/>
    <w:rsid w:val="00A25EE4"/>
    <w:rsid w:val="00A2626F"/>
    <w:rsid w:val="00A26999"/>
    <w:rsid w:val="00A27808"/>
    <w:rsid w:val="00A27D19"/>
    <w:rsid w:val="00A30849"/>
    <w:rsid w:val="00A30912"/>
    <w:rsid w:val="00A30B0B"/>
    <w:rsid w:val="00A31A2B"/>
    <w:rsid w:val="00A32D15"/>
    <w:rsid w:val="00A332A9"/>
    <w:rsid w:val="00A34761"/>
    <w:rsid w:val="00A36B13"/>
    <w:rsid w:val="00A37392"/>
    <w:rsid w:val="00A379FE"/>
    <w:rsid w:val="00A37D66"/>
    <w:rsid w:val="00A40318"/>
    <w:rsid w:val="00A4037E"/>
    <w:rsid w:val="00A4427C"/>
    <w:rsid w:val="00A44CE3"/>
    <w:rsid w:val="00A44E38"/>
    <w:rsid w:val="00A451E8"/>
    <w:rsid w:val="00A4523D"/>
    <w:rsid w:val="00A46C74"/>
    <w:rsid w:val="00A47058"/>
    <w:rsid w:val="00A51A19"/>
    <w:rsid w:val="00A529C6"/>
    <w:rsid w:val="00A53EEB"/>
    <w:rsid w:val="00A53FD6"/>
    <w:rsid w:val="00A543EA"/>
    <w:rsid w:val="00A5451E"/>
    <w:rsid w:val="00A54821"/>
    <w:rsid w:val="00A553C1"/>
    <w:rsid w:val="00A55FAE"/>
    <w:rsid w:val="00A56704"/>
    <w:rsid w:val="00A56D5B"/>
    <w:rsid w:val="00A570AE"/>
    <w:rsid w:val="00A57F97"/>
    <w:rsid w:val="00A60F5A"/>
    <w:rsid w:val="00A61211"/>
    <w:rsid w:val="00A6263F"/>
    <w:rsid w:val="00A62B19"/>
    <w:rsid w:val="00A64755"/>
    <w:rsid w:val="00A64D1F"/>
    <w:rsid w:val="00A65866"/>
    <w:rsid w:val="00A65EE9"/>
    <w:rsid w:val="00A67B51"/>
    <w:rsid w:val="00A701DE"/>
    <w:rsid w:val="00A70EE5"/>
    <w:rsid w:val="00A728F3"/>
    <w:rsid w:val="00A73921"/>
    <w:rsid w:val="00A75501"/>
    <w:rsid w:val="00A755C7"/>
    <w:rsid w:val="00A75B72"/>
    <w:rsid w:val="00A773B6"/>
    <w:rsid w:val="00A80483"/>
    <w:rsid w:val="00A80DBA"/>
    <w:rsid w:val="00A814A2"/>
    <w:rsid w:val="00A8194C"/>
    <w:rsid w:val="00A81F9D"/>
    <w:rsid w:val="00A836F2"/>
    <w:rsid w:val="00A83925"/>
    <w:rsid w:val="00A840FF"/>
    <w:rsid w:val="00A84A00"/>
    <w:rsid w:val="00A86121"/>
    <w:rsid w:val="00A86A1B"/>
    <w:rsid w:val="00A926E9"/>
    <w:rsid w:val="00A92723"/>
    <w:rsid w:val="00A93521"/>
    <w:rsid w:val="00A93CF2"/>
    <w:rsid w:val="00A94076"/>
    <w:rsid w:val="00A9567C"/>
    <w:rsid w:val="00A97EAF"/>
    <w:rsid w:val="00AA04AF"/>
    <w:rsid w:val="00AA0D0A"/>
    <w:rsid w:val="00AA1372"/>
    <w:rsid w:val="00AA22BC"/>
    <w:rsid w:val="00AA29D6"/>
    <w:rsid w:val="00AA2CDA"/>
    <w:rsid w:val="00AA332C"/>
    <w:rsid w:val="00AA36D2"/>
    <w:rsid w:val="00AA396D"/>
    <w:rsid w:val="00AA5016"/>
    <w:rsid w:val="00AA527F"/>
    <w:rsid w:val="00AA52C2"/>
    <w:rsid w:val="00AA5ACE"/>
    <w:rsid w:val="00AA5C9A"/>
    <w:rsid w:val="00AA6B6C"/>
    <w:rsid w:val="00AA6CBA"/>
    <w:rsid w:val="00AA6D0D"/>
    <w:rsid w:val="00AA73C4"/>
    <w:rsid w:val="00AB0164"/>
    <w:rsid w:val="00AB0498"/>
    <w:rsid w:val="00AB0B8A"/>
    <w:rsid w:val="00AB1249"/>
    <w:rsid w:val="00AB208A"/>
    <w:rsid w:val="00AB2B07"/>
    <w:rsid w:val="00AB3424"/>
    <w:rsid w:val="00AB49BB"/>
    <w:rsid w:val="00AB4AD6"/>
    <w:rsid w:val="00AB59F3"/>
    <w:rsid w:val="00AB6BB3"/>
    <w:rsid w:val="00AB7BC6"/>
    <w:rsid w:val="00AC02F4"/>
    <w:rsid w:val="00AC04F0"/>
    <w:rsid w:val="00AC148F"/>
    <w:rsid w:val="00AC158B"/>
    <w:rsid w:val="00AC1B13"/>
    <w:rsid w:val="00AC3ECC"/>
    <w:rsid w:val="00AC46D4"/>
    <w:rsid w:val="00AC6793"/>
    <w:rsid w:val="00AC7422"/>
    <w:rsid w:val="00AC7818"/>
    <w:rsid w:val="00AD08A9"/>
    <w:rsid w:val="00AD09D2"/>
    <w:rsid w:val="00AD1250"/>
    <w:rsid w:val="00AD29F2"/>
    <w:rsid w:val="00AD6104"/>
    <w:rsid w:val="00AD72C9"/>
    <w:rsid w:val="00AD7833"/>
    <w:rsid w:val="00AE1509"/>
    <w:rsid w:val="00AE16EC"/>
    <w:rsid w:val="00AE4E16"/>
    <w:rsid w:val="00AE5DD5"/>
    <w:rsid w:val="00AE6850"/>
    <w:rsid w:val="00AE79DE"/>
    <w:rsid w:val="00AE7D22"/>
    <w:rsid w:val="00AF1585"/>
    <w:rsid w:val="00AF1BCC"/>
    <w:rsid w:val="00AF1FB3"/>
    <w:rsid w:val="00AF2C6D"/>
    <w:rsid w:val="00AF3779"/>
    <w:rsid w:val="00AF3D74"/>
    <w:rsid w:val="00AF4911"/>
    <w:rsid w:val="00AF76E8"/>
    <w:rsid w:val="00AF7E76"/>
    <w:rsid w:val="00B001CB"/>
    <w:rsid w:val="00B00991"/>
    <w:rsid w:val="00B009D9"/>
    <w:rsid w:val="00B0273C"/>
    <w:rsid w:val="00B02AC3"/>
    <w:rsid w:val="00B049E7"/>
    <w:rsid w:val="00B0555F"/>
    <w:rsid w:val="00B05E4A"/>
    <w:rsid w:val="00B06585"/>
    <w:rsid w:val="00B069D6"/>
    <w:rsid w:val="00B10607"/>
    <w:rsid w:val="00B10C79"/>
    <w:rsid w:val="00B11F92"/>
    <w:rsid w:val="00B1221B"/>
    <w:rsid w:val="00B1299F"/>
    <w:rsid w:val="00B133F5"/>
    <w:rsid w:val="00B13739"/>
    <w:rsid w:val="00B137B9"/>
    <w:rsid w:val="00B13DE9"/>
    <w:rsid w:val="00B14402"/>
    <w:rsid w:val="00B146A7"/>
    <w:rsid w:val="00B15EB0"/>
    <w:rsid w:val="00B17635"/>
    <w:rsid w:val="00B21965"/>
    <w:rsid w:val="00B2264B"/>
    <w:rsid w:val="00B22AD6"/>
    <w:rsid w:val="00B2346B"/>
    <w:rsid w:val="00B2377B"/>
    <w:rsid w:val="00B24B5F"/>
    <w:rsid w:val="00B25CAA"/>
    <w:rsid w:val="00B25F98"/>
    <w:rsid w:val="00B306C9"/>
    <w:rsid w:val="00B315CD"/>
    <w:rsid w:val="00B31748"/>
    <w:rsid w:val="00B33A9C"/>
    <w:rsid w:val="00B34BFE"/>
    <w:rsid w:val="00B3623D"/>
    <w:rsid w:val="00B366C4"/>
    <w:rsid w:val="00B36D28"/>
    <w:rsid w:val="00B37980"/>
    <w:rsid w:val="00B37FFB"/>
    <w:rsid w:val="00B4022F"/>
    <w:rsid w:val="00B40AE8"/>
    <w:rsid w:val="00B41B72"/>
    <w:rsid w:val="00B42236"/>
    <w:rsid w:val="00B4228C"/>
    <w:rsid w:val="00B42328"/>
    <w:rsid w:val="00B42E40"/>
    <w:rsid w:val="00B43003"/>
    <w:rsid w:val="00B43598"/>
    <w:rsid w:val="00B44F87"/>
    <w:rsid w:val="00B45714"/>
    <w:rsid w:val="00B46C30"/>
    <w:rsid w:val="00B47E20"/>
    <w:rsid w:val="00B506A8"/>
    <w:rsid w:val="00B50CF6"/>
    <w:rsid w:val="00B51137"/>
    <w:rsid w:val="00B537AA"/>
    <w:rsid w:val="00B537EA"/>
    <w:rsid w:val="00B53E11"/>
    <w:rsid w:val="00B5441D"/>
    <w:rsid w:val="00B545DC"/>
    <w:rsid w:val="00B5527D"/>
    <w:rsid w:val="00B56959"/>
    <w:rsid w:val="00B56C67"/>
    <w:rsid w:val="00B57B00"/>
    <w:rsid w:val="00B602A1"/>
    <w:rsid w:val="00B60A35"/>
    <w:rsid w:val="00B61697"/>
    <w:rsid w:val="00B618C1"/>
    <w:rsid w:val="00B61CC6"/>
    <w:rsid w:val="00B65016"/>
    <w:rsid w:val="00B65245"/>
    <w:rsid w:val="00B6551C"/>
    <w:rsid w:val="00B66422"/>
    <w:rsid w:val="00B70A0C"/>
    <w:rsid w:val="00B716A6"/>
    <w:rsid w:val="00B71A2F"/>
    <w:rsid w:val="00B728CE"/>
    <w:rsid w:val="00B734C0"/>
    <w:rsid w:val="00B736AA"/>
    <w:rsid w:val="00B74862"/>
    <w:rsid w:val="00B74E68"/>
    <w:rsid w:val="00B754EA"/>
    <w:rsid w:val="00B76292"/>
    <w:rsid w:val="00B7665E"/>
    <w:rsid w:val="00B767D9"/>
    <w:rsid w:val="00B7796C"/>
    <w:rsid w:val="00B77E80"/>
    <w:rsid w:val="00B8008B"/>
    <w:rsid w:val="00B8032F"/>
    <w:rsid w:val="00B8143D"/>
    <w:rsid w:val="00B818F4"/>
    <w:rsid w:val="00B81CD4"/>
    <w:rsid w:val="00B81CD9"/>
    <w:rsid w:val="00B828E4"/>
    <w:rsid w:val="00B82A45"/>
    <w:rsid w:val="00B841D5"/>
    <w:rsid w:val="00B84979"/>
    <w:rsid w:val="00B873CF"/>
    <w:rsid w:val="00B9009F"/>
    <w:rsid w:val="00B90830"/>
    <w:rsid w:val="00B91D0A"/>
    <w:rsid w:val="00B9222D"/>
    <w:rsid w:val="00B9334E"/>
    <w:rsid w:val="00B962D4"/>
    <w:rsid w:val="00BA03D2"/>
    <w:rsid w:val="00BA0B11"/>
    <w:rsid w:val="00BA2ED0"/>
    <w:rsid w:val="00BA3003"/>
    <w:rsid w:val="00BA366B"/>
    <w:rsid w:val="00BA3BE0"/>
    <w:rsid w:val="00BA4739"/>
    <w:rsid w:val="00BA5368"/>
    <w:rsid w:val="00BA6F4A"/>
    <w:rsid w:val="00BB0566"/>
    <w:rsid w:val="00BB0612"/>
    <w:rsid w:val="00BB10F7"/>
    <w:rsid w:val="00BB1C10"/>
    <w:rsid w:val="00BB20A5"/>
    <w:rsid w:val="00BB2685"/>
    <w:rsid w:val="00BB30A2"/>
    <w:rsid w:val="00BB310A"/>
    <w:rsid w:val="00BB3AC7"/>
    <w:rsid w:val="00BB3DB6"/>
    <w:rsid w:val="00BB4068"/>
    <w:rsid w:val="00BB4BC1"/>
    <w:rsid w:val="00BB64B9"/>
    <w:rsid w:val="00BB75B2"/>
    <w:rsid w:val="00BB7643"/>
    <w:rsid w:val="00BB7674"/>
    <w:rsid w:val="00BB772D"/>
    <w:rsid w:val="00BC0029"/>
    <w:rsid w:val="00BC0167"/>
    <w:rsid w:val="00BC0C5F"/>
    <w:rsid w:val="00BC23D3"/>
    <w:rsid w:val="00BC2806"/>
    <w:rsid w:val="00BC47F7"/>
    <w:rsid w:val="00BC4D49"/>
    <w:rsid w:val="00BC5324"/>
    <w:rsid w:val="00BC534A"/>
    <w:rsid w:val="00BC552E"/>
    <w:rsid w:val="00BC5ABF"/>
    <w:rsid w:val="00BC6AEE"/>
    <w:rsid w:val="00BC6FB3"/>
    <w:rsid w:val="00BC72AB"/>
    <w:rsid w:val="00BD0178"/>
    <w:rsid w:val="00BD0FDF"/>
    <w:rsid w:val="00BD16C3"/>
    <w:rsid w:val="00BD2894"/>
    <w:rsid w:val="00BD2F51"/>
    <w:rsid w:val="00BD370B"/>
    <w:rsid w:val="00BD442A"/>
    <w:rsid w:val="00BD4453"/>
    <w:rsid w:val="00BD488E"/>
    <w:rsid w:val="00BD6420"/>
    <w:rsid w:val="00BD6BD9"/>
    <w:rsid w:val="00BD7225"/>
    <w:rsid w:val="00BE0745"/>
    <w:rsid w:val="00BE18BD"/>
    <w:rsid w:val="00BE28F1"/>
    <w:rsid w:val="00BE2B5F"/>
    <w:rsid w:val="00BE2EA5"/>
    <w:rsid w:val="00BE2F0D"/>
    <w:rsid w:val="00BE369A"/>
    <w:rsid w:val="00BE3885"/>
    <w:rsid w:val="00BE3E97"/>
    <w:rsid w:val="00BE43C3"/>
    <w:rsid w:val="00BE4EF1"/>
    <w:rsid w:val="00BE56A0"/>
    <w:rsid w:val="00BE5C0F"/>
    <w:rsid w:val="00BF1072"/>
    <w:rsid w:val="00BF32C2"/>
    <w:rsid w:val="00BF3732"/>
    <w:rsid w:val="00BF43B0"/>
    <w:rsid w:val="00BF473F"/>
    <w:rsid w:val="00BF5A4D"/>
    <w:rsid w:val="00BF6912"/>
    <w:rsid w:val="00C001B5"/>
    <w:rsid w:val="00C008F8"/>
    <w:rsid w:val="00C01EDC"/>
    <w:rsid w:val="00C02807"/>
    <w:rsid w:val="00C02E2D"/>
    <w:rsid w:val="00C02FEE"/>
    <w:rsid w:val="00C060DE"/>
    <w:rsid w:val="00C061BB"/>
    <w:rsid w:val="00C1175D"/>
    <w:rsid w:val="00C12B6D"/>
    <w:rsid w:val="00C12BCE"/>
    <w:rsid w:val="00C14285"/>
    <w:rsid w:val="00C14AB5"/>
    <w:rsid w:val="00C14CEB"/>
    <w:rsid w:val="00C15F1E"/>
    <w:rsid w:val="00C17004"/>
    <w:rsid w:val="00C200E9"/>
    <w:rsid w:val="00C208A2"/>
    <w:rsid w:val="00C21274"/>
    <w:rsid w:val="00C2167F"/>
    <w:rsid w:val="00C21CE0"/>
    <w:rsid w:val="00C239A6"/>
    <w:rsid w:val="00C23CE5"/>
    <w:rsid w:val="00C24945"/>
    <w:rsid w:val="00C2554F"/>
    <w:rsid w:val="00C26B35"/>
    <w:rsid w:val="00C30422"/>
    <w:rsid w:val="00C30640"/>
    <w:rsid w:val="00C30AC6"/>
    <w:rsid w:val="00C31D52"/>
    <w:rsid w:val="00C31EBC"/>
    <w:rsid w:val="00C320AF"/>
    <w:rsid w:val="00C32424"/>
    <w:rsid w:val="00C341A3"/>
    <w:rsid w:val="00C34562"/>
    <w:rsid w:val="00C35E7E"/>
    <w:rsid w:val="00C35ECA"/>
    <w:rsid w:val="00C368A7"/>
    <w:rsid w:val="00C369CA"/>
    <w:rsid w:val="00C36ADF"/>
    <w:rsid w:val="00C40F6A"/>
    <w:rsid w:val="00C411DD"/>
    <w:rsid w:val="00C41AB9"/>
    <w:rsid w:val="00C41E18"/>
    <w:rsid w:val="00C453D7"/>
    <w:rsid w:val="00C46058"/>
    <w:rsid w:val="00C46156"/>
    <w:rsid w:val="00C47485"/>
    <w:rsid w:val="00C50184"/>
    <w:rsid w:val="00C503A7"/>
    <w:rsid w:val="00C51247"/>
    <w:rsid w:val="00C51AD2"/>
    <w:rsid w:val="00C51F2D"/>
    <w:rsid w:val="00C52198"/>
    <w:rsid w:val="00C52DCD"/>
    <w:rsid w:val="00C530A8"/>
    <w:rsid w:val="00C54061"/>
    <w:rsid w:val="00C5445C"/>
    <w:rsid w:val="00C550DC"/>
    <w:rsid w:val="00C557AA"/>
    <w:rsid w:val="00C55F80"/>
    <w:rsid w:val="00C56EE9"/>
    <w:rsid w:val="00C5745B"/>
    <w:rsid w:val="00C61481"/>
    <w:rsid w:val="00C615C0"/>
    <w:rsid w:val="00C62401"/>
    <w:rsid w:val="00C62B9C"/>
    <w:rsid w:val="00C63493"/>
    <w:rsid w:val="00C66C09"/>
    <w:rsid w:val="00C71418"/>
    <w:rsid w:val="00C716C9"/>
    <w:rsid w:val="00C7291B"/>
    <w:rsid w:val="00C7321C"/>
    <w:rsid w:val="00C7401F"/>
    <w:rsid w:val="00C745E9"/>
    <w:rsid w:val="00C74CD9"/>
    <w:rsid w:val="00C75BB5"/>
    <w:rsid w:val="00C75C90"/>
    <w:rsid w:val="00C75F76"/>
    <w:rsid w:val="00C76EBC"/>
    <w:rsid w:val="00C7738E"/>
    <w:rsid w:val="00C77822"/>
    <w:rsid w:val="00C7787C"/>
    <w:rsid w:val="00C8062F"/>
    <w:rsid w:val="00C81AF0"/>
    <w:rsid w:val="00C81D6D"/>
    <w:rsid w:val="00C82224"/>
    <w:rsid w:val="00C82BF7"/>
    <w:rsid w:val="00C83268"/>
    <w:rsid w:val="00C839D2"/>
    <w:rsid w:val="00C83E57"/>
    <w:rsid w:val="00C84569"/>
    <w:rsid w:val="00C84AAE"/>
    <w:rsid w:val="00C84DF0"/>
    <w:rsid w:val="00C85483"/>
    <w:rsid w:val="00C86DC8"/>
    <w:rsid w:val="00C87E1F"/>
    <w:rsid w:val="00C92455"/>
    <w:rsid w:val="00C93E82"/>
    <w:rsid w:val="00C95B5E"/>
    <w:rsid w:val="00C96137"/>
    <w:rsid w:val="00CA0458"/>
    <w:rsid w:val="00CA0740"/>
    <w:rsid w:val="00CA0C78"/>
    <w:rsid w:val="00CA115D"/>
    <w:rsid w:val="00CA1ADE"/>
    <w:rsid w:val="00CA1B0D"/>
    <w:rsid w:val="00CA2698"/>
    <w:rsid w:val="00CA2C57"/>
    <w:rsid w:val="00CA32CF"/>
    <w:rsid w:val="00CA5EB1"/>
    <w:rsid w:val="00CA5F01"/>
    <w:rsid w:val="00CA6067"/>
    <w:rsid w:val="00CA627E"/>
    <w:rsid w:val="00CA6ABC"/>
    <w:rsid w:val="00CB2A6F"/>
    <w:rsid w:val="00CB4BB1"/>
    <w:rsid w:val="00CB5609"/>
    <w:rsid w:val="00CB5645"/>
    <w:rsid w:val="00CB595D"/>
    <w:rsid w:val="00CB69DE"/>
    <w:rsid w:val="00CB746D"/>
    <w:rsid w:val="00CB753B"/>
    <w:rsid w:val="00CB7D8C"/>
    <w:rsid w:val="00CC1A0C"/>
    <w:rsid w:val="00CC2A23"/>
    <w:rsid w:val="00CC3819"/>
    <w:rsid w:val="00CC520D"/>
    <w:rsid w:val="00CC791C"/>
    <w:rsid w:val="00CC7B60"/>
    <w:rsid w:val="00CD0BCC"/>
    <w:rsid w:val="00CD0D03"/>
    <w:rsid w:val="00CD265D"/>
    <w:rsid w:val="00CD3560"/>
    <w:rsid w:val="00CD394A"/>
    <w:rsid w:val="00CD3C7F"/>
    <w:rsid w:val="00CD49D6"/>
    <w:rsid w:val="00CD5621"/>
    <w:rsid w:val="00CD56F8"/>
    <w:rsid w:val="00CD7C06"/>
    <w:rsid w:val="00CD7DFE"/>
    <w:rsid w:val="00CE058A"/>
    <w:rsid w:val="00CE34D1"/>
    <w:rsid w:val="00CE3980"/>
    <w:rsid w:val="00CE53B8"/>
    <w:rsid w:val="00CE5437"/>
    <w:rsid w:val="00CE5471"/>
    <w:rsid w:val="00CE5B12"/>
    <w:rsid w:val="00CE650B"/>
    <w:rsid w:val="00CE7217"/>
    <w:rsid w:val="00CF04B8"/>
    <w:rsid w:val="00CF1278"/>
    <w:rsid w:val="00CF1689"/>
    <w:rsid w:val="00CF3B35"/>
    <w:rsid w:val="00CF3DDF"/>
    <w:rsid w:val="00CF4645"/>
    <w:rsid w:val="00CF5DE8"/>
    <w:rsid w:val="00CF7631"/>
    <w:rsid w:val="00CF7AAE"/>
    <w:rsid w:val="00CF7D88"/>
    <w:rsid w:val="00D003CF"/>
    <w:rsid w:val="00D00D5D"/>
    <w:rsid w:val="00D01CF7"/>
    <w:rsid w:val="00D02BA3"/>
    <w:rsid w:val="00D0312E"/>
    <w:rsid w:val="00D036D2"/>
    <w:rsid w:val="00D03B80"/>
    <w:rsid w:val="00D0423B"/>
    <w:rsid w:val="00D04519"/>
    <w:rsid w:val="00D073D5"/>
    <w:rsid w:val="00D07EDB"/>
    <w:rsid w:val="00D104E2"/>
    <w:rsid w:val="00D13F1E"/>
    <w:rsid w:val="00D14226"/>
    <w:rsid w:val="00D16124"/>
    <w:rsid w:val="00D2076F"/>
    <w:rsid w:val="00D2181B"/>
    <w:rsid w:val="00D21870"/>
    <w:rsid w:val="00D2267D"/>
    <w:rsid w:val="00D2371B"/>
    <w:rsid w:val="00D238A3"/>
    <w:rsid w:val="00D2649D"/>
    <w:rsid w:val="00D26C46"/>
    <w:rsid w:val="00D2713F"/>
    <w:rsid w:val="00D27CC4"/>
    <w:rsid w:val="00D3101A"/>
    <w:rsid w:val="00D31853"/>
    <w:rsid w:val="00D319B4"/>
    <w:rsid w:val="00D323AA"/>
    <w:rsid w:val="00D34024"/>
    <w:rsid w:val="00D35363"/>
    <w:rsid w:val="00D3699A"/>
    <w:rsid w:val="00D374D2"/>
    <w:rsid w:val="00D37A18"/>
    <w:rsid w:val="00D41354"/>
    <w:rsid w:val="00D42237"/>
    <w:rsid w:val="00D458EA"/>
    <w:rsid w:val="00D45A75"/>
    <w:rsid w:val="00D45FCA"/>
    <w:rsid w:val="00D47878"/>
    <w:rsid w:val="00D5092F"/>
    <w:rsid w:val="00D50D0D"/>
    <w:rsid w:val="00D50E93"/>
    <w:rsid w:val="00D50F7A"/>
    <w:rsid w:val="00D510B1"/>
    <w:rsid w:val="00D51CB7"/>
    <w:rsid w:val="00D52176"/>
    <w:rsid w:val="00D533D7"/>
    <w:rsid w:val="00D536E0"/>
    <w:rsid w:val="00D53E08"/>
    <w:rsid w:val="00D542CE"/>
    <w:rsid w:val="00D54A46"/>
    <w:rsid w:val="00D54F89"/>
    <w:rsid w:val="00D55542"/>
    <w:rsid w:val="00D559CF"/>
    <w:rsid w:val="00D568C0"/>
    <w:rsid w:val="00D60738"/>
    <w:rsid w:val="00D618E2"/>
    <w:rsid w:val="00D61FA4"/>
    <w:rsid w:val="00D6235B"/>
    <w:rsid w:val="00D62632"/>
    <w:rsid w:val="00D64451"/>
    <w:rsid w:val="00D6509B"/>
    <w:rsid w:val="00D6559E"/>
    <w:rsid w:val="00D67A65"/>
    <w:rsid w:val="00D70CA5"/>
    <w:rsid w:val="00D710C6"/>
    <w:rsid w:val="00D71260"/>
    <w:rsid w:val="00D717B1"/>
    <w:rsid w:val="00D71EA2"/>
    <w:rsid w:val="00D74692"/>
    <w:rsid w:val="00D746A4"/>
    <w:rsid w:val="00D7570E"/>
    <w:rsid w:val="00D75B8B"/>
    <w:rsid w:val="00D76C68"/>
    <w:rsid w:val="00D8016D"/>
    <w:rsid w:val="00D81789"/>
    <w:rsid w:val="00D82035"/>
    <w:rsid w:val="00D82428"/>
    <w:rsid w:val="00D82440"/>
    <w:rsid w:val="00D82B57"/>
    <w:rsid w:val="00D833F3"/>
    <w:rsid w:val="00D83A04"/>
    <w:rsid w:val="00D83B0A"/>
    <w:rsid w:val="00D83B12"/>
    <w:rsid w:val="00D83FB5"/>
    <w:rsid w:val="00D8456C"/>
    <w:rsid w:val="00D85CF0"/>
    <w:rsid w:val="00D86974"/>
    <w:rsid w:val="00D86A44"/>
    <w:rsid w:val="00D90476"/>
    <w:rsid w:val="00D905AA"/>
    <w:rsid w:val="00D90D85"/>
    <w:rsid w:val="00D90F34"/>
    <w:rsid w:val="00D918BF"/>
    <w:rsid w:val="00D918C9"/>
    <w:rsid w:val="00D91AAA"/>
    <w:rsid w:val="00D91BEF"/>
    <w:rsid w:val="00D91C80"/>
    <w:rsid w:val="00D92609"/>
    <w:rsid w:val="00D92B7C"/>
    <w:rsid w:val="00D9313B"/>
    <w:rsid w:val="00D94594"/>
    <w:rsid w:val="00D947A7"/>
    <w:rsid w:val="00D94947"/>
    <w:rsid w:val="00D95026"/>
    <w:rsid w:val="00D95DF1"/>
    <w:rsid w:val="00D96B44"/>
    <w:rsid w:val="00D96DB3"/>
    <w:rsid w:val="00D96ED3"/>
    <w:rsid w:val="00D9776A"/>
    <w:rsid w:val="00DA1743"/>
    <w:rsid w:val="00DA36EA"/>
    <w:rsid w:val="00DA54F3"/>
    <w:rsid w:val="00DA67AF"/>
    <w:rsid w:val="00DA6BFA"/>
    <w:rsid w:val="00DA7967"/>
    <w:rsid w:val="00DA7B73"/>
    <w:rsid w:val="00DB020E"/>
    <w:rsid w:val="00DB061B"/>
    <w:rsid w:val="00DB0A1C"/>
    <w:rsid w:val="00DB15DE"/>
    <w:rsid w:val="00DB16C4"/>
    <w:rsid w:val="00DB19A3"/>
    <w:rsid w:val="00DB2E1F"/>
    <w:rsid w:val="00DB3262"/>
    <w:rsid w:val="00DB3C20"/>
    <w:rsid w:val="00DB579C"/>
    <w:rsid w:val="00DB5804"/>
    <w:rsid w:val="00DB5FD3"/>
    <w:rsid w:val="00DB7412"/>
    <w:rsid w:val="00DB7981"/>
    <w:rsid w:val="00DC1342"/>
    <w:rsid w:val="00DC1583"/>
    <w:rsid w:val="00DC2782"/>
    <w:rsid w:val="00DC43C1"/>
    <w:rsid w:val="00DC4A05"/>
    <w:rsid w:val="00DC4EAF"/>
    <w:rsid w:val="00DC6031"/>
    <w:rsid w:val="00DC6B6E"/>
    <w:rsid w:val="00DC75B5"/>
    <w:rsid w:val="00DD023E"/>
    <w:rsid w:val="00DD0E62"/>
    <w:rsid w:val="00DD1064"/>
    <w:rsid w:val="00DD19F7"/>
    <w:rsid w:val="00DD2364"/>
    <w:rsid w:val="00DD37C5"/>
    <w:rsid w:val="00DD3A1C"/>
    <w:rsid w:val="00DD3D89"/>
    <w:rsid w:val="00DD4950"/>
    <w:rsid w:val="00DD4BED"/>
    <w:rsid w:val="00DD4D97"/>
    <w:rsid w:val="00DD54E8"/>
    <w:rsid w:val="00DD5521"/>
    <w:rsid w:val="00DD6156"/>
    <w:rsid w:val="00DD6A16"/>
    <w:rsid w:val="00DD7470"/>
    <w:rsid w:val="00DE011D"/>
    <w:rsid w:val="00DE03B1"/>
    <w:rsid w:val="00DE20CE"/>
    <w:rsid w:val="00DE5680"/>
    <w:rsid w:val="00DE684D"/>
    <w:rsid w:val="00DE6FE0"/>
    <w:rsid w:val="00DE72F4"/>
    <w:rsid w:val="00DE78DA"/>
    <w:rsid w:val="00DE7B00"/>
    <w:rsid w:val="00DF20BF"/>
    <w:rsid w:val="00DF2291"/>
    <w:rsid w:val="00DF2B5E"/>
    <w:rsid w:val="00DF2BC6"/>
    <w:rsid w:val="00DF3137"/>
    <w:rsid w:val="00DF3DD6"/>
    <w:rsid w:val="00DF4482"/>
    <w:rsid w:val="00DF5470"/>
    <w:rsid w:val="00DF5BBF"/>
    <w:rsid w:val="00DF68A1"/>
    <w:rsid w:val="00DF7A2C"/>
    <w:rsid w:val="00E0049E"/>
    <w:rsid w:val="00E005D2"/>
    <w:rsid w:val="00E006B5"/>
    <w:rsid w:val="00E012B1"/>
    <w:rsid w:val="00E01D5D"/>
    <w:rsid w:val="00E01EFE"/>
    <w:rsid w:val="00E01FDE"/>
    <w:rsid w:val="00E03681"/>
    <w:rsid w:val="00E03F4F"/>
    <w:rsid w:val="00E04857"/>
    <w:rsid w:val="00E04B9C"/>
    <w:rsid w:val="00E05274"/>
    <w:rsid w:val="00E054C1"/>
    <w:rsid w:val="00E0758F"/>
    <w:rsid w:val="00E11DFE"/>
    <w:rsid w:val="00E13628"/>
    <w:rsid w:val="00E13726"/>
    <w:rsid w:val="00E1469D"/>
    <w:rsid w:val="00E14BF2"/>
    <w:rsid w:val="00E152BC"/>
    <w:rsid w:val="00E1573C"/>
    <w:rsid w:val="00E17BF4"/>
    <w:rsid w:val="00E17D97"/>
    <w:rsid w:val="00E218B6"/>
    <w:rsid w:val="00E21BCD"/>
    <w:rsid w:val="00E221FA"/>
    <w:rsid w:val="00E22B47"/>
    <w:rsid w:val="00E23362"/>
    <w:rsid w:val="00E23EF3"/>
    <w:rsid w:val="00E24FB0"/>
    <w:rsid w:val="00E25CE1"/>
    <w:rsid w:val="00E273A7"/>
    <w:rsid w:val="00E27A21"/>
    <w:rsid w:val="00E30321"/>
    <w:rsid w:val="00E31A46"/>
    <w:rsid w:val="00E31ADA"/>
    <w:rsid w:val="00E31E55"/>
    <w:rsid w:val="00E32A4B"/>
    <w:rsid w:val="00E32B0A"/>
    <w:rsid w:val="00E32E32"/>
    <w:rsid w:val="00E3438B"/>
    <w:rsid w:val="00E3470A"/>
    <w:rsid w:val="00E36901"/>
    <w:rsid w:val="00E37973"/>
    <w:rsid w:val="00E37D6C"/>
    <w:rsid w:val="00E37DA8"/>
    <w:rsid w:val="00E37F71"/>
    <w:rsid w:val="00E4117C"/>
    <w:rsid w:val="00E414DF"/>
    <w:rsid w:val="00E41C78"/>
    <w:rsid w:val="00E42A50"/>
    <w:rsid w:val="00E43C0F"/>
    <w:rsid w:val="00E44467"/>
    <w:rsid w:val="00E44963"/>
    <w:rsid w:val="00E44A14"/>
    <w:rsid w:val="00E4566C"/>
    <w:rsid w:val="00E46977"/>
    <w:rsid w:val="00E46B4B"/>
    <w:rsid w:val="00E50696"/>
    <w:rsid w:val="00E50801"/>
    <w:rsid w:val="00E51BBB"/>
    <w:rsid w:val="00E51CA8"/>
    <w:rsid w:val="00E52982"/>
    <w:rsid w:val="00E52D43"/>
    <w:rsid w:val="00E53E07"/>
    <w:rsid w:val="00E54E84"/>
    <w:rsid w:val="00E5556E"/>
    <w:rsid w:val="00E55D33"/>
    <w:rsid w:val="00E5796C"/>
    <w:rsid w:val="00E57A2E"/>
    <w:rsid w:val="00E60B62"/>
    <w:rsid w:val="00E62F35"/>
    <w:rsid w:val="00E631DE"/>
    <w:rsid w:val="00E6323D"/>
    <w:rsid w:val="00E634DF"/>
    <w:rsid w:val="00E63BB6"/>
    <w:rsid w:val="00E6474E"/>
    <w:rsid w:val="00E67373"/>
    <w:rsid w:val="00E67BE3"/>
    <w:rsid w:val="00E67C39"/>
    <w:rsid w:val="00E704BC"/>
    <w:rsid w:val="00E70802"/>
    <w:rsid w:val="00E71F3F"/>
    <w:rsid w:val="00E7484F"/>
    <w:rsid w:val="00E753FF"/>
    <w:rsid w:val="00E757F1"/>
    <w:rsid w:val="00E77125"/>
    <w:rsid w:val="00E803F3"/>
    <w:rsid w:val="00E80459"/>
    <w:rsid w:val="00E81714"/>
    <w:rsid w:val="00E81BCF"/>
    <w:rsid w:val="00E82A13"/>
    <w:rsid w:val="00E82B8B"/>
    <w:rsid w:val="00E82E30"/>
    <w:rsid w:val="00E831C9"/>
    <w:rsid w:val="00E84436"/>
    <w:rsid w:val="00E8599B"/>
    <w:rsid w:val="00E859FC"/>
    <w:rsid w:val="00E86B1A"/>
    <w:rsid w:val="00E87774"/>
    <w:rsid w:val="00E87E1A"/>
    <w:rsid w:val="00E905FB"/>
    <w:rsid w:val="00E908C3"/>
    <w:rsid w:val="00E90E4A"/>
    <w:rsid w:val="00E91AAE"/>
    <w:rsid w:val="00E91E5E"/>
    <w:rsid w:val="00E92502"/>
    <w:rsid w:val="00E934B4"/>
    <w:rsid w:val="00E93B95"/>
    <w:rsid w:val="00E944E1"/>
    <w:rsid w:val="00E94C30"/>
    <w:rsid w:val="00E9552C"/>
    <w:rsid w:val="00E97434"/>
    <w:rsid w:val="00EA0245"/>
    <w:rsid w:val="00EA08C4"/>
    <w:rsid w:val="00EA0974"/>
    <w:rsid w:val="00EA0F85"/>
    <w:rsid w:val="00EA1C88"/>
    <w:rsid w:val="00EA2360"/>
    <w:rsid w:val="00EA2E8B"/>
    <w:rsid w:val="00EA3325"/>
    <w:rsid w:val="00EA4480"/>
    <w:rsid w:val="00EA4AA6"/>
    <w:rsid w:val="00EA4FB3"/>
    <w:rsid w:val="00EA6D52"/>
    <w:rsid w:val="00EA7536"/>
    <w:rsid w:val="00EA76EB"/>
    <w:rsid w:val="00EA7EE1"/>
    <w:rsid w:val="00EB1C93"/>
    <w:rsid w:val="00EB1D94"/>
    <w:rsid w:val="00EB2968"/>
    <w:rsid w:val="00EB2F10"/>
    <w:rsid w:val="00EB4AE7"/>
    <w:rsid w:val="00EB4F57"/>
    <w:rsid w:val="00EB538D"/>
    <w:rsid w:val="00EB6086"/>
    <w:rsid w:val="00EB665F"/>
    <w:rsid w:val="00EB6766"/>
    <w:rsid w:val="00EC05BC"/>
    <w:rsid w:val="00EC1C17"/>
    <w:rsid w:val="00EC2D31"/>
    <w:rsid w:val="00EC2D46"/>
    <w:rsid w:val="00EC2F64"/>
    <w:rsid w:val="00EC2F98"/>
    <w:rsid w:val="00EC51CA"/>
    <w:rsid w:val="00EC745B"/>
    <w:rsid w:val="00ED0421"/>
    <w:rsid w:val="00ED0826"/>
    <w:rsid w:val="00ED0D81"/>
    <w:rsid w:val="00ED1236"/>
    <w:rsid w:val="00ED1FB5"/>
    <w:rsid w:val="00ED207F"/>
    <w:rsid w:val="00ED269A"/>
    <w:rsid w:val="00ED2716"/>
    <w:rsid w:val="00ED292E"/>
    <w:rsid w:val="00ED45B4"/>
    <w:rsid w:val="00ED5D03"/>
    <w:rsid w:val="00ED6683"/>
    <w:rsid w:val="00ED7472"/>
    <w:rsid w:val="00ED77D5"/>
    <w:rsid w:val="00ED79C3"/>
    <w:rsid w:val="00EE014F"/>
    <w:rsid w:val="00EE02CC"/>
    <w:rsid w:val="00EE0CC6"/>
    <w:rsid w:val="00EE1697"/>
    <w:rsid w:val="00EE1A5B"/>
    <w:rsid w:val="00EE205B"/>
    <w:rsid w:val="00EE5057"/>
    <w:rsid w:val="00EE5518"/>
    <w:rsid w:val="00EE7A51"/>
    <w:rsid w:val="00EE7BE6"/>
    <w:rsid w:val="00EE7E2A"/>
    <w:rsid w:val="00EF0B4B"/>
    <w:rsid w:val="00EF0FDE"/>
    <w:rsid w:val="00EF1648"/>
    <w:rsid w:val="00EF1893"/>
    <w:rsid w:val="00EF1E61"/>
    <w:rsid w:val="00EF1F3C"/>
    <w:rsid w:val="00EF301B"/>
    <w:rsid w:val="00EF39DA"/>
    <w:rsid w:val="00EF3DF0"/>
    <w:rsid w:val="00EF4593"/>
    <w:rsid w:val="00EF47B9"/>
    <w:rsid w:val="00EF55B7"/>
    <w:rsid w:val="00EF655A"/>
    <w:rsid w:val="00EF700F"/>
    <w:rsid w:val="00EF738C"/>
    <w:rsid w:val="00EF7F59"/>
    <w:rsid w:val="00F00AC9"/>
    <w:rsid w:val="00F00ADA"/>
    <w:rsid w:val="00F00EBD"/>
    <w:rsid w:val="00F01660"/>
    <w:rsid w:val="00F016EF"/>
    <w:rsid w:val="00F01A4A"/>
    <w:rsid w:val="00F020E5"/>
    <w:rsid w:val="00F0412E"/>
    <w:rsid w:val="00F05B03"/>
    <w:rsid w:val="00F07395"/>
    <w:rsid w:val="00F07657"/>
    <w:rsid w:val="00F07760"/>
    <w:rsid w:val="00F12C4F"/>
    <w:rsid w:val="00F1484A"/>
    <w:rsid w:val="00F14B9B"/>
    <w:rsid w:val="00F15DD5"/>
    <w:rsid w:val="00F1778F"/>
    <w:rsid w:val="00F20305"/>
    <w:rsid w:val="00F22AF0"/>
    <w:rsid w:val="00F244FD"/>
    <w:rsid w:val="00F24D90"/>
    <w:rsid w:val="00F259F4"/>
    <w:rsid w:val="00F31EED"/>
    <w:rsid w:val="00F32FF8"/>
    <w:rsid w:val="00F33676"/>
    <w:rsid w:val="00F33F3D"/>
    <w:rsid w:val="00F344C2"/>
    <w:rsid w:val="00F34EA4"/>
    <w:rsid w:val="00F3564C"/>
    <w:rsid w:val="00F3595B"/>
    <w:rsid w:val="00F35AA6"/>
    <w:rsid w:val="00F3728D"/>
    <w:rsid w:val="00F37F82"/>
    <w:rsid w:val="00F4054F"/>
    <w:rsid w:val="00F41612"/>
    <w:rsid w:val="00F41614"/>
    <w:rsid w:val="00F4196D"/>
    <w:rsid w:val="00F4200A"/>
    <w:rsid w:val="00F4341D"/>
    <w:rsid w:val="00F434CD"/>
    <w:rsid w:val="00F4420E"/>
    <w:rsid w:val="00F44680"/>
    <w:rsid w:val="00F454FF"/>
    <w:rsid w:val="00F46778"/>
    <w:rsid w:val="00F46B86"/>
    <w:rsid w:val="00F46C81"/>
    <w:rsid w:val="00F47686"/>
    <w:rsid w:val="00F500B8"/>
    <w:rsid w:val="00F502D8"/>
    <w:rsid w:val="00F509AE"/>
    <w:rsid w:val="00F51021"/>
    <w:rsid w:val="00F51614"/>
    <w:rsid w:val="00F51910"/>
    <w:rsid w:val="00F51C73"/>
    <w:rsid w:val="00F530BF"/>
    <w:rsid w:val="00F53465"/>
    <w:rsid w:val="00F53AA3"/>
    <w:rsid w:val="00F54426"/>
    <w:rsid w:val="00F5517A"/>
    <w:rsid w:val="00F57F49"/>
    <w:rsid w:val="00F60297"/>
    <w:rsid w:val="00F60A30"/>
    <w:rsid w:val="00F6194E"/>
    <w:rsid w:val="00F620AD"/>
    <w:rsid w:val="00F62135"/>
    <w:rsid w:val="00F6260A"/>
    <w:rsid w:val="00F62BD6"/>
    <w:rsid w:val="00F63D6A"/>
    <w:rsid w:val="00F63F7E"/>
    <w:rsid w:val="00F650B7"/>
    <w:rsid w:val="00F65440"/>
    <w:rsid w:val="00F656B6"/>
    <w:rsid w:val="00F65D41"/>
    <w:rsid w:val="00F661E5"/>
    <w:rsid w:val="00F66416"/>
    <w:rsid w:val="00F66DF1"/>
    <w:rsid w:val="00F66E62"/>
    <w:rsid w:val="00F6739B"/>
    <w:rsid w:val="00F67467"/>
    <w:rsid w:val="00F67D55"/>
    <w:rsid w:val="00F70D1A"/>
    <w:rsid w:val="00F71355"/>
    <w:rsid w:val="00F72D1B"/>
    <w:rsid w:val="00F744D7"/>
    <w:rsid w:val="00F74CAB"/>
    <w:rsid w:val="00F756D5"/>
    <w:rsid w:val="00F756DF"/>
    <w:rsid w:val="00F76EED"/>
    <w:rsid w:val="00F80334"/>
    <w:rsid w:val="00F80E55"/>
    <w:rsid w:val="00F81067"/>
    <w:rsid w:val="00F81637"/>
    <w:rsid w:val="00F81DBE"/>
    <w:rsid w:val="00F81FBC"/>
    <w:rsid w:val="00F82002"/>
    <w:rsid w:val="00F82598"/>
    <w:rsid w:val="00F82AE2"/>
    <w:rsid w:val="00F8410F"/>
    <w:rsid w:val="00F84288"/>
    <w:rsid w:val="00F85244"/>
    <w:rsid w:val="00F8678B"/>
    <w:rsid w:val="00F8796C"/>
    <w:rsid w:val="00F902BC"/>
    <w:rsid w:val="00F91D8A"/>
    <w:rsid w:val="00F92293"/>
    <w:rsid w:val="00F92C68"/>
    <w:rsid w:val="00F93212"/>
    <w:rsid w:val="00F93B04"/>
    <w:rsid w:val="00F9505D"/>
    <w:rsid w:val="00F9518A"/>
    <w:rsid w:val="00F953A9"/>
    <w:rsid w:val="00F96588"/>
    <w:rsid w:val="00F96D5F"/>
    <w:rsid w:val="00F96EE1"/>
    <w:rsid w:val="00F97016"/>
    <w:rsid w:val="00F97C11"/>
    <w:rsid w:val="00F97F6A"/>
    <w:rsid w:val="00FA09C0"/>
    <w:rsid w:val="00FA0AFC"/>
    <w:rsid w:val="00FA1DB5"/>
    <w:rsid w:val="00FA33AB"/>
    <w:rsid w:val="00FA3709"/>
    <w:rsid w:val="00FA3C0F"/>
    <w:rsid w:val="00FA5645"/>
    <w:rsid w:val="00FA575B"/>
    <w:rsid w:val="00FA584B"/>
    <w:rsid w:val="00FA59CC"/>
    <w:rsid w:val="00FA7206"/>
    <w:rsid w:val="00FA7275"/>
    <w:rsid w:val="00FA7360"/>
    <w:rsid w:val="00FA75DF"/>
    <w:rsid w:val="00FA775E"/>
    <w:rsid w:val="00FB1944"/>
    <w:rsid w:val="00FB1987"/>
    <w:rsid w:val="00FB28EE"/>
    <w:rsid w:val="00FB34AE"/>
    <w:rsid w:val="00FB37A2"/>
    <w:rsid w:val="00FB5357"/>
    <w:rsid w:val="00FB5841"/>
    <w:rsid w:val="00FB5E8F"/>
    <w:rsid w:val="00FC025F"/>
    <w:rsid w:val="00FC08C2"/>
    <w:rsid w:val="00FC0AED"/>
    <w:rsid w:val="00FC0DDA"/>
    <w:rsid w:val="00FC1001"/>
    <w:rsid w:val="00FC1029"/>
    <w:rsid w:val="00FC32BC"/>
    <w:rsid w:val="00FC4134"/>
    <w:rsid w:val="00FC427F"/>
    <w:rsid w:val="00FC4517"/>
    <w:rsid w:val="00FC4965"/>
    <w:rsid w:val="00FC4ADE"/>
    <w:rsid w:val="00FC60B7"/>
    <w:rsid w:val="00FC7970"/>
    <w:rsid w:val="00FC7FA7"/>
    <w:rsid w:val="00FD0464"/>
    <w:rsid w:val="00FD0610"/>
    <w:rsid w:val="00FD0699"/>
    <w:rsid w:val="00FD3144"/>
    <w:rsid w:val="00FE070D"/>
    <w:rsid w:val="00FE0919"/>
    <w:rsid w:val="00FE1241"/>
    <w:rsid w:val="00FE2D9E"/>
    <w:rsid w:val="00FE2FCF"/>
    <w:rsid w:val="00FE31A2"/>
    <w:rsid w:val="00FE45E5"/>
    <w:rsid w:val="00FE7D62"/>
    <w:rsid w:val="00FF0B65"/>
    <w:rsid w:val="00FF2141"/>
    <w:rsid w:val="00FF32E5"/>
    <w:rsid w:val="00FF34D1"/>
    <w:rsid w:val="00FF51B0"/>
    <w:rsid w:val="00FF643F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docId w15:val="{6776EED3-0539-3F45-BDBD-86D31290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D036D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25CE1"/>
    <w:pPr>
      <w:ind w:left="720"/>
      <w:contextualSpacing/>
    </w:pPr>
  </w:style>
  <w:style w:type="paragraph" w:styleId="Reviso">
    <w:name w:val="Revision"/>
    <w:hidden/>
    <w:uiPriority w:val="99"/>
    <w:semiHidden/>
    <w:rsid w:val="009942B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A4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AA6"/>
  </w:style>
  <w:style w:type="paragraph" w:styleId="Rodap">
    <w:name w:val="footer"/>
    <w:basedOn w:val="Normal"/>
    <w:link w:val="RodapChar"/>
    <w:uiPriority w:val="99"/>
    <w:unhideWhenUsed/>
    <w:rsid w:val="00EA4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AA6"/>
  </w:style>
  <w:style w:type="paragraph" w:customStyle="1" w:styleId="xmsonormal">
    <w:name w:val="x_msonormal"/>
    <w:basedOn w:val="Normal"/>
    <w:rsid w:val="0066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25152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8A356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6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agrostat.agricultura.gov.b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agrostat.agricultura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o.org/worldfoodsituation/foodpricesindex/en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20D81-38C3-49D8-B500-CC776D4D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7688</Words>
  <Characters>41516</Characters>
  <Application>Microsoft Office Word</Application>
  <DocSecurity>0</DocSecurity>
  <Lines>345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CGEA</dc:creator>
  <cp:keywords/>
  <dc:description/>
  <cp:lastModifiedBy>Gastao Giometti</cp:lastModifiedBy>
  <cp:revision>3</cp:revision>
  <cp:lastPrinted>2024-03-11T20:11:00Z</cp:lastPrinted>
  <dcterms:created xsi:type="dcterms:W3CDTF">2024-11-13T18:15:00Z</dcterms:created>
  <dcterms:modified xsi:type="dcterms:W3CDTF">2024-11-13T20:29:00Z</dcterms:modified>
</cp:coreProperties>
</file>