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B8FE2" w14:textId="7BB8B70A" w:rsidR="00674F35" w:rsidRDefault="00682931" w:rsidP="00682931">
      <w:pPr>
        <w:spacing w:before="120" w:after="120" w:line="24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FACTSHEET </w:t>
      </w:r>
      <w:r w:rsidR="00674F35" w:rsidRPr="00A03C60">
        <w:rPr>
          <w:rFonts w:ascii="Calibri" w:hAnsi="Calibri"/>
          <w:b/>
          <w:bCs/>
        </w:rPr>
        <w:t>Acordo de Parceria Mercosul-União Europeia</w:t>
      </w:r>
    </w:p>
    <w:p w14:paraId="43D0BB91" w14:textId="39B8756E" w:rsidR="0012085B" w:rsidRPr="00A03C60" w:rsidRDefault="0012085B" w:rsidP="00682931">
      <w:pPr>
        <w:spacing w:before="120" w:after="120" w:line="240" w:lineRule="auto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6 de dezembro de 2024</w:t>
      </w:r>
    </w:p>
    <w:p w14:paraId="798B8EB0" w14:textId="77777777" w:rsidR="00674F35" w:rsidRPr="00A03C60" w:rsidRDefault="00674F35" w:rsidP="00507C92">
      <w:pPr>
        <w:spacing w:before="120" w:after="120" w:line="240" w:lineRule="auto"/>
        <w:jc w:val="both"/>
        <w:rPr>
          <w:rFonts w:ascii="Calibri" w:hAnsi="Calibri"/>
        </w:rPr>
      </w:pPr>
    </w:p>
    <w:p w14:paraId="79EE01FA" w14:textId="77777777" w:rsidR="00674F35" w:rsidRPr="00A03C60" w:rsidRDefault="00A03C60" w:rsidP="00507C92">
      <w:pPr>
        <w:pStyle w:val="NormalWeb"/>
        <w:spacing w:before="120" w:beforeAutospacing="0" w:after="120" w:afterAutospacing="0"/>
        <w:contextualSpacing/>
        <w:jc w:val="both"/>
        <w:rPr>
          <w:rFonts w:ascii="Calibri" w:eastAsiaTheme="minorHAnsi" w:hAnsi="Calibri" w:cstheme="minorHAnsi"/>
          <w:color w:val="2E74B5" w:themeColor="accent1" w:themeShade="BF"/>
          <w:lang w:eastAsia="en-US"/>
        </w:rPr>
      </w:pPr>
      <w:r w:rsidRPr="00A03C60">
        <w:rPr>
          <w:rFonts w:ascii="Calibri" w:hAnsi="Calibri" w:cstheme="minorHAnsi"/>
          <w:b/>
          <w:color w:val="2E74B5" w:themeColor="accent1" w:themeShade="BF"/>
          <w:szCs w:val="20"/>
        </w:rPr>
        <w:t xml:space="preserve">I. </w:t>
      </w:r>
      <w:r w:rsidR="00674F35" w:rsidRPr="00A03C60">
        <w:rPr>
          <w:rFonts w:ascii="Calibri" w:hAnsi="Calibri" w:cstheme="minorHAnsi"/>
          <w:b/>
          <w:color w:val="2E74B5" w:themeColor="accent1" w:themeShade="BF"/>
          <w:szCs w:val="20"/>
        </w:rPr>
        <w:t>A IMPORTÂNCIA ESTRATÉGICA DO ACORDO</w:t>
      </w:r>
    </w:p>
    <w:p w14:paraId="3ACEC064" w14:textId="77777777" w:rsidR="00674F35" w:rsidRPr="00A03C60" w:rsidRDefault="00674F35" w:rsidP="00507C92">
      <w:pPr>
        <w:pStyle w:val="NormalWeb"/>
        <w:spacing w:before="120" w:beforeAutospacing="0" w:after="120" w:afterAutospacing="0"/>
        <w:contextualSpacing/>
        <w:jc w:val="both"/>
        <w:rPr>
          <w:rFonts w:ascii="Calibri" w:eastAsiaTheme="minorHAnsi" w:hAnsi="Calibri" w:cstheme="minorHAnsi"/>
          <w:lang w:eastAsia="en-US"/>
        </w:rPr>
      </w:pPr>
    </w:p>
    <w:p w14:paraId="28B79DD0" w14:textId="395D64FE" w:rsidR="00C11F4B" w:rsidRDefault="00674F35" w:rsidP="00507C92">
      <w:pPr>
        <w:pStyle w:val="NormalWeb"/>
        <w:spacing w:before="120" w:beforeAutospacing="0" w:after="120" w:afterAutospacing="0"/>
        <w:ind w:firstLine="709"/>
        <w:jc w:val="both"/>
        <w:rPr>
          <w:rFonts w:ascii="Calibri" w:eastAsiaTheme="minorHAnsi" w:hAnsi="Calibri" w:cstheme="minorHAnsi"/>
          <w:lang w:eastAsia="en-US"/>
        </w:rPr>
      </w:pPr>
      <w:r w:rsidRPr="00A03C60">
        <w:rPr>
          <w:rFonts w:ascii="Calibri" w:eastAsiaTheme="minorHAnsi" w:hAnsi="Calibri" w:cstheme="minorHAnsi"/>
          <w:lang w:eastAsia="en-US"/>
        </w:rPr>
        <w:t xml:space="preserve">Em 6 de dezembro de 2024, os líderes do MERCOSUL e da União Europeia anunciaram, em Montevidéu, a conclusão das negociações do Acordo de Parceria entre o MERCOSUL e a União Europeia. </w:t>
      </w:r>
      <w:r w:rsidR="00C11F4B">
        <w:rPr>
          <w:rFonts w:ascii="Calibri" w:eastAsiaTheme="minorHAnsi" w:hAnsi="Calibri" w:cstheme="minorHAnsi"/>
          <w:lang w:eastAsia="en-US"/>
        </w:rPr>
        <w:t>O anúncio permite a preparação dos textos</w:t>
      </w:r>
      <w:r w:rsidR="007946B1">
        <w:rPr>
          <w:rFonts w:ascii="Calibri" w:eastAsiaTheme="minorHAnsi" w:hAnsi="Calibri" w:cstheme="minorHAnsi"/>
          <w:lang w:eastAsia="en-US"/>
        </w:rPr>
        <w:t xml:space="preserve"> do Acordo</w:t>
      </w:r>
      <w:r w:rsidR="00C11F4B">
        <w:rPr>
          <w:rFonts w:ascii="Calibri" w:eastAsiaTheme="minorHAnsi" w:hAnsi="Calibri" w:cstheme="minorHAnsi"/>
          <w:lang w:eastAsia="en-US"/>
        </w:rPr>
        <w:t xml:space="preserve"> para sua posterior assinatura e ratificação.</w:t>
      </w:r>
    </w:p>
    <w:p w14:paraId="272DF41B" w14:textId="77777777" w:rsidR="00674F35" w:rsidRPr="00A03C60" w:rsidRDefault="00674F35" w:rsidP="00507C92">
      <w:pPr>
        <w:pStyle w:val="NormalWeb"/>
        <w:spacing w:before="120" w:beforeAutospacing="0" w:after="120" w:afterAutospacing="0"/>
        <w:ind w:firstLine="709"/>
        <w:jc w:val="both"/>
        <w:rPr>
          <w:rFonts w:ascii="Calibri" w:eastAsiaTheme="minorHAnsi" w:hAnsi="Calibri" w:cstheme="minorHAnsi"/>
          <w:lang w:eastAsia="en-US"/>
        </w:rPr>
      </w:pPr>
      <w:r w:rsidRPr="00A03C60">
        <w:rPr>
          <w:rFonts w:ascii="Calibri" w:eastAsiaTheme="minorHAnsi" w:hAnsi="Calibri" w:cstheme="minorHAnsi"/>
          <w:lang w:eastAsia="en-US"/>
        </w:rPr>
        <w:t xml:space="preserve">Fruto do esforço de mais de duas décadas de tratativas, o resultado alcançado pelas duas regiões é </w:t>
      </w:r>
      <w:r w:rsidRPr="00576AC5">
        <w:rPr>
          <w:rFonts w:ascii="Calibri" w:eastAsiaTheme="minorHAnsi" w:hAnsi="Calibri" w:cstheme="minorHAnsi"/>
          <w:b/>
          <w:lang w:eastAsia="en-US"/>
        </w:rPr>
        <w:t>transformador tanto da perspectiva econômica quanto política</w:t>
      </w:r>
      <w:r w:rsidRPr="00A03C60">
        <w:rPr>
          <w:rFonts w:ascii="Calibri" w:eastAsiaTheme="minorHAnsi" w:hAnsi="Calibri" w:cstheme="minorHAnsi"/>
          <w:lang w:eastAsia="en-US"/>
        </w:rPr>
        <w:t xml:space="preserve">, além de </w:t>
      </w:r>
      <w:r w:rsidRPr="00576AC5">
        <w:rPr>
          <w:rFonts w:ascii="Calibri" w:eastAsiaTheme="minorHAnsi" w:hAnsi="Calibri" w:cstheme="minorHAnsi"/>
          <w:b/>
          <w:lang w:eastAsia="en-US"/>
        </w:rPr>
        <w:t>reforçar o MERCOSUL</w:t>
      </w:r>
      <w:r w:rsidRPr="00A03C60">
        <w:rPr>
          <w:rFonts w:ascii="Calibri" w:eastAsiaTheme="minorHAnsi" w:hAnsi="Calibri" w:cstheme="minorHAnsi"/>
          <w:lang w:eastAsia="en-US"/>
        </w:rPr>
        <w:t xml:space="preserve"> como plataforma de inserção internacional de seus Estados Partes.</w:t>
      </w:r>
      <w:r w:rsidR="00684899">
        <w:rPr>
          <w:rFonts w:ascii="Calibri" w:eastAsiaTheme="minorHAnsi" w:hAnsi="Calibri" w:cstheme="minorHAnsi"/>
          <w:lang w:eastAsia="en-US"/>
        </w:rPr>
        <w:t xml:space="preserve"> </w:t>
      </w:r>
    </w:p>
    <w:p w14:paraId="28FA647C" w14:textId="202230A4" w:rsidR="00684899" w:rsidRDefault="00674F35" w:rsidP="00507C92">
      <w:pPr>
        <w:pStyle w:val="NormalWeb"/>
        <w:spacing w:before="120" w:beforeAutospacing="0" w:after="120" w:afterAutospacing="0"/>
        <w:ind w:firstLine="709"/>
        <w:jc w:val="both"/>
        <w:rPr>
          <w:rFonts w:ascii="Calibri" w:eastAsiaTheme="minorHAnsi" w:hAnsi="Calibri" w:cstheme="minorHAnsi"/>
          <w:lang w:eastAsia="en-US"/>
        </w:rPr>
      </w:pPr>
      <w:r w:rsidRPr="00A03C60">
        <w:rPr>
          <w:rFonts w:ascii="Calibri" w:eastAsiaTheme="minorHAnsi" w:hAnsi="Calibri" w:cstheme="minorHAnsi"/>
          <w:lang w:eastAsia="en-US"/>
        </w:rPr>
        <w:t>O Acordo integrará dois dos maiores blocos econômicos do mundo. Juntos, MERCOSUL e UE reúnem cerca de 718 milhões de pessoas e Produto Interno Bruto (PIB) de aproximadamente US$ 22 trilhões de dólares.</w:t>
      </w:r>
      <w:r w:rsidRPr="00A03C60">
        <w:rPr>
          <w:rStyle w:val="FootnoteReference"/>
          <w:rFonts w:ascii="Calibri" w:eastAsiaTheme="minorHAnsi" w:hAnsi="Calibri" w:cstheme="minorHAnsi"/>
          <w:lang w:eastAsia="en-US"/>
        </w:rPr>
        <w:t xml:space="preserve"> </w:t>
      </w:r>
      <w:r w:rsidRPr="00A03C60">
        <w:rPr>
          <w:rStyle w:val="FootnoteReference"/>
          <w:rFonts w:ascii="Calibri" w:eastAsiaTheme="minorHAnsi" w:hAnsi="Calibri" w:cstheme="minorHAnsi"/>
          <w:lang w:eastAsia="en-US"/>
        </w:rPr>
        <w:footnoteReference w:id="1"/>
      </w:r>
      <w:r w:rsidRPr="00A03C60">
        <w:rPr>
          <w:rFonts w:ascii="Calibri" w:eastAsiaTheme="minorHAnsi" w:hAnsi="Calibri" w:cstheme="minorHAnsi"/>
          <w:lang w:eastAsia="en-US"/>
        </w:rPr>
        <w:t xml:space="preserve"> </w:t>
      </w:r>
      <w:r w:rsidRPr="00E95B13">
        <w:rPr>
          <w:rFonts w:ascii="Calibri" w:eastAsiaTheme="minorHAnsi" w:hAnsi="Calibri" w:cstheme="minorHAnsi"/>
          <w:lang w:eastAsia="en-US"/>
        </w:rPr>
        <w:t xml:space="preserve">Quando examinado </w:t>
      </w:r>
      <w:r w:rsidR="00DC6A4A" w:rsidRPr="00E95B13">
        <w:rPr>
          <w:rFonts w:ascii="Calibri" w:eastAsiaTheme="minorHAnsi" w:hAnsi="Calibri" w:cstheme="minorHAnsi"/>
          <w:lang w:eastAsia="en-US"/>
        </w:rPr>
        <w:t xml:space="preserve">pelo </w:t>
      </w:r>
      <w:r w:rsidRPr="00E95B13">
        <w:rPr>
          <w:rFonts w:ascii="Calibri" w:eastAsiaTheme="minorHAnsi" w:hAnsi="Calibri" w:cstheme="minorHAnsi"/>
          <w:lang w:eastAsia="en-US"/>
        </w:rPr>
        <w:t>volume de comércio</w:t>
      </w:r>
      <w:r w:rsidR="00DC6A4A" w:rsidRPr="00E95B13">
        <w:rPr>
          <w:rFonts w:ascii="Calibri" w:eastAsiaTheme="minorHAnsi" w:hAnsi="Calibri" w:cstheme="minorHAnsi"/>
          <w:lang w:eastAsia="en-US"/>
        </w:rPr>
        <w:t xml:space="preserve"> entre os dois blocos</w:t>
      </w:r>
      <w:r w:rsidRPr="00E95B13">
        <w:rPr>
          <w:rFonts w:ascii="Calibri" w:eastAsiaTheme="minorHAnsi" w:hAnsi="Calibri" w:cstheme="minorHAnsi"/>
          <w:lang w:eastAsia="en-US"/>
        </w:rPr>
        <w:t xml:space="preserve">, trata-se ao mesmo tempo do maior acordo comercial </w:t>
      </w:r>
      <w:r w:rsidR="009D032B">
        <w:rPr>
          <w:rFonts w:ascii="Calibri" w:eastAsiaTheme="minorHAnsi" w:hAnsi="Calibri" w:cstheme="minorHAnsi"/>
          <w:lang w:eastAsia="en-US"/>
        </w:rPr>
        <w:t>negociado</w:t>
      </w:r>
      <w:r w:rsidRPr="00E95B13">
        <w:rPr>
          <w:rFonts w:ascii="Calibri" w:eastAsiaTheme="minorHAnsi" w:hAnsi="Calibri" w:cstheme="minorHAnsi"/>
          <w:lang w:eastAsia="en-US"/>
        </w:rPr>
        <w:t xml:space="preserve"> pelo MERCOSUL e um dos maiores dentre aqueles </w:t>
      </w:r>
      <w:r w:rsidR="0009132A">
        <w:rPr>
          <w:rFonts w:ascii="Calibri" w:eastAsiaTheme="minorHAnsi" w:hAnsi="Calibri" w:cstheme="minorHAnsi"/>
          <w:lang w:eastAsia="en-US"/>
        </w:rPr>
        <w:t xml:space="preserve">pactuados </w:t>
      </w:r>
      <w:r w:rsidRPr="00E95B13">
        <w:rPr>
          <w:rFonts w:ascii="Calibri" w:eastAsiaTheme="minorHAnsi" w:hAnsi="Calibri" w:cstheme="minorHAnsi"/>
          <w:lang w:eastAsia="en-US"/>
        </w:rPr>
        <w:t>pela União Europeia com parceiros comerciais.</w:t>
      </w:r>
      <w:r w:rsidRPr="00A03C60">
        <w:rPr>
          <w:rFonts w:ascii="Calibri" w:eastAsiaTheme="minorHAnsi" w:hAnsi="Calibri" w:cstheme="minorHAnsi"/>
          <w:lang w:eastAsia="en-US"/>
        </w:rPr>
        <w:t xml:space="preserve"> </w:t>
      </w:r>
    </w:p>
    <w:p w14:paraId="28EDB720" w14:textId="77777777" w:rsidR="00674F35" w:rsidRPr="00A03C60" w:rsidRDefault="00674F35" w:rsidP="00507C92">
      <w:pPr>
        <w:pStyle w:val="NormalWeb"/>
        <w:spacing w:before="120" w:beforeAutospacing="0" w:after="120" w:afterAutospacing="0"/>
        <w:ind w:firstLine="709"/>
        <w:jc w:val="both"/>
        <w:rPr>
          <w:rFonts w:ascii="Calibri" w:eastAsiaTheme="minorHAnsi" w:hAnsi="Calibri" w:cstheme="minorHAnsi"/>
          <w:lang w:eastAsia="en-US"/>
        </w:rPr>
      </w:pPr>
      <w:r w:rsidRPr="00A03C60">
        <w:rPr>
          <w:rFonts w:ascii="Calibri" w:eastAsiaTheme="minorHAnsi" w:hAnsi="Calibri" w:cstheme="minorHAnsi"/>
          <w:lang w:eastAsia="en-US"/>
        </w:rPr>
        <w:t>Medido pel</w:t>
      </w:r>
      <w:r w:rsidR="00DC6A4A">
        <w:rPr>
          <w:rFonts w:ascii="Calibri" w:eastAsiaTheme="minorHAnsi" w:hAnsi="Calibri" w:cstheme="minorHAnsi"/>
          <w:lang w:eastAsia="en-US"/>
        </w:rPr>
        <w:t xml:space="preserve">as populações abrangidas </w:t>
      </w:r>
      <w:r w:rsidR="00684899">
        <w:rPr>
          <w:rFonts w:ascii="Calibri" w:eastAsiaTheme="minorHAnsi" w:hAnsi="Calibri" w:cstheme="minorHAnsi"/>
          <w:lang w:eastAsia="en-US"/>
        </w:rPr>
        <w:t>em conjunto com o</w:t>
      </w:r>
      <w:r w:rsidR="00DC6A4A">
        <w:rPr>
          <w:rFonts w:ascii="Calibri" w:eastAsiaTheme="minorHAnsi" w:hAnsi="Calibri" w:cstheme="minorHAnsi"/>
          <w:lang w:eastAsia="en-US"/>
        </w:rPr>
        <w:t xml:space="preserve"> tamanho das economias dos dois blocos</w:t>
      </w:r>
      <w:r w:rsidRPr="00A03C60">
        <w:rPr>
          <w:rFonts w:ascii="Calibri" w:eastAsiaTheme="minorHAnsi" w:hAnsi="Calibri" w:cstheme="minorHAnsi"/>
          <w:lang w:eastAsia="en-US"/>
        </w:rPr>
        <w:t xml:space="preserve">, o Acordo de Parceria entre o MERCOSUL e a União Europeia é </w:t>
      </w:r>
      <w:r w:rsidRPr="00576AC5">
        <w:rPr>
          <w:rFonts w:ascii="Calibri" w:eastAsiaTheme="minorHAnsi" w:hAnsi="Calibri" w:cstheme="minorHAnsi"/>
          <w:b/>
          <w:lang w:eastAsia="en-US"/>
        </w:rPr>
        <w:t>um dos maiores acordos bilate</w:t>
      </w:r>
      <w:r w:rsidR="00684899" w:rsidRPr="00576AC5">
        <w:rPr>
          <w:rFonts w:ascii="Calibri" w:eastAsiaTheme="minorHAnsi" w:hAnsi="Calibri" w:cstheme="minorHAnsi"/>
          <w:b/>
          <w:lang w:eastAsia="en-US"/>
        </w:rPr>
        <w:t>rais de livre comércio do mundo</w:t>
      </w:r>
      <w:r w:rsidR="00684899">
        <w:rPr>
          <w:rFonts w:ascii="Calibri" w:eastAsiaTheme="minorHAnsi" w:hAnsi="Calibri" w:cstheme="minorHAnsi"/>
          <w:lang w:eastAsia="en-US"/>
        </w:rPr>
        <w:t xml:space="preserve">—em um </w:t>
      </w:r>
      <w:r w:rsidR="00684899" w:rsidRPr="00576AC5">
        <w:rPr>
          <w:rFonts w:ascii="Calibri" w:eastAsiaTheme="minorHAnsi" w:hAnsi="Calibri" w:cstheme="minorHAnsi"/>
          <w:b/>
          <w:lang w:eastAsia="en-US"/>
        </w:rPr>
        <w:t>contexto internacional de crescente protecionismo e unilateralismo</w:t>
      </w:r>
      <w:r w:rsidR="00684899">
        <w:rPr>
          <w:rFonts w:ascii="Calibri" w:eastAsiaTheme="minorHAnsi" w:hAnsi="Calibri" w:cstheme="minorHAnsi"/>
          <w:lang w:eastAsia="en-US"/>
        </w:rPr>
        <w:t xml:space="preserve"> comercial, esse resultado é uma </w:t>
      </w:r>
      <w:r w:rsidR="00684899" w:rsidRPr="00576AC5">
        <w:rPr>
          <w:rFonts w:ascii="Calibri" w:eastAsiaTheme="minorHAnsi" w:hAnsi="Calibri" w:cstheme="minorHAnsi"/>
          <w:b/>
          <w:lang w:eastAsia="en-US"/>
        </w:rPr>
        <w:t>sinalização em favor do comércio internacional</w:t>
      </w:r>
      <w:r w:rsidR="00684899">
        <w:rPr>
          <w:rFonts w:ascii="Calibri" w:eastAsiaTheme="minorHAnsi" w:hAnsi="Calibri" w:cstheme="minorHAnsi"/>
          <w:lang w:eastAsia="en-US"/>
        </w:rPr>
        <w:t xml:space="preserve"> como fator para o crescimento econômico.</w:t>
      </w:r>
    </w:p>
    <w:p w14:paraId="42970471" w14:textId="77777777" w:rsidR="00674F35" w:rsidRPr="00A03C60" w:rsidRDefault="00674F35" w:rsidP="00507C92">
      <w:pPr>
        <w:pStyle w:val="NormalWeb"/>
        <w:spacing w:before="120" w:beforeAutospacing="0" w:after="120" w:afterAutospacing="0"/>
        <w:ind w:firstLine="709"/>
        <w:jc w:val="both"/>
        <w:rPr>
          <w:rFonts w:ascii="Calibri" w:eastAsiaTheme="minorHAnsi" w:hAnsi="Calibri" w:cstheme="minorHAnsi"/>
          <w:lang w:eastAsia="en-US"/>
        </w:rPr>
      </w:pPr>
      <w:r w:rsidRPr="00A03C60">
        <w:rPr>
          <w:rFonts w:ascii="Calibri" w:eastAsiaTheme="minorHAnsi" w:hAnsi="Calibri" w:cstheme="minorHAnsi"/>
          <w:lang w:eastAsia="en-US"/>
        </w:rPr>
        <w:t xml:space="preserve">Para o </w:t>
      </w:r>
      <w:r w:rsidRPr="00E94392">
        <w:rPr>
          <w:rFonts w:ascii="Calibri" w:eastAsiaTheme="minorHAnsi" w:hAnsi="Calibri" w:cstheme="minorHAnsi"/>
          <w:b/>
          <w:lang w:eastAsia="en-US"/>
        </w:rPr>
        <w:t>Brasil</w:t>
      </w:r>
      <w:r w:rsidRPr="00A03C60">
        <w:rPr>
          <w:rFonts w:ascii="Calibri" w:eastAsiaTheme="minorHAnsi" w:hAnsi="Calibri" w:cstheme="minorHAnsi"/>
          <w:lang w:eastAsia="en-US"/>
        </w:rPr>
        <w:t xml:space="preserve">, o Acordo possui </w:t>
      </w:r>
      <w:r w:rsidRPr="00E94392">
        <w:rPr>
          <w:rFonts w:ascii="Calibri" w:eastAsiaTheme="minorHAnsi" w:hAnsi="Calibri" w:cstheme="minorHAnsi"/>
          <w:b/>
          <w:lang w:eastAsia="en-US"/>
        </w:rPr>
        <w:t>valor estratégico em diversos sentidos</w:t>
      </w:r>
      <w:r w:rsidRPr="00A03C60">
        <w:rPr>
          <w:rFonts w:ascii="Calibri" w:eastAsiaTheme="minorHAnsi" w:hAnsi="Calibri" w:cstheme="minorHAnsi"/>
          <w:lang w:eastAsia="en-US"/>
        </w:rPr>
        <w:t xml:space="preserve">. A União Europeia é o segundo principal parceiro comercial do Brasil, com corrente de comércio, em 2023, de </w:t>
      </w:r>
      <w:r w:rsidR="0058448E">
        <w:rPr>
          <w:rFonts w:ascii="Calibri" w:eastAsiaTheme="minorHAnsi" w:hAnsi="Calibri" w:cstheme="minorHAnsi"/>
          <w:lang w:eastAsia="en-US"/>
        </w:rPr>
        <w:t xml:space="preserve">aproximadamente </w:t>
      </w:r>
      <w:r w:rsidRPr="00A03C60">
        <w:rPr>
          <w:rFonts w:ascii="Calibri" w:eastAsiaTheme="minorHAnsi" w:hAnsi="Calibri" w:cstheme="minorHAnsi"/>
          <w:lang w:eastAsia="en-US"/>
        </w:rPr>
        <w:t>US$ 9</w:t>
      </w:r>
      <w:r w:rsidR="0058448E">
        <w:rPr>
          <w:rFonts w:ascii="Calibri" w:eastAsiaTheme="minorHAnsi" w:hAnsi="Calibri" w:cstheme="minorHAnsi"/>
          <w:lang w:eastAsia="en-US"/>
        </w:rPr>
        <w:t>2</w:t>
      </w:r>
      <w:r w:rsidRPr="00A03C60">
        <w:rPr>
          <w:rFonts w:ascii="Calibri" w:eastAsiaTheme="minorHAnsi" w:hAnsi="Calibri" w:cstheme="minorHAnsi"/>
          <w:lang w:eastAsia="en-US"/>
        </w:rPr>
        <w:t xml:space="preserve"> bilhões. O Acordo deverá reforçar a </w:t>
      </w:r>
      <w:r w:rsidRPr="00E94392">
        <w:rPr>
          <w:rFonts w:ascii="Calibri" w:eastAsiaTheme="minorHAnsi" w:hAnsi="Calibri" w:cstheme="minorHAnsi"/>
          <w:b/>
          <w:lang w:eastAsia="en-US"/>
        </w:rPr>
        <w:t>diversificação das parcerias comerciais do Brasil</w:t>
      </w:r>
      <w:r w:rsidRPr="00A03C60">
        <w:rPr>
          <w:rFonts w:ascii="Calibri" w:eastAsiaTheme="minorHAnsi" w:hAnsi="Calibri" w:cstheme="minorHAnsi"/>
          <w:lang w:eastAsia="en-US"/>
        </w:rPr>
        <w:t xml:space="preserve">, </w:t>
      </w:r>
      <w:r w:rsidRPr="00E94392">
        <w:rPr>
          <w:rFonts w:ascii="Calibri" w:eastAsiaTheme="minorHAnsi" w:hAnsi="Calibri" w:cstheme="minorHAnsi"/>
          <w:b/>
          <w:lang w:eastAsia="en-US"/>
        </w:rPr>
        <w:t>ativo de natureza estratégica</w:t>
      </w:r>
      <w:r w:rsidRPr="00A03C60">
        <w:rPr>
          <w:rFonts w:ascii="Calibri" w:eastAsiaTheme="minorHAnsi" w:hAnsi="Calibri" w:cstheme="minorHAnsi"/>
          <w:lang w:eastAsia="en-US"/>
        </w:rPr>
        <w:t xml:space="preserve"> para o país, além de fomentar a </w:t>
      </w:r>
      <w:r w:rsidRPr="00E94392">
        <w:rPr>
          <w:rFonts w:ascii="Calibri" w:eastAsiaTheme="minorHAnsi" w:hAnsi="Calibri" w:cstheme="minorHAnsi"/>
          <w:b/>
          <w:lang w:eastAsia="en-US"/>
        </w:rPr>
        <w:t>modernização do parque industrial brasileiro</w:t>
      </w:r>
      <w:r w:rsidRPr="00A03C60">
        <w:rPr>
          <w:rFonts w:ascii="Calibri" w:eastAsiaTheme="minorHAnsi" w:hAnsi="Calibri" w:cstheme="minorHAnsi"/>
          <w:lang w:eastAsia="en-US"/>
        </w:rPr>
        <w:t xml:space="preserve"> com a integração às cadeias produtivas da União Europeia. Espera-se, da mesma forma, que o Acordo </w:t>
      </w:r>
      <w:r w:rsidRPr="00E94392">
        <w:rPr>
          <w:rFonts w:ascii="Calibri" w:eastAsiaTheme="minorHAnsi" w:hAnsi="Calibri" w:cstheme="minorHAnsi"/>
          <w:b/>
          <w:lang w:eastAsia="en-US"/>
        </w:rPr>
        <w:t>dinamize ainda mais os fluxos de investimentos</w:t>
      </w:r>
      <w:r w:rsidRPr="00A03C60">
        <w:rPr>
          <w:rFonts w:ascii="Calibri" w:eastAsiaTheme="minorHAnsi" w:hAnsi="Calibri" w:cstheme="minorHAnsi"/>
          <w:lang w:eastAsia="en-US"/>
        </w:rPr>
        <w:t>, o que deve reforçar a atual posição da UE como a detentora de quase metade do estoque de investimento estrangeiro direto no Brasil.</w:t>
      </w:r>
      <w:r w:rsidRPr="00A03C60">
        <w:rPr>
          <w:rStyle w:val="FootnoteReference"/>
          <w:rFonts w:ascii="Calibri" w:eastAsiaTheme="minorHAnsi" w:hAnsi="Calibri"/>
          <w:lang w:eastAsia="en-US"/>
        </w:rPr>
        <w:footnoteReference w:id="2"/>
      </w:r>
    </w:p>
    <w:p w14:paraId="36923745" w14:textId="77777777" w:rsidR="00674F35" w:rsidRPr="00A03C60" w:rsidRDefault="00674F35" w:rsidP="00507C92">
      <w:pPr>
        <w:pStyle w:val="NormalWeb"/>
        <w:spacing w:before="120" w:beforeAutospacing="0" w:after="120" w:afterAutospacing="0"/>
        <w:ind w:firstLine="709"/>
        <w:jc w:val="both"/>
        <w:rPr>
          <w:rFonts w:ascii="Calibri" w:eastAsiaTheme="minorHAnsi" w:hAnsi="Calibri" w:cstheme="minorHAnsi"/>
          <w:lang w:eastAsia="en-US"/>
        </w:rPr>
      </w:pPr>
      <w:r w:rsidRPr="00A03C60">
        <w:rPr>
          <w:rFonts w:ascii="Calibri" w:eastAsiaTheme="minorHAnsi" w:hAnsi="Calibri" w:cstheme="minorHAnsi"/>
          <w:lang w:eastAsia="en-US"/>
        </w:rPr>
        <w:t xml:space="preserve">O Acordo anunciado em 6 de dezembro de 2024 incorpora </w:t>
      </w:r>
      <w:r w:rsidRPr="00E94392">
        <w:rPr>
          <w:rFonts w:ascii="Calibri" w:eastAsiaTheme="minorHAnsi" w:hAnsi="Calibri" w:cstheme="minorHAnsi"/>
          <w:b/>
          <w:lang w:eastAsia="en-US"/>
        </w:rPr>
        <w:t>compromissos inovadores, equilibrados e consentâneos</w:t>
      </w:r>
      <w:r w:rsidRPr="00A03C60">
        <w:rPr>
          <w:rFonts w:ascii="Calibri" w:eastAsiaTheme="minorHAnsi" w:hAnsi="Calibri" w:cstheme="minorHAnsi"/>
          <w:lang w:eastAsia="en-US"/>
        </w:rPr>
        <w:t xml:space="preserve"> com os desafios do contexto econômico internacional:</w:t>
      </w:r>
    </w:p>
    <w:p w14:paraId="225F3234" w14:textId="03241B1A" w:rsidR="00674F35" w:rsidRPr="00A03C60" w:rsidRDefault="00674F35" w:rsidP="00507C92">
      <w:pPr>
        <w:pStyle w:val="NormalWeb"/>
        <w:numPr>
          <w:ilvl w:val="0"/>
          <w:numId w:val="2"/>
        </w:numPr>
        <w:spacing w:before="120" w:beforeAutospacing="0" w:after="120" w:afterAutospacing="0"/>
        <w:ind w:left="990"/>
        <w:jc w:val="both"/>
        <w:rPr>
          <w:rFonts w:ascii="Calibri" w:eastAsiaTheme="minorHAnsi" w:hAnsi="Calibri" w:cstheme="minorHAnsi"/>
          <w:lang w:eastAsia="en-US"/>
        </w:rPr>
      </w:pPr>
      <w:r w:rsidRPr="00A03C60">
        <w:rPr>
          <w:rFonts w:ascii="Calibri" w:eastAsiaTheme="minorHAnsi" w:hAnsi="Calibri" w:cstheme="minorHAnsi"/>
          <w:lang w:eastAsia="en-US"/>
        </w:rPr>
        <w:t xml:space="preserve">O Acordo reflete um quadro internacional onde ganha centralidade o papel do Estado como indutor do crescimento e promotor da resiliência das economias nacionais, sobretudo após a pandemia do COVID-19. </w:t>
      </w:r>
      <w:r w:rsidR="00A65D55">
        <w:rPr>
          <w:rFonts w:ascii="Calibri" w:eastAsiaTheme="minorHAnsi" w:hAnsi="Calibri" w:cstheme="minorHAnsi"/>
          <w:lang w:eastAsia="en-US"/>
        </w:rPr>
        <w:t xml:space="preserve">O </w:t>
      </w:r>
      <w:r w:rsidRPr="00A03C60">
        <w:rPr>
          <w:rFonts w:ascii="Calibri" w:eastAsiaTheme="minorHAnsi" w:hAnsi="Calibri" w:cstheme="minorHAnsi"/>
          <w:lang w:eastAsia="en-US"/>
        </w:rPr>
        <w:t xml:space="preserve">MERCOSUL e União Europeia abrem importantes oportunidades para o aumento do comércio e investimentos bilaterais </w:t>
      </w:r>
      <w:r w:rsidRPr="00E94392">
        <w:rPr>
          <w:rFonts w:ascii="Calibri" w:eastAsiaTheme="minorHAnsi" w:hAnsi="Calibri" w:cstheme="minorHAnsi"/>
          <w:b/>
          <w:lang w:eastAsia="en-US"/>
        </w:rPr>
        <w:lastRenderedPageBreak/>
        <w:t>sem deixar de preservar o espaço para a implementação de políticas públicas</w:t>
      </w:r>
      <w:r w:rsidRPr="00A03C60">
        <w:rPr>
          <w:rFonts w:ascii="Calibri" w:eastAsiaTheme="minorHAnsi" w:hAnsi="Calibri" w:cstheme="minorHAnsi"/>
          <w:lang w:eastAsia="en-US"/>
        </w:rPr>
        <w:t xml:space="preserve"> em áreas como saúde, empregos, meio ambiente, inovação e agricultura familiar. </w:t>
      </w:r>
    </w:p>
    <w:p w14:paraId="3915AA17" w14:textId="77777777" w:rsidR="00674F35" w:rsidRPr="00A03C60" w:rsidRDefault="00674F35" w:rsidP="00507C92">
      <w:pPr>
        <w:pStyle w:val="NormalWeb"/>
        <w:numPr>
          <w:ilvl w:val="0"/>
          <w:numId w:val="2"/>
        </w:numPr>
        <w:spacing w:before="120" w:beforeAutospacing="0" w:after="120" w:afterAutospacing="0"/>
        <w:ind w:left="990"/>
        <w:jc w:val="both"/>
        <w:rPr>
          <w:rFonts w:ascii="Calibri" w:eastAsiaTheme="minorHAnsi" w:hAnsi="Calibri" w:cstheme="minorHAnsi"/>
          <w:lang w:eastAsia="en-US"/>
        </w:rPr>
      </w:pPr>
      <w:r w:rsidRPr="00A03C60">
        <w:rPr>
          <w:rFonts w:ascii="Calibri" w:eastAsiaTheme="minorHAnsi" w:hAnsi="Calibri" w:cstheme="minorHAnsi"/>
          <w:lang w:eastAsia="en-US"/>
        </w:rPr>
        <w:t xml:space="preserve">O MERCOSUL e a União Europeia reconhecem que os </w:t>
      </w:r>
      <w:r w:rsidRPr="00E94392">
        <w:rPr>
          <w:rFonts w:ascii="Calibri" w:eastAsiaTheme="minorHAnsi" w:hAnsi="Calibri" w:cstheme="minorHAnsi"/>
          <w:b/>
          <w:lang w:eastAsia="en-US"/>
        </w:rPr>
        <w:t>desafios do desenvolvimento sustentável devem ser enfrentados por todos</w:t>
      </w:r>
      <w:r w:rsidRPr="00A03C60">
        <w:rPr>
          <w:rFonts w:ascii="Calibri" w:eastAsiaTheme="minorHAnsi" w:hAnsi="Calibri" w:cstheme="minorHAnsi"/>
          <w:lang w:eastAsia="en-US"/>
        </w:rPr>
        <w:t>, tendo presente as responsabilidades comuns</w:t>
      </w:r>
      <w:r w:rsidR="00DC6A4A">
        <w:rPr>
          <w:rFonts w:ascii="Calibri" w:eastAsiaTheme="minorHAnsi" w:hAnsi="Calibri" w:cstheme="minorHAnsi"/>
          <w:lang w:eastAsia="en-US"/>
        </w:rPr>
        <w:t>,</w:t>
      </w:r>
      <w:r w:rsidRPr="00A03C60">
        <w:rPr>
          <w:rFonts w:ascii="Calibri" w:eastAsiaTheme="minorHAnsi" w:hAnsi="Calibri" w:cstheme="minorHAnsi"/>
          <w:lang w:eastAsia="en-US"/>
        </w:rPr>
        <w:t xml:space="preserve"> porém diferenciadas dos países. O Acordo contempla, de forma colaborativa e equilibrada, diferentes compromissos </w:t>
      </w:r>
      <w:r w:rsidR="00F30DF3">
        <w:rPr>
          <w:rFonts w:ascii="Calibri" w:eastAsiaTheme="minorHAnsi" w:hAnsi="Calibri" w:cstheme="minorHAnsi"/>
          <w:lang w:eastAsia="en-US"/>
        </w:rPr>
        <w:t xml:space="preserve">que visam </w:t>
      </w:r>
      <w:r w:rsidRPr="00E94392">
        <w:rPr>
          <w:rFonts w:ascii="Calibri" w:eastAsiaTheme="minorHAnsi" w:hAnsi="Calibri" w:cstheme="minorHAnsi"/>
          <w:b/>
          <w:lang w:eastAsia="en-US"/>
        </w:rPr>
        <w:t>conciliar o comércio com o desenvolvimento sustentável</w:t>
      </w:r>
      <w:r w:rsidR="00F30DF3" w:rsidRPr="00E94392">
        <w:rPr>
          <w:rFonts w:ascii="Calibri" w:eastAsiaTheme="minorHAnsi" w:hAnsi="Calibri" w:cstheme="minorHAnsi"/>
          <w:b/>
          <w:lang w:eastAsia="en-US"/>
        </w:rPr>
        <w:t xml:space="preserve"> de </w:t>
      </w:r>
      <w:r w:rsidR="00E94392">
        <w:rPr>
          <w:rFonts w:ascii="Calibri" w:eastAsiaTheme="minorHAnsi" w:hAnsi="Calibri" w:cstheme="minorHAnsi"/>
          <w:b/>
          <w:lang w:eastAsia="en-US"/>
        </w:rPr>
        <w:t xml:space="preserve">maneira </w:t>
      </w:r>
      <w:r w:rsidR="00F30DF3" w:rsidRPr="00E94392">
        <w:rPr>
          <w:rFonts w:ascii="Calibri" w:eastAsiaTheme="minorHAnsi" w:hAnsi="Calibri" w:cstheme="minorHAnsi"/>
          <w:b/>
          <w:lang w:eastAsia="en-US"/>
        </w:rPr>
        <w:t>efetiva</w:t>
      </w:r>
      <w:r w:rsidRPr="00A03C60">
        <w:rPr>
          <w:rFonts w:ascii="Calibri" w:eastAsiaTheme="minorHAnsi" w:hAnsi="Calibri" w:cstheme="minorHAnsi"/>
          <w:lang w:eastAsia="en-US"/>
        </w:rPr>
        <w:t xml:space="preserve">. Valendo-se das sólidas credenciais de sustentabilidade do Brasil, o Acordo fomenta </w:t>
      </w:r>
      <w:r w:rsidR="00DC6A4A">
        <w:rPr>
          <w:rFonts w:ascii="Calibri" w:eastAsiaTheme="minorHAnsi" w:hAnsi="Calibri" w:cstheme="minorHAnsi"/>
          <w:lang w:eastAsia="en-US"/>
        </w:rPr>
        <w:t xml:space="preserve">a </w:t>
      </w:r>
      <w:r w:rsidRPr="00A03C60">
        <w:rPr>
          <w:rFonts w:ascii="Calibri" w:eastAsiaTheme="minorHAnsi" w:hAnsi="Calibri" w:cstheme="minorHAnsi"/>
          <w:lang w:eastAsia="en-US"/>
        </w:rPr>
        <w:t xml:space="preserve">integração de cadeias produtivas para avançar rumo à descarbonização da economia, além de estimular a concessão de tratamento favorecido para o comércio exterior de produtos sustentáveis. A UE também </w:t>
      </w:r>
      <w:r w:rsidR="00DC6A4A">
        <w:rPr>
          <w:rFonts w:ascii="Calibri" w:eastAsiaTheme="minorHAnsi" w:hAnsi="Calibri" w:cstheme="minorHAnsi"/>
          <w:lang w:eastAsia="en-US"/>
        </w:rPr>
        <w:t xml:space="preserve">se </w:t>
      </w:r>
      <w:r w:rsidRPr="00A03C60">
        <w:rPr>
          <w:rFonts w:ascii="Calibri" w:eastAsiaTheme="minorHAnsi" w:hAnsi="Calibri" w:cstheme="minorHAnsi"/>
          <w:lang w:eastAsia="en-US"/>
        </w:rPr>
        <w:t xml:space="preserve">compromete a oferecer pacote inédito de cooperação para </w:t>
      </w:r>
      <w:r w:rsidR="00C12E91">
        <w:rPr>
          <w:rFonts w:ascii="Calibri" w:eastAsiaTheme="minorHAnsi" w:hAnsi="Calibri" w:cstheme="minorHAnsi"/>
          <w:lang w:eastAsia="en-US"/>
        </w:rPr>
        <w:t xml:space="preserve">apoiar a </w:t>
      </w:r>
      <w:r w:rsidRPr="00A03C60">
        <w:rPr>
          <w:rFonts w:ascii="Calibri" w:eastAsiaTheme="minorHAnsi" w:hAnsi="Calibri" w:cstheme="minorHAnsi"/>
          <w:lang w:eastAsia="en-US"/>
        </w:rPr>
        <w:t>implementação do Acordo.</w:t>
      </w:r>
    </w:p>
    <w:p w14:paraId="0F2B0CD9" w14:textId="77777777" w:rsidR="00674F35" w:rsidRPr="00A03C60" w:rsidRDefault="00674F35" w:rsidP="00507C92">
      <w:pPr>
        <w:pStyle w:val="NormalWeb"/>
        <w:numPr>
          <w:ilvl w:val="0"/>
          <w:numId w:val="2"/>
        </w:numPr>
        <w:spacing w:before="120" w:beforeAutospacing="0" w:after="120" w:afterAutospacing="0"/>
        <w:ind w:left="990"/>
        <w:jc w:val="both"/>
        <w:rPr>
          <w:rFonts w:ascii="Calibri" w:eastAsiaTheme="minorHAnsi" w:hAnsi="Calibri" w:cstheme="minorHAnsi"/>
          <w:lang w:eastAsia="en-US"/>
        </w:rPr>
      </w:pPr>
      <w:r w:rsidRPr="00A03C60">
        <w:rPr>
          <w:rFonts w:ascii="Calibri" w:eastAsiaTheme="minorHAnsi" w:hAnsi="Calibri" w:cstheme="minorHAnsi"/>
          <w:lang w:eastAsia="en-US"/>
        </w:rPr>
        <w:t xml:space="preserve">A fim de preservar os ganhos de acesso ao mercado europeu negociados pelo MERCOSUL, o </w:t>
      </w:r>
      <w:r w:rsidRPr="00E94392">
        <w:rPr>
          <w:rFonts w:ascii="Calibri" w:eastAsiaTheme="minorHAnsi" w:hAnsi="Calibri" w:cstheme="minorHAnsi"/>
          <w:b/>
          <w:lang w:eastAsia="en-US"/>
        </w:rPr>
        <w:t>Acordo inova ao estabelecer mecanismo de reequilíbrio de concessões</w:t>
      </w:r>
      <w:r w:rsidR="00C12E91">
        <w:rPr>
          <w:rFonts w:ascii="Calibri" w:eastAsiaTheme="minorHAnsi" w:hAnsi="Calibri" w:cstheme="minorHAnsi"/>
          <w:lang w:eastAsia="en-US"/>
        </w:rPr>
        <w:t xml:space="preserve">. Com isso, o Acordo </w:t>
      </w:r>
      <w:r w:rsidRPr="00A03C60">
        <w:rPr>
          <w:rFonts w:ascii="Calibri" w:eastAsiaTheme="minorHAnsi" w:hAnsi="Calibri" w:cstheme="minorHAnsi"/>
          <w:lang w:eastAsia="en-US"/>
        </w:rPr>
        <w:t>oferece satisfação a nossos exportadores caso medidas internas da UE comprometam o uso efetivo de vantagens obtidas no Acordo.</w:t>
      </w:r>
    </w:p>
    <w:p w14:paraId="0198A82B" w14:textId="251D4894" w:rsidR="00674F35" w:rsidRPr="00A03C60" w:rsidRDefault="00674F35" w:rsidP="00507C92">
      <w:pPr>
        <w:pStyle w:val="NormalWeb"/>
        <w:numPr>
          <w:ilvl w:val="0"/>
          <w:numId w:val="2"/>
        </w:numPr>
        <w:spacing w:before="120" w:beforeAutospacing="0" w:after="120" w:afterAutospacing="0"/>
        <w:ind w:left="990"/>
        <w:jc w:val="both"/>
        <w:rPr>
          <w:rFonts w:ascii="Calibri" w:eastAsiaTheme="minorHAnsi" w:hAnsi="Calibri" w:cstheme="minorHAnsi"/>
          <w:lang w:eastAsia="en-US"/>
        </w:rPr>
      </w:pPr>
      <w:r w:rsidRPr="00A03C60">
        <w:rPr>
          <w:rFonts w:ascii="Calibri" w:eastAsiaTheme="minorHAnsi" w:hAnsi="Calibri" w:cstheme="minorHAnsi"/>
          <w:lang w:eastAsia="en-US"/>
        </w:rPr>
        <w:t xml:space="preserve">O Brasil fez questão de incluir no Acordo compromissos que </w:t>
      </w:r>
      <w:r w:rsidRPr="00E94392">
        <w:rPr>
          <w:rFonts w:ascii="Calibri" w:eastAsiaTheme="minorHAnsi" w:hAnsi="Calibri" w:cstheme="minorHAnsi"/>
          <w:b/>
          <w:lang w:eastAsia="en-US"/>
        </w:rPr>
        <w:t>garantem a transparência e a inclusividade</w:t>
      </w:r>
      <w:r w:rsidRPr="00A03C60">
        <w:rPr>
          <w:rFonts w:ascii="Calibri" w:eastAsiaTheme="minorHAnsi" w:hAnsi="Calibri" w:cstheme="minorHAnsi"/>
          <w:lang w:eastAsia="en-US"/>
        </w:rPr>
        <w:t xml:space="preserve">. Entidades </w:t>
      </w:r>
      <w:r w:rsidRPr="001E6D98">
        <w:rPr>
          <w:rFonts w:ascii="Calibri" w:eastAsiaTheme="minorHAnsi" w:hAnsi="Calibri" w:cstheme="minorHAnsi"/>
          <w:lang w:eastAsia="en-US"/>
        </w:rPr>
        <w:t xml:space="preserve">da sociedade civil, </w:t>
      </w:r>
      <w:r w:rsidR="001E6D98">
        <w:rPr>
          <w:rFonts w:ascii="Calibri" w:eastAsiaTheme="minorHAnsi" w:hAnsi="Calibri" w:cstheme="minorHAnsi"/>
          <w:lang w:eastAsia="en-US"/>
        </w:rPr>
        <w:t xml:space="preserve">sindicatos, organizações não governamentais, </w:t>
      </w:r>
      <w:r w:rsidRPr="001E6D98">
        <w:rPr>
          <w:rFonts w:ascii="Calibri" w:eastAsiaTheme="minorHAnsi" w:hAnsi="Calibri" w:cstheme="minorHAnsi"/>
          <w:lang w:eastAsia="en-US"/>
        </w:rPr>
        <w:t>além do setor privado e representantes de diversos segmentos sociais</w:t>
      </w:r>
      <w:r w:rsidR="000A59FC" w:rsidRPr="001E6D98">
        <w:rPr>
          <w:rFonts w:ascii="Calibri" w:eastAsiaTheme="minorHAnsi" w:hAnsi="Calibri" w:cstheme="minorHAnsi"/>
          <w:lang w:eastAsia="en-US"/>
        </w:rPr>
        <w:t>,</w:t>
      </w:r>
      <w:r w:rsidRPr="001E6D98">
        <w:rPr>
          <w:rFonts w:ascii="Calibri" w:eastAsiaTheme="minorHAnsi" w:hAnsi="Calibri" w:cstheme="minorHAnsi"/>
          <w:lang w:eastAsia="en-US"/>
        </w:rPr>
        <w:t xml:space="preserve"> </w:t>
      </w:r>
      <w:r w:rsidR="000A59FC" w:rsidRPr="001E6D98">
        <w:rPr>
          <w:rFonts w:ascii="Calibri" w:eastAsiaTheme="minorHAnsi" w:hAnsi="Calibri" w:cstheme="minorHAnsi"/>
          <w:lang w:eastAsia="en-US"/>
        </w:rPr>
        <w:t xml:space="preserve">ganham </w:t>
      </w:r>
      <w:r w:rsidRPr="001E6D98">
        <w:rPr>
          <w:rFonts w:ascii="Calibri" w:eastAsiaTheme="minorHAnsi" w:hAnsi="Calibri" w:cstheme="minorHAnsi"/>
          <w:lang w:eastAsia="en-US"/>
        </w:rPr>
        <w:t xml:space="preserve">canais para expressar sua voz e monitorar os impactos do Acordo, que poderá ser revisado </w:t>
      </w:r>
      <w:r w:rsidR="000A59FC" w:rsidRPr="001E6D98">
        <w:rPr>
          <w:rFonts w:ascii="Calibri" w:eastAsiaTheme="minorHAnsi" w:hAnsi="Calibri" w:cstheme="minorHAnsi"/>
          <w:lang w:eastAsia="en-US"/>
        </w:rPr>
        <w:t xml:space="preserve">periodicamente </w:t>
      </w:r>
      <w:r w:rsidRPr="001E6D98">
        <w:rPr>
          <w:rFonts w:ascii="Calibri" w:eastAsiaTheme="minorHAnsi" w:hAnsi="Calibri" w:cstheme="minorHAnsi"/>
          <w:lang w:eastAsia="en-US"/>
        </w:rPr>
        <w:t>para melhor atender aos interesses da sociedade. Além disso, há compromissos para fazer com que agricultores familiares, comunidades locais e mulheres</w:t>
      </w:r>
      <w:r w:rsidR="001E6D98">
        <w:rPr>
          <w:rFonts w:ascii="Calibri" w:eastAsiaTheme="minorHAnsi" w:hAnsi="Calibri" w:cstheme="minorHAnsi"/>
          <w:lang w:eastAsia="en-US"/>
        </w:rPr>
        <w:t xml:space="preserve"> </w:t>
      </w:r>
      <w:r w:rsidRPr="00A03C60">
        <w:rPr>
          <w:rFonts w:ascii="Calibri" w:eastAsiaTheme="minorHAnsi" w:hAnsi="Calibri" w:cstheme="minorHAnsi"/>
          <w:lang w:eastAsia="en-US"/>
        </w:rPr>
        <w:t>tenham acesso efetivo aos benefícios que o Acordo pode gerar.</w:t>
      </w:r>
    </w:p>
    <w:p w14:paraId="58782A19" w14:textId="6F762231" w:rsidR="00674F35" w:rsidRPr="00A03C60" w:rsidRDefault="00674F35" w:rsidP="006C7C45">
      <w:pPr>
        <w:pStyle w:val="NormalWeb"/>
        <w:ind w:firstLine="630"/>
        <w:jc w:val="both"/>
        <w:rPr>
          <w:rFonts w:ascii="Calibri" w:eastAsiaTheme="minorHAnsi" w:hAnsi="Calibri" w:cstheme="minorHAnsi"/>
          <w:lang w:eastAsia="en-US"/>
        </w:rPr>
      </w:pPr>
      <w:r w:rsidRPr="00A03C60">
        <w:rPr>
          <w:rFonts w:ascii="Calibri" w:eastAsiaTheme="minorHAnsi" w:hAnsi="Calibri" w:cstheme="minorHAnsi"/>
          <w:lang w:eastAsia="en-US"/>
        </w:rPr>
        <w:t xml:space="preserve">Em um quadro global de crescente contestação do estado de direito, da justiça social e da solução pacífica de conflitos, </w:t>
      </w:r>
      <w:r w:rsidR="006C7C45">
        <w:rPr>
          <w:rFonts w:ascii="Calibri" w:eastAsiaTheme="minorHAnsi" w:hAnsi="Calibri" w:cstheme="minorHAnsi"/>
          <w:lang w:eastAsia="en-US"/>
        </w:rPr>
        <w:t>o</w:t>
      </w:r>
      <w:r w:rsidR="006C7C45" w:rsidRPr="006C7C45">
        <w:rPr>
          <w:rFonts w:ascii="Calibri" w:hAnsi="Calibri" w:cs="Calibri"/>
          <w:color w:val="000000"/>
        </w:rPr>
        <w:t xml:space="preserve"> Acordo representa a </w:t>
      </w:r>
      <w:r w:rsidR="006C7C45" w:rsidRPr="006C7C45">
        <w:rPr>
          <w:rFonts w:ascii="Calibri" w:hAnsi="Calibri" w:cs="Calibri"/>
          <w:b/>
          <w:color w:val="000000"/>
        </w:rPr>
        <w:t>associação entre duas regiões que compartilham valores e interesses comuns</w:t>
      </w:r>
      <w:r w:rsidR="006C7C45" w:rsidRPr="006C7C45">
        <w:rPr>
          <w:rFonts w:ascii="Calibri" w:hAnsi="Calibri" w:cs="Calibri"/>
          <w:color w:val="000000"/>
        </w:rPr>
        <w:t xml:space="preserve">, como a defesa da democracia, o multilateralismo e a promoção dos direitos humanos. Trata-se de um sinal inequívoco do compromisso do MERCOSUL e da União Europeia com as agendas </w:t>
      </w:r>
      <w:r w:rsidR="006C7C45" w:rsidRPr="001E6D98">
        <w:rPr>
          <w:rFonts w:ascii="Calibri" w:hAnsi="Calibri" w:cs="Calibri"/>
          <w:color w:val="000000"/>
        </w:rPr>
        <w:t xml:space="preserve">de </w:t>
      </w:r>
      <w:r w:rsidR="001E6D98">
        <w:rPr>
          <w:rFonts w:ascii="Calibri" w:hAnsi="Calibri" w:cs="Calibri"/>
          <w:color w:val="000000"/>
        </w:rPr>
        <w:t xml:space="preserve">integração </w:t>
      </w:r>
      <w:r w:rsidR="006C7C45" w:rsidRPr="001E6D98">
        <w:rPr>
          <w:rFonts w:ascii="Calibri" w:hAnsi="Calibri" w:cs="Calibri"/>
          <w:color w:val="000000"/>
        </w:rPr>
        <w:t>comercial e</w:t>
      </w:r>
      <w:r w:rsidR="006C7C45" w:rsidRPr="006C7C45">
        <w:rPr>
          <w:rFonts w:ascii="Calibri" w:hAnsi="Calibri" w:cs="Calibri"/>
          <w:color w:val="000000"/>
        </w:rPr>
        <w:t xml:space="preserve"> do desenvolvimento sustentável, em benefício da prosperidade de nossos povos.</w:t>
      </w:r>
      <w:r w:rsidR="006C7C45">
        <w:rPr>
          <w:rFonts w:ascii="Calibri" w:hAnsi="Calibri" w:cs="Calibri"/>
          <w:color w:val="000000"/>
        </w:rPr>
        <w:t xml:space="preserve"> </w:t>
      </w:r>
      <w:r w:rsidRPr="00A03C60">
        <w:rPr>
          <w:rFonts w:ascii="Calibri" w:eastAsiaTheme="minorHAnsi" w:hAnsi="Calibri" w:cstheme="minorHAnsi"/>
          <w:lang w:eastAsia="en-US"/>
        </w:rPr>
        <w:t xml:space="preserve">O Acordo estabelece diversos </w:t>
      </w:r>
      <w:r w:rsidRPr="006C7C45">
        <w:rPr>
          <w:rFonts w:ascii="Calibri" w:eastAsiaTheme="minorHAnsi" w:hAnsi="Calibri" w:cstheme="minorHAnsi"/>
          <w:b/>
          <w:lang w:eastAsia="en-US"/>
        </w:rPr>
        <w:t>mecanismos de cooperação política entre os dois blocos</w:t>
      </w:r>
      <w:r w:rsidRPr="00A03C60">
        <w:rPr>
          <w:rFonts w:ascii="Calibri" w:eastAsiaTheme="minorHAnsi" w:hAnsi="Calibri" w:cstheme="minorHAnsi"/>
          <w:lang w:eastAsia="en-US"/>
        </w:rPr>
        <w:t>. Esses espaços de diálogo reforçarão a colaboração entre o MERCOSUL e a União Europeia em debates globais que contribuem para uma ordem internacional mais justa e pacífica.</w:t>
      </w:r>
    </w:p>
    <w:p w14:paraId="1FB065E0" w14:textId="09AC283B" w:rsidR="006C7C45" w:rsidRPr="006C7C45" w:rsidRDefault="00674F35" w:rsidP="006C7C45">
      <w:pPr>
        <w:pStyle w:val="NormalWeb"/>
        <w:spacing w:before="120" w:beforeAutospacing="0" w:after="120" w:afterAutospacing="0"/>
        <w:ind w:firstLine="709"/>
        <w:jc w:val="both"/>
        <w:rPr>
          <w:rFonts w:ascii="Calibri" w:hAnsi="Calibri" w:cs="Calibri"/>
          <w:color w:val="000000"/>
        </w:rPr>
      </w:pPr>
      <w:r w:rsidRPr="00A03C60">
        <w:rPr>
          <w:rFonts w:ascii="Calibri" w:eastAsiaTheme="minorHAnsi" w:hAnsi="Calibri" w:cstheme="minorHAnsi"/>
          <w:lang w:eastAsia="en-US"/>
        </w:rPr>
        <w:t xml:space="preserve">O Acordo também representa um </w:t>
      </w:r>
      <w:r w:rsidRPr="00E94392">
        <w:rPr>
          <w:rFonts w:ascii="Calibri" w:eastAsiaTheme="minorHAnsi" w:hAnsi="Calibri" w:cstheme="minorHAnsi"/>
          <w:b/>
          <w:lang w:eastAsia="en-US"/>
        </w:rPr>
        <w:t>marco na</w:t>
      </w:r>
      <w:r w:rsidR="001560B8">
        <w:rPr>
          <w:rFonts w:ascii="Calibri" w:eastAsiaTheme="minorHAnsi" w:hAnsi="Calibri" w:cstheme="minorHAnsi"/>
          <w:b/>
          <w:lang w:eastAsia="en-US"/>
        </w:rPr>
        <w:t>s</w:t>
      </w:r>
      <w:r w:rsidRPr="00E94392">
        <w:rPr>
          <w:rFonts w:ascii="Calibri" w:eastAsiaTheme="minorHAnsi" w:hAnsi="Calibri" w:cstheme="minorHAnsi"/>
          <w:b/>
          <w:lang w:eastAsia="en-US"/>
        </w:rPr>
        <w:t xml:space="preserve"> relaç</w:t>
      </w:r>
      <w:r w:rsidR="001560B8">
        <w:rPr>
          <w:rFonts w:ascii="Calibri" w:eastAsiaTheme="minorHAnsi" w:hAnsi="Calibri" w:cstheme="minorHAnsi"/>
          <w:b/>
          <w:lang w:eastAsia="en-US"/>
        </w:rPr>
        <w:t>ões</w:t>
      </w:r>
      <w:r w:rsidRPr="00E94392">
        <w:rPr>
          <w:rFonts w:ascii="Calibri" w:eastAsiaTheme="minorHAnsi" w:hAnsi="Calibri" w:cstheme="minorHAnsi"/>
          <w:b/>
          <w:lang w:eastAsia="en-US"/>
        </w:rPr>
        <w:t xml:space="preserve"> bilatera</w:t>
      </w:r>
      <w:r w:rsidR="001560B8">
        <w:rPr>
          <w:rFonts w:ascii="Calibri" w:eastAsiaTheme="minorHAnsi" w:hAnsi="Calibri" w:cstheme="minorHAnsi"/>
          <w:b/>
          <w:lang w:eastAsia="en-US"/>
        </w:rPr>
        <w:t>is</w:t>
      </w:r>
      <w:r w:rsidRPr="00E94392">
        <w:rPr>
          <w:rFonts w:ascii="Calibri" w:eastAsiaTheme="minorHAnsi" w:hAnsi="Calibri" w:cstheme="minorHAnsi"/>
          <w:b/>
          <w:lang w:eastAsia="en-US"/>
        </w:rPr>
        <w:t xml:space="preserve"> do Brasil com a União Europeia</w:t>
      </w:r>
      <w:r w:rsidRPr="00A03C60">
        <w:rPr>
          <w:rFonts w:ascii="Calibri" w:eastAsiaTheme="minorHAnsi" w:hAnsi="Calibri" w:cstheme="minorHAnsi"/>
          <w:lang w:eastAsia="en-US"/>
        </w:rPr>
        <w:t>, iniciadas em 1960 e, em 2007, adquiriram o nível de parceria estratégica.</w:t>
      </w:r>
      <w:r w:rsidR="006C7C45">
        <w:rPr>
          <w:rFonts w:ascii="Calibri" w:eastAsiaTheme="minorHAnsi" w:hAnsi="Calibri" w:cstheme="minorHAnsi"/>
          <w:lang w:eastAsia="en-US"/>
        </w:rPr>
        <w:t xml:space="preserve"> </w:t>
      </w:r>
      <w:r w:rsidR="006C7C45" w:rsidRPr="006C7C45">
        <w:rPr>
          <w:rFonts w:ascii="Calibri" w:hAnsi="Calibri" w:cs="Calibri"/>
          <w:color w:val="000000"/>
        </w:rPr>
        <w:t xml:space="preserve">O estabelecimento da Parceria Estratégica entre Brasil e União Europeia, a primeira entre o bloco e um país latino-americano, enriqueceu a vertente política das relações bilaterais, tradicionalmente densas no âmbito econômico e comercial. </w:t>
      </w:r>
    </w:p>
    <w:p w14:paraId="6D21EA56" w14:textId="77777777" w:rsidR="00674F35" w:rsidRPr="00A03C60" w:rsidRDefault="00674F35" w:rsidP="00507C92">
      <w:pPr>
        <w:spacing w:before="120" w:after="120" w:line="240" w:lineRule="auto"/>
        <w:ind w:firstLine="708"/>
        <w:jc w:val="both"/>
        <w:rPr>
          <w:rFonts w:ascii="Calibri" w:eastAsiaTheme="minorHAnsi" w:hAnsi="Calibri" w:cstheme="minorHAnsi"/>
        </w:rPr>
      </w:pPr>
      <w:r w:rsidRPr="00A03C60">
        <w:rPr>
          <w:rFonts w:ascii="Calibri" w:eastAsiaTheme="minorHAnsi" w:hAnsi="Calibri" w:cstheme="minorHAnsi"/>
        </w:rPr>
        <w:t xml:space="preserve">A conclusão do Acordo de Parceria representa ainda prova inequívoca de que o </w:t>
      </w:r>
      <w:r w:rsidRPr="00E94392">
        <w:rPr>
          <w:rFonts w:ascii="Calibri" w:eastAsiaTheme="minorHAnsi" w:hAnsi="Calibri" w:cstheme="minorHAnsi"/>
          <w:b/>
        </w:rPr>
        <w:t>MERCOSUL é a plataforma adequada para que seus Estados Partes, negociando conjuntamente, obtenham melhores condições de inserção no mercado global</w:t>
      </w:r>
      <w:r w:rsidRPr="00A03C60">
        <w:rPr>
          <w:rFonts w:ascii="Calibri" w:eastAsiaTheme="minorHAnsi" w:hAnsi="Calibri" w:cstheme="minorHAnsi"/>
        </w:rPr>
        <w:t xml:space="preserve">. </w:t>
      </w:r>
    </w:p>
    <w:p w14:paraId="4927E931" w14:textId="77777777" w:rsidR="00674F35" w:rsidRPr="00A03C60" w:rsidRDefault="00674F35" w:rsidP="00507C92">
      <w:pPr>
        <w:spacing w:before="120" w:after="120" w:line="240" w:lineRule="auto"/>
        <w:ind w:firstLine="708"/>
        <w:jc w:val="both"/>
        <w:rPr>
          <w:rFonts w:ascii="Calibri" w:eastAsiaTheme="minorHAnsi" w:hAnsi="Calibri" w:cstheme="minorHAnsi"/>
        </w:rPr>
      </w:pPr>
      <w:r w:rsidRPr="00A03C60">
        <w:rPr>
          <w:rFonts w:ascii="Calibri" w:eastAsiaTheme="minorHAnsi" w:hAnsi="Calibri" w:cstheme="minorHAnsi"/>
        </w:rPr>
        <w:lastRenderedPageBreak/>
        <w:t xml:space="preserve">Certamente, o Acordo traz importantes resultados comerciais para Brasil, Argentina, Paraguai e Uruguai em termos de acesso ao mercado europeu e atração de investimentos. Mas, além disso, os compromissos assumidos conjuntamente pelo MERCOSUL deverão aprofundar a integração econômica entre os sócios do bloco, entre outros por </w:t>
      </w:r>
      <w:r w:rsidRPr="00E94392">
        <w:rPr>
          <w:rFonts w:ascii="Calibri" w:eastAsiaTheme="minorHAnsi" w:hAnsi="Calibri" w:cstheme="minorHAnsi"/>
          <w:b/>
        </w:rPr>
        <w:t>fortalecer as instituições regionais como a Tarifa Externa Comum</w:t>
      </w:r>
      <w:r w:rsidRPr="00A03C60">
        <w:rPr>
          <w:rFonts w:ascii="Calibri" w:eastAsiaTheme="minorHAnsi" w:hAnsi="Calibri" w:cstheme="minorHAnsi"/>
        </w:rPr>
        <w:t xml:space="preserve">. Espera-se também que o Acordo de Parceria com a União Europeia acelere um </w:t>
      </w:r>
      <w:r w:rsidRPr="00E94392">
        <w:rPr>
          <w:rFonts w:ascii="Calibri" w:eastAsiaTheme="minorHAnsi" w:hAnsi="Calibri" w:cstheme="minorHAnsi"/>
          <w:b/>
        </w:rPr>
        <w:t>ciclo virtuoso de inserção internacional do MERCOSUL</w:t>
      </w:r>
      <w:r w:rsidRPr="00A03C60">
        <w:rPr>
          <w:rFonts w:ascii="Calibri" w:eastAsiaTheme="minorHAnsi" w:hAnsi="Calibri" w:cstheme="minorHAnsi"/>
        </w:rPr>
        <w:t xml:space="preserve">, já que o acesso preferencial obtido pelo bloco europeu poderá </w:t>
      </w:r>
      <w:r w:rsidRPr="00E94392">
        <w:rPr>
          <w:rFonts w:ascii="Calibri" w:eastAsiaTheme="minorHAnsi" w:hAnsi="Calibri" w:cstheme="minorHAnsi"/>
          <w:b/>
        </w:rPr>
        <w:t>ampliar o interesse de terceiros parceiros em negociar</w:t>
      </w:r>
      <w:r w:rsidRPr="00A03C60">
        <w:rPr>
          <w:rFonts w:ascii="Calibri" w:eastAsiaTheme="minorHAnsi" w:hAnsi="Calibri" w:cstheme="minorHAnsi"/>
        </w:rPr>
        <w:t xml:space="preserve"> entendimentos com o MERCOSUL.</w:t>
      </w:r>
    </w:p>
    <w:p w14:paraId="66721E9E" w14:textId="11F9160B" w:rsidR="00561746" w:rsidRPr="00A03C60" w:rsidRDefault="00561746" w:rsidP="00507C92">
      <w:pPr>
        <w:spacing w:before="120" w:after="120" w:line="240" w:lineRule="auto"/>
        <w:ind w:firstLine="708"/>
        <w:jc w:val="both"/>
        <w:rPr>
          <w:rFonts w:ascii="Calibri" w:eastAsiaTheme="minorHAnsi" w:hAnsi="Calibri" w:cstheme="minorHAnsi"/>
        </w:rPr>
      </w:pPr>
      <w:r w:rsidRPr="00D87958">
        <w:rPr>
          <w:rFonts w:ascii="Calibri" w:eastAsiaTheme="minorHAnsi" w:hAnsi="Calibri" w:cstheme="minorHAnsi"/>
          <w:b/>
          <w:bCs/>
        </w:rPr>
        <w:t>Sob a orientação do Presidente Lula, desde 2023 o governo brasileiro empenhou-se em garantir que a negociação produzisse um resultado equilibrado, levando em conta interesses e preocupações do Brasil</w:t>
      </w:r>
      <w:r w:rsidRPr="00561746">
        <w:rPr>
          <w:rFonts w:ascii="Calibri" w:eastAsiaTheme="minorHAnsi" w:hAnsi="Calibri" w:cstheme="minorHAnsi"/>
        </w:rPr>
        <w:t xml:space="preserve">, por exemplo, com o desenvolvimento industrial, a sustentabilidade e o espaço para políticas públicas em áreas estratégicas, como saúde pública e tecnologia e inovação. Os interesses do Brasil foram tratados num contexto em que a União Europeia, em 2023, apresentou ao </w:t>
      </w:r>
      <w:r w:rsidR="00997BFC" w:rsidRPr="00561746">
        <w:rPr>
          <w:rFonts w:ascii="Calibri" w:eastAsiaTheme="minorHAnsi" w:hAnsi="Calibri" w:cstheme="minorHAnsi"/>
        </w:rPr>
        <w:t xml:space="preserve">MERCOSUL </w:t>
      </w:r>
      <w:r w:rsidRPr="00561746">
        <w:rPr>
          <w:rFonts w:ascii="Calibri" w:eastAsiaTheme="minorHAnsi" w:hAnsi="Calibri" w:cstheme="minorHAnsi"/>
        </w:rPr>
        <w:t xml:space="preserve">novas demandas na área ambiental, o que levou a uma negociação em que ambos os blocos propuseram ajustes e adições em relação ao chamado “pré-acordo” de 2019.  </w:t>
      </w:r>
      <w:r w:rsidRPr="00D87958">
        <w:rPr>
          <w:rFonts w:ascii="Calibri" w:eastAsiaTheme="minorHAnsi" w:hAnsi="Calibri" w:cstheme="minorHAnsi"/>
          <w:b/>
          <w:bCs/>
        </w:rPr>
        <w:t>O anúncio de 2024 marca a conclusão definitiva da negociação birregional</w:t>
      </w:r>
      <w:r w:rsidRPr="00561746">
        <w:rPr>
          <w:rFonts w:ascii="Calibri" w:eastAsiaTheme="minorHAnsi" w:hAnsi="Calibri" w:cstheme="minorHAnsi"/>
        </w:rPr>
        <w:t>, o que assinala a diferença com relação à declaração “política” divulgada em junho de 2019, quando ainda persistiam temas pendentes de negociação.</w:t>
      </w:r>
    </w:p>
    <w:p w14:paraId="2E5E6BC9" w14:textId="75DD3F42" w:rsidR="00674F35" w:rsidRPr="00A03C60" w:rsidRDefault="00674F35" w:rsidP="00507C92">
      <w:pPr>
        <w:spacing w:before="120" w:after="120" w:line="240" w:lineRule="auto"/>
        <w:ind w:firstLine="708"/>
        <w:jc w:val="both"/>
        <w:rPr>
          <w:rFonts w:ascii="Calibri" w:eastAsiaTheme="minorHAnsi" w:hAnsi="Calibri" w:cstheme="minorHAnsi"/>
        </w:rPr>
      </w:pPr>
      <w:r w:rsidRPr="00A03C60">
        <w:rPr>
          <w:rFonts w:ascii="Calibri" w:eastAsiaTheme="minorHAnsi" w:hAnsi="Calibri" w:cstheme="minorHAnsi"/>
        </w:rPr>
        <w:t xml:space="preserve">Entre 2023 e a conclusão definitiva das negociações em 2024, representantes dos dois blocos realizaram sete rodadas negociadoras presenciais, todas em Brasília. Esses encontros foram acompanhados, nesse período, de </w:t>
      </w:r>
      <w:r w:rsidR="00E94392">
        <w:rPr>
          <w:rFonts w:ascii="Calibri" w:eastAsiaTheme="minorHAnsi" w:hAnsi="Calibri" w:cstheme="minorHAnsi"/>
        </w:rPr>
        <w:t xml:space="preserve">inúmeros encontros, presenciais e virtuais, entre </w:t>
      </w:r>
      <w:r w:rsidRPr="00A03C60">
        <w:rPr>
          <w:rFonts w:ascii="Calibri" w:eastAsiaTheme="minorHAnsi" w:hAnsi="Calibri" w:cstheme="minorHAnsi"/>
        </w:rPr>
        <w:t xml:space="preserve">negociadores-chefes dos dois blocos e técnicos negociadores. O apoio em alto nível político à conclusão do Acordo foi reiterado nos </w:t>
      </w:r>
      <w:r w:rsidRPr="00E94392">
        <w:rPr>
          <w:rFonts w:ascii="Calibri" w:eastAsiaTheme="minorHAnsi" w:hAnsi="Calibri" w:cstheme="minorHAnsi"/>
          <w:b/>
        </w:rPr>
        <w:t>seis encontros</w:t>
      </w:r>
      <w:r w:rsidRPr="00A03C60">
        <w:rPr>
          <w:rFonts w:ascii="Calibri" w:eastAsiaTheme="minorHAnsi" w:hAnsi="Calibri" w:cstheme="minorHAnsi"/>
        </w:rPr>
        <w:t xml:space="preserve"> que o </w:t>
      </w:r>
      <w:r w:rsidRPr="00E94392">
        <w:rPr>
          <w:rFonts w:ascii="Calibri" w:eastAsiaTheme="minorHAnsi" w:hAnsi="Calibri" w:cstheme="minorHAnsi"/>
          <w:b/>
        </w:rPr>
        <w:t>Presidente Lula</w:t>
      </w:r>
      <w:r w:rsidRPr="00A03C60">
        <w:rPr>
          <w:rFonts w:ascii="Calibri" w:eastAsiaTheme="minorHAnsi" w:hAnsi="Calibri" w:cstheme="minorHAnsi"/>
        </w:rPr>
        <w:t xml:space="preserve"> teve com a </w:t>
      </w:r>
      <w:r w:rsidRPr="00E94392">
        <w:rPr>
          <w:rFonts w:ascii="Calibri" w:eastAsiaTheme="minorHAnsi" w:hAnsi="Calibri" w:cstheme="minorHAnsi"/>
          <w:b/>
        </w:rPr>
        <w:t>Presidente da Comissão Europeia, Ursula von der Leyen, desde junho de 2023</w:t>
      </w:r>
      <w:r w:rsidRPr="00A03C60">
        <w:rPr>
          <w:rFonts w:ascii="Calibri" w:eastAsiaTheme="minorHAnsi" w:hAnsi="Calibri" w:cstheme="minorHAnsi"/>
        </w:rPr>
        <w:t>.</w:t>
      </w:r>
      <w:r w:rsidR="001E6B99">
        <w:rPr>
          <w:rFonts w:ascii="Calibri" w:eastAsiaTheme="minorHAnsi" w:hAnsi="Calibri" w:cstheme="minorHAnsi"/>
        </w:rPr>
        <w:t xml:space="preserve"> O Brasil deverá sediar a Cúpula </w:t>
      </w:r>
      <w:r w:rsidR="0012085B">
        <w:rPr>
          <w:rFonts w:ascii="Calibri" w:eastAsiaTheme="minorHAnsi" w:hAnsi="Calibri" w:cstheme="minorHAnsi"/>
        </w:rPr>
        <w:t>Brasil</w:t>
      </w:r>
      <w:r w:rsidR="001E6B99">
        <w:rPr>
          <w:rFonts w:ascii="Calibri" w:eastAsiaTheme="minorHAnsi" w:hAnsi="Calibri" w:cstheme="minorHAnsi"/>
        </w:rPr>
        <w:t>-UE em 2025.</w:t>
      </w:r>
    </w:p>
    <w:p w14:paraId="7759DADA" w14:textId="0716EC51" w:rsidR="00674F35" w:rsidRPr="00A03C60" w:rsidRDefault="00674F35" w:rsidP="00507C92">
      <w:pPr>
        <w:spacing w:before="120" w:after="120" w:line="240" w:lineRule="auto"/>
        <w:ind w:firstLine="708"/>
        <w:jc w:val="both"/>
        <w:rPr>
          <w:rFonts w:ascii="Calibri" w:eastAsiaTheme="minorHAnsi" w:hAnsi="Calibri" w:cstheme="minorHAnsi"/>
          <w:noProof/>
          <w:lang w:eastAsia="pt-BR"/>
        </w:rPr>
      </w:pPr>
      <w:r w:rsidRPr="00A03C60">
        <w:rPr>
          <w:rFonts w:ascii="Calibri" w:eastAsiaTheme="minorHAnsi" w:hAnsi="Calibri" w:cstheme="minorHAnsi"/>
          <w:noProof/>
          <w:lang w:eastAsia="pt-BR"/>
        </w:rPr>
        <w:t xml:space="preserve">Os ajustes realizados ao Acordo, por meio das negociações levadas a cabo </w:t>
      </w:r>
      <w:r w:rsidR="00682931">
        <w:rPr>
          <w:rFonts w:ascii="Calibri" w:eastAsiaTheme="minorHAnsi" w:hAnsi="Calibri" w:cstheme="minorHAnsi"/>
          <w:noProof/>
          <w:lang w:eastAsia="pt-BR"/>
        </w:rPr>
        <w:t xml:space="preserve">em </w:t>
      </w:r>
      <w:r w:rsidRPr="00A03C60">
        <w:rPr>
          <w:rFonts w:ascii="Calibri" w:eastAsiaTheme="minorHAnsi" w:hAnsi="Calibri" w:cstheme="minorHAnsi"/>
          <w:noProof/>
          <w:lang w:eastAsia="pt-BR"/>
        </w:rPr>
        <w:t>2023 e 2024, além de trazerem maior equilíbrio para os compromissos em sustentabilidade, contribuirão para assegurar que o Brasil possa alavancar políticas de interesse público e fortalecer a indústria nacional</w:t>
      </w:r>
      <w:r w:rsidR="00561746">
        <w:rPr>
          <w:rFonts w:ascii="Calibri" w:eastAsiaTheme="minorHAnsi" w:hAnsi="Calibri" w:cstheme="minorHAnsi"/>
          <w:noProof/>
          <w:lang w:eastAsia="pt-BR"/>
        </w:rPr>
        <w:t xml:space="preserve"> </w:t>
      </w:r>
      <w:r w:rsidRPr="00561746">
        <w:rPr>
          <w:rFonts w:ascii="Calibri" w:eastAsiaTheme="minorHAnsi" w:hAnsi="Calibri" w:cstheme="minorHAnsi"/>
          <w:noProof/>
          <w:lang w:eastAsia="pt-BR"/>
        </w:rPr>
        <w:t>—</w:t>
      </w:r>
      <w:r w:rsidR="00561746">
        <w:rPr>
          <w:rFonts w:ascii="Calibri" w:eastAsiaTheme="minorHAnsi" w:hAnsi="Calibri" w:cstheme="minorHAnsi"/>
          <w:noProof/>
          <w:lang w:eastAsia="pt-BR"/>
        </w:rPr>
        <w:t xml:space="preserve"> </w:t>
      </w:r>
      <w:r w:rsidRPr="00A03C60">
        <w:rPr>
          <w:rFonts w:ascii="Calibri" w:eastAsiaTheme="minorHAnsi" w:hAnsi="Calibri" w:cstheme="minorHAnsi"/>
          <w:noProof/>
          <w:lang w:eastAsia="pt-BR"/>
        </w:rPr>
        <w:t>ao mesmo tempo em que proporciona oportunidades econômicas para todo o espectro da sociedade.</w:t>
      </w:r>
    </w:p>
    <w:p w14:paraId="4D2DDF6C" w14:textId="77777777" w:rsidR="00A03C60" w:rsidRDefault="00A03C60" w:rsidP="00507C92">
      <w:pPr>
        <w:spacing w:before="120" w:after="120" w:line="240" w:lineRule="auto"/>
        <w:jc w:val="both"/>
        <w:rPr>
          <w:rFonts w:ascii="Calibri" w:hAnsi="Calibri"/>
          <w:b/>
          <w:bCs/>
        </w:rPr>
      </w:pPr>
    </w:p>
    <w:p w14:paraId="73E10062" w14:textId="77777777" w:rsidR="00674F35" w:rsidRPr="00A03C60" w:rsidRDefault="00A03C60" w:rsidP="00507C92">
      <w:pPr>
        <w:spacing w:before="120" w:after="120" w:line="240" w:lineRule="auto"/>
        <w:jc w:val="both"/>
        <w:rPr>
          <w:rFonts w:ascii="Calibri" w:hAnsi="Calibri"/>
          <w:b/>
          <w:bCs/>
          <w:color w:val="2E74B5" w:themeColor="accent1" w:themeShade="BF"/>
          <w:highlight w:val="yellow"/>
        </w:rPr>
      </w:pPr>
      <w:r w:rsidRPr="00A03C60">
        <w:rPr>
          <w:rFonts w:ascii="Calibri" w:hAnsi="Calibri"/>
          <w:b/>
          <w:bCs/>
          <w:color w:val="2E74B5" w:themeColor="accent1" w:themeShade="BF"/>
        </w:rPr>
        <w:t xml:space="preserve">II. O PACOTE DE BRASÍLIA EM 10 PONTOS: DESTAQUES DAS NEGOCIAÇÕES DE 2023-2024 </w:t>
      </w:r>
    </w:p>
    <w:p w14:paraId="19D89AC0" w14:textId="77777777" w:rsidR="00684899" w:rsidRDefault="00684899" w:rsidP="00507C92">
      <w:pPr>
        <w:spacing w:before="120" w:after="120" w:line="240" w:lineRule="auto"/>
        <w:jc w:val="both"/>
        <w:rPr>
          <w:rFonts w:ascii="Calibri" w:hAnsi="Calibri"/>
        </w:rPr>
      </w:pPr>
    </w:p>
    <w:p w14:paraId="25B58800" w14:textId="77777777" w:rsidR="00F67339" w:rsidRDefault="00F67339" w:rsidP="00507C92">
      <w:pPr>
        <w:spacing w:before="120"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O anúncio de 6 de dezembro de 2024 marca a conclusão definitiva das negociações do Acordo de Parceria entre o MERCOSUL e a União Europeia. Diversamente do “acordo político” divulgado em 2019, quando permaneciam textos sujeitos a negociação, atualmente todos os capítulos estão negociados. </w:t>
      </w:r>
    </w:p>
    <w:p w14:paraId="402F3015" w14:textId="1EEE5E1C" w:rsidR="0016105E" w:rsidRDefault="005A1FC7" w:rsidP="00507C92">
      <w:pPr>
        <w:spacing w:before="120"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>A etapa negociadora iniciada em 2023 ocorreu em contexto político e econômico distinto</w:t>
      </w:r>
      <w:r w:rsidR="00561746">
        <w:rPr>
          <w:rFonts w:ascii="Calibri" w:hAnsi="Calibri"/>
        </w:rPr>
        <w:t xml:space="preserve">, marcado pela </w:t>
      </w:r>
      <w:r w:rsidR="0016105E">
        <w:rPr>
          <w:rFonts w:ascii="Calibri" w:hAnsi="Calibri"/>
        </w:rPr>
        <w:t xml:space="preserve">experiência </w:t>
      </w:r>
      <w:r>
        <w:rPr>
          <w:rFonts w:ascii="Calibri" w:hAnsi="Calibri"/>
        </w:rPr>
        <w:t xml:space="preserve">da pandemia, </w:t>
      </w:r>
      <w:r w:rsidR="00561746">
        <w:rPr>
          <w:rFonts w:ascii="Calibri" w:hAnsi="Calibri"/>
        </w:rPr>
        <w:t>pelo</w:t>
      </w:r>
      <w:r>
        <w:rPr>
          <w:rFonts w:ascii="Calibri" w:hAnsi="Calibri"/>
        </w:rPr>
        <w:t xml:space="preserve"> agravamento da crise climática e </w:t>
      </w:r>
      <w:r w:rsidR="00561746">
        <w:rPr>
          <w:rFonts w:ascii="Calibri" w:hAnsi="Calibri"/>
        </w:rPr>
        <w:t xml:space="preserve">pelo </w:t>
      </w:r>
      <w:r>
        <w:rPr>
          <w:rFonts w:ascii="Calibri" w:hAnsi="Calibri"/>
        </w:rPr>
        <w:t>acirramento de tensões geopolíticas</w:t>
      </w:r>
      <w:r w:rsidR="0016105E">
        <w:rPr>
          <w:rFonts w:ascii="Calibri" w:hAnsi="Calibri"/>
        </w:rPr>
        <w:t xml:space="preserve">, </w:t>
      </w:r>
      <w:r w:rsidR="00561746">
        <w:rPr>
          <w:rFonts w:ascii="Calibri" w:hAnsi="Calibri"/>
        </w:rPr>
        <w:t xml:space="preserve">elementos que </w:t>
      </w:r>
      <w:r>
        <w:rPr>
          <w:rFonts w:ascii="Calibri" w:hAnsi="Calibri"/>
        </w:rPr>
        <w:t>ofereceram um novo pano de fundo</w:t>
      </w:r>
      <w:r w:rsidR="00E94392">
        <w:rPr>
          <w:rFonts w:ascii="Calibri" w:hAnsi="Calibri"/>
        </w:rPr>
        <w:t xml:space="preserve"> para as negociações</w:t>
      </w:r>
      <w:r>
        <w:rPr>
          <w:rFonts w:ascii="Calibri" w:hAnsi="Calibri"/>
        </w:rPr>
        <w:t xml:space="preserve">. </w:t>
      </w:r>
      <w:r w:rsidR="0016105E">
        <w:rPr>
          <w:rFonts w:ascii="Calibri" w:hAnsi="Calibri"/>
        </w:rPr>
        <w:lastRenderedPageBreak/>
        <w:t xml:space="preserve">Além disso, o governo do Presidente Lula entendeu necessário realizar ajustes específicos aos termos </w:t>
      </w:r>
      <w:r w:rsidR="00E95B13">
        <w:rPr>
          <w:rFonts w:ascii="Calibri" w:hAnsi="Calibri"/>
        </w:rPr>
        <w:t xml:space="preserve">negociados </w:t>
      </w:r>
      <w:r w:rsidR="0016105E">
        <w:rPr>
          <w:rFonts w:ascii="Calibri" w:hAnsi="Calibri"/>
        </w:rPr>
        <w:t>em 2019 a fim de tornar o Acordo mais favorável aos interesses brasileiros.</w:t>
      </w:r>
    </w:p>
    <w:p w14:paraId="6D54656D" w14:textId="77777777" w:rsidR="0016105E" w:rsidRDefault="0016105E" w:rsidP="00507C92">
      <w:pPr>
        <w:spacing w:before="120"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As negociações retomadas em 2023 dedicaram-se a: </w:t>
      </w:r>
    </w:p>
    <w:p w14:paraId="59C3F198" w14:textId="77777777" w:rsidR="0016105E" w:rsidRDefault="0016105E" w:rsidP="0016105E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rFonts w:ascii="Calibri" w:hAnsi="Calibri"/>
        </w:rPr>
      </w:pPr>
      <w:r w:rsidRPr="0016105E">
        <w:rPr>
          <w:rFonts w:ascii="Calibri" w:hAnsi="Calibri"/>
        </w:rPr>
        <w:t xml:space="preserve">elaborar novos textos para temas que os dois lados aceitaram incorporar ao Acordo, especialmente nas áreas de comércio e desenvolvimento sustentável, </w:t>
      </w:r>
      <w:r>
        <w:rPr>
          <w:rFonts w:ascii="Calibri" w:hAnsi="Calibri"/>
        </w:rPr>
        <w:t>mecanismo de reequilíbrio de concessões</w:t>
      </w:r>
      <w:r w:rsidRPr="0016105E">
        <w:rPr>
          <w:rFonts w:ascii="Calibri" w:hAnsi="Calibri"/>
        </w:rPr>
        <w:t>, cooperação e revisão do Acordo;</w:t>
      </w:r>
    </w:p>
    <w:p w14:paraId="4D183CBE" w14:textId="77777777" w:rsidR="0016105E" w:rsidRDefault="0016105E" w:rsidP="0016105E">
      <w:pPr>
        <w:pStyle w:val="ListParagraph"/>
        <w:spacing w:before="120" w:after="120" w:line="240" w:lineRule="auto"/>
        <w:jc w:val="both"/>
        <w:rPr>
          <w:rFonts w:ascii="Calibri" w:hAnsi="Calibri"/>
        </w:rPr>
      </w:pPr>
    </w:p>
    <w:p w14:paraId="4DEBDC38" w14:textId="73ACB4C7" w:rsidR="007077EE" w:rsidRPr="007077EE" w:rsidRDefault="0016105E" w:rsidP="00D87958">
      <w:pPr>
        <w:pStyle w:val="ListParagraph"/>
        <w:numPr>
          <w:ilvl w:val="0"/>
          <w:numId w:val="7"/>
        </w:numPr>
        <w:rPr>
          <w:rFonts w:ascii="Calibri" w:hAnsi="Calibri"/>
        </w:rPr>
      </w:pPr>
      <w:r w:rsidRPr="0016105E">
        <w:rPr>
          <w:rFonts w:ascii="Calibri" w:hAnsi="Calibri"/>
        </w:rPr>
        <w:t>adaptar termos que haviam sido pactuados anteriormente, a fim de tornar o Acordo mais adequado ao quadro político e econômico atual, especificamente nas áreas de compras governamentais, comércio de veículos</w:t>
      </w:r>
      <w:r w:rsidR="000F55BA">
        <w:rPr>
          <w:rFonts w:ascii="Calibri" w:hAnsi="Calibri"/>
        </w:rPr>
        <w:t>,</w:t>
      </w:r>
      <w:r w:rsidRPr="0016105E">
        <w:rPr>
          <w:rFonts w:ascii="Calibri" w:hAnsi="Calibri"/>
        </w:rPr>
        <w:t xml:space="preserve"> exportação de minerais críticos</w:t>
      </w:r>
      <w:r w:rsidR="000F55BA">
        <w:rPr>
          <w:rFonts w:ascii="Calibri" w:hAnsi="Calibri"/>
        </w:rPr>
        <w:t xml:space="preserve"> e direitos autorai</w:t>
      </w:r>
      <w:r w:rsidR="00210243">
        <w:rPr>
          <w:rFonts w:ascii="Calibri" w:hAnsi="Calibri"/>
        </w:rPr>
        <w:t>s</w:t>
      </w:r>
      <w:r>
        <w:rPr>
          <w:rFonts w:ascii="Calibri" w:hAnsi="Calibri"/>
        </w:rPr>
        <w:t>;</w:t>
      </w:r>
    </w:p>
    <w:p w14:paraId="6C6C41A2" w14:textId="77777777" w:rsidR="007077EE" w:rsidRDefault="007077EE" w:rsidP="0016105E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concluir a negociação de temas que permaneciam em aberto desde 2019, especificamente nas áreas de indicações geográficas e regras sobre a implementação do Acordo.</w:t>
      </w:r>
    </w:p>
    <w:p w14:paraId="0A0ED6A2" w14:textId="7BF8E507" w:rsidR="007077EE" w:rsidRPr="007077EE" w:rsidRDefault="007077EE" w:rsidP="007077EE">
      <w:pPr>
        <w:spacing w:before="120" w:after="120" w:line="240" w:lineRule="auto"/>
        <w:ind w:firstLine="360"/>
        <w:jc w:val="both"/>
        <w:rPr>
          <w:rFonts w:ascii="Calibri" w:hAnsi="Calibri"/>
        </w:rPr>
      </w:pPr>
      <w:r>
        <w:rPr>
          <w:rFonts w:ascii="Calibri" w:hAnsi="Calibri"/>
        </w:rPr>
        <w:t>Enquanto a presente seção destaca os principais pontos acordados na etapa negociadora iniciada em 2023, a seção seguinte apresenta os elementos do Acordo que não sofreram modificações desde 2019, em particular as concessões de acesso a mercados para produtos agrícolas exportados pelo MERCOSUL.</w:t>
      </w:r>
    </w:p>
    <w:p w14:paraId="1B3056B1" w14:textId="77777777" w:rsidR="00A65D55" w:rsidRDefault="00A65D55" w:rsidP="00507C92">
      <w:pPr>
        <w:spacing w:before="120" w:after="120" w:line="240" w:lineRule="auto"/>
        <w:jc w:val="both"/>
        <w:rPr>
          <w:rFonts w:ascii="Calibri" w:hAnsi="Calibri"/>
          <w:b/>
        </w:rPr>
      </w:pPr>
    </w:p>
    <w:p w14:paraId="77E96474" w14:textId="77777777" w:rsidR="00674F35" w:rsidRPr="00A03C60" w:rsidRDefault="00674F35" w:rsidP="00507C92">
      <w:pPr>
        <w:spacing w:before="120" w:after="120" w:line="240" w:lineRule="auto"/>
        <w:jc w:val="both"/>
        <w:rPr>
          <w:rFonts w:ascii="Calibri" w:hAnsi="Calibri"/>
        </w:rPr>
      </w:pPr>
      <w:r w:rsidRPr="00A03C60">
        <w:rPr>
          <w:rFonts w:ascii="Calibri" w:hAnsi="Calibri"/>
          <w:b/>
        </w:rPr>
        <w:t>1. Novo Anexo ao Capítulo sobre Comércio e Desenvolvimento Sustentável, reforçando o compromisso dos dois lados com a agenda ambiental, social e econômica</w:t>
      </w:r>
      <w:r w:rsidRPr="00A03C60">
        <w:rPr>
          <w:rFonts w:ascii="Calibri" w:hAnsi="Calibri"/>
        </w:rPr>
        <w:t>. Com vistas a promover o com</w:t>
      </w:r>
      <w:r w:rsidRPr="00A03C60">
        <w:rPr>
          <w:rFonts w:ascii="Calibri" w:hAnsi="Calibri" w:hint="cs"/>
        </w:rPr>
        <w:t>é</w:t>
      </w:r>
      <w:r w:rsidRPr="00A03C60">
        <w:rPr>
          <w:rFonts w:ascii="Calibri" w:hAnsi="Calibri"/>
        </w:rPr>
        <w:t>rcio internacional e, ao mesmo tempo, contribuir para o desenvolvimento sustent</w:t>
      </w:r>
      <w:r w:rsidRPr="00A03C60">
        <w:rPr>
          <w:rFonts w:ascii="Calibri" w:hAnsi="Calibri" w:hint="cs"/>
        </w:rPr>
        <w:t>á</w:t>
      </w:r>
      <w:r w:rsidRPr="00A03C60">
        <w:rPr>
          <w:rFonts w:ascii="Calibri" w:hAnsi="Calibri"/>
        </w:rPr>
        <w:t xml:space="preserve">vel, </w:t>
      </w:r>
      <w:r w:rsidR="00094D85" w:rsidRPr="00A03C60">
        <w:rPr>
          <w:rFonts w:ascii="Calibri" w:hAnsi="Calibri"/>
        </w:rPr>
        <w:t xml:space="preserve">MERCOSUL </w:t>
      </w:r>
      <w:r w:rsidRPr="00A03C60">
        <w:rPr>
          <w:rFonts w:ascii="Calibri" w:hAnsi="Calibri"/>
        </w:rPr>
        <w:t xml:space="preserve">e União Europeia negociaram um </w:t>
      </w:r>
      <w:r w:rsidRPr="00A03C60">
        <w:rPr>
          <w:rFonts w:ascii="Calibri" w:hAnsi="Calibri"/>
          <w:bCs/>
        </w:rPr>
        <w:t>Anexo ao Capítulo sobre Comércio e Desenvolvimento Sustentável.</w:t>
      </w:r>
      <w:r w:rsidRPr="00A03C60">
        <w:rPr>
          <w:rFonts w:ascii="Calibri" w:hAnsi="Calibri"/>
        </w:rPr>
        <w:t xml:space="preserve"> Ao mesmo tempo em que reforçam seus compromissos ambientais, as Partes rechaçam barreiras desnecessárias ao comércio.</w:t>
      </w:r>
      <w:r w:rsidRPr="00A03C60">
        <w:rPr>
          <w:rFonts w:ascii="Calibri" w:hAnsi="Calibri"/>
          <w:color w:val="000000"/>
        </w:rPr>
        <w:t xml:space="preserve"> </w:t>
      </w:r>
      <w:r w:rsidRPr="00A03C60">
        <w:rPr>
          <w:rFonts w:ascii="Calibri" w:hAnsi="Calibri"/>
        </w:rPr>
        <w:t xml:space="preserve">O Anexo inclui dispositivos a respeito de regimes multilaterais ambientais e trabalhistas; relação entre comércio, investimentos e o desenvolvimento sustentável; comércio e empoderamento feminino; e cooperação. </w:t>
      </w:r>
    </w:p>
    <w:p w14:paraId="4FBFA482" w14:textId="77777777" w:rsidR="00674F35" w:rsidRPr="00A03C60" w:rsidRDefault="00674F35" w:rsidP="0068293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firstLine="708"/>
        <w:jc w:val="both"/>
        <w:rPr>
          <w:rFonts w:ascii="Calibri" w:hAnsi="Calibri"/>
        </w:rPr>
      </w:pPr>
      <w:r w:rsidRPr="00A03C60">
        <w:rPr>
          <w:rFonts w:ascii="Calibri" w:hAnsi="Calibri"/>
        </w:rPr>
        <w:t xml:space="preserve">No Anexo, </w:t>
      </w:r>
      <w:r w:rsidR="00094D85" w:rsidRPr="00A03C60">
        <w:rPr>
          <w:rFonts w:ascii="Calibri" w:hAnsi="Calibri"/>
        </w:rPr>
        <w:t xml:space="preserve">MERCOSUL </w:t>
      </w:r>
      <w:r w:rsidRPr="00A03C60">
        <w:rPr>
          <w:rFonts w:ascii="Calibri" w:hAnsi="Calibri"/>
        </w:rPr>
        <w:t>e UE acordaram uma série de compromissos de proteção ao meio-ambiente e de promoção do trabalho decente. Há previsão de cooperação na implementação de relevantes acordos multilaterais, como a Conven</w:t>
      </w:r>
      <w:r w:rsidRPr="00A03C60">
        <w:rPr>
          <w:rFonts w:ascii="Calibri" w:hAnsi="Calibri" w:hint="cs"/>
        </w:rPr>
        <w:t>çã</w:t>
      </w:r>
      <w:r w:rsidRPr="00A03C60">
        <w:rPr>
          <w:rFonts w:ascii="Calibri" w:hAnsi="Calibri"/>
        </w:rPr>
        <w:t>o-Quadro das Na</w:t>
      </w:r>
      <w:r w:rsidRPr="00A03C60">
        <w:rPr>
          <w:rFonts w:ascii="Calibri" w:hAnsi="Calibri" w:hint="cs"/>
        </w:rPr>
        <w:t>çõ</w:t>
      </w:r>
      <w:r w:rsidRPr="00A03C60">
        <w:rPr>
          <w:rFonts w:ascii="Calibri" w:hAnsi="Calibri"/>
        </w:rPr>
        <w:t>es Unidas sobre a Mudan</w:t>
      </w:r>
      <w:r w:rsidRPr="00A03C60">
        <w:rPr>
          <w:rFonts w:ascii="Calibri" w:hAnsi="Calibri" w:hint="cs"/>
        </w:rPr>
        <w:t>ç</w:t>
      </w:r>
      <w:r w:rsidRPr="00A03C60">
        <w:rPr>
          <w:rFonts w:ascii="Calibri" w:hAnsi="Calibri"/>
        </w:rPr>
        <w:t>a do Clima (UNFCCC), o Acordo de Paris, a Conven</w:t>
      </w:r>
      <w:r w:rsidRPr="00A03C60">
        <w:rPr>
          <w:rFonts w:ascii="Calibri" w:hAnsi="Calibri" w:hint="cs"/>
        </w:rPr>
        <w:t>çã</w:t>
      </w:r>
      <w:r w:rsidRPr="00A03C60">
        <w:rPr>
          <w:rFonts w:ascii="Calibri" w:hAnsi="Calibri"/>
        </w:rPr>
        <w:t>o sobre Diversidade Biol</w:t>
      </w:r>
      <w:r w:rsidRPr="00A03C60">
        <w:rPr>
          <w:rFonts w:ascii="Calibri" w:hAnsi="Calibri" w:hint="cs"/>
        </w:rPr>
        <w:t>ó</w:t>
      </w:r>
      <w:r w:rsidRPr="00A03C60">
        <w:rPr>
          <w:rFonts w:ascii="Calibri" w:hAnsi="Calibri"/>
        </w:rPr>
        <w:t>gica (CBD) e Conven</w:t>
      </w:r>
      <w:r w:rsidRPr="00A03C60">
        <w:rPr>
          <w:rFonts w:ascii="Calibri" w:hAnsi="Calibri" w:hint="cs"/>
        </w:rPr>
        <w:t>çõ</w:t>
      </w:r>
      <w:r w:rsidRPr="00A03C60">
        <w:rPr>
          <w:rFonts w:ascii="Calibri" w:hAnsi="Calibri"/>
        </w:rPr>
        <w:t xml:space="preserve">es da Organização Internacional do Trabalho (OIT). </w:t>
      </w:r>
      <w:r w:rsidR="00094D85" w:rsidRPr="00A03C60">
        <w:rPr>
          <w:rFonts w:ascii="Calibri" w:hAnsi="Calibri"/>
        </w:rPr>
        <w:t xml:space="preserve">MERCOSUL </w:t>
      </w:r>
      <w:r w:rsidRPr="00A03C60">
        <w:rPr>
          <w:rFonts w:ascii="Calibri" w:hAnsi="Calibri"/>
        </w:rPr>
        <w:t xml:space="preserve">e UE acordaram também adotar ações para a promoção de produtos sustentáveis no comércio birregional, promovendo oportunidades para pequenos produtores, cooperativas, povos indígenas e comunidades locais. O novo Anexo também conta com seção dedicada à promoção de cadeias de valor sustentáveis para a transição energética. </w:t>
      </w:r>
      <w:r w:rsidRPr="00A03C60">
        <w:rPr>
          <w:rFonts w:ascii="Calibri" w:hAnsi="Calibri" w:hint="eastAsia"/>
        </w:rPr>
        <w:t>A</w:t>
      </w:r>
      <w:r w:rsidRPr="00A03C60">
        <w:rPr>
          <w:rFonts w:ascii="Calibri" w:hAnsi="Calibri"/>
        </w:rPr>
        <w:t xml:space="preserve">demais, pela primeira vez, um acordo comercial do </w:t>
      </w:r>
      <w:r w:rsidR="00094D85" w:rsidRPr="00A03C60">
        <w:rPr>
          <w:rFonts w:ascii="Calibri" w:hAnsi="Calibri"/>
        </w:rPr>
        <w:t xml:space="preserve">MERCOSUL </w:t>
      </w:r>
      <w:r w:rsidRPr="00A03C60">
        <w:rPr>
          <w:rFonts w:ascii="Calibri" w:hAnsi="Calibri"/>
        </w:rPr>
        <w:t>contar</w:t>
      </w:r>
      <w:r w:rsidRPr="00A03C60">
        <w:rPr>
          <w:rFonts w:ascii="Calibri" w:hAnsi="Calibri" w:hint="cs"/>
        </w:rPr>
        <w:t>á</w:t>
      </w:r>
      <w:r w:rsidRPr="00A03C60">
        <w:rPr>
          <w:rFonts w:ascii="Calibri" w:hAnsi="Calibri"/>
        </w:rPr>
        <w:t xml:space="preserve"> com dispositivos sobre comércio e empoderamento feminino, com vistas a favorecer a coopera</w:t>
      </w:r>
      <w:r w:rsidRPr="00A03C60">
        <w:rPr>
          <w:rFonts w:ascii="Calibri" w:hAnsi="Calibri" w:hint="cs"/>
        </w:rPr>
        <w:t>çã</w:t>
      </w:r>
      <w:r w:rsidRPr="00A03C60">
        <w:rPr>
          <w:rFonts w:ascii="Calibri" w:hAnsi="Calibri"/>
        </w:rPr>
        <w:t>o e troca de melhores pr</w:t>
      </w:r>
      <w:r w:rsidRPr="00A03C60">
        <w:rPr>
          <w:rFonts w:ascii="Calibri" w:hAnsi="Calibri" w:hint="cs"/>
        </w:rPr>
        <w:t>á</w:t>
      </w:r>
      <w:r w:rsidRPr="00A03C60">
        <w:rPr>
          <w:rFonts w:ascii="Calibri" w:hAnsi="Calibri"/>
        </w:rPr>
        <w:t>ticas em pol</w:t>
      </w:r>
      <w:r w:rsidRPr="00A03C60">
        <w:rPr>
          <w:rFonts w:ascii="Calibri" w:hAnsi="Calibri" w:hint="cs"/>
        </w:rPr>
        <w:t>í</w:t>
      </w:r>
      <w:r w:rsidRPr="00A03C60">
        <w:rPr>
          <w:rFonts w:ascii="Calibri" w:hAnsi="Calibri"/>
        </w:rPr>
        <w:t>ticas que promovam a participa</w:t>
      </w:r>
      <w:r w:rsidRPr="00A03C60">
        <w:rPr>
          <w:rFonts w:ascii="Calibri" w:hAnsi="Calibri" w:hint="cs"/>
        </w:rPr>
        <w:t>çã</w:t>
      </w:r>
      <w:r w:rsidRPr="00A03C60">
        <w:rPr>
          <w:rFonts w:ascii="Calibri" w:hAnsi="Calibri"/>
        </w:rPr>
        <w:t>o das mulheres no com</w:t>
      </w:r>
      <w:r w:rsidRPr="00A03C60">
        <w:rPr>
          <w:rFonts w:ascii="Calibri" w:hAnsi="Calibri" w:hint="cs"/>
        </w:rPr>
        <w:t>é</w:t>
      </w:r>
      <w:r w:rsidRPr="00A03C60">
        <w:rPr>
          <w:rFonts w:ascii="Calibri" w:hAnsi="Calibri"/>
        </w:rPr>
        <w:t xml:space="preserve">rcio internacional. </w:t>
      </w:r>
    </w:p>
    <w:p w14:paraId="0616FE80" w14:textId="77777777" w:rsidR="00674F35" w:rsidRPr="00A03C60" w:rsidRDefault="00674F35" w:rsidP="00507C9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hanging="2"/>
        <w:jc w:val="both"/>
        <w:rPr>
          <w:rFonts w:ascii="Calibri" w:hAnsi="Calibri"/>
        </w:rPr>
      </w:pPr>
    </w:p>
    <w:p w14:paraId="3B2E1DDC" w14:textId="0C8C6C35" w:rsidR="00674F35" w:rsidRPr="00A03C60" w:rsidRDefault="00674F35" w:rsidP="00507C9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hanging="2"/>
        <w:jc w:val="both"/>
        <w:rPr>
          <w:rFonts w:ascii="Calibri" w:hAnsi="Calibri"/>
        </w:rPr>
      </w:pPr>
      <w:r w:rsidRPr="00A03C60">
        <w:rPr>
          <w:rFonts w:ascii="Calibri" w:hAnsi="Calibri"/>
          <w:b/>
          <w:bCs/>
        </w:rPr>
        <w:t>2. Compromisso com abordagem cooperativa a respeito de medidas sustent</w:t>
      </w:r>
      <w:r w:rsidRPr="00A03C60">
        <w:rPr>
          <w:rFonts w:ascii="Calibri" w:hAnsi="Calibri" w:hint="cs"/>
          <w:b/>
          <w:bCs/>
        </w:rPr>
        <w:t>á</w:t>
      </w:r>
      <w:r w:rsidRPr="00A03C60">
        <w:rPr>
          <w:rFonts w:ascii="Calibri" w:hAnsi="Calibri"/>
          <w:b/>
          <w:bCs/>
        </w:rPr>
        <w:t>veis dom</w:t>
      </w:r>
      <w:r w:rsidRPr="00A03C60">
        <w:rPr>
          <w:rFonts w:ascii="Calibri" w:hAnsi="Calibri" w:hint="cs"/>
          <w:b/>
          <w:bCs/>
        </w:rPr>
        <w:t>é</w:t>
      </w:r>
      <w:r w:rsidRPr="00A03C60">
        <w:rPr>
          <w:rFonts w:ascii="Calibri" w:hAnsi="Calibri"/>
          <w:b/>
          <w:bCs/>
        </w:rPr>
        <w:t>sticas que impactam o com</w:t>
      </w:r>
      <w:r w:rsidRPr="00A03C60">
        <w:rPr>
          <w:rFonts w:ascii="Calibri" w:hAnsi="Calibri" w:hint="cs"/>
          <w:b/>
          <w:bCs/>
        </w:rPr>
        <w:t>é</w:t>
      </w:r>
      <w:r w:rsidRPr="00A03C60">
        <w:rPr>
          <w:rFonts w:ascii="Calibri" w:hAnsi="Calibri"/>
          <w:b/>
          <w:bCs/>
        </w:rPr>
        <w:t>rcio.</w:t>
      </w:r>
      <w:r w:rsidRPr="00A03C60">
        <w:rPr>
          <w:rFonts w:ascii="Calibri" w:hAnsi="Calibri"/>
        </w:rPr>
        <w:t xml:space="preserve"> No novo Anexo de Comércio e Desenvolvimento Sustentável, a UE se comprometeu a utilizar os dados de autoridades do </w:t>
      </w:r>
      <w:r w:rsidR="00094D85" w:rsidRPr="00A03C60">
        <w:rPr>
          <w:rFonts w:ascii="Calibri" w:hAnsi="Calibri"/>
        </w:rPr>
        <w:t xml:space="preserve">MERCOSUL </w:t>
      </w:r>
      <w:r w:rsidRPr="00A03C60">
        <w:rPr>
          <w:rFonts w:ascii="Calibri" w:hAnsi="Calibri"/>
        </w:rPr>
        <w:t xml:space="preserve">na avaliação da compatibilidade das importações provenientes do </w:t>
      </w:r>
      <w:r w:rsidR="00094D85" w:rsidRPr="00A03C60">
        <w:rPr>
          <w:rFonts w:ascii="Calibri" w:hAnsi="Calibri"/>
        </w:rPr>
        <w:t xml:space="preserve">MERCOSUL </w:t>
      </w:r>
      <w:r w:rsidRPr="00A03C60">
        <w:rPr>
          <w:rFonts w:ascii="Calibri" w:hAnsi="Calibri"/>
        </w:rPr>
        <w:t>com requisitos de conformidade estabelecidos por legislações do bloco europeu.</w:t>
      </w:r>
      <w:r w:rsidRPr="00A03C60">
        <w:rPr>
          <w:rFonts w:ascii="Calibri" w:hAnsi="Calibri"/>
          <w:color w:val="000000"/>
        </w:rPr>
        <w:t xml:space="preserve"> </w:t>
      </w:r>
      <w:r w:rsidR="00094D85">
        <w:rPr>
          <w:rFonts w:ascii="Calibri" w:hAnsi="Calibri"/>
          <w:color w:val="000000"/>
        </w:rPr>
        <w:t xml:space="preserve">Esse compromisso é um reconhecimento da qualidade dos dados produzidos por instituições dos países do MERCOSUL para a implementação de legislações europeias. </w:t>
      </w:r>
      <w:r w:rsidRPr="00A03C60">
        <w:rPr>
          <w:rFonts w:ascii="Calibri" w:hAnsi="Calibri"/>
        </w:rPr>
        <w:t xml:space="preserve">As Partes também reconheceram que as medidas ambientais que impactam o comércio devem ser consistentes com os Acordos da Organização Mundial do Comércio (OMC), não devem constituir restrição disfarçada ao comércio e devem ser baseadas em informações técnicas e científicas. As Partes acordaram que o novo Anexo negociado não implica endosso das exigências ambientais adotadas por um lado e outro, reservando-se, nesse contexto, seus direitos no âmbito da OMC. </w:t>
      </w:r>
    </w:p>
    <w:p w14:paraId="733C64F3" w14:textId="77777777" w:rsidR="00674F35" w:rsidRPr="00A03C60" w:rsidRDefault="00674F35" w:rsidP="00507C9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Calibri" w:hAnsi="Calibri"/>
          <w:color w:val="000000"/>
        </w:rPr>
      </w:pPr>
    </w:p>
    <w:p w14:paraId="6EF9AAEC" w14:textId="22E4047C" w:rsidR="00674F35" w:rsidRPr="00A03C60" w:rsidRDefault="00674F35" w:rsidP="00507C92">
      <w:pPr>
        <w:spacing w:before="120" w:after="120" w:line="240" w:lineRule="auto"/>
        <w:jc w:val="both"/>
        <w:rPr>
          <w:rFonts w:ascii="Calibri" w:hAnsi="Calibri"/>
        </w:rPr>
      </w:pPr>
      <w:r w:rsidRPr="00A03C60">
        <w:rPr>
          <w:rFonts w:ascii="Calibri" w:hAnsi="Calibri"/>
          <w:b/>
        </w:rPr>
        <w:t>3. Compras Governamentais como instrumento de política industrial e desenvolvimento econômico.</w:t>
      </w:r>
      <w:r w:rsidRPr="00A03C60">
        <w:rPr>
          <w:rFonts w:ascii="Calibri" w:hAnsi="Calibri"/>
        </w:rPr>
        <w:t xml:space="preserve"> Diante do reconhecimento da importância de compras governamentais como instrumento para o desenvolvimento econômico e industrial, o </w:t>
      </w:r>
      <w:r w:rsidR="00094D85">
        <w:rPr>
          <w:rFonts w:ascii="Calibri" w:hAnsi="Calibri"/>
        </w:rPr>
        <w:t>c</w:t>
      </w:r>
      <w:r w:rsidRPr="00A03C60">
        <w:rPr>
          <w:rFonts w:ascii="Calibri" w:hAnsi="Calibri"/>
        </w:rPr>
        <w:t xml:space="preserve">apítulo de Compras Governamentais foi objeto de renegociação entre </w:t>
      </w:r>
      <w:r w:rsidR="00094D85" w:rsidRPr="00A03C60">
        <w:rPr>
          <w:rFonts w:ascii="Calibri" w:hAnsi="Calibri"/>
        </w:rPr>
        <w:t xml:space="preserve">MERCOSUL </w:t>
      </w:r>
      <w:r w:rsidRPr="00A03C60">
        <w:rPr>
          <w:rFonts w:ascii="Calibri" w:hAnsi="Calibri"/>
        </w:rPr>
        <w:t xml:space="preserve">e </w:t>
      </w:r>
      <w:r w:rsidR="00094D85">
        <w:rPr>
          <w:rFonts w:ascii="Calibri" w:hAnsi="Calibri"/>
        </w:rPr>
        <w:t>U</w:t>
      </w:r>
      <w:r w:rsidR="00561746">
        <w:rPr>
          <w:rFonts w:ascii="Calibri" w:hAnsi="Calibri"/>
        </w:rPr>
        <w:t>E</w:t>
      </w:r>
      <w:r w:rsidR="00094D85">
        <w:rPr>
          <w:rFonts w:ascii="Calibri" w:hAnsi="Calibri"/>
        </w:rPr>
        <w:t xml:space="preserve"> na etapa negociadora iniciada em 2023</w:t>
      </w:r>
      <w:r w:rsidRPr="00A03C60">
        <w:rPr>
          <w:rFonts w:ascii="Calibri" w:hAnsi="Calibri"/>
        </w:rPr>
        <w:t>. O Brasil propôs ajustes nos termos que haviam sido tratados no passado, com vistas a preservar o uso do poder de compra do Estado como ferramenta da nova política industrial brasileira. Dentre os ajustes promovidos, merece destaque</w:t>
      </w:r>
      <w:r w:rsidR="00094D85">
        <w:rPr>
          <w:rFonts w:ascii="Calibri" w:hAnsi="Calibri"/>
        </w:rPr>
        <w:t xml:space="preserve"> a completa exclusão das compras realizadas pelo </w:t>
      </w:r>
      <w:r w:rsidRPr="00A03C60">
        <w:rPr>
          <w:rFonts w:ascii="Calibri" w:hAnsi="Calibri"/>
        </w:rPr>
        <w:t xml:space="preserve">Sistema Único de Saúde; </w:t>
      </w:r>
      <w:r w:rsidR="00094D85">
        <w:rPr>
          <w:rFonts w:ascii="Calibri" w:hAnsi="Calibri"/>
        </w:rPr>
        <w:t xml:space="preserve">a preservação da possibilidade de </w:t>
      </w:r>
      <w:r w:rsidRPr="00A03C60">
        <w:rPr>
          <w:rFonts w:ascii="Calibri" w:hAnsi="Calibri"/>
        </w:rPr>
        <w:t>encomendas tecnológicas</w:t>
      </w:r>
      <w:r w:rsidR="00094D85">
        <w:rPr>
          <w:rFonts w:ascii="Calibri" w:hAnsi="Calibri"/>
        </w:rPr>
        <w:t>, importante política de fomento à inovação</w:t>
      </w:r>
      <w:r w:rsidRPr="00A03C60">
        <w:rPr>
          <w:rFonts w:ascii="Calibri" w:hAnsi="Calibri"/>
        </w:rPr>
        <w:t xml:space="preserve">; </w:t>
      </w:r>
      <w:r w:rsidR="00561746">
        <w:rPr>
          <w:rFonts w:ascii="Calibri" w:hAnsi="Calibri"/>
        </w:rPr>
        <w:t>a eliminação de restrições temporais ao uso de offsets tecnológicos e comerciais</w:t>
      </w:r>
      <w:r w:rsidR="00561746" w:rsidRPr="00D87958">
        <w:rPr>
          <w:rFonts w:ascii="Calibri" w:hAnsi="Calibri"/>
        </w:rPr>
        <w:t>;</w:t>
      </w:r>
      <w:r w:rsidR="00561746">
        <w:rPr>
          <w:rFonts w:ascii="Calibri" w:hAnsi="Calibri"/>
        </w:rPr>
        <w:t xml:space="preserve"> a manutenção de espaço para </w:t>
      </w:r>
      <w:r w:rsidRPr="00A03C60">
        <w:rPr>
          <w:rFonts w:ascii="Calibri" w:hAnsi="Calibri"/>
        </w:rPr>
        <w:t xml:space="preserve">políticas de incentivo a micro e pequenas empresas e </w:t>
      </w:r>
      <w:r w:rsidR="00654806">
        <w:rPr>
          <w:rFonts w:ascii="Calibri" w:hAnsi="Calibri"/>
        </w:rPr>
        <w:t>agricultura familiar</w:t>
      </w:r>
      <w:r w:rsidRPr="00A03C60">
        <w:rPr>
          <w:rFonts w:ascii="Calibri" w:hAnsi="Calibri"/>
        </w:rPr>
        <w:t xml:space="preserve">; e </w:t>
      </w:r>
      <w:r w:rsidR="006729AE">
        <w:rPr>
          <w:rFonts w:ascii="Calibri" w:hAnsi="Calibri"/>
        </w:rPr>
        <w:t xml:space="preserve">a preservação de </w:t>
      </w:r>
      <w:r w:rsidRPr="00A03C60">
        <w:rPr>
          <w:rFonts w:ascii="Calibri" w:hAnsi="Calibri"/>
        </w:rPr>
        <w:t xml:space="preserve">margens de preferências para produtos e serviços nacionais. </w:t>
      </w:r>
    </w:p>
    <w:p w14:paraId="7B1F0842" w14:textId="77777777" w:rsidR="00674F35" w:rsidRPr="00A03C60" w:rsidRDefault="00674F35" w:rsidP="00507C92">
      <w:pPr>
        <w:spacing w:before="120" w:after="120" w:line="240" w:lineRule="auto"/>
        <w:jc w:val="both"/>
        <w:rPr>
          <w:rFonts w:ascii="Calibri" w:hAnsi="Calibri"/>
        </w:rPr>
      </w:pPr>
    </w:p>
    <w:p w14:paraId="708CB4CC" w14:textId="1DD9B8BC" w:rsidR="00674F35" w:rsidRPr="00A03C60" w:rsidRDefault="00674F35" w:rsidP="00507C92">
      <w:pPr>
        <w:spacing w:before="120" w:after="120" w:line="240" w:lineRule="auto"/>
        <w:jc w:val="both"/>
        <w:rPr>
          <w:rFonts w:ascii="Calibri" w:hAnsi="Calibri"/>
        </w:rPr>
      </w:pPr>
      <w:r w:rsidRPr="00A03C60">
        <w:rPr>
          <w:rFonts w:ascii="Calibri" w:hAnsi="Calibri"/>
          <w:b/>
          <w:bCs/>
        </w:rPr>
        <w:t xml:space="preserve">4. Setor automotivo com eliminação tarifária em período mais longo. </w:t>
      </w:r>
      <w:r w:rsidRPr="00A03C60">
        <w:rPr>
          <w:rFonts w:ascii="Calibri" w:hAnsi="Calibri"/>
        </w:rPr>
        <w:t>Com novas rotas tecnológicas para viabilizar a transição energética, o setor automotivo passa por transformação importante mundo afora. Nesse cenário</w:t>
      </w:r>
      <w:r w:rsidR="004F5FEA">
        <w:rPr>
          <w:rFonts w:ascii="Calibri" w:hAnsi="Calibri"/>
        </w:rPr>
        <w:t>,</w:t>
      </w:r>
      <w:r w:rsidRPr="00A03C60">
        <w:rPr>
          <w:rFonts w:ascii="Calibri" w:hAnsi="Calibri"/>
        </w:rPr>
        <w:t xml:space="preserve"> e diante da importância do setor para o Brasil, o </w:t>
      </w:r>
      <w:r w:rsidR="00094D85" w:rsidRPr="00A03C60">
        <w:rPr>
          <w:rFonts w:ascii="Calibri" w:hAnsi="Calibri"/>
        </w:rPr>
        <w:t xml:space="preserve">MERCOSUL </w:t>
      </w:r>
      <w:r w:rsidRPr="00A03C60">
        <w:rPr>
          <w:rFonts w:ascii="Calibri" w:hAnsi="Calibri"/>
        </w:rPr>
        <w:t xml:space="preserve">negociou condições mais flexíveis para a redução tarifária para veículos </w:t>
      </w:r>
      <w:r w:rsidR="004F5FEA">
        <w:rPr>
          <w:rFonts w:ascii="Calibri" w:hAnsi="Calibri"/>
        </w:rPr>
        <w:t xml:space="preserve">eletrificados </w:t>
      </w:r>
      <w:r w:rsidRPr="00A03C60">
        <w:rPr>
          <w:rFonts w:ascii="Calibri" w:hAnsi="Calibri"/>
        </w:rPr>
        <w:t xml:space="preserve">e para veículos de novas tecnologias, mesmo as ainda não disponíveis comercialmente. Nesta etapa negociadora, o </w:t>
      </w:r>
      <w:r w:rsidR="00094D85" w:rsidRPr="00A03C60">
        <w:rPr>
          <w:rFonts w:ascii="Calibri" w:hAnsi="Calibri"/>
        </w:rPr>
        <w:t xml:space="preserve">MERCOSUL </w:t>
      </w:r>
      <w:r w:rsidRPr="00A03C60">
        <w:rPr>
          <w:rFonts w:ascii="Calibri" w:hAnsi="Calibri"/>
        </w:rPr>
        <w:t xml:space="preserve">destacou certos veículos do cronograma aplicável a veículos a combustão, anteriormente definido com eliminação de tarifas em 15 anos. Para veículos </w:t>
      </w:r>
      <w:r w:rsidR="00F923A3">
        <w:rPr>
          <w:rFonts w:ascii="Calibri" w:hAnsi="Calibri"/>
        </w:rPr>
        <w:t>eletrificados</w:t>
      </w:r>
      <w:r w:rsidRPr="00A03C60">
        <w:rPr>
          <w:rFonts w:ascii="Calibri" w:hAnsi="Calibri"/>
        </w:rPr>
        <w:t>, a desgravação passará a se dar em 18 anos. Para veículos a hidrogênio o período será de 25 anos, com 6 anos de carência. Para novas tecnologias, 30 anos, com 6 anos de carência. Até esta etapa negoci</w:t>
      </w:r>
      <w:r w:rsidR="00094D85">
        <w:rPr>
          <w:rFonts w:ascii="Calibri" w:hAnsi="Calibri"/>
        </w:rPr>
        <w:t>a</w:t>
      </w:r>
      <w:r w:rsidRPr="00A03C60">
        <w:rPr>
          <w:rFonts w:ascii="Calibri" w:hAnsi="Calibri"/>
        </w:rPr>
        <w:t>dora, nenhum cronograma de desgravação era superior a 15 anos.</w:t>
      </w:r>
    </w:p>
    <w:p w14:paraId="6100FACE" w14:textId="77777777" w:rsidR="00674F35" w:rsidRPr="00A03C60" w:rsidRDefault="00674F35" w:rsidP="00507C92">
      <w:pPr>
        <w:spacing w:before="120" w:after="120" w:line="240" w:lineRule="auto"/>
        <w:jc w:val="both"/>
        <w:rPr>
          <w:rFonts w:ascii="Calibri" w:hAnsi="Calibri"/>
        </w:rPr>
      </w:pPr>
    </w:p>
    <w:p w14:paraId="7DA2A50C" w14:textId="77777777" w:rsidR="00674F35" w:rsidRPr="00A03C60" w:rsidRDefault="00674F35" w:rsidP="00507C92">
      <w:pPr>
        <w:spacing w:before="120" w:after="120" w:line="240" w:lineRule="auto"/>
        <w:jc w:val="both"/>
        <w:rPr>
          <w:rFonts w:ascii="Calibri" w:hAnsi="Calibri"/>
        </w:rPr>
      </w:pPr>
      <w:r w:rsidRPr="00A03C60">
        <w:rPr>
          <w:rFonts w:ascii="Calibri" w:hAnsi="Calibri"/>
          <w:b/>
          <w:bCs/>
        </w:rPr>
        <w:t xml:space="preserve">5. Criação de uma salvaguarda de investimentos para o setor automotivo. </w:t>
      </w:r>
      <w:r w:rsidRPr="00A03C60">
        <w:rPr>
          <w:rFonts w:ascii="Calibri" w:hAnsi="Calibri"/>
        </w:rPr>
        <w:t xml:space="preserve">Foi estabelecido um mecanismo inédito de salvaguardas com vistas a preservar e ampliar investimentos automotivos. Caso venha a haver um aumento de importações europeias que causem dano à indústria, o Brasil </w:t>
      </w:r>
      <w:r w:rsidRPr="00A03C60">
        <w:rPr>
          <w:rFonts w:ascii="Calibri" w:hAnsi="Calibri"/>
        </w:rPr>
        <w:lastRenderedPageBreak/>
        <w:t>pode suspender o cronograma de desgravação de todo o setor ou retomar a alíquota aplicável às demais origens (hoje, de 35%) por um período de 3 anos, renovável por mais 2 anos, sem necessidade de oferecer compensação à União Europeia. A avaliação levará em conta parâmetros como o nível de emprego, volumes de venda e produção, capacidade instalada e grau de ocupação da capacidade do setor automotivo. Esta salvaguarda de investimentos automotivos é mais facilmente acionável do que a salvaguarda geral prevista no Acordo.</w:t>
      </w:r>
    </w:p>
    <w:p w14:paraId="63A2B2FF" w14:textId="77777777" w:rsidR="00674F35" w:rsidRPr="00A03C60" w:rsidRDefault="00674F35" w:rsidP="00507C92">
      <w:pPr>
        <w:spacing w:before="120" w:after="120" w:line="240" w:lineRule="auto"/>
        <w:jc w:val="both"/>
        <w:rPr>
          <w:rFonts w:ascii="Calibri" w:hAnsi="Calibri"/>
        </w:rPr>
      </w:pPr>
    </w:p>
    <w:p w14:paraId="73B9C15E" w14:textId="77777777" w:rsidR="00674F35" w:rsidRPr="00A03C60" w:rsidRDefault="00674F35" w:rsidP="00507C92">
      <w:pPr>
        <w:spacing w:before="120" w:after="120" w:line="240" w:lineRule="auto"/>
        <w:jc w:val="both"/>
        <w:rPr>
          <w:rFonts w:ascii="Calibri" w:hAnsi="Calibri"/>
        </w:rPr>
      </w:pPr>
      <w:r w:rsidRPr="00A03C60">
        <w:rPr>
          <w:rFonts w:ascii="Calibri" w:hAnsi="Calibri"/>
          <w:b/>
          <w:bCs/>
        </w:rPr>
        <w:t>6. Adoção de flexibilidade para políticas públicas sobre minerais críticos.</w:t>
      </w:r>
      <w:r w:rsidRPr="00A03C60">
        <w:rPr>
          <w:rFonts w:ascii="Calibri" w:hAnsi="Calibri"/>
        </w:rPr>
        <w:t xml:space="preserve"> A partir da renegociação de 2023-2024, o Brasil garante o direito de aplicar restrição às exportações de minerais críticos se julgar apropriado, por exemplo, para estimular a agregação de valor no país. Caso o Brasil venha a adotar imposto de exportação a esses produtos (o que não é o caso hoje), a alíquota aplicável à UE deverá ser mais baixa do que a incidente sobre outros destinos, não podendo ultrapassar 25%. O pré-acordo adotado em 2019 proibia qualquer incidência de direito às exportações no comércio entre Brasil e União Europeia. </w:t>
      </w:r>
    </w:p>
    <w:p w14:paraId="383C2018" w14:textId="77777777" w:rsidR="00674F35" w:rsidRPr="00A03C60" w:rsidRDefault="00674F35" w:rsidP="00507C92">
      <w:pPr>
        <w:spacing w:before="120" w:after="120" w:line="240" w:lineRule="auto"/>
        <w:jc w:val="both"/>
        <w:rPr>
          <w:rFonts w:ascii="Calibri" w:hAnsi="Calibri"/>
        </w:rPr>
      </w:pPr>
    </w:p>
    <w:p w14:paraId="75A816C0" w14:textId="0DAB5E2D" w:rsidR="00AA0F1E" w:rsidRDefault="00674F35" w:rsidP="00507C92">
      <w:pPr>
        <w:spacing w:before="120" w:after="120" w:line="240" w:lineRule="auto"/>
        <w:jc w:val="both"/>
        <w:rPr>
          <w:rFonts w:ascii="Calibri" w:hAnsi="Calibri"/>
        </w:rPr>
      </w:pPr>
      <w:r w:rsidRPr="00A03C60">
        <w:rPr>
          <w:rFonts w:ascii="Calibri" w:hAnsi="Calibri"/>
          <w:b/>
          <w:bCs/>
        </w:rPr>
        <w:t>7. Criação de um Mecanismo de Reequilíbrio do Acordo para evitar que medidas unilaterais comprometam concessões comerciais negociadas</w:t>
      </w:r>
      <w:r w:rsidRPr="00A03C60">
        <w:rPr>
          <w:rFonts w:ascii="Calibri" w:hAnsi="Calibri"/>
        </w:rPr>
        <w:t xml:space="preserve">. De forma inédita, foi agora estabelecido um mecanismo para evitar que medidas unilaterais das Partes prejudiquem o equilíbrio estabelecido </w:t>
      </w:r>
      <w:r w:rsidR="00AA0F1E">
        <w:rPr>
          <w:rFonts w:ascii="Calibri" w:hAnsi="Calibri"/>
        </w:rPr>
        <w:t>n</w:t>
      </w:r>
      <w:r w:rsidRPr="00A03C60">
        <w:rPr>
          <w:rFonts w:ascii="Calibri" w:hAnsi="Calibri"/>
        </w:rPr>
        <w:t xml:space="preserve">o Acordo, uma vez que tais medidas têm o potencial de comprometer concessões comerciais negociadas e desequilibrar o resultado acordado. </w:t>
      </w:r>
      <w:r w:rsidR="00AA0F1E">
        <w:rPr>
          <w:rFonts w:ascii="Calibri" w:hAnsi="Calibri"/>
        </w:rPr>
        <w:t xml:space="preserve">Após o “acordo político” de 2019, a União Europeia adotou legislações que, a depender da forma como </w:t>
      </w:r>
      <w:r w:rsidR="006729AE">
        <w:rPr>
          <w:rFonts w:ascii="Calibri" w:hAnsi="Calibri"/>
        </w:rPr>
        <w:t xml:space="preserve">sejam </w:t>
      </w:r>
      <w:r w:rsidR="00AA0F1E">
        <w:rPr>
          <w:rFonts w:ascii="Calibri" w:hAnsi="Calibri"/>
        </w:rPr>
        <w:t>implementadas, poderão romper o equilíbrio refletido no entendimento de 2019 naqueles temas que não foram renegociados na etapa iniciada em 2023. É o caso, por exemplo, das cotas oferecidas pela UE para a exportação de carnes do MERCOSUL, que não foram reabertas na etapa de 2023.</w:t>
      </w:r>
    </w:p>
    <w:p w14:paraId="4C7DC261" w14:textId="27E187DE" w:rsidR="00674F35" w:rsidRPr="00A03C60" w:rsidRDefault="00674F35" w:rsidP="00507C92">
      <w:pPr>
        <w:spacing w:before="120" w:after="120" w:line="240" w:lineRule="auto"/>
        <w:jc w:val="both"/>
        <w:rPr>
          <w:rFonts w:ascii="Calibri" w:hAnsi="Calibri"/>
        </w:rPr>
      </w:pPr>
      <w:r w:rsidRPr="00A03C60">
        <w:rPr>
          <w:rFonts w:ascii="Calibri" w:hAnsi="Calibri"/>
        </w:rPr>
        <w:t>Estabeleceu-se que uma arbitragem definirá se houve esvaziamento dos compromissos assumidos e em que montante, independentemente de ter havido violação ou não do Acordo. Se for o caso, a parte que restringiu o comércio deve oferecer compensações comerciais (abertura de mercado) ao outro lado. Se não houver acordo quanto à compensação, há direito a “retaliação” (suspensão de benefícios previstos no Acordo), no montante definido em arbitragem</w:t>
      </w:r>
      <w:r w:rsidR="006729AE">
        <w:rPr>
          <w:rFonts w:ascii="Calibri" w:hAnsi="Calibri"/>
        </w:rPr>
        <w:t>, com vistas a restabelecer o equilíbrio do Acordo</w:t>
      </w:r>
      <w:r w:rsidRPr="00A03C60">
        <w:rPr>
          <w:rFonts w:ascii="Calibri" w:hAnsi="Calibri"/>
        </w:rPr>
        <w:t>.</w:t>
      </w:r>
    </w:p>
    <w:p w14:paraId="0F96DC2E" w14:textId="77777777" w:rsidR="00674F35" w:rsidRPr="00A03C60" w:rsidRDefault="00674F35" w:rsidP="00507C92">
      <w:pPr>
        <w:spacing w:before="120" w:after="120" w:line="240" w:lineRule="auto"/>
        <w:jc w:val="both"/>
        <w:rPr>
          <w:rFonts w:ascii="Calibri" w:hAnsi="Calibri"/>
        </w:rPr>
      </w:pPr>
    </w:p>
    <w:p w14:paraId="29899B7E" w14:textId="665FDE2D" w:rsidR="00674F35" w:rsidRPr="00A03C60" w:rsidRDefault="00674F35" w:rsidP="00507C92">
      <w:pPr>
        <w:spacing w:before="120" w:after="120" w:line="240" w:lineRule="auto"/>
        <w:jc w:val="both"/>
        <w:rPr>
          <w:rFonts w:ascii="Calibri" w:hAnsi="Calibri"/>
          <w:b/>
          <w:bCs/>
        </w:rPr>
      </w:pPr>
      <w:r w:rsidRPr="00A03C60">
        <w:rPr>
          <w:rFonts w:ascii="Calibri" w:hAnsi="Calibri"/>
          <w:b/>
          <w:bCs/>
        </w:rPr>
        <w:t xml:space="preserve">8. Sociedade civil, sindicatos e organizações empresariais com direito a participação na revisão do Acordo. </w:t>
      </w:r>
      <w:r w:rsidRPr="00A03C60">
        <w:rPr>
          <w:rFonts w:ascii="Calibri" w:hAnsi="Calibri"/>
        </w:rPr>
        <w:t>Com base no pacote</w:t>
      </w:r>
      <w:r w:rsidR="00114CBF">
        <w:rPr>
          <w:rFonts w:ascii="Calibri" w:hAnsi="Calibri"/>
        </w:rPr>
        <w:t xml:space="preserve"> negociado em </w:t>
      </w:r>
      <w:r w:rsidRPr="00A03C60">
        <w:rPr>
          <w:rFonts w:ascii="Calibri" w:hAnsi="Calibri"/>
        </w:rPr>
        <w:t>2023-2024, o processo de revisão da implementação do Acordo passa a ser mais inclusivo. A revisão, que tem</w:t>
      </w:r>
      <w:r w:rsidR="00114CBF">
        <w:rPr>
          <w:rFonts w:ascii="Calibri" w:hAnsi="Calibri"/>
        </w:rPr>
        <w:t xml:space="preserve"> </w:t>
      </w:r>
      <w:r w:rsidRPr="00A03C60">
        <w:rPr>
          <w:rFonts w:ascii="Calibri" w:hAnsi="Calibri"/>
        </w:rPr>
        <w:t>como objetivo avaliar os impactos do Acordo no emprego, investimento e comércio entre as Partes, deverá considerar opiniões e recomendações de atores da sociedade civil, como ONGs, organizações empresariais e de empregadores, movimentos sociais e sindicatos. </w:t>
      </w:r>
      <w:r w:rsidR="003E6A82">
        <w:rPr>
          <w:rFonts w:ascii="Calibri" w:hAnsi="Calibri"/>
        </w:rPr>
        <w:t xml:space="preserve">O exercício periódico de revisão dos impactos do Acordo poderá levar os governos das Partes a negociar emendas ao texto. </w:t>
      </w:r>
    </w:p>
    <w:p w14:paraId="1F1EEEE4" w14:textId="77777777" w:rsidR="00674F35" w:rsidRPr="00A03C60" w:rsidRDefault="00674F35" w:rsidP="00507C92">
      <w:pPr>
        <w:spacing w:before="120" w:after="120" w:line="240" w:lineRule="auto"/>
        <w:jc w:val="both"/>
        <w:rPr>
          <w:rFonts w:ascii="Calibri" w:hAnsi="Calibri"/>
        </w:rPr>
      </w:pPr>
    </w:p>
    <w:p w14:paraId="00BF6A90" w14:textId="4C28FD9B" w:rsidR="00674F35" w:rsidRPr="00A03C60" w:rsidRDefault="00674F35" w:rsidP="00507C92">
      <w:pPr>
        <w:spacing w:before="120" w:after="120" w:line="240" w:lineRule="auto"/>
        <w:jc w:val="both"/>
        <w:rPr>
          <w:rFonts w:ascii="Calibri" w:hAnsi="Calibri"/>
        </w:rPr>
      </w:pPr>
      <w:r w:rsidRPr="00A03C60">
        <w:rPr>
          <w:rFonts w:ascii="Calibri" w:hAnsi="Calibri"/>
          <w:b/>
          <w:bCs/>
        </w:rPr>
        <w:lastRenderedPageBreak/>
        <w:t xml:space="preserve">9. Recursos para a cooperação com vistas a apoiar países do Mercosul a se beneficiarem do Acordo. </w:t>
      </w:r>
      <w:r w:rsidRPr="00A03C60">
        <w:rPr>
          <w:rFonts w:ascii="Calibri" w:hAnsi="Calibri"/>
        </w:rPr>
        <w:t xml:space="preserve">Juntamente com a conclusão do Acordo, a UE </w:t>
      </w:r>
      <w:r w:rsidR="00320A52">
        <w:rPr>
          <w:rFonts w:ascii="Calibri" w:hAnsi="Calibri"/>
        </w:rPr>
        <w:t xml:space="preserve">oferecerá </w:t>
      </w:r>
      <w:r w:rsidR="00502D53">
        <w:rPr>
          <w:rFonts w:ascii="Calibri" w:hAnsi="Calibri"/>
        </w:rPr>
        <w:t xml:space="preserve">pacote </w:t>
      </w:r>
      <w:r w:rsidRPr="00A03C60">
        <w:rPr>
          <w:rFonts w:ascii="Calibri" w:hAnsi="Calibri"/>
        </w:rPr>
        <w:t xml:space="preserve">para apoiar países do </w:t>
      </w:r>
      <w:r w:rsidR="00372FBA" w:rsidRPr="00A03C60">
        <w:rPr>
          <w:rFonts w:ascii="Calibri" w:hAnsi="Calibri"/>
        </w:rPr>
        <w:t xml:space="preserve">MERCOSUL </w:t>
      </w:r>
      <w:r w:rsidRPr="00A03C60">
        <w:rPr>
          <w:rFonts w:ascii="Calibri" w:hAnsi="Calibri"/>
        </w:rPr>
        <w:t xml:space="preserve">na </w:t>
      </w:r>
      <w:r w:rsidR="00372FBA">
        <w:rPr>
          <w:rFonts w:ascii="Calibri" w:hAnsi="Calibri"/>
        </w:rPr>
        <w:t>implementação do Acordo, em particular em seus aspectos comerciais, tendo em conta a importância em particular de apoiar setores mais vulneráveis</w:t>
      </w:r>
      <w:r w:rsidRPr="00A03C60">
        <w:rPr>
          <w:rFonts w:ascii="Calibri" w:hAnsi="Calibri"/>
        </w:rPr>
        <w:t>.</w:t>
      </w:r>
      <w:r w:rsidR="00372FBA">
        <w:rPr>
          <w:rFonts w:ascii="Calibri" w:hAnsi="Calibri"/>
        </w:rPr>
        <w:t xml:space="preserve"> Esse compromisso está associado à conclusão de um Protocolo de Cooperação, sob o qual MERCOSUL e União Europeia colaborarão para definir as prioridades dos programas a serem apoiados.</w:t>
      </w:r>
    </w:p>
    <w:p w14:paraId="4A67BF99" w14:textId="77777777" w:rsidR="00674F35" w:rsidRPr="00A03C60" w:rsidRDefault="00674F35" w:rsidP="00507C92">
      <w:pPr>
        <w:spacing w:before="120" w:after="120" w:line="240" w:lineRule="auto"/>
        <w:jc w:val="both"/>
        <w:rPr>
          <w:rFonts w:ascii="Calibri" w:hAnsi="Calibri"/>
          <w:b/>
          <w:bCs/>
        </w:rPr>
      </w:pPr>
    </w:p>
    <w:p w14:paraId="092E2DA6" w14:textId="0077A0EC" w:rsidR="00674F35" w:rsidRPr="00A03C60" w:rsidRDefault="00674F35" w:rsidP="00507C92">
      <w:pPr>
        <w:spacing w:before="120" w:after="120" w:line="240" w:lineRule="auto"/>
        <w:jc w:val="both"/>
        <w:rPr>
          <w:rFonts w:ascii="Calibri" w:hAnsi="Calibri"/>
        </w:rPr>
      </w:pPr>
      <w:r w:rsidRPr="00A03C60">
        <w:rPr>
          <w:rFonts w:ascii="Calibri" w:hAnsi="Calibri"/>
          <w:b/>
          <w:bCs/>
        </w:rPr>
        <w:t>10. Conclusão de temas pendentes das negociações de 2019</w:t>
      </w:r>
      <w:r w:rsidRPr="00A03C60">
        <w:rPr>
          <w:rFonts w:ascii="Calibri" w:hAnsi="Calibri"/>
        </w:rPr>
        <w:t>. A etapa negociadora de 2023-2024 também viabilizou a conclusão de temas que ainda estavam em aberto em 2019, como Indicações Geográficas</w:t>
      </w:r>
      <w:r w:rsidR="00D87958">
        <w:rPr>
          <w:rFonts w:ascii="Calibri" w:hAnsi="Calibri"/>
        </w:rPr>
        <w:t>,</w:t>
      </w:r>
      <w:r w:rsidR="006729AE">
        <w:rPr>
          <w:rFonts w:ascii="Calibri" w:hAnsi="Calibri"/>
        </w:rPr>
        <w:t xml:space="preserve"> por exemplo para vinhos</w:t>
      </w:r>
      <w:r w:rsidRPr="00A03C60">
        <w:rPr>
          <w:rFonts w:ascii="Calibri" w:hAnsi="Calibri"/>
          <w:i/>
          <w:iCs/>
        </w:rPr>
        <w:t>.</w:t>
      </w:r>
      <w:r w:rsidR="00372FBA">
        <w:rPr>
          <w:rFonts w:ascii="Calibri" w:hAnsi="Calibri"/>
          <w:iCs/>
        </w:rPr>
        <w:t xml:space="preserve"> </w:t>
      </w:r>
      <w:r w:rsidR="00D87958">
        <w:rPr>
          <w:rFonts w:ascii="Calibri" w:hAnsi="Calibri"/>
          <w:iCs/>
        </w:rPr>
        <w:t xml:space="preserve">Nessa etapa, foram negociadas disciplinas que delimitam os direitos de detentores de Indicações Geográficas, dentre outras aquelas que salvaguardam, nos países do MERCOSUL, os usuários prévios de nomes geográficos </w:t>
      </w:r>
      <w:r w:rsidR="00AF502C">
        <w:rPr>
          <w:rFonts w:ascii="Calibri" w:hAnsi="Calibri"/>
          <w:iCs/>
        </w:rPr>
        <w:t xml:space="preserve">europeus </w:t>
      </w:r>
      <w:r w:rsidR="00D87958">
        <w:rPr>
          <w:rFonts w:ascii="Calibri" w:hAnsi="Calibri"/>
          <w:iCs/>
        </w:rPr>
        <w:t>que serão protegidos pelo Acordo.</w:t>
      </w:r>
      <w:r w:rsidRPr="00A03C60">
        <w:rPr>
          <w:rFonts w:ascii="Calibri" w:hAnsi="Calibri"/>
          <w:i/>
          <w:iCs/>
        </w:rPr>
        <w:t xml:space="preserve"> </w:t>
      </w:r>
    </w:p>
    <w:p w14:paraId="4B99E8CF" w14:textId="77777777" w:rsidR="00674F35" w:rsidRPr="00A03C60" w:rsidRDefault="00674F35" w:rsidP="00507C92">
      <w:pPr>
        <w:spacing w:before="120" w:after="120" w:line="240" w:lineRule="auto"/>
        <w:jc w:val="both"/>
        <w:rPr>
          <w:rFonts w:ascii="Calibri" w:hAnsi="Calibri"/>
        </w:rPr>
      </w:pPr>
    </w:p>
    <w:p w14:paraId="6A852D2E" w14:textId="77777777" w:rsidR="00674F35" w:rsidRPr="00A03C60" w:rsidRDefault="00A03C60" w:rsidP="00507C92">
      <w:pPr>
        <w:spacing w:before="120" w:after="120" w:line="240" w:lineRule="auto"/>
        <w:jc w:val="both"/>
        <w:rPr>
          <w:rFonts w:ascii="Calibri" w:hAnsi="Calibri"/>
          <w:b/>
          <w:bCs/>
          <w:color w:val="2E74B5" w:themeColor="accent1" w:themeShade="BF"/>
        </w:rPr>
      </w:pPr>
      <w:r>
        <w:rPr>
          <w:rFonts w:ascii="Calibri" w:hAnsi="Calibri"/>
          <w:b/>
          <w:bCs/>
          <w:color w:val="2E74B5" w:themeColor="accent1" w:themeShade="BF"/>
        </w:rPr>
        <w:t xml:space="preserve">III. </w:t>
      </w:r>
      <w:r w:rsidRPr="00A03C60">
        <w:rPr>
          <w:rFonts w:ascii="Calibri" w:hAnsi="Calibri"/>
          <w:b/>
          <w:bCs/>
          <w:color w:val="2E74B5" w:themeColor="accent1" w:themeShade="BF"/>
        </w:rPr>
        <w:t>O ACORDO DE PARCERIA MERCOSUL-UNIÃO EUROPEIA</w:t>
      </w:r>
    </w:p>
    <w:p w14:paraId="122331B4" w14:textId="77777777" w:rsidR="007077EE" w:rsidRDefault="007077EE" w:rsidP="007077EE">
      <w:pPr>
        <w:spacing w:before="120" w:after="120" w:line="240" w:lineRule="auto"/>
        <w:ind w:firstLine="708"/>
        <w:jc w:val="both"/>
      </w:pPr>
      <w:r>
        <w:t xml:space="preserve">O capítulo </w:t>
      </w:r>
      <w:r w:rsidRPr="00273C99">
        <w:t>sobre</w:t>
      </w:r>
      <w:r w:rsidRPr="00273C99">
        <w:rPr>
          <w:b/>
          <w:bCs/>
        </w:rPr>
        <w:t xml:space="preserve"> </w:t>
      </w:r>
      <w:r>
        <w:rPr>
          <w:b/>
          <w:bCs/>
        </w:rPr>
        <w:t>C</w:t>
      </w:r>
      <w:r w:rsidRPr="00273C99">
        <w:rPr>
          <w:b/>
          <w:bCs/>
        </w:rPr>
        <w:t xml:space="preserve">omércio de </w:t>
      </w:r>
      <w:r>
        <w:rPr>
          <w:b/>
          <w:bCs/>
        </w:rPr>
        <w:t>B</w:t>
      </w:r>
      <w:r w:rsidRPr="00273C99">
        <w:rPr>
          <w:b/>
          <w:bCs/>
        </w:rPr>
        <w:t>ens</w:t>
      </w:r>
      <w:r>
        <w:t xml:space="preserve"> </w:t>
      </w:r>
      <w:r w:rsidRPr="00273C99">
        <w:t>contempla um amplo compromisso de liberalização tarifária em setores industriais e agrícolas, respeitando as especificidades de cada mercado.</w:t>
      </w:r>
    </w:p>
    <w:p w14:paraId="6B3680C2" w14:textId="77777777" w:rsidR="007077EE" w:rsidRPr="00273C99" w:rsidRDefault="007077EE" w:rsidP="007077EE">
      <w:pPr>
        <w:spacing w:before="120" w:after="120" w:line="240" w:lineRule="auto"/>
        <w:ind w:firstLine="708"/>
        <w:jc w:val="both"/>
      </w:pPr>
      <w:r w:rsidRPr="00273C99">
        <w:t xml:space="preserve">A oferta realizada pelo MERCOSUL abrange uma ampla liberalização tarifária, com cestas de produtos submetidos a desgravação imediata ou linear ao longo de prazos que variam entre 4, 8, 10 e 15 anos. Essa oferta cobre aproximadamente 91% dos bens e 85% do valor das importações brasileiras de produtos provenientes da União Europeia. Apenas uma parcela muito reduzida dos bens está sujeita a quotas ou outros tratamentos não tarifários, enquanto a lista de exclusões representa </w:t>
      </w:r>
      <w:r>
        <w:t>aproximadamente</w:t>
      </w:r>
      <w:r w:rsidRPr="00273C99">
        <w:t xml:space="preserve"> 9% dos bens e 8% do valor total das importações. Para o setor automotivo, fo</w:t>
      </w:r>
      <w:r>
        <w:t>ram</w:t>
      </w:r>
      <w:r w:rsidRPr="00273C99">
        <w:t xml:space="preserve"> negociad</w:t>
      </w:r>
      <w:r>
        <w:t>as condições especiais para veículos eletrificados, movidos a hidrogênio e novas tecnologias, com períodos de desgravação de 18, 25 e 30 anos, respectivamente.</w:t>
      </w:r>
    </w:p>
    <w:p w14:paraId="24F67F6D" w14:textId="77777777" w:rsidR="007077EE" w:rsidRDefault="007077EE" w:rsidP="007077EE">
      <w:pPr>
        <w:spacing w:before="120" w:after="120" w:line="240" w:lineRule="auto"/>
        <w:ind w:firstLine="708"/>
        <w:jc w:val="both"/>
      </w:pPr>
      <w:r w:rsidRPr="00273C99">
        <w:t>Por outro lado, a oferta da União Europeia apresenta um escopo ainda mais abrangente de liberalização, com cestas de produtos que terão desgravação imediata ou linear em prazos de 4, 7, 8, 10 e 12 anos. Esses produtos correspondem a aproximadamente 95% dos bens e 92% do valor das importações europeias de bens brasileiros. Produtos sujeitos a quotas ou tratamentos não tarifários representam cerca de 3% dos bens e 5% do valor importado pela União Europeia, sendo esses tratamentos aplicados principalmente a itens do setor agrícola e da agroindústria. Essa abordagem reflete o equilíbrio buscado entre a abertura de mercados e a proteção de setores sensíveis para ambas as partes.</w:t>
      </w:r>
    </w:p>
    <w:p w14:paraId="1F833046" w14:textId="6A023A62" w:rsidR="007077EE" w:rsidRDefault="007077EE" w:rsidP="007077EE">
      <w:pPr>
        <w:spacing w:before="120" w:after="120" w:line="240" w:lineRule="auto"/>
        <w:jc w:val="both"/>
      </w:pPr>
      <w:r>
        <w:br/>
      </w:r>
      <w:r w:rsidRPr="00273C99">
        <w:rPr>
          <w:b/>
          <w:bCs/>
        </w:rPr>
        <w:t xml:space="preserve">Oferta agrícola da UE </w:t>
      </w:r>
    </w:p>
    <w:p w14:paraId="06DF9F56" w14:textId="77777777" w:rsidR="007077EE" w:rsidRPr="00273C99" w:rsidRDefault="007077EE" w:rsidP="007077EE">
      <w:pPr>
        <w:spacing w:before="120" w:after="120" w:line="240" w:lineRule="auto"/>
        <w:jc w:val="both"/>
      </w:pPr>
      <w:r w:rsidRPr="00273C99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634"/>
      </w:tblGrid>
      <w:tr w:rsidR="007077EE" w:rsidRPr="00273C99" w14:paraId="68360BDF" w14:textId="77777777" w:rsidTr="007F4C3E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vAlign w:val="center"/>
            <w:hideMark/>
          </w:tcPr>
          <w:p w14:paraId="4BF058AB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rPr>
                <w:b/>
                <w:bCs/>
              </w:rPr>
              <w:t>Produto</w:t>
            </w:r>
            <w:r w:rsidRPr="00273C99">
              <w:rPr>
                <w:lang w:val="en-US"/>
              </w:rPr>
              <w:t> </w:t>
            </w:r>
            <w:r w:rsidRPr="00273C99">
              <w:t> </w:t>
            </w:r>
          </w:p>
        </w:tc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  <w:vAlign w:val="center"/>
            <w:hideMark/>
          </w:tcPr>
          <w:p w14:paraId="5E867B53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rPr>
                <w:b/>
                <w:bCs/>
              </w:rPr>
              <w:t>Tratamento</w:t>
            </w:r>
            <w:r w:rsidRPr="00273C99">
              <w:rPr>
                <w:lang w:val="en-US"/>
              </w:rPr>
              <w:t> </w:t>
            </w:r>
            <w:r w:rsidRPr="00273C99">
              <w:t> </w:t>
            </w:r>
          </w:p>
        </w:tc>
      </w:tr>
      <w:tr w:rsidR="007077EE" w:rsidRPr="00273C99" w14:paraId="6A3A7BBB" w14:textId="77777777" w:rsidTr="007F4C3E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72595A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lastRenderedPageBreak/>
              <w:t>Carne bovina</w:t>
            </w:r>
            <w:r w:rsidRPr="00273C99">
              <w:rPr>
                <w:lang w:val="en-US"/>
              </w:rPr>
              <w:t> </w:t>
            </w:r>
            <w:r w:rsidRPr="00273C99">
              <w:t> </w:t>
            </w:r>
          </w:p>
        </w:tc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DACEC0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t>99 mil toneladas peso carcaça, 55% resfriada e 45% congelada, com intraquota de 7.5% e volume crescente em 6 estágios. Cota Hilton (10 mil toneladas): intraquota passará de 20% a 0% na entrada em vigor do acordo  </w:t>
            </w:r>
          </w:p>
        </w:tc>
      </w:tr>
      <w:tr w:rsidR="007077EE" w:rsidRPr="00273C99" w14:paraId="2316302E" w14:textId="77777777" w:rsidTr="007F4C3E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A9A8EC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t>Carne de aves</w:t>
            </w:r>
            <w:r w:rsidRPr="00273C99">
              <w:rPr>
                <w:lang w:val="en-US"/>
              </w:rPr>
              <w:t> </w:t>
            </w:r>
            <w:r w:rsidRPr="00273C99">
              <w:t> </w:t>
            </w:r>
          </w:p>
        </w:tc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C24677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t>180 mil toneladas peso carcaça, intraquota zero, 50% com osso e 50% desossada e volume crescente em 6 estágios  </w:t>
            </w:r>
          </w:p>
        </w:tc>
      </w:tr>
      <w:tr w:rsidR="007077EE" w:rsidRPr="00273C99" w14:paraId="632BC0A8" w14:textId="77777777" w:rsidTr="007F4C3E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430C3C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t>Carne suína</w:t>
            </w:r>
            <w:r w:rsidRPr="00273C99">
              <w:rPr>
                <w:lang w:val="en-US"/>
              </w:rPr>
              <w:t> </w:t>
            </w:r>
            <w:r w:rsidRPr="00273C99">
              <w:t> </w:t>
            </w:r>
          </w:p>
        </w:tc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392421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t>25 mil toneladas, intraquota de 83 euros/tonelada e volume crescente em 6 estágios  </w:t>
            </w:r>
          </w:p>
        </w:tc>
      </w:tr>
      <w:tr w:rsidR="007077EE" w:rsidRPr="00273C99" w14:paraId="1C9FE664" w14:textId="77777777" w:rsidTr="007F4C3E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8ACF7D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t>Açúcar</w:t>
            </w:r>
            <w:r w:rsidRPr="00273C99">
              <w:rPr>
                <w:lang w:val="en-US"/>
              </w:rPr>
              <w:t> </w:t>
            </w:r>
            <w:r w:rsidRPr="00273C99">
              <w:t> </w:t>
            </w:r>
          </w:p>
        </w:tc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46BBD1" w14:textId="5C5ACDB3" w:rsidR="007077EE" w:rsidRPr="00273C99" w:rsidRDefault="007077EE" w:rsidP="00385D5F">
            <w:pPr>
              <w:spacing w:before="120" w:after="120" w:line="240" w:lineRule="auto"/>
              <w:jc w:val="both"/>
            </w:pPr>
            <w:r w:rsidRPr="00273C99">
              <w:t>180 mil tonelada</w:t>
            </w:r>
            <w:r w:rsidR="00385D5F">
              <w:t>s</w:t>
            </w:r>
            <w:r w:rsidRPr="00273C99">
              <w:t>, intraquota zero na entrada em vigor do acordo. Quota específica para o Paraguai de 10 mil toneladas, com intraquota zero  </w:t>
            </w:r>
          </w:p>
        </w:tc>
      </w:tr>
      <w:tr w:rsidR="007077EE" w:rsidRPr="00273C99" w14:paraId="3863E3B2" w14:textId="77777777" w:rsidTr="007F4C3E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565D46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t>Etanol</w:t>
            </w:r>
            <w:r w:rsidRPr="00273C99">
              <w:rPr>
                <w:lang w:val="en-US"/>
              </w:rPr>
              <w:t> </w:t>
            </w:r>
            <w:r w:rsidRPr="00273C99">
              <w:t> </w:t>
            </w:r>
          </w:p>
        </w:tc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452331" w14:textId="5E054D53" w:rsidR="007077EE" w:rsidRPr="00273C99" w:rsidRDefault="007077EE" w:rsidP="00385D5F">
            <w:pPr>
              <w:spacing w:before="120" w:after="120" w:line="240" w:lineRule="auto"/>
              <w:jc w:val="both"/>
            </w:pPr>
            <w:r w:rsidRPr="00273C99">
              <w:t>450 mil toneladas de etanol industrial, intraquota zero na entrada em vigor do acordo. 200 mil toneladas de etanol para outros usos (inclusive combustível), intraquota com 1/3 da tarifa aplicada europeia (6,4 ou 3,4 euros/hectolitro), volume crescente em 6 estágios  </w:t>
            </w:r>
          </w:p>
        </w:tc>
      </w:tr>
      <w:tr w:rsidR="007077EE" w:rsidRPr="00273C99" w14:paraId="13603980" w14:textId="77777777" w:rsidTr="007F4C3E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22F5C8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t>Arroz</w:t>
            </w:r>
            <w:r w:rsidRPr="00273C99">
              <w:rPr>
                <w:lang w:val="en-US"/>
              </w:rPr>
              <w:t> </w:t>
            </w:r>
            <w:r w:rsidRPr="00273C99">
              <w:t> </w:t>
            </w:r>
          </w:p>
        </w:tc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3BFCDB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t>60 mil toneladas, intraquota zero na entrada em vigor, volume crescente em 6 estágios  </w:t>
            </w:r>
          </w:p>
        </w:tc>
      </w:tr>
      <w:tr w:rsidR="007077EE" w:rsidRPr="00273C99" w14:paraId="2FC0C659" w14:textId="77777777" w:rsidTr="007F4C3E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8A921A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t>Mel</w:t>
            </w:r>
            <w:r w:rsidRPr="00273C99">
              <w:rPr>
                <w:lang w:val="en-US"/>
              </w:rPr>
              <w:t> </w:t>
            </w:r>
            <w:r w:rsidRPr="00273C99">
              <w:t> </w:t>
            </w:r>
          </w:p>
        </w:tc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13EEE5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t>45 mil toneladas, intraquota zero na entrada em vigor, volume crescente em 6 estágios  </w:t>
            </w:r>
          </w:p>
        </w:tc>
      </w:tr>
      <w:tr w:rsidR="007077EE" w:rsidRPr="00273C99" w14:paraId="35110FA0" w14:textId="77777777" w:rsidTr="007F4C3E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860140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t>Milho e Sorgo</w:t>
            </w:r>
            <w:r w:rsidRPr="00273C99">
              <w:rPr>
                <w:lang w:val="en-US"/>
              </w:rPr>
              <w:t> </w:t>
            </w:r>
            <w:r w:rsidRPr="00273C99">
              <w:t> </w:t>
            </w:r>
          </w:p>
        </w:tc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EAC193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t>1 milhão de toneladas, intraquota zero na entrada em vigor do acordo, volume crescente em 6 estágios  </w:t>
            </w:r>
          </w:p>
        </w:tc>
      </w:tr>
      <w:tr w:rsidR="007077EE" w:rsidRPr="00273C99" w14:paraId="186551DB" w14:textId="77777777" w:rsidTr="007F4C3E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914430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t>Suco de laranja</w:t>
            </w:r>
            <w:r w:rsidRPr="00273C99">
              <w:rPr>
                <w:lang w:val="en-US"/>
              </w:rPr>
              <w:t> </w:t>
            </w:r>
            <w:r w:rsidRPr="00273C99">
              <w:t> </w:t>
            </w:r>
          </w:p>
        </w:tc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F1E830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t>Desgravação em 7 e 10 anos e Margem de preferência de 50%  </w:t>
            </w:r>
          </w:p>
        </w:tc>
      </w:tr>
      <w:tr w:rsidR="007077EE" w:rsidRPr="00273C99" w14:paraId="32126023" w14:textId="77777777" w:rsidTr="007F4C3E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01FEED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t>Cachaça</w:t>
            </w:r>
            <w:r w:rsidRPr="00273C99">
              <w:rPr>
                <w:lang w:val="en-US"/>
              </w:rPr>
              <w:t> </w:t>
            </w:r>
            <w:r w:rsidRPr="00273C99">
              <w:t> </w:t>
            </w:r>
          </w:p>
        </w:tc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9D7EB3" w14:textId="30C309AD" w:rsidR="007077EE" w:rsidRPr="00273C99" w:rsidRDefault="00E37184" w:rsidP="007F4C3E">
            <w:pPr>
              <w:spacing w:before="120" w:after="120" w:line="240" w:lineRule="auto"/>
              <w:jc w:val="both"/>
            </w:pPr>
            <w:r>
              <w:t>G</w:t>
            </w:r>
            <w:r w:rsidR="007077EE" w:rsidRPr="00273C99">
              <w:t>arrafas inferiores a 2 litros terão seu comércio liberalizado em 4 anos. A cachaça a granel terá quota de 2.400 toneladas com intraquota zero e volume crescente em 5 anos. Atualmente a aguardente paga alíquota de aproximadamente 8%</w:t>
            </w:r>
            <w:r w:rsidR="007077EE" w:rsidRPr="00273C99">
              <w:rPr>
                <w:lang w:val="en-US"/>
              </w:rPr>
              <w:t> </w:t>
            </w:r>
            <w:r w:rsidR="007077EE" w:rsidRPr="00273C99">
              <w:t> </w:t>
            </w:r>
          </w:p>
        </w:tc>
      </w:tr>
      <w:tr w:rsidR="007077EE" w:rsidRPr="00273C99" w14:paraId="552B93AD" w14:textId="77777777" w:rsidTr="007F4C3E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FEF7A9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t>Queijos</w:t>
            </w:r>
            <w:r w:rsidRPr="00273C99">
              <w:rPr>
                <w:lang w:val="en-US"/>
              </w:rPr>
              <w:t> </w:t>
            </w:r>
            <w:r w:rsidRPr="00273C99">
              <w:t> </w:t>
            </w:r>
          </w:p>
        </w:tc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FB2D0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t>30 mil toneladas com volume crescente e intraquota decrescente em 10 anos (exclusão de muçarela)   </w:t>
            </w:r>
          </w:p>
        </w:tc>
      </w:tr>
      <w:tr w:rsidR="007077EE" w:rsidRPr="00273C99" w14:paraId="42A93597" w14:textId="77777777" w:rsidTr="007F4C3E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CD43F2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t>Iogurte</w:t>
            </w:r>
            <w:r w:rsidRPr="00273C99">
              <w:rPr>
                <w:lang w:val="en-US"/>
              </w:rPr>
              <w:t> </w:t>
            </w:r>
            <w:r w:rsidRPr="00273C99">
              <w:t> </w:t>
            </w:r>
          </w:p>
        </w:tc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B44432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t>Margem de preferência de 50%</w:t>
            </w:r>
            <w:r w:rsidRPr="00273C99">
              <w:rPr>
                <w:lang w:val="en-US"/>
              </w:rPr>
              <w:t> </w:t>
            </w:r>
            <w:r w:rsidRPr="00273C99">
              <w:t> </w:t>
            </w:r>
          </w:p>
        </w:tc>
      </w:tr>
      <w:tr w:rsidR="007077EE" w:rsidRPr="00273C99" w14:paraId="28ACF417" w14:textId="77777777" w:rsidTr="007F4C3E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79AC68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t>Manteiga</w:t>
            </w:r>
            <w:r w:rsidRPr="00273C99">
              <w:rPr>
                <w:lang w:val="en-US"/>
              </w:rPr>
              <w:t> </w:t>
            </w:r>
            <w:r w:rsidRPr="00273C99">
              <w:t> </w:t>
            </w:r>
          </w:p>
        </w:tc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807B9" w14:textId="77777777" w:rsidR="007077EE" w:rsidRPr="00273C99" w:rsidRDefault="007077EE" w:rsidP="007F4C3E">
            <w:pPr>
              <w:spacing w:before="120" w:after="120" w:line="240" w:lineRule="auto"/>
              <w:jc w:val="both"/>
            </w:pPr>
            <w:r w:rsidRPr="00273C99">
              <w:t>Margem de preferência de 30%</w:t>
            </w:r>
            <w:r w:rsidRPr="00273C99">
              <w:rPr>
                <w:lang w:val="en-US"/>
              </w:rPr>
              <w:t> </w:t>
            </w:r>
            <w:r w:rsidRPr="00273C99">
              <w:t> </w:t>
            </w:r>
          </w:p>
        </w:tc>
      </w:tr>
      <w:tr w:rsidR="00385D5F" w:rsidRPr="0015452F" w14:paraId="027DF9FA" w14:textId="77777777" w:rsidTr="007F4C3E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AA41B" w14:textId="45570099" w:rsidR="00385D5F" w:rsidRPr="00502059" w:rsidRDefault="00385D5F" w:rsidP="007F4C3E">
            <w:pPr>
              <w:spacing w:before="120" w:after="120" w:line="240" w:lineRule="auto"/>
              <w:jc w:val="both"/>
            </w:pPr>
            <w:r w:rsidRPr="00502059">
              <w:lastRenderedPageBreak/>
              <w:t>F</w:t>
            </w:r>
            <w:r w:rsidR="00E37184" w:rsidRPr="00502059">
              <w:t>rutas</w:t>
            </w:r>
          </w:p>
        </w:tc>
        <w:tc>
          <w:tcPr>
            <w:tcW w:w="7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693B9" w14:textId="35BEC3C0" w:rsidR="00385D5F" w:rsidRPr="00502059" w:rsidRDefault="00E37184" w:rsidP="007F4C3E">
            <w:pPr>
              <w:spacing w:before="120" w:after="120" w:line="240" w:lineRule="auto"/>
              <w:jc w:val="both"/>
            </w:pPr>
            <w:r w:rsidRPr="00502059">
              <w:t>Frutas como abacates, limões, limas, melões e melancias, uvas de mesa e maças não estarão sujeitas a cotas e terão suas tarifas completamente eliminadas.</w:t>
            </w:r>
          </w:p>
        </w:tc>
      </w:tr>
    </w:tbl>
    <w:p w14:paraId="0E1CCC75" w14:textId="77777777" w:rsidR="007077EE" w:rsidRDefault="007077EE" w:rsidP="007077EE">
      <w:pPr>
        <w:spacing w:before="120" w:after="120" w:line="240" w:lineRule="auto"/>
      </w:pPr>
    </w:p>
    <w:p w14:paraId="01DC5D87" w14:textId="77777777" w:rsidR="007077EE" w:rsidRPr="00273C99" w:rsidRDefault="007077EE" w:rsidP="007077EE">
      <w:pPr>
        <w:spacing w:before="120" w:after="120" w:line="240" w:lineRule="auto"/>
        <w:ind w:firstLine="708"/>
        <w:jc w:val="both"/>
      </w:pPr>
      <w:r w:rsidRPr="00273C99">
        <w:t xml:space="preserve">O </w:t>
      </w:r>
      <w:r w:rsidRPr="00273C99">
        <w:rPr>
          <w:b/>
          <w:bCs/>
        </w:rPr>
        <w:t>capítulo de Regras de Origem</w:t>
      </w:r>
      <w:r w:rsidRPr="00273C99">
        <w:t xml:space="preserve"> define critérios modernos que asseguram que os benefícios comerciais sejam usufruídos pelas partes, com flexibilidades para setores específicos, como têxteis. Prevê também a adoção de autocertificação para reduzir custos e burocracias.</w:t>
      </w:r>
    </w:p>
    <w:p w14:paraId="7DFCC048" w14:textId="77777777" w:rsidR="007077EE" w:rsidRPr="00273C99" w:rsidRDefault="007077EE" w:rsidP="007077EE">
      <w:pPr>
        <w:spacing w:before="120" w:after="120" w:line="240" w:lineRule="auto"/>
        <w:ind w:firstLine="708"/>
        <w:jc w:val="both"/>
      </w:pPr>
      <w:r w:rsidRPr="00273C99">
        <w:t xml:space="preserve">O </w:t>
      </w:r>
      <w:r w:rsidRPr="00273C99">
        <w:rPr>
          <w:b/>
          <w:bCs/>
        </w:rPr>
        <w:t>capítulo de Facilitação de Comércio</w:t>
      </w:r>
      <w:r w:rsidRPr="00273C99">
        <w:t xml:space="preserve"> visa reduzir custos e simplificar processos relacionados à importação e exportação, com ênfase em transparência, sistemas eletrônicos e reconhecimento mútuo de operadores autorizados.</w:t>
      </w:r>
    </w:p>
    <w:p w14:paraId="64698BDC" w14:textId="77777777" w:rsidR="007077EE" w:rsidRPr="00273C99" w:rsidRDefault="007077EE" w:rsidP="007077EE">
      <w:pPr>
        <w:spacing w:before="120" w:after="120" w:line="240" w:lineRule="auto"/>
        <w:ind w:firstLine="708"/>
        <w:jc w:val="both"/>
      </w:pPr>
      <w:r w:rsidRPr="00273C99">
        <w:t xml:space="preserve">O </w:t>
      </w:r>
      <w:r w:rsidRPr="00273C99">
        <w:rPr>
          <w:b/>
          <w:bCs/>
        </w:rPr>
        <w:t>capítulo de Barreiras Técnicas ao Comércio (TBT)</w:t>
      </w:r>
      <w:r w:rsidRPr="00273C99">
        <w:t xml:space="preserve"> promove boas práticas regulatórias para evitar barreiras desnecessárias, incentivando o uso de padrões internacionais e consultas públicas para maior previsibilidade e integração entre os blocos.</w:t>
      </w:r>
    </w:p>
    <w:p w14:paraId="40275183" w14:textId="345C9DC0" w:rsidR="007077EE" w:rsidRPr="00273C99" w:rsidRDefault="007077EE" w:rsidP="007077EE">
      <w:pPr>
        <w:spacing w:before="120" w:after="120" w:line="240" w:lineRule="auto"/>
        <w:ind w:firstLine="708"/>
        <w:jc w:val="both"/>
      </w:pPr>
      <w:r w:rsidRPr="00273C99">
        <w:t xml:space="preserve">O </w:t>
      </w:r>
      <w:r w:rsidRPr="00273C99">
        <w:rPr>
          <w:b/>
          <w:bCs/>
        </w:rPr>
        <w:t>capítulo de Medidas Sanitárias e Fitossanitárias (SPS)</w:t>
      </w:r>
      <w:r w:rsidRPr="00273C99">
        <w:t xml:space="preserve"> facilita o comércio agropecuário, promovendo transparência e previsibilidade com sistemas como o “pr</w:t>
      </w:r>
      <w:r w:rsidR="00AA2E36">
        <w:t>e</w:t>
      </w:r>
      <w:r w:rsidRPr="00273C99">
        <w:t>-listing” e procedimentos de regionalização para produtos de origem animal.</w:t>
      </w:r>
      <w:r w:rsidR="00045882">
        <w:t xml:space="preserve"> O Acordo preserva os elevados padrões de produção de alimentos no MERCOSUL e na União Europeia.</w:t>
      </w:r>
    </w:p>
    <w:p w14:paraId="3F6ED938" w14:textId="77777777" w:rsidR="007077EE" w:rsidRPr="00273C99" w:rsidRDefault="007077EE" w:rsidP="007077EE">
      <w:pPr>
        <w:spacing w:before="120" w:after="120" w:line="240" w:lineRule="auto"/>
        <w:ind w:firstLine="708"/>
        <w:jc w:val="both"/>
      </w:pPr>
      <w:r w:rsidRPr="00273C99">
        <w:t xml:space="preserve">O </w:t>
      </w:r>
      <w:r w:rsidRPr="00273C99">
        <w:rPr>
          <w:b/>
          <w:bCs/>
        </w:rPr>
        <w:t>capítulo de Diálogos</w:t>
      </w:r>
      <w:r w:rsidRPr="00273C99">
        <w:t xml:space="preserve"> estabelece mecanismos de cooperação técnica entre os blocos em temas como bem-estar animal, biotecnologia agrícola e resistência antimicrobiana, promovendo troca de informações e harmonização regulatória.</w:t>
      </w:r>
    </w:p>
    <w:p w14:paraId="1A900FE3" w14:textId="77777777" w:rsidR="007077EE" w:rsidRPr="00273C99" w:rsidRDefault="007077EE" w:rsidP="007077EE">
      <w:pPr>
        <w:spacing w:before="120" w:after="120" w:line="240" w:lineRule="auto"/>
        <w:ind w:firstLine="708"/>
        <w:jc w:val="both"/>
      </w:pPr>
      <w:r w:rsidRPr="00273C99">
        <w:t xml:space="preserve">O </w:t>
      </w:r>
      <w:r w:rsidRPr="00273C99">
        <w:rPr>
          <w:b/>
          <w:bCs/>
        </w:rPr>
        <w:t>capítulo de Defesa Comercial</w:t>
      </w:r>
      <w:r w:rsidRPr="00273C99">
        <w:t xml:space="preserve"> reafirma os direitos de aplicação de medidas antidumping e compensatórias conforme as normas da OMC, garantindo proteção contra práticas desleais de comércio.</w:t>
      </w:r>
    </w:p>
    <w:p w14:paraId="23BE4970" w14:textId="77777777" w:rsidR="007077EE" w:rsidRPr="00273C99" w:rsidRDefault="007077EE" w:rsidP="007077EE">
      <w:pPr>
        <w:spacing w:before="120" w:after="120" w:line="240" w:lineRule="auto"/>
        <w:ind w:firstLine="708"/>
        <w:jc w:val="both"/>
      </w:pPr>
      <w:r w:rsidRPr="00273C99">
        <w:t xml:space="preserve">O </w:t>
      </w:r>
      <w:r w:rsidRPr="00273C99">
        <w:rPr>
          <w:b/>
          <w:bCs/>
        </w:rPr>
        <w:t>capítulo de Salvaguardas Bilaterais</w:t>
      </w:r>
      <w:r w:rsidRPr="00273C99">
        <w:t xml:space="preserve"> permite proteger indústrias domésticas de surtos de importação decorrentes da liberalização comercial</w:t>
      </w:r>
      <w:r>
        <w:t xml:space="preserve">. O capítulo passa a contar com um mecanismo específico para o setor automotivo, com vistas a preservar e promover investimentos. </w:t>
      </w:r>
    </w:p>
    <w:p w14:paraId="56141C96" w14:textId="77777777" w:rsidR="007077EE" w:rsidRPr="00273C99" w:rsidRDefault="007077EE" w:rsidP="007077EE">
      <w:pPr>
        <w:spacing w:before="120" w:after="120" w:line="240" w:lineRule="auto"/>
        <w:ind w:firstLine="708"/>
        <w:jc w:val="both"/>
      </w:pPr>
      <w:r w:rsidRPr="00273C99">
        <w:t xml:space="preserve">O </w:t>
      </w:r>
      <w:r w:rsidRPr="00273C99">
        <w:rPr>
          <w:b/>
          <w:bCs/>
        </w:rPr>
        <w:t>capítulo de Serviços e Investimentos</w:t>
      </w:r>
      <w:r w:rsidRPr="00273C99">
        <w:t xml:space="preserve"> amplia a transparência e segurança jurídica para investidores e prestadores de serviços, respeitando a soberania regulatória em áreas sensíveis e promovendo a modernização de regulações domésticas.</w:t>
      </w:r>
    </w:p>
    <w:p w14:paraId="5C998A98" w14:textId="55431593" w:rsidR="007077EE" w:rsidRPr="00273C99" w:rsidRDefault="007077EE" w:rsidP="007077EE">
      <w:pPr>
        <w:spacing w:before="120" w:after="120" w:line="240" w:lineRule="auto"/>
        <w:ind w:firstLine="708"/>
        <w:jc w:val="both"/>
      </w:pPr>
      <w:r w:rsidRPr="00273C99">
        <w:t xml:space="preserve">O </w:t>
      </w:r>
      <w:r w:rsidRPr="00273C99">
        <w:rPr>
          <w:b/>
          <w:bCs/>
        </w:rPr>
        <w:t>capítulo de Compras Governamentais</w:t>
      </w:r>
      <w:r w:rsidRPr="00273C99">
        <w:t xml:space="preserve"> garante acesso preferencial ao mercado público europeu para empresas do MERCOSUL</w:t>
      </w:r>
      <w:r>
        <w:t xml:space="preserve"> e vice-versa. Os compromissos específicos do Brasil levam em conta o interesse em preservar espaço para política pública nas áreas de desenvolvimento industrial, saúde pública, tecnologia e inovação, pequenas e médias empresas e pequenos produtores rurais. </w:t>
      </w:r>
    </w:p>
    <w:p w14:paraId="0966DCD6" w14:textId="4BA1B223" w:rsidR="007077EE" w:rsidRPr="00273C99" w:rsidRDefault="007077EE" w:rsidP="007077EE">
      <w:pPr>
        <w:spacing w:before="120" w:after="120" w:line="240" w:lineRule="auto"/>
        <w:ind w:firstLine="708"/>
        <w:jc w:val="both"/>
      </w:pPr>
      <w:r w:rsidRPr="00273C99">
        <w:t xml:space="preserve">O </w:t>
      </w:r>
      <w:r w:rsidRPr="00273C99">
        <w:rPr>
          <w:b/>
          <w:bCs/>
        </w:rPr>
        <w:t>capítulo de Propriedade Intelectual</w:t>
      </w:r>
      <w:r w:rsidRPr="00273C99">
        <w:t xml:space="preserve"> consolida padrões internacionais de proteção e reforça o reconhecimento de indicações geográficas, como “Cachaça” e “Canastra”, fortalecendo a marca Brasil na Europa.</w:t>
      </w:r>
      <w:r w:rsidR="00AA2E36">
        <w:t xml:space="preserve"> De forma importante, o capítulo não altera as normas sobre patentes </w:t>
      </w:r>
      <w:r w:rsidR="00AA2E36">
        <w:lastRenderedPageBreak/>
        <w:t>que foram acordadas no âmbito da OMC, demanda importante para a formulação de políticas de saúde no Brasil.</w:t>
      </w:r>
    </w:p>
    <w:p w14:paraId="4A32BBA2" w14:textId="77777777" w:rsidR="007077EE" w:rsidRPr="00273C99" w:rsidRDefault="007077EE" w:rsidP="007077EE">
      <w:pPr>
        <w:spacing w:before="120" w:after="120" w:line="240" w:lineRule="auto"/>
        <w:ind w:firstLine="708"/>
        <w:jc w:val="both"/>
      </w:pPr>
      <w:r w:rsidRPr="00273C99">
        <w:t xml:space="preserve">O </w:t>
      </w:r>
      <w:r w:rsidRPr="00273C99">
        <w:rPr>
          <w:b/>
          <w:bCs/>
        </w:rPr>
        <w:t>capítulo de Pequenas e Médias Empresas</w:t>
      </w:r>
      <w:r w:rsidRPr="00273C99">
        <w:t xml:space="preserve"> promove ações específicas para facilitar sua integração em cadeias globais, como programas de capacitação, parcerias e participação em licitações públicas.</w:t>
      </w:r>
    </w:p>
    <w:p w14:paraId="1755110B" w14:textId="77777777" w:rsidR="007077EE" w:rsidRPr="00273C99" w:rsidRDefault="007077EE" w:rsidP="007077EE">
      <w:pPr>
        <w:spacing w:before="120" w:after="120" w:line="240" w:lineRule="auto"/>
        <w:ind w:firstLine="708"/>
        <w:jc w:val="both"/>
      </w:pPr>
      <w:r w:rsidRPr="00273C99">
        <w:t xml:space="preserve">O </w:t>
      </w:r>
      <w:r w:rsidRPr="00273C99">
        <w:rPr>
          <w:b/>
          <w:bCs/>
        </w:rPr>
        <w:t>capítulo de Defesa da Concorrência</w:t>
      </w:r>
      <w:r w:rsidRPr="00273C99">
        <w:t xml:space="preserve"> reafirma o compromisso de combater práticas anticompetitivas, promovendo cooperação entre autoridades dos blocos para fortalecer instituições regulatórias.</w:t>
      </w:r>
    </w:p>
    <w:p w14:paraId="357B88A5" w14:textId="77777777" w:rsidR="007077EE" w:rsidRPr="00273C99" w:rsidRDefault="007077EE" w:rsidP="007077EE">
      <w:pPr>
        <w:spacing w:before="120" w:after="120" w:line="240" w:lineRule="auto"/>
        <w:ind w:firstLine="708"/>
        <w:jc w:val="both"/>
      </w:pPr>
      <w:r w:rsidRPr="00273C99">
        <w:t xml:space="preserve">O </w:t>
      </w:r>
      <w:r w:rsidRPr="00273C99">
        <w:rPr>
          <w:b/>
          <w:bCs/>
        </w:rPr>
        <w:t>capítulo de Subsídios</w:t>
      </w:r>
      <w:r w:rsidRPr="00273C99">
        <w:t xml:space="preserve"> estabelece regras para garantir transparência e prevenir distorções de mercado.</w:t>
      </w:r>
    </w:p>
    <w:p w14:paraId="5F35FDE0" w14:textId="77777777" w:rsidR="007077EE" w:rsidRPr="00273C99" w:rsidRDefault="007077EE" w:rsidP="007077EE">
      <w:pPr>
        <w:spacing w:before="120" w:after="120" w:line="240" w:lineRule="auto"/>
        <w:ind w:firstLine="708"/>
        <w:jc w:val="both"/>
      </w:pPr>
      <w:r w:rsidRPr="00273C99">
        <w:t xml:space="preserve">O </w:t>
      </w:r>
      <w:r w:rsidRPr="00273C99">
        <w:rPr>
          <w:b/>
          <w:bCs/>
        </w:rPr>
        <w:t>capítulo de Empresas Estatais</w:t>
      </w:r>
      <w:r w:rsidRPr="00273C99">
        <w:t xml:space="preserve"> busca equilíbrio entre critérios comerciais e objetivos públicos, garantindo que empresas estatais possam operar com flexibilidade para cumprir funções de interesse nacional.</w:t>
      </w:r>
    </w:p>
    <w:p w14:paraId="355975B5" w14:textId="424FD03B" w:rsidR="007077EE" w:rsidRPr="00182023" w:rsidRDefault="007077EE" w:rsidP="007077EE">
      <w:pPr>
        <w:spacing w:before="120" w:after="120" w:line="240" w:lineRule="auto"/>
        <w:ind w:firstLine="708"/>
        <w:jc w:val="both"/>
      </w:pPr>
      <w:r w:rsidRPr="00273C99">
        <w:t xml:space="preserve">O </w:t>
      </w:r>
      <w:r w:rsidRPr="00273C99">
        <w:rPr>
          <w:b/>
          <w:bCs/>
        </w:rPr>
        <w:t>capítulo de Comércio e Desenvolvimento Sustentável</w:t>
      </w:r>
      <w:r w:rsidRPr="008D7ADE">
        <w:t>, que passa a contar com novo Anexo</w:t>
      </w:r>
      <w:r w:rsidR="00385D5F">
        <w:t xml:space="preserve"> (vide seção anterior)</w:t>
      </w:r>
      <w:r w:rsidRPr="008D7ADE">
        <w:t>,</w:t>
      </w:r>
      <w:r w:rsidRPr="00273C99">
        <w:t xml:space="preserve"> reafirma compromissos multilaterais como o Acordo de Paris e a Agenda 2030, integrando sustentabilidade às relações comerciais e promovendo cadeias produtivas sustentáveis.</w:t>
      </w:r>
      <w:r>
        <w:t xml:space="preserve"> Conta também com compromissos para evitar que  o argumento ambiental sirva para justificar barreiras desnecessárias ao comércio. </w:t>
      </w:r>
    </w:p>
    <w:p w14:paraId="440579D8" w14:textId="77777777" w:rsidR="007077EE" w:rsidRPr="00273C99" w:rsidRDefault="007077EE" w:rsidP="007077EE">
      <w:pPr>
        <w:spacing w:before="120" w:after="120" w:line="240" w:lineRule="auto"/>
        <w:ind w:firstLine="708"/>
        <w:jc w:val="both"/>
      </w:pPr>
      <w:r w:rsidRPr="00273C99">
        <w:t xml:space="preserve">O </w:t>
      </w:r>
      <w:r w:rsidRPr="00273C99">
        <w:rPr>
          <w:b/>
          <w:bCs/>
        </w:rPr>
        <w:t>capítulo de Transparência</w:t>
      </w:r>
      <w:r w:rsidRPr="00273C99">
        <w:t xml:space="preserve"> promove boas práticas regulatórias com exigência de consultas públicas, avaliações de impacto e revisão periódica de medidas, garantindo previsibilidade no comércio.</w:t>
      </w:r>
    </w:p>
    <w:p w14:paraId="21202C30" w14:textId="77777777" w:rsidR="007077EE" w:rsidRPr="00273C99" w:rsidRDefault="007077EE" w:rsidP="007077EE">
      <w:pPr>
        <w:spacing w:before="120" w:after="120" w:line="240" w:lineRule="auto"/>
        <w:ind w:firstLine="708"/>
        <w:jc w:val="both"/>
      </w:pPr>
      <w:r w:rsidRPr="00273C99">
        <w:t xml:space="preserve">O </w:t>
      </w:r>
      <w:r w:rsidRPr="00273C99">
        <w:rPr>
          <w:b/>
          <w:bCs/>
        </w:rPr>
        <w:t>capítulo de Exceções</w:t>
      </w:r>
      <w:r w:rsidRPr="00273C99">
        <w:t xml:space="preserve"> prevê salvaguardas para proteger segurança, saúde, meio ambiente e cultura, permitindo a adoção de medidas excepcionais desde que sejam proporcionais e não discriminatórias.</w:t>
      </w:r>
    </w:p>
    <w:p w14:paraId="6A4BE34F" w14:textId="458A1A0B" w:rsidR="007077EE" w:rsidRPr="00502059" w:rsidRDefault="007077EE" w:rsidP="007077EE">
      <w:pPr>
        <w:spacing w:before="120" w:after="120" w:line="240" w:lineRule="auto"/>
        <w:ind w:firstLine="708"/>
        <w:jc w:val="both"/>
        <w:rPr>
          <w:u w:val="single"/>
        </w:rPr>
      </w:pPr>
      <w:r w:rsidRPr="00273C99">
        <w:t xml:space="preserve">O </w:t>
      </w:r>
      <w:r w:rsidRPr="00273C99">
        <w:rPr>
          <w:b/>
          <w:bCs/>
        </w:rPr>
        <w:t>capítulo de Solução de Controvérsias</w:t>
      </w:r>
      <w:r w:rsidRPr="00273C99">
        <w:t xml:space="preserve"> define mecanismos de resolução de disputas, com consultas iniciais e possibilidade de arbitragem, assegurando cumprimento das obrigações</w:t>
      </w:r>
      <w:r>
        <w:t>. O capítulo passa a contar com seção dedicada à</w:t>
      </w:r>
      <w:r w:rsidRPr="00273C99">
        <w:t xml:space="preserve"> preservação do equilíbrio do acordo</w:t>
      </w:r>
      <w:r>
        <w:t>, independentemente de violação aos termos acordados</w:t>
      </w:r>
      <w:r w:rsidR="00385D5F">
        <w:t xml:space="preserve"> (vide seção acima).</w:t>
      </w:r>
    </w:p>
    <w:p w14:paraId="7C5C3E8A" w14:textId="77777777" w:rsidR="00674F35" w:rsidRDefault="00674F35" w:rsidP="00507C92">
      <w:pPr>
        <w:spacing w:before="120" w:after="120" w:line="240" w:lineRule="auto"/>
        <w:jc w:val="both"/>
        <w:rPr>
          <w:rFonts w:ascii="Calibri" w:hAnsi="Calibri"/>
        </w:rPr>
      </w:pPr>
    </w:p>
    <w:p w14:paraId="79D82319" w14:textId="77777777" w:rsidR="00A03C60" w:rsidRPr="00A03C60" w:rsidRDefault="00A03C60" w:rsidP="00507C92">
      <w:pPr>
        <w:spacing w:before="120" w:after="120" w:line="240" w:lineRule="auto"/>
        <w:jc w:val="both"/>
        <w:rPr>
          <w:rFonts w:ascii="Calibri" w:hAnsi="Calibri"/>
          <w:b/>
          <w:color w:val="2E74B5" w:themeColor="accent1" w:themeShade="BF"/>
        </w:rPr>
      </w:pPr>
      <w:r>
        <w:rPr>
          <w:rFonts w:ascii="Calibri" w:hAnsi="Calibri"/>
          <w:b/>
          <w:color w:val="2E74B5" w:themeColor="accent1" w:themeShade="BF"/>
        </w:rPr>
        <w:t xml:space="preserve">IV. </w:t>
      </w:r>
      <w:r w:rsidRPr="00A03C60">
        <w:rPr>
          <w:rFonts w:ascii="Calibri" w:hAnsi="Calibri"/>
          <w:b/>
          <w:color w:val="2E74B5" w:themeColor="accent1" w:themeShade="BF"/>
        </w:rPr>
        <w:t xml:space="preserve">PRÓXIMOS PASSOS </w:t>
      </w:r>
    </w:p>
    <w:p w14:paraId="73C776BB" w14:textId="654DF2E0" w:rsidR="00555AF9" w:rsidRPr="00555AF9" w:rsidRDefault="00555AF9" w:rsidP="00555AF9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Calibri" w:eastAsia="Times New Roman" w:hAnsi="Calibri" w:cs="Times New Roman"/>
          <w:lang w:eastAsia="pt-BR"/>
        </w:rPr>
      </w:pPr>
      <w:r w:rsidRPr="00555AF9">
        <w:rPr>
          <w:rFonts w:ascii="Calibri" w:eastAsia="Times New Roman" w:hAnsi="Calibri" w:cs="Times New Roman"/>
          <w:lang w:eastAsia="pt-BR"/>
        </w:rPr>
        <w:t xml:space="preserve">As negociações do Acordo de Parceria </w:t>
      </w:r>
      <w:r w:rsidR="00D3379E">
        <w:rPr>
          <w:rFonts w:ascii="Calibri" w:eastAsia="Times New Roman" w:hAnsi="Calibri" w:cs="Times New Roman"/>
          <w:lang w:eastAsia="pt-BR"/>
        </w:rPr>
        <w:t xml:space="preserve">entre o </w:t>
      </w:r>
      <w:r w:rsidRPr="00555AF9">
        <w:rPr>
          <w:rFonts w:ascii="Calibri" w:eastAsia="Times New Roman" w:hAnsi="Calibri" w:cs="Times New Roman"/>
          <w:lang w:eastAsia="pt-BR"/>
        </w:rPr>
        <w:t>MERCOSUL</w:t>
      </w:r>
      <w:r w:rsidR="00D3379E">
        <w:rPr>
          <w:rFonts w:ascii="Calibri" w:eastAsia="Times New Roman" w:hAnsi="Calibri" w:cs="Times New Roman"/>
          <w:lang w:eastAsia="pt-BR"/>
        </w:rPr>
        <w:t xml:space="preserve"> e a </w:t>
      </w:r>
      <w:r w:rsidRPr="00555AF9">
        <w:rPr>
          <w:rFonts w:ascii="Calibri" w:eastAsia="Times New Roman" w:hAnsi="Calibri" w:cs="Times New Roman"/>
          <w:lang w:eastAsia="pt-BR"/>
        </w:rPr>
        <w:t xml:space="preserve">União Europeia encontram-se totalmente concluídas. </w:t>
      </w:r>
    </w:p>
    <w:p w14:paraId="4622DF7E" w14:textId="7A6B6CF7" w:rsidR="00555AF9" w:rsidRPr="00555AF9" w:rsidRDefault="00555AF9" w:rsidP="00555AF9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Calibri" w:eastAsia="Times New Roman" w:hAnsi="Calibri" w:cs="Times New Roman"/>
          <w:lang w:eastAsia="pt-BR"/>
        </w:rPr>
      </w:pPr>
      <w:r w:rsidRPr="00555AF9">
        <w:rPr>
          <w:rFonts w:ascii="Calibri" w:eastAsia="Times New Roman" w:hAnsi="Calibri" w:cs="Times New Roman"/>
          <w:lang w:eastAsia="pt-BR"/>
        </w:rPr>
        <w:t xml:space="preserve">As partes pacificaram o entendimento em todos os textos, seja nos temas objeto de reabertura, seja naquelas pendências que persistiam desde 2019. A conclusão das negociações, contudo, não produz efeitos jurídicos imediatos, que ocorrem apenas com a assinatura e entrada em vigor do Acordo. </w:t>
      </w:r>
    </w:p>
    <w:p w14:paraId="42E4AC7B" w14:textId="064027A9" w:rsidR="00555AF9" w:rsidRPr="00555AF9" w:rsidRDefault="00555AF9" w:rsidP="00555AF9">
      <w:pPr>
        <w:shd w:val="clear" w:color="auto" w:fill="FFFFFF"/>
        <w:spacing w:after="120" w:line="240" w:lineRule="auto"/>
        <w:ind w:firstLine="360"/>
        <w:jc w:val="both"/>
        <w:textAlignment w:val="baseline"/>
        <w:rPr>
          <w:rFonts w:ascii="Calibri" w:eastAsia="Times New Roman" w:hAnsi="Calibri" w:cs="Times New Roman"/>
          <w:lang w:eastAsia="pt-BR"/>
        </w:rPr>
      </w:pPr>
      <w:r w:rsidRPr="00555AF9">
        <w:rPr>
          <w:rFonts w:ascii="Calibri" w:eastAsia="Times New Roman" w:hAnsi="Calibri" w:cs="Times New Roman"/>
          <w:lang w:eastAsia="pt-BR"/>
        </w:rPr>
        <w:t>MERCOSUL e União Europeia começarão, a partir de agora, a preparação dos textos do Acordo para sua assinatura e entrada em vigor. Tal processo envolve:</w:t>
      </w:r>
    </w:p>
    <w:p w14:paraId="59B9BE01" w14:textId="77777777" w:rsidR="00555AF9" w:rsidRPr="00555AF9" w:rsidRDefault="00555AF9" w:rsidP="00555AF9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jc w:val="both"/>
        <w:textAlignment w:val="baseline"/>
        <w:rPr>
          <w:rFonts w:ascii="Calibri" w:eastAsia="Times New Roman" w:hAnsi="Calibri" w:cs="Times New Roman"/>
          <w:lang w:eastAsia="pt-BR"/>
        </w:rPr>
      </w:pPr>
      <w:r w:rsidRPr="00555AF9">
        <w:rPr>
          <w:rFonts w:ascii="Calibri" w:eastAsia="Times New Roman" w:hAnsi="Calibri" w:cs="Times New Roman"/>
          <w:lang w:eastAsia="pt-BR"/>
        </w:rPr>
        <w:lastRenderedPageBreak/>
        <w:t>Revisão legal: O processo de revisão legal do Acordo, voltado a assegurar a consistência, harmonia e correção linguística e estrutural aos textos do Acordo, está avançado.</w:t>
      </w:r>
    </w:p>
    <w:p w14:paraId="45BB059A" w14:textId="77777777" w:rsidR="00555AF9" w:rsidRPr="00555AF9" w:rsidRDefault="00555AF9" w:rsidP="00555AF9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jc w:val="both"/>
        <w:textAlignment w:val="baseline"/>
        <w:rPr>
          <w:rFonts w:ascii="Calibri" w:eastAsia="Times New Roman" w:hAnsi="Calibri" w:cs="Times New Roman"/>
          <w:lang w:eastAsia="pt-BR"/>
        </w:rPr>
      </w:pPr>
      <w:r w:rsidRPr="00555AF9">
        <w:rPr>
          <w:rFonts w:ascii="Calibri" w:eastAsia="Times New Roman" w:hAnsi="Calibri" w:cs="Times New Roman"/>
          <w:lang w:eastAsia="pt-BR"/>
        </w:rPr>
        <w:t>Tradução: Concluída a revisão legal, o Acordo passará por tradução da língua inglesa para as 23 línguas oficiais da União Europeia e as 2 línguas oficiais do MERCOSUL, entre as quais a língua portuguesa.</w:t>
      </w:r>
    </w:p>
    <w:p w14:paraId="32D2CB99" w14:textId="77777777" w:rsidR="00555AF9" w:rsidRPr="00555AF9" w:rsidRDefault="00555AF9" w:rsidP="00555AF9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jc w:val="both"/>
        <w:textAlignment w:val="baseline"/>
        <w:rPr>
          <w:rFonts w:ascii="Calibri" w:eastAsia="Times New Roman" w:hAnsi="Calibri" w:cs="Times New Roman"/>
          <w:lang w:eastAsia="pt-BR"/>
        </w:rPr>
      </w:pPr>
      <w:r w:rsidRPr="00555AF9">
        <w:rPr>
          <w:rFonts w:ascii="Calibri" w:eastAsia="Times New Roman" w:hAnsi="Calibri" w:cs="Times New Roman"/>
          <w:lang w:eastAsia="pt-BR"/>
        </w:rPr>
        <w:t>Assinatura: A assinatura, em que as partes manifestam formalmente sua aceitação do Acordo, será realizada após concluídas a revisão legal e as traduções do Acordo.</w:t>
      </w:r>
    </w:p>
    <w:p w14:paraId="5BD98093" w14:textId="663E2F78" w:rsidR="00555AF9" w:rsidRPr="00555AF9" w:rsidRDefault="00555AF9" w:rsidP="00555AF9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jc w:val="both"/>
        <w:textAlignment w:val="baseline"/>
        <w:rPr>
          <w:rFonts w:ascii="Calibri" w:eastAsia="Times New Roman" w:hAnsi="Calibri" w:cs="Times New Roman"/>
          <w:lang w:eastAsia="pt-BR"/>
        </w:rPr>
      </w:pPr>
      <w:r w:rsidRPr="00555AF9">
        <w:rPr>
          <w:rFonts w:ascii="Calibri" w:eastAsia="Times New Roman" w:hAnsi="Calibri" w:cs="Times New Roman"/>
          <w:lang w:eastAsia="pt-BR"/>
        </w:rPr>
        <w:t>Internalização: Seguida da assinatura, as partes encaminharão o Acordo para os respectivos processos internos de aprovação. No Brasil, tal processo envolve os Poderes Executivo e Legislativo, por meio da aprovação do Congresso Nacional.</w:t>
      </w:r>
    </w:p>
    <w:p w14:paraId="422678FE" w14:textId="77777777" w:rsidR="00555AF9" w:rsidRPr="00555AF9" w:rsidRDefault="00555AF9" w:rsidP="00555AF9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jc w:val="both"/>
        <w:textAlignment w:val="baseline"/>
        <w:rPr>
          <w:rFonts w:ascii="Calibri" w:eastAsia="Times New Roman" w:hAnsi="Calibri" w:cs="Times New Roman"/>
          <w:lang w:eastAsia="pt-BR"/>
        </w:rPr>
      </w:pPr>
      <w:r w:rsidRPr="00555AF9">
        <w:rPr>
          <w:rFonts w:ascii="Calibri" w:eastAsia="Times New Roman" w:hAnsi="Calibri" w:cs="Times New Roman"/>
          <w:lang w:eastAsia="pt-BR"/>
        </w:rPr>
        <w:t xml:space="preserve">Ratificação: As partes notificam sobre a conclusão dos respectivos trâmites internos e confirmam, por meio da ratificação, seu compromisso em cumprir o Acordo. </w:t>
      </w:r>
    </w:p>
    <w:p w14:paraId="58FC9033" w14:textId="77777777" w:rsidR="00555AF9" w:rsidRPr="00555AF9" w:rsidRDefault="00555AF9" w:rsidP="00555AF9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jc w:val="both"/>
        <w:textAlignment w:val="baseline"/>
        <w:rPr>
          <w:rFonts w:ascii="Calibri" w:eastAsia="Times New Roman" w:hAnsi="Calibri" w:cs="Times New Roman"/>
          <w:lang w:eastAsia="pt-BR"/>
        </w:rPr>
      </w:pPr>
      <w:r w:rsidRPr="00555AF9">
        <w:rPr>
          <w:rFonts w:ascii="Calibri" w:eastAsia="Times New Roman" w:hAnsi="Calibri" w:cs="Times New Roman"/>
          <w:lang w:eastAsia="pt-BR"/>
        </w:rPr>
        <w:t>Entrada em vigor: O Acordo entrará em vigor e, portanto, produzirá efeitos jurídicos no primeiro dia do mês seguinte à notificação da conclusão dos trâmites internos. Como o Acordo de Parceria entre o MERCOSUL e a União Europeia estabelece a possibilidade de vigência bilateral, bastaria que a União Europeia e o Brasil – ou qualquer outro país do MERCOSUL – tenham concluído o processo de ratificação para a sua entrada em vigor bilateralmente entre tais partes.</w:t>
      </w:r>
    </w:p>
    <w:p w14:paraId="6C34CBE4" w14:textId="77777777" w:rsidR="007077EE" w:rsidRDefault="007077EE" w:rsidP="00507C92">
      <w:pPr>
        <w:spacing w:before="120" w:after="120" w:line="240" w:lineRule="auto"/>
        <w:jc w:val="both"/>
        <w:rPr>
          <w:rFonts w:ascii="Calibri" w:hAnsi="Calibri"/>
          <w:b/>
          <w:bCs/>
          <w:color w:val="2E74B5" w:themeColor="accent1" w:themeShade="BF"/>
        </w:rPr>
      </w:pPr>
    </w:p>
    <w:p w14:paraId="407EE217" w14:textId="7AB00DD2" w:rsidR="00674F35" w:rsidRPr="00A97790" w:rsidRDefault="00A03C60" w:rsidP="00507C92">
      <w:pPr>
        <w:spacing w:before="120" w:after="120" w:line="240" w:lineRule="auto"/>
        <w:jc w:val="both"/>
        <w:rPr>
          <w:rFonts w:ascii="Calibri" w:hAnsi="Calibri"/>
          <w:b/>
          <w:bCs/>
          <w:color w:val="2E74B5" w:themeColor="accent1" w:themeShade="BF"/>
        </w:rPr>
      </w:pPr>
      <w:r w:rsidRPr="00A97790">
        <w:rPr>
          <w:rFonts w:ascii="Calibri" w:hAnsi="Calibri"/>
          <w:b/>
          <w:bCs/>
          <w:color w:val="2E74B5" w:themeColor="accent1" w:themeShade="BF"/>
        </w:rPr>
        <w:t xml:space="preserve">V. </w:t>
      </w:r>
      <w:r w:rsidR="009D25D7" w:rsidRPr="00A97790">
        <w:rPr>
          <w:rFonts w:ascii="Calibri" w:hAnsi="Calibri"/>
          <w:b/>
          <w:bCs/>
          <w:color w:val="2E74B5" w:themeColor="accent1" w:themeShade="BF"/>
        </w:rPr>
        <w:t xml:space="preserve">BRASIL-UE </w:t>
      </w:r>
      <w:r w:rsidRPr="00A97790">
        <w:rPr>
          <w:rFonts w:ascii="Calibri" w:hAnsi="Calibri"/>
          <w:b/>
          <w:bCs/>
          <w:color w:val="2E74B5" w:themeColor="accent1" w:themeShade="BF"/>
        </w:rPr>
        <w:t xml:space="preserve">EM NÚMEROS </w:t>
      </w:r>
    </w:p>
    <w:p w14:paraId="5EB4545C" w14:textId="77777777" w:rsidR="00555AF9" w:rsidRPr="005876D2" w:rsidRDefault="00555AF9" w:rsidP="00555AF9">
      <w:pPr>
        <w:spacing w:before="120" w:after="120" w:line="240" w:lineRule="auto"/>
        <w:rPr>
          <w:b/>
          <w:bCs/>
        </w:rPr>
      </w:pPr>
      <w:r w:rsidRPr="005876D2">
        <w:rPr>
          <w:b/>
          <w:bCs/>
        </w:rPr>
        <w:t>União Europeia</w:t>
      </w:r>
      <w:r w:rsidRPr="005876D2">
        <w:t xml:space="preserve"> (fontes: Banco Mundial e Eurostat – 2023)</w:t>
      </w:r>
    </w:p>
    <w:p w14:paraId="47153C9E" w14:textId="77777777" w:rsidR="00555AF9" w:rsidRPr="005876D2" w:rsidRDefault="00555AF9" w:rsidP="00555AF9">
      <w:pPr>
        <w:pStyle w:val="ListParagraph"/>
        <w:numPr>
          <w:ilvl w:val="0"/>
          <w:numId w:val="4"/>
        </w:numPr>
        <w:spacing w:before="120" w:after="120" w:line="240" w:lineRule="auto"/>
      </w:pPr>
      <w:r w:rsidRPr="005876D2">
        <w:t>27 países</w:t>
      </w:r>
    </w:p>
    <w:p w14:paraId="14C34228" w14:textId="77777777" w:rsidR="00555AF9" w:rsidRPr="005876D2" w:rsidRDefault="00555AF9" w:rsidP="00555AF9">
      <w:pPr>
        <w:pStyle w:val="ListParagraph"/>
        <w:numPr>
          <w:ilvl w:val="0"/>
          <w:numId w:val="4"/>
        </w:numPr>
        <w:spacing w:before="120" w:after="120" w:line="240" w:lineRule="auto"/>
      </w:pPr>
      <w:r w:rsidRPr="005876D2">
        <w:t>População de 449 milhões de habitantes</w:t>
      </w:r>
    </w:p>
    <w:p w14:paraId="21CDBA52" w14:textId="77777777" w:rsidR="00555AF9" w:rsidRPr="005876D2" w:rsidRDefault="00555AF9" w:rsidP="00555AF9">
      <w:pPr>
        <w:pStyle w:val="ListParagraph"/>
        <w:numPr>
          <w:ilvl w:val="0"/>
          <w:numId w:val="4"/>
        </w:numPr>
        <w:spacing w:before="120" w:after="120" w:line="240" w:lineRule="auto"/>
      </w:pPr>
      <w:r w:rsidRPr="005876D2">
        <w:t>PIB de 18,3 trilhões de dólares</w:t>
      </w:r>
    </w:p>
    <w:p w14:paraId="6C71A1B2" w14:textId="77777777" w:rsidR="00555AF9" w:rsidRPr="005876D2" w:rsidRDefault="00555AF9" w:rsidP="00555AF9">
      <w:pPr>
        <w:pStyle w:val="ListParagraph"/>
        <w:numPr>
          <w:ilvl w:val="0"/>
          <w:numId w:val="4"/>
        </w:numPr>
        <w:spacing w:before="120" w:after="120" w:line="240" w:lineRule="auto"/>
      </w:pPr>
      <w:r w:rsidRPr="005876D2">
        <w:t>Exportações de bens de US$ 2,56 trilhões para o mundo</w:t>
      </w:r>
    </w:p>
    <w:p w14:paraId="5E55158F" w14:textId="77777777" w:rsidR="00555AF9" w:rsidRPr="005876D2" w:rsidRDefault="00555AF9" w:rsidP="00555AF9">
      <w:pPr>
        <w:pStyle w:val="ListParagraph"/>
        <w:numPr>
          <w:ilvl w:val="0"/>
          <w:numId w:val="4"/>
        </w:numPr>
        <w:spacing w:before="120" w:after="120" w:line="240" w:lineRule="auto"/>
      </w:pPr>
      <w:r w:rsidRPr="005876D2">
        <w:t>Importações de bens de US$ 2,52 trilhões do mundo</w:t>
      </w:r>
    </w:p>
    <w:p w14:paraId="0128FE5F" w14:textId="77777777" w:rsidR="00555AF9" w:rsidRPr="005876D2" w:rsidRDefault="00555AF9" w:rsidP="00555AF9">
      <w:pPr>
        <w:pStyle w:val="ListParagraph"/>
        <w:spacing w:before="120" w:after="120" w:line="240" w:lineRule="auto"/>
        <w:ind w:left="1440"/>
      </w:pPr>
    </w:p>
    <w:p w14:paraId="1CB339D0" w14:textId="77777777" w:rsidR="00555AF9" w:rsidRPr="005876D2" w:rsidRDefault="00555AF9" w:rsidP="00555AF9">
      <w:pPr>
        <w:spacing w:before="120" w:after="120" w:line="240" w:lineRule="auto"/>
        <w:rPr>
          <w:b/>
          <w:bCs/>
        </w:rPr>
      </w:pPr>
      <w:r w:rsidRPr="005876D2">
        <w:rPr>
          <w:b/>
          <w:bCs/>
        </w:rPr>
        <w:t>Comércio Brasil-União Europeia</w:t>
      </w:r>
    </w:p>
    <w:p w14:paraId="22BD95FD" w14:textId="77777777" w:rsidR="00555AF9" w:rsidRPr="005876D2" w:rsidRDefault="00555AF9" w:rsidP="00555AF9">
      <w:pPr>
        <w:pStyle w:val="ListParagraph"/>
        <w:numPr>
          <w:ilvl w:val="0"/>
          <w:numId w:val="3"/>
        </w:numPr>
        <w:spacing w:before="120" w:after="120" w:line="240" w:lineRule="auto"/>
      </w:pPr>
      <w:r w:rsidRPr="005876D2">
        <w:t>A União Europeia é o segundo maior parceiro comercial do Brasil</w:t>
      </w:r>
    </w:p>
    <w:p w14:paraId="5E2FDD71" w14:textId="77777777" w:rsidR="00555AF9" w:rsidRDefault="00555AF9" w:rsidP="00555AF9">
      <w:pPr>
        <w:pStyle w:val="ListParagraph"/>
        <w:numPr>
          <w:ilvl w:val="0"/>
          <w:numId w:val="3"/>
        </w:numPr>
        <w:spacing w:before="120" w:after="120" w:line="240" w:lineRule="auto"/>
      </w:pPr>
      <w:r w:rsidRPr="005876D2">
        <w:t>Em 2023 a corrente comercial bilateral, de US$ 92 bilhões, representou 16% do nosso comércio exterior.</w:t>
      </w:r>
    </w:p>
    <w:p w14:paraId="6D4F2807" w14:textId="77777777" w:rsidR="00555AF9" w:rsidRPr="005876D2" w:rsidRDefault="00555AF9" w:rsidP="00555AF9">
      <w:pPr>
        <w:pStyle w:val="ListParagraph"/>
        <w:spacing w:before="120" w:after="120" w:line="240" w:lineRule="auto"/>
        <w:ind w:left="1080"/>
      </w:pPr>
    </w:p>
    <w:p w14:paraId="20839785" w14:textId="4F0F1B76" w:rsidR="00555AF9" w:rsidRPr="005876D2" w:rsidRDefault="00555AF9" w:rsidP="00555AF9">
      <w:pPr>
        <w:pStyle w:val="Default"/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O Bra</w:t>
      </w:r>
      <w:r w:rsidRPr="005876D2">
        <w:rPr>
          <w:rFonts w:asciiTheme="minorHAnsi" w:hAnsiTheme="minorHAnsi"/>
          <w:b/>
          <w:bCs/>
        </w:rPr>
        <w:t>sil exportou US$ 46,3 bilhões para a União Europeia em 2023</w:t>
      </w:r>
    </w:p>
    <w:p w14:paraId="73587DEA" w14:textId="77777777" w:rsidR="00555AF9" w:rsidRPr="005876D2" w:rsidRDefault="00555AF9" w:rsidP="00555AF9">
      <w:pPr>
        <w:pStyle w:val="ListParagraph"/>
        <w:numPr>
          <w:ilvl w:val="0"/>
          <w:numId w:val="3"/>
        </w:numPr>
        <w:spacing w:before="120" w:after="120" w:line="240" w:lineRule="auto"/>
      </w:pPr>
      <w:r w:rsidRPr="005876D2">
        <w:t xml:space="preserve">Alimentos para animais - 11,6% </w:t>
      </w:r>
    </w:p>
    <w:p w14:paraId="24E3677B" w14:textId="77777777" w:rsidR="00555AF9" w:rsidRPr="005876D2" w:rsidRDefault="00555AF9" w:rsidP="00555AF9">
      <w:pPr>
        <w:pStyle w:val="ListParagraph"/>
        <w:numPr>
          <w:ilvl w:val="0"/>
          <w:numId w:val="3"/>
        </w:numPr>
        <w:spacing w:before="120" w:after="120" w:line="240" w:lineRule="auto"/>
      </w:pPr>
      <w:r w:rsidRPr="005876D2">
        <w:t xml:space="preserve">Minérios metálicos e sucata - 9,8% </w:t>
      </w:r>
    </w:p>
    <w:p w14:paraId="43059BB2" w14:textId="77777777" w:rsidR="00555AF9" w:rsidRPr="005876D2" w:rsidRDefault="00555AF9" w:rsidP="00555AF9">
      <w:pPr>
        <w:pStyle w:val="ListParagraph"/>
        <w:numPr>
          <w:ilvl w:val="0"/>
          <w:numId w:val="3"/>
        </w:numPr>
        <w:spacing w:before="120" w:after="120" w:line="240" w:lineRule="auto"/>
      </w:pPr>
      <w:r w:rsidRPr="005876D2">
        <w:t xml:space="preserve">Café, chá, cacau, especiarias - 7,8% </w:t>
      </w:r>
    </w:p>
    <w:p w14:paraId="4932D67A" w14:textId="77777777" w:rsidR="00555AF9" w:rsidRPr="005876D2" w:rsidRDefault="00555AF9" w:rsidP="00555AF9">
      <w:pPr>
        <w:pStyle w:val="ListParagraph"/>
        <w:numPr>
          <w:ilvl w:val="0"/>
          <w:numId w:val="3"/>
        </w:numPr>
        <w:spacing w:before="120" w:after="120" w:line="240" w:lineRule="auto"/>
      </w:pPr>
      <w:r w:rsidRPr="005876D2">
        <w:t xml:space="preserve">Sementes e frutos oleaginosos - 6,4% </w:t>
      </w:r>
    </w:p>
    <w:p w14:paraId="3E5AE5DB" w14:textId="77777777" w:rsidR="00555AF9" w:rsidRPr="005876D2" w:rsidRDefault="00555AF9" w:rsidP="00555AF9">
      <w:pPr>
        <w:pStyle w:val="ListParagraph"/>
        <w:numPr>
          <w:ilvl w:val="0"/>
          <w:numId w:val="3"/>
        </w:numPr>
        <w:spacing w:before="120" w:after="120" w:line="240" w:lineRule="auto"/>
      </w:pPr>
      <w:r w:rsidRPr="005876D2">
        <w:t xml:space="preserve">Ferro e aço - 4,6% </w:t>
      </w:r>
    </w:p>
    <w:p w14:paraId="4030CCBD" w14:textId="77777777" w:rsidR="00555AF9" w:rsidRPr="005876D2" w:rsidRDefault="00555AF9" w:rsidP="00555AF9">
      <w:pPr>
        <w:pStyle w:val="ListParagraph"/>
        <w:numPr>
          <w:ilvl w:val="0"/>
          <w:numId w:val="3"/>
        </w:numPr>
        <w:spacing w:before="120" w:after="120" w:line="240" w:lineRule="auto"/>
      </w:pPr>
      <w:r w:rsidRPr="005876D2">
        <w:t xml:space="preserve">Vegetais e frutas - 4,5% </w:t>
      </w:r>
    </w:p>
    <w:p w14:paraId="2B2B41C2" w14:textId="77777777" w:rsidR="00555AF9" w:rsidRPr="005876D2" w:rsidRDefault="00555AF9" w:rsidP="00555AF9">
      <w:pPr>
        <w:pStyle w:val="ListParagraph"/>
        <w:numPr>
          <w:ilvl w:val="0"/>
          <w:numId w:val="3"/>
        </w:numPr>
        <w:spacing w:before="120" w:after="120" w:line="240" w:lineRule="auto"/>
      </w:pPr>
      <w:r w:rsidRPr="005876D2">
        <w:lastRenderedPageBreak/>
        <w:t xml:space="preserve">Celulose e resíduos de papel - 3,4% </w:t>
      </w:r>
    </w:p>
    <w:p w14:paraId="358673D0" w14:textId="77777777" w:rsidR="00555AF9" w:rsidRPr="005876D2" w:rsidRDefault="00555AF9" w:rsidP="00555AF9">
      <w:pPr>
        <w:pStyle w:val="ListParagraph"/>
        <w:numPr>
          <w:ilvl w:val="0"/>
          <w:numId w:val="3"/>
        </w:numPr>
        <w:spacing w:before="120" w:after="120" w:line="240" w:lineRule="auto"/>
      </w:pPr>
      <w:r w:rsidRPr="005876D2">
        <w:t xml:space="preserve">Carne e preparações de carne - 2,5% </w:t>
      </w:r>
    </w:p>
    <w:p w14:paraId="0215BF38" w14:textId="77777777" w:rsidR="00555AF9" w:rsidRPr="005876D2" w:rsidRDefault="00555AF9" w:rsidP="00555AF9">
      <w:pPr>
        <w:pStyle w:val="ListParagraph"/>
        <w:numPr>
          <w:ilvl w:val="0"/>
          <w:numId w:val="3"/>
        </w:numPr>
        <w:spacing w:before="120" w:after="120" w:line="240" w:lineRule="auto"/>
      </w:pPr>
      <w:r w:rsidRPr="005876D2">
        <w:t xml:space="preserve">Tabaco e suas manufaturas - 2,2% </w:t>
      </w:r>
    </w:p>
    <w:p w14:paraId="175573DB" w14:textId="77777777" w:rsidR="00555AF9" w:rsidRPr="005876D2" w:rsidRDefault="00555AF9" w:rsidP="00555AF9">
      <w:pPr>
        <w:spacing w:before="120" w:after="120" w:line="240" w:lineRule="auto"/>
        <w:rPr>
          <w:b/>
          <w:bCs/>
        </w:rPr>
      </w:pPr>
    </w:p>
    <w:p w14:paraId="444A47FE" w14:textId="77777777" w:rsidR="00555AF9" w:rsidRPr="005876D2" w:rsidRDefault="00555AF9" w:rsidP="00555AF9">
      <w:pPr>
        <w:spacing w:before="120" w:after="120" w:line="240" w:lineRule="auto"/>
        <w:rPr>
          <w:b/>
          <w:bCs/>
        </w:rPr>
      </w:pPr>
      <w:r w:rsidRPr="005876D2">
        <w:rPr>
          <w:b/>
          <w:bCs/>
        </w:rPr>
        <w:t>O Brasil importou US$ 45,4 bilhões da União Europeia em 2023</w:t>
      </w:r>
    </w:p>
    <w:p w14:paraId="70B8A4ED" w14:textId="77777777" w:rsidR="00555AF9" w:rsidRPr="005876D2" w:rsidRDefault="00555AF9" w:rsidP="00555AF9">
      <w:pPr>
        <w:pStyle w:val="ListParagraph"/>
        <w:numPr>
          <w:ilvl w:val="0"/>
          <w:numId w:val="3"/>
        </w:numPr>
        <w:spacing w:before="120" w:after="120" w:line="240" w:lineRule="auto"/>
      </w:pPr>
      <w:r w:rsidRPr="005876D2">
        <w:t xml:space="preserve">Produtos farmacêuticos e medicinais - 14,7% </w:t>
      </w:r>
    </w:p>
    <w:p w14:paraId="769C0723" w14:textId="77777777" w:rsidR="00555AF9" w:rsidRPr="005876D2" w:rsidRDefault="00555AF9" w:rsidP="00555AF9">
      <w:pPr>
        <w:pStyle w:val="ListParagraph"/>
        <w:numPr>
          <w:ilvl w:val="0"/>
          <w:numId w:val="3"/>
        </w:numPr>
        <w:spacing w:before="120" w:after="120" w:line="240" w:lineRule="auto"/>
      </w:pPr>
      <w:r w:rsidRPr="005876D2">
        <w:t xml:space="preserve">Máquinas em geral e equipamentos industriais - 9,9% </w:t>
      </w:r>
    </w:p>
    <w:p w14:paraId="5ACAD169" w14:textId="77777777" w:rsidR="00555AF9" w:rsidRPr="005876D2" w:rsidRDefault="00555AF9" w:rsidP="00555AF9">
      <w:pPr>
        <w:pStyle w:val="ListParagraph"/>
        <w:numPr>
          <w:ilvl w:val="0"/>
          <w:numId w:val="3"/>
        </w:numPr>
        <w:spacing w:before="120" w:after="120" w:line="240" w:lineRule="auto"/>
      </w:pPr>
      <w:r w:rsidRPr="005876D2">
        <w:t xml:space="preserve">Veículos rodoviários - 8,2% </w:t>
      </w:r>
    </w:p>
    <w:p w14:paraId="31D08130" w14:textId="77777777" w:rsidR="00555AF9" w:rsidRPr="005876D2" w:rsidRDefault="00555AF9" w:rsidP="00555AF9">
      <w:pPr>
        <w:pStyle w:val="ListParagraph"/>
        <w:numPr>
          <w:ilvl w:val="0"/>
          <w:numId w:val="3"/>
        </w:numPr>
        <w:spacing w:before="120" w:after="120" w:line="240" w:lineRule="auto"/>
      </w:pPr>
      <w:r w:rsidRPr="005876D2">
        <w:t xml:space="preserve">Petróleo, produtos petrolíferos - 6,8% </w:t>
      </w:r>
    </w:p>
    <w:p w14:paraId="26F8D253" w14:textId="77777777" w:rsidR="00555AF9" w:rsidRPr="005876D2" w:rsidRDefault="00555AF9" w:rsidP="00555AF9">
      <w:pPr>
        <w:pStyle w:val="ListParagraph"/>
        <w:numPr>
          <w:ilvl w:val="0"/>
          <w:numId w:val="3"/>
        </w:numPr>
        <w:spacing w:before="120" w:after="120" w:line="240" w:lineRule="auto"/>
      </w:pPr>
      <w:r w:rsidRPr="005876D2">
        <w:t xml:space="preserve">Máquinas e equip. de geração de energia - 6,1% </w:t>
      </w:r>
    </w:p>
    <w:p w14:paraId="32A9835C" w14:textId="77777777" w:rsidR="00555AF9" w:rsidRPr="005876D2" w:rsidRDefault="00555AF9" w:rsidP="00555AF9">
      <w:pPr>
        <w:pStyle w:val="ListParagraph"/>
        <w:numPr>
          <w:ilvl w:val="0"/>
          <w:numId w:val="3"/>
        </w:numPr>
        <w:spacing w:before="120" w:after="120" w:line="240" w:lineRule="auto"/>
      </w:pPr>
      <w:r w:rsidRPr="005876D2">
        <w:t xml:space="preserve">Produtos químicos orgânicos - 5,5% </w:t>
      </w:r>
    </w:p>
    <w:p w14:paraId="2C2125A8" w14:textId="77777777" w:rsidR="00555AF9" w:rsidRPr="005876D2" w:rsidRDefault="00555AF9" w:rsidP="00555AF9">
      <w:pPr>
        <w:pStyle w:val="ListParagraph"/>
        <w:numPr>
          <w:ilvl w:val="0"/>
          <w:numId w:val="3"/>
        </w:numPr>
        <w:spacing w:before="120" w:after="120" w:line="240" w:lineRule="auto"/>
      </w:pPr>
      <w:r w:rsidRPr="005876D2">
        <w:t xml:space="preserve">Máquinas e aparelhos especializados para determinadas indústrias - 5,3% </w:t>
      </w:r>
    </w:p>
    <w:p w14:paraId="0EAE7194" w14:textId="77777777" w:rsidR="00555AF9" w:rsidRPr="005876D2" w:rsidRDefault="00555AF9" w:rsidP="00555AF9">
      <w:pPr>
        <w:pStyle w:val="ListParagraph"/>
        <w:numPr>
          <w:ilvl w:val="0"/>
          <w:numId w:val="3"/>
        </w:numPr>
        <w:spacing w:before="120" w:after="120" w:line="240" w:lineRule="auto"/>
      </w:pPr>
      <w:r w:rsidRPr="005876D2">
        <w:t xml:space="preserve">Máquinas e aparelhos elétricos - 4,7% </w:t>
      </w:r>
    </w:p>
    <w:p w14:paraId="5548028C" w14:textId="77777777" w:rsidR="00555AF9" w:rsidRPr="005876D2" w:rsidRDefault="00555AF9" w:rsidP="00555AF9">
      <w:pPr>
        <w:pStyle w:val="ListParagraph"/>
        <w:numPr>
          <w:ilvl w:val="0"/>
          <w:numId w:val="3"/>
        </w:numPr>
        <w:spacing w:before="120" w:after="120" w:line="240" w:lineRule="auto"/>
      </w:pPr>
      <w:r w:rsidRPr="005876D2">
        <w:t xml:space="preserve">Materiais e produtos químicos - 3,6% </w:t>
      </w:r>
    </w:p>
    <w:p w14:paraId="46968F26" w14:textId="77777777" w:rsidR="00555AF9" w:rsidRPr="005876D2" w:rsidRDefault="00555AF9" w:rsidP="00555AF9">
      <w:pPr>
        <w:pStyle w:val="ListParagraph"/>
        <w:numPr>
          <w:ilvl w:val="0"/>
          <w:numId w:val="3"/>
        </w:numPr>
        <w:spacing w:before="120" w:after="120" w:line="240" w:lineRule="auto"/>
      </w:pPr>
      <w:r w:rsidRPr="005876D2">
        <w:t xml:space="preserve">Ferro e aço - 3,4% </w:t>
      </w:r>
    </w:p>
    <w:p w14:paraId="18FE79ED" w14:textId="77777777" w:rsidR="00555AF9" w:rsidRPr="005876D2" w:rsidRDefault="00555AF9" w:rsidP="00555AF9">
      <w:pPr>
        <w:spacing w:before="120" w:after="120" w:line="240" w:lineRule="auto"/>
        <w:rPr>
          <w:b/>
          <w:bCs/>
        </w:rPr>
      </w:pPr>
    </w:p>
    <w:p w14:paraId="759839C2" w14:textId="39994F87" w:rsidR="00555AF9" w:rsidRPr="00A97790" w:rsidRDefault="009D25D7" w:rsidP="00555AF9">
      <w:pPr>
        <w:spacing w:before="120" w:after="120" w:line="240" w:lineRule="auto"/>
        <w:rPr>
          <w:b/>
          <w:bCs/>
          <w:color w:val="2E74B5" w:themeColor="accent1" w:themeShade="BF"/>
        </w:rPr>
      </w:pPr>
      <w:r w:rsidRPr="00A97790">
        <w:rPr>
          <w:b/>
          <w:bCs/>
          <w:color w:val="2E74B5" w:themeColor="accent1" w:themeShade="BF"/>
        </w:rPr>
        <w:t xml:space="preserve">VI – IMPACTOS </w:t>
      </w:r>
      <w:r w:rsidRPr="00A97790">
        <w:rPr>
          <w:rFonts w:hint="eastAsia"/>
          <w:b/>
          <w:bCs/>
          <w:color w:val="2E74B5" w:themeColor="accent1" w:themeShade="BF"/>
        </w:rPr>
        <w:t>ESTIMADOS</w:t>
      </w:r>
      <w:r w:rsidRPr="00A97790">
        <w:rPr>
          <w:b/>
          <w:bCs/>
          <w:color w:val="2E74B5" w:themeColor="accent1" w:themeShade="BF"/>
        </w:rPr>
        <w:t xml:space="preserve"> - </w:t>
      </w:r>
      <w:r w:rsidR="00555AF9" w:rsidRPr="00A97790">
        <w:rPr>
          <w:b/>
          <w:bCs/>
          <w:color w:val="2E74B5" w:themeColor="accent1" w:themeShade="BF"/>
        </w:rPr>
        <w:t xml:space="preserve">Simulação dos efeitos do Acordo Comercial Mercosul – </w:t>
      </w:r>
      <w:r w:rsidR="002C759F" w:rsidRPr="00A97790">
        <w:rPr>
          <w:b/>
          <w:bCs/>
          <w:color w:val="2E74B5" w:themeColor="accent1" w:themeShade="BF"/>
        </w:rPr>
        <w:t>U</w:t>
      </w:r>
      <w:r w:rsidR="00502059" w:rsidRPr="00A97790">
        <w:rPr>
          <w:b/>
          <w:bCs/>
          <w:color w:val="2E74B5" w:themeColor="accent1" w:themeShade="BF"/>
        </w:rPr>
        <w:t>E</w:t>
      </w:r>
      <w:r w:rsidR="002C759F" w:rsidRPr="00A97790">
        <w:rPr>
          <w:b/>
          <w:bCs/>
          <w:color w:val="2E74B5" w:themeColor="accent1" w:themeShade="BF"/>
        </w:rPr>
        <w:t xml:space="preserve"> para o Brasil</w:t>
      </w:r>
    </w:p>
    <w:p w14:paraId="6BECBE4F" w14:textId="77777777" w:rsidR="00555AF9" w:rsidRPr="005876D2" w:rsidRDefault="00555AF9" w:rsidP="00555AF9">
      <w:pPr>
        <w:spacing w:before="120" w:after="120" w:line="240" w:lineRule="auto"/>
        <w:rPr>
          <w:i/>
          <w:iCs/>
        </w:rPr>
      </w:pPr>
      <w:r>
        <w:rPr>
          <w:i/>
          <w:iCs/>
        </w:rPr>
        <w:t>D</w:t>
      </w:r>
      <w:r w:rsidRPr="005876D2">
        <w:rPr>
          <w:i/>
          <w:iCs/>
        </w:rPr>
        <w:t>esvios percentuais estimados para o ano de 2044; valores em reais consideram o ano base de 2023</w:t>
      </w:r>
    </w:p>
    <w:p w14:paraId="68AF4F21" w14:textId="77777777" w:rsidR="002C759F" w:rsidRDefault="002C759F" w:rsidP="002C759F">
      <w:pPr>
        <w:spacing w:before="120" w:after="120" w:line="240" w:lineRule="auto"/>
      </w:pPr>
      <w:r>
        <w:t>o</w:t>
      </w:r>
      <w:r>
        <w:tab/>
        <w:t>Efeito positivo de 0,34% (R$ 37 bilhões) sobre o PIB</w:t>
      </w:r>
    </w:p>
    <w:p w14:paraId="287B8772" w14:textId="77777777" w:rsidR="002C759F" w:rsidRDefault="002C759F" w:rsidP="002C759F">
      <w:pPr>
        <w:spacing w:before="120" w:after="120" w:line="240" w:lineRule="auto"/>
      </w:pPr>
      <w:r>
        <w:t>o</w:t>
      </w:r>
      <w:r>
        <w:tab/>
        <w:t>Aumento de 0,76% no investimento (R$ 13,6 bilhões)</w:t>
      </w:r>
    </w:p>
    <w:p w14:paraId="2607EDD1" w14:textId="77777777" w:rsidR="002C759F" w:rsidRDefault="002C759F" w:rsidP="002C759F">
      <w:pPr>
        <w:spacing w:before="120" w:after="120" w:line="240" w:lineRule="auto"/>
      </w:pPr>
      <w:r>
        <w:t xml:space="preserve">o </w:t>
      </w:r>
      <w:r>
        <w:tab/>
        <w:t xml:space="preserve">Redução de 0,56% no nível de preços ao consumidor </w:t>
      </w:r>
    </w:p>
    <w:p w14:paraId="193B36C2" w14:textId="77777777" w:rsidR="002C759F" w:rsidRDefault="002C759F" w:rsidP="002C759F">
      <w:pPr>
        <w:spacing w:before="120" w:after="120" w:line="240" w:lineRule="auto"/>
      </w:pPr>
      <w:r>
        <w:t>o</w:t>
      </w:r>
      <w:r>
        <w:tab/>
        <w:t>Aumento de 0,42% nos salários reais</w:t>
      </w:r>
    </w:p>
    <w:p w14:paraId="0FB05D10" w14:textId="77777777" w:rsidR="002C759F" w:rsidRDefault="002C759F" w:rsidP="002C759F">
      <w:pPr>
        <w:spacing w:before="120" w:after="120" w:line="240" w:lineRule="auto"/>
      </w:pPr>
      <w:r>
        <w:t xml:space="preserve">o </w:t>
      </w:r>
      <w:r>
        <w:tab/>
        <w:t>Impacto de 2,46% (R$ 42,1 bilhões) sobreas importações totais</w:t>
      </w:r>
    </w:p>
    <w:p w14:paraId="7BEEE535" w14:textId="77777777" w:rsidR="002C759F" w:rsidRDefault="002C759F" w:rsidP="002C759F">
      <w:pPr>
        <w:spacing w:before="120" w:after="120" w:line="240" w:lineRule="auto"/>
      </w:pPr>
      <w:r>
        <w:t xml:space="preserve">o </w:t>
      </w:r>
      <w:r>
        <w:tab/>
        <w:t>Impacto de 2,65% (R$ 52,1 bilhões) sobreas exportações totais</w:t>
      </w:r>
    </w:p>
    <w:p w14:paraId="40FFBFC9" w14:textId="77777777" w:rsidR="002C759F" w:rsidRDefault="002C759F" w:rsidP="002C759F">
      <w:pPr>
        <w:spacing w:before="120" w:after="120" w:line="240" w:lineRule="auto"/>
      </w:pPr>
    </w:p>
    <w:p w14:paraId="6A839C61" w14:textId="2E6D5F88" w:rsidR="00555AF9" w:rsidRDefault="002C759F" w:rsidP="002C759F">
      <w:pPr>
        <w:spacing w:before="120" w:after="120" w:line="240" w:lineRule="auto"/>
      </w:pPr>
      <w:r>
        <w:t>Os impactos estimados baseiam-se nos resultados de simulação de equilíbrio geral dinâmico recursivo (GTAP-RD)</w:t>
      </w:r>
    </w:p>
    <w:p w14:paraId="1FA6BDC1" w14:textId="77777777" w:rsidR="002C759F" w:rsidRDefault="002C759F" w:rsidP="00555AF9">
      <w:pPr>
        <w:spacing w:before="120" w:after="120" w:line="240" w:lineRule="auto"/>
      </w:pPr>
    </w:p>
    <w:p w14:paraId="213ACD65" w14:textId="77777777" w:rsidR="002C759F" w:rsidRDefault="002C759F" w:rsidP="00555AF9">
      <w:pPr>
        <w:spacing w:before="120" w:after="120" w:line="240" w:lineRule="auto"/>
      </w:pPr>
    </w:p>
    <w:sectPr w:rsidR="002C75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C2F12" w14:textId="77777777" w:rsidR="00BB0C13" w:rsidRDefault="00BB0C13" w:rsidP="00674F35">
      <w:pPr>
        <w:spacing w:after="0" w:line="240" w:lineRule="auto"/>
      </w:pPr>
      <w:r>
        <w:separator/>
      </w:r>
    </w:p>
  </w:endnote>
  <w:endnote w:type="continuationSeparator" w:id="0">
    <w:p w14:paraId="4A4ACF39" w14:textId="77777777" w:rsidR="00BB0C13" w:rsidRDefault="00BB0C13" w:rsidP="00674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A7492" w14:textId="77777777" w:rsidR="00684899" w:rsidRDefault="00684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24D87" w14:textId="77777777" w:rsidR="00684899" w:rsidRDefault="006848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C00CB" w14:textId="77777777" w:rsidR="00684899" w:rsidRDefault="00684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18AC4" w14:textId="77777777" w:rsidR="00BB0C13" w:rsidRDefault="00BB0C13" w:rsidP="00674F35">
      <w:pPr>
        <w:spacing w:after="0" w:line="240" w:lineRule="auto"/>
      </w:pPr>
      <w:r>
        <w:separator/>
      </w:r>
    </w:p>
  </w:footnote>
  <w:footnote w:type="continuationSeparator" w:id="0">
    <w:p w14:paraId="50FEE3F4" w14:textId="77777777" w:rsidR="00BB0C13" w:rsidRDefault="00BB0C13" w:rsidP="00674F35">
      <w:pPr>
        <w:spacing w:after="0" w:line="240" w:lineRule="auto"/>
      </w:pPr>
      <w:r>
        <w:continuationSeparator/>
      </w:r>
    </w:p>
  </w:footnote>
  <w:footnote w:id="1">
    <w:p w14:paraId="2BDD0519" w14:textId="77777777" w:rsidR="00674F35" w:rsidRPr="0002749B" w:rsidRDefault="00674F35" w:rsidP="00674F35">
      <w:pPr>
        <w:pStyle w:val="FootnoteText"/>
        <w:rPr>
          <w:rFonts w:ascii="Calibri" w:hAnsi="Calibri" w:cstheme="minorHAnsi"/>
          <w:szCs w:val="18"/>
        </w:rPr>
      </w:pPr>
      <w:r w:rsidRPr="0002749B">
        <w:rPr>
          <w:rStyle w:val="FootnoteReference"/>
          <w:rFonts w:ascii="Calibri" w:hAnsi="Calibri" w:cstheme="minorHAnsi"/>
          <w:szCs w:val="18"/>
        </w:rPr>
        <w:footnoteRef/>
      </w:r>
      <w:r w:rsidRPr="0002749B">
        <w:rPr>
          <w:rFonts w:ascii="Calibri" w:hAnsi="Calibri" w:cstheme="minorHAnsi"/>
          <w:szCs w:val="18"/>
        </w:rPr>
        <w:t xml:space="preserve"> FMI (dados de PIB e população do MERCOSUL) e Eurostat (população da UE).</w:t>
      </w:r>
    </w:p>
  </w:footnote>
  <w:footnote w:id="2">
    <w:p w14:paraId="59195FBB" w14:textId="77777777" w:rsidR="00674F35" w:rsidRPr="00FC1682" w:rsidRDefault="00674F35" w:rsidP="00674F35">
      <w:pPr>
        <w:pStyle w:val="FootnoteText"/>
        <w:rPr>
          <w:rFonts w:ascii="Calibri" w:hAnsi="Calibri"/>
          <w:lang w:val="en-US"/>
        </w:rPr>
      </w:pPr>
      <w:r w:rsidRPr="0002749B">
        <w:rPr>
          <w:rStyle w:val="FootnoteReference"/>
          <w:rFonts w:ascii="Calibri" w:hAnsi="Calibri"/>
        </w:rPr>
        <w:footnoteRef/>
      </w:r>
      <w:r w:rsidRPr="00FC1682">
        <w:rPr>
          <w:rFonts w:ascii="Calibri" w:hAnsi="Calibri"/>
          <w:lang w:val="en-US"/>
        </w:rPr>
        <w:t xml:space="preserve"> </w:t>
      </w:r>
      <w:r w:rsidRPr="00FC1682">
        <w:rPr>
          <w:rFonts w:ascii="Calibri" w:hAnsi="Calibri"/>
          <w:i/>
          <w:iCs/>
          <w:lang w:val="en-US"/>
        </w:rPr>
        <w:t>Brazil-European Union Investment Map</w:t>
      </w:r>
      <w:r w:rsidRPr="00FC1682">
        <w:rPr>
          <w:rFonts w:ascii="Calibri" w:hAnsi="Calibri"/>
          <w:lang w:val="en-US"/>
        </w:rPr>
        <w:t>,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DC179" w14:textId="77777777" w:rsidR="00684899" w:rsidRDefault="006848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C7B45" w14:textId="2EC86A2D" w:rsidR="00684899" w:rsidRDefault="006848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C731F" w14:textId="77777777" w:rsidR="00684899" w:rsidRDefault="006848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31300"/>
    <w:multiLevelType w:val="hybridMultilevel"/>
    <w:tmpl w:val="23B0689E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3E5E0A"/>
    <w:multiLevelType w:val="hybridMultilevel"/>
    <w:tmpl w:val="B1907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A7DB3"/>
    <w:multiLevelType w:val="hybridMultilevel"/>
    <w:tmpl w:val="219A7F00"/>
    <w:lvl w:ilvl="0" w:tplc="664AC4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D76CF"/>
    <w:multiLevelType w:val="hybridMultilevel"/>
    <w:tmpl w:val="722CA60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482D69"/>
    <w:multiLevelType w:val="hybridMultilevel"/>
    <w:tmpl w:val="9918DB6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68074D"/>
    <w:multiLevelType w:val="hybridMultilevel"/>
    <w:tmpl w:val="C18CCEB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352E9"/>
    <w:multiLevelType w:val="hybridMultilevel"/>
    <w:tmpl w:val="2D4AF27C"/>
    <w:lvl w:ilvl="0" w:tplc="467EB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326367">
    <w:abstractNumId w:val="6"/>
  </w:num>
  <w:num w:numId="2" w16cid:durableId="420222675">
    <w:abstractNumId w:val="3"/>
  </w:num>
  <w:num w:numId="3" w16cid:durableId="974944521">
    <w:abstractNumId w:val="0"/>
  </w:num>
  <w:num w:numId="4" w16cid:durableId="414479228">
    <w:abstractNumId w:val="4"/>
  </w:num>
  <w:num w:numId="5" w16cid:durableId="1752005548">
    <w:abstractNumId w:val="5"/>
  </w:num>
  <w:num w:numId="6" w16cid:durableId="1493793375">
    <w:abstractNumId w:val="2"/>
  </w:num>
  <w:num w:numId="7" w16cid:durableId="455106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35"/>
    <w:rsid w:val="00045882"/>
    <w:rsid w:val="0009132A"/>
    <w:rsid w:val="00094D85"/>
    <w:rsid w:val="000A59FC"/>
    <w:rsid w:val="000A7278"/>
    <w:rsid w:val="000F55BA"/>
    <w:rsid w:val="000F7B4F"/>
    <w:rsid w:val="00114CBF"/>
    <w:rsid w:val="00115120"/>
    <w:rsid w:val="0012085B"/>
    <w:rsid w:val="0015452F"/>
    <w:rsid w:val="001560B8"/>
    <w:rsid w:val="0016105E"/>
    <w:rsid w:val="00166E88"/>
    <w:rsid w:val="001908AF"/>
    <w:rsid w:val="001A0477"/>
    <w:rsid w:val="001C7EA7"/>
    <w:rsid w:val="001E6B99"/>
    <w:rsid w:val="001E6D98"/>
    <w:rsid w:val="00210243"/>
    <w:rsid w:val="00285196"/>
    <w:rsid w:val="002B7133"/>
    <w:rsid w:val="002C759F"/>
    <w:rsid w:val="002F06AB"/>
    <w:rsid w:val="00317CFA"/>
    <w:rsid w:val="00320A52"/>
    <w:rsid w:val="00372FBA"/>
    <w:rsid w:val="003734D0"/>
    <w:rsid w:val="00385D5F"/>
    <w:rsid w:val="003C18D5"/>
    <w:rsid w:val="003E6A82"/>
    <w:rsid w:val="003F3BAA"/>
    <w:rsid w:val="00437E4E"/>
    <w:rsid w:val="004454DA"/>
    <w:rsid w:val="00473146"/>
    <w:rsid w:val="00496FB3"/>
    <w:rsid w:val="004A07E5"/>
    <w:rsid w:val="004C66CA"/>
    <w:rsid w:val="004F5FEA"/>
    <w:rsid w:val="00502059"/>
    <w:rsid w:val="00502D53"/>
    <w:rsid w:val="00507C92"/>
    <w:rsid w:val="00555AF9"/>
    <w:rsid w:val="00561746"/>
    <w:rsid w:val="00576AC5"/>
    <w:rsid w:val="0058190F"/>
    <w:rsid w:val="0058448E"/>
    <w:rsid w:val="005A1FC7"/>
    <w:rsid w:val="00654806"/>
    <w:rsid w:val="006729AE"/>
    <w:rsid w:val="00674F35"/>
    <w:rsid w:val="00682931"/>
    <w:rsid w:val="00684899"/>
    <w:rsid w:val="006C7C45"/>
    <w:rsid w:val="006E092A"/>
    <w:rsid w:val="007077EE"/>
    <w:rsid w:val="00723DAE"/>
    <w:rsid w:val="00732D89"/>
    <w:rsid w:val="007946B1"/>
    <w:rsid w:val="008568E4"/>
    <w:rsid w:val="008600F6"/>
    <w:rsid w:val="008D1E20"/>
    <w:rsid w:val="00901051"/>
    <w:rsid w:val="009964BA"/>
    <w:rsid w:val="00997BFC"/>
    <w:rsid w:val="009D032B"/>
    <w:rsid w:val="009D25D7"/>
    <w:rsid w:val="009E1FBE"/>
    <w:rsid w:val="00A03C60"/>
    <w:rsid w:val="00A07A9F"/>
    <w:rsid w:val="00A52CA5"/>
    <w:rsid w:val="00A65D55"/>
    <w:rsid w:val="00A97790"/>
    <w:rsid w:val="00AA0F1E"/>
    <w:rsid w:val="00AA2E36"/>
    <w:rsid w:val="00AF502C"/>
    <w:rsid w:val="00B215ED"/>
    <w:rsid w:val="00B52A18"/>
    <w:rsid w:val="00BB0C13"/>
    <w:rsid w:val="00BD501E"/>
    <w:rsid w:val="00C11F4B"/>
    <w:rsid w:val="00C12E91"/>
    <w:rsid w:val="00D25852"/>
    <w:rsid w:val="00D3379E"/>
    <w:rsid w:val="00D4082A"/>
    <w:rsid w:val="00D7572C"/>
    <w:rsid w:val="00D832D2"/>
    <w:rsid w:val="00D87958"/>
    <w:rsid w:val="00DB56A2"/>
    <w:rsid w:val="00DC6A4A"/>
    <w:rsid w:val="00DF7415"/>
    <w:rsid w:val="00E37184"/>
    <w:rsid w:val="00E37CE9"/>
    <w:rsid w:val="00E6475B"/>
    <w:rsid w:val="00E94392"/>
    <w:rsid w:val="00E95B13"/>
    <w:rsid w:val="00F30DF3"/>
    <w:rsid w:val="00F50EB2"/>
    <w:rsid w:val="00F67339"/>
    <w:rsid w:val="00F923A3"/>
    <w:rsid w:val="00FC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F25A6"/>
  <w15:chartTrackingRefBased/>
  <w15:docId w15:val="{766995CC-CF40-4BCD-BE81-FA98221C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F35"/>
    <w:pPr>
      <w:spacing w:after="160" w:line="278" w:lineRule="auto"/>
    </w:pPr>
    <w:rPr>
      <w:rFonts w:eastAsiaTheme="minorEastAsia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F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4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FootnoteText">
    <w:name w:val="footnote text"/>
    <w:basedOn w:val="Normal"/>
    <w:link w:val="FootnoteTextChar"/>
    <w:uiPriority w:val="99"/>
    <w:rsid w:val="00674F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4F3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otnoteReference">
    <w:name w:val="footnote reference"/>
    <w:uiPriority w:val="99"/>
    <w:rsid w:val="00674F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AF9"/>
    <w:rPr>
      <w:rFonts w:ascii="Segoe UI" w:eastAsiaTheme="minorEastAsia" w:hAnsi="Segoe UI" w:cs="Segoe UI"/>
      <w:kern w:val="2"/>
      <w:sz w:val="18"/>
      <w:szCs w:val="18"/>
      <w:lang w:eastAsia="zh-CN"/>
      <w14:ligatures w14:val="standardContextual"/>
    </w:rPr>
  </w:style>
  <w:style w:type="paragraph" w:customStyle="1" w:styleId="Default">
    <w:name w:val="Default"/>
    <w:rsid w:val="00555AF9"/>
    <w:pPr>
      <w:autoSpaceDE w:val="0"/>
      <w:autoSpaceDN w:val="0"/>
      <w:adjustRightInd w:val="0"/>
    </w:pPr>
    <w:rPr>
      <w:rFonts w:ascii="Roboto" w:eastAsiaTheme="minorEastAsia" w:hAnsi="Roboto" w:cs="Roboto"/>
      <w:color w:val="000000"/>
      <w:lang w:eastAsia="zh-CN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6848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899"/>
    <w:rPr>
      <w:rFonts w:eastAsiaTheme="minorEastAsia"/>
      <w:kern w:val="2"/>
      <w:lang w:eastAsia="zh-CN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848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899"/>
    <w:rPr>
      <w:rFonts w:eastAsiaTheme="minorEastAsia"/>
      <w:kern w:val="2"/>
      <w:lang w:eastAsia="zh-CN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AA0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F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F1E"/>
    <w:rPr>
      <w:rFonts w:eastAsiaTheme="minorEastAsia"/>
      <w:kern w:val="2"/>
      <w:sz w:val="20"/>
      <w:szCs w:val="20"/>
      <w:lang w:eastAsia="zh-CN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F1E"/>
    <w:rPr>
      <w:rFonts w:eastAsiaTheme="minorEastAsia"/>
      <w:b/>
      <w:bCs/>
      <w:kern w:val="2"/>
      <w:sz w:val="20"/>
      <w:szCs w:val="20"/>
      <w:lang w:eastAsia="zh-CN"/>
      <w14:ligatures w14:val="standardContextual"/>
    </w:rPr>
  </w:style>
  <w:style w:type="paragraph" w:styleId="Revision">
    <w:name w:val="Revision"/>
    <w:hidden/>
    <w:uiPriority w:val="99"/>
    <w:semiHidden/>
    <w:rsid w:val="0015452F"/>
    <w:rPr>
      <w:rFonts w:eastAsiaTheme="minorEastAsia"/>
      <w:kern w:val="2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4658</Words>
  <Characters>26557</Characters>
  <Application>Microsoft Office Word</Application>
  <DocSecurity>0</DocSecurity>
  <Lines>221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Choer Moraes</dc:creator>
  <cp:keywords/>
  <dc:description/>
  <cp:lastModifiedBy>henrique Choer moraes</cp:lastModifiedBy>
  <cp:revision>6</cp:revision>
  <dcterms:created xsi:type="dcterms:W3CDTF">2024-12-05T01:37:00Z</dcterms:created>
  <dcterms:modified xsi:type="dcterms:W3CDTF">2024-12-05T01:41:00Z</dcterms:modified>
</cp:coreProperties>
</file>