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66" w:rsidRPr="003C54E1" w:rsidRDefault="001B2866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r w:rsidRPr="003C54E1">
        <w:rPr>
          <w:rFonts w:ascii="Arial" w:hAnsi="Arial" w:cs="Arial"/>
          <w:b/>
          <w:bCs/>
        </w:rPr>
        <w:t>MINISTÉRIO DA AGRICULTURA, PECUÁRIA E ABASTECIMENTO</w:t>
      </w:r>
    </w:p>
    <w:p w:rsidR="001B2866" w:rsidRPr="003C54E1" w:rsidRDefault="001B2866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r w:rsidRPr="003C54E1">
        <w:rPr>
          <w:rFonts w:ascii="Arial" w:hAnsi="Arial" w:cs="Arial"/>
          <w:b/>
          <w:bCs/>
        </w:rPr>
        <w:t>Secretaria de Relações Internacionais do Agronegócio</w:t>
      </w:r>
    </w:p>
    <w:p w:rsidR="001B2866" w:rsidRPr="00467331" w:rsidRDefault="001B2866" w:rsidP="00467331"/>
    <w:p w:rsidR="001B2866" w:rsidRDefault="001B2866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r w:rsidR="001830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>/2015</w:t>
      </w:r>
    </w:p>
    <w:p w:rsidR="001B2866" w:rsidRPr="00467331" w:rsidRDefault="001B2866" w:rsidP="00467331"/>
    <w:p w:rsidR="001B2866" w:rsidRPr="001D2578" w:rsidRDefault="002A3D3D" w:rsidP="001D2578">
      <w:r w:rsidRPr="002A3D3D">
        <w:rPr>
          <w:noProof/>
        </w:rPr>
        <w:drawing>
          <wp:inline distT="0" distB="0" distL="0" distR="0" wp14:anchorId="0776A458" wp14:editId="50F89228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66" w:rsidRPr="001D2578" w:rsidRDefault="001B2866" w:rsidP="001D2578"/>
    <w:p w:rsidR="001B2866" w:rsidRPr="005D47CB" w:rsidRDefault="001B2866" w:rsidP="005D47CB"/>
    <w:p w:rsidR="001B2866" w:rsidRDefault="001B286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B2866" w:rsidRDefault="001B286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>
        <w:rPr>
          <w:rFonts w:ascii="Arial" w:hAnsi="Arial" w:cs="Arial"/>
          <w:sz w:val="20"/>
          <w:szCs w:val="20"/>
        </w:rPr>
        <w:t xml:space="preserve"> (comparativo </w:t>
      </w:r>
      <w:r w:rsidR="001830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/2015 – </w:t>
      </w:r>
      <w:r w:rsidR="001830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>/2014)</w:t>
      </w:r>
    </w:p>
    <w:p w:rsidR="001B2866" w:rsidRDefault="001B286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B2866" w:rsidRDefault="001B286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1B2866" w:rsidRDefault="001B2866" w:rsidP="00C656D5"/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>Em dezembro de 2015, as exportações de produtos do agronegócio brasileiro atingiram o montante de US$ 6,86 bilhões, o que significou crescimento de 1,4% em comparação aos US$ 6,76 bilhões exportados em dezembro de 2014. Esse valor representou 40,9% do total das vendas externas brasileiras no mês. As importações do agronegócio totalizaram US$ 896,02 milhões em dezembro, com retração de 28,1% em relação ao mesmo período do ano anterior. Como resultado, o saldo da balança comercial do agronegócio no mês de dezembro de 2015 foi de US$ 5,97 bilhões (-8,1%).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>Os principais setores exportadores do agronegócio no mês foram: carnes, com 18,1% de participação; cereais, farinhas e preparações, com 16,8%; complexo sucroalcooleiro, com 14,0%; produtos florestais, com 13,5%; e complexo soja, com 11,4%.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 xml:space="preserve">As exportações de carnes alcançaram em dezembro a cifra de US$ 1,24 bilhão, o que representou queda de 15,0% em comparação ao valor comercializado no mesmo mês do ano anterior (US$ 1,46 bilhão). Em relação à quantidade, foram embarcadas 595 mil toneladas no período, com aumento de 8,9%. Já o preço médio caiu 22,0% e atingiu o patamar de US$ 2.091 por tonelada. O principal produto negociado no mês foi a carne de frango, com 393 mil toneladas comercializadas (+15,2%) e US$ 595 milhões em valor exportado (-9,0%). As vendas externas de carne bovina totalizaram US$ 522 milhões (-18,0%), com queda tanto no </w:t>
      </w:r>
      <w:r w:rsidRPr="000E3465">
        <w:rPr>
          <w:rFonts w:ascii="Arial" w:hAnsi="Arial" w:cs="Arial"/>
          <w:i/>
          <w:sz w:val="20"/>
          <w:szCs w:val="20"/>
        </w:rPr>
        <w:t>quantum</w:t>
      </w:r>
      <w:r w:rsidRPr="000E3465">
        <w:rPr>
          <w:rFonts w:ascii="Arial" w:hAnsi="Arial" w:cs="Arial"/>
          <w:sz w:val="20"/>
          <w:szCs w:val="20"/>
        </w:rPr>
        <w:t xml:space="preserve"> negociado (-5,6%), quanto no preço médio do produto (-13,1%). As exportações de carne suína caíram 23,3% em valor, passando de US$ 105,58 milhões em 2014 para os atuais US$ 80,84 milhões. A quantidade embarcada aumentou 18,9% no período e o preço médio passou de US$ 2.767 por tonelada para US$ 1.785 por tonelada (-35,5%). As vendas externas de carne de peru decresceram 1,0% em quantidade e atingiram a cifra de US$ 21 milhões no mês (-23,3%).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 xml:space="preserve">Os cereais, farinhas e preparações ficaram na segunda colocação do mês entre os setores do agronegócio, com vendas externas de US$ 1,15 bilhão e </w:t>
      </w:r>
      <w:r w:rsidRPr="000E3465">
        <w:rPr>
          <w:rFonts w:ascii="Arial" w:hAnsi="Arial" w:cs="Arial"/>
          <w:i/>
          <w:sz w:val="20"/>
          <w:szCs w:val="20"/>
        </w:rPr>
        <w:t>quantum</w:t>
      </w:r>
      <w:r w:rsidRPr="000E3465">
        <w:rPr>
          <w:rFonts w:ascii="Arial" w:hAnsi="Arial" w:cs="Arial"/>
          <w:sz w:val="20"/>
          <w:szCs w:val="20"/>
        </w:rPr>
        <w:t xml:space="preserve"> comercializado de 6,75 milhões de toneladas, com incremento de 49,7% e 79,8%, respectivamente. O principal produto negociado foi o milho, com exportações de US$ 1,04 bilhão e aumento de 67,0% em comparação aos US$ 620,58 milhões registrados em dezembro de 2014. A quantidade comercializada no mês foi recorde da série histórica, com 6,27 milhões de toneladas, o que significou expansão de 84,1% em relação a dezembro de 2014 (US$ 3,41 milhões de toneladas). </w:t>
      </w:r>
      <w:r>
        <w:rPr>
          <w:rFonts w:ascii="Arial" w:hAnsi="Arial" w:cs="Arial"/>
          <w:sz w:val="20"/>
          <w:szCs w:val="20"/>
        </w:rPr>
        <w:t>Os</w:t>
      </w:r>
      <w:r w:rsidRPr="000E3465">
        <w:rPr>
          <w:rFonts w:ascii="Arial" w:hAnsi="Arial" w:cs="Arial"/>
          <w:sz w:val="20"/>
          <w:szCs w:val="20"/>
        </w:rPr>
        <w:t xml:space="preserve"> destinos </w:t>
      </w:r>
      <w:r>
        <w:rPr>
          <w:rFonts w:ascii="Arial" w:hAnsi="Arial" w:cs="Arial"/>
          <w:sz w:val="20"/>
          <w:szCs w:val="20"/>
        </w:rPr>
        <w:t xml:space="preserve">que mais contribuíram para o crescimento das vendas de milho no período </w:t>
      </w:r>
      <w:r w:rsidRPr="000E3465">
        <w:rPr>
          <w:rFonts w:ascii="Arial" w:hAnsi="Arial" w:cs="Arial"/>
          <w:sz w:val="20"/>
          <w:szCs w:val="20"/>
        </w:rPr>
        <w:t>foram: Coreia do Sul (</w:t>
      </w:r>
      <w:r>
        <w:rPr>
          <w:rFonts w:ascii="Arial" w:hAnsi="Arial" w:cs="Arial"/>
          <w:sz w:val="20"/>
          <w:szCs w:val="20"/>
        </w:rPr>
        <w:t>+</w:t>
      </w:r>
      <w:r w:rsidRPr="000E3465">
        <w:rPr>
          <w:rFonts w:ascii="Arial" w:hAnsi="Arial" w:cs="Arial"/>
          <w:sz w:val="20"/>
          <w:szCs w:val="20"/>
        </w:rPr>
        <w:t>US$ 71,77 milhões); Vietnã (</w:t>
      </w:r>
      <w:r>
        <w:rPr>
          <w:rFonts w:ascii="Arial" w:hAnsi="Arial" w:cs="Arial"/>
          <w:sz w:val="20"/>
          <w:szCs w:val="20"/>
        </w:rPr>
        <w:t>+</w:t>
      </w:r>
      <w:r w:rsidRPr="000E3465">
        <w:rPr>
          <w:rFonts w:ascii="Arial" w:hAnsi="Arial" w:cs="Arial"/>
          <w:sz w:val="20"/>
          <w:szCs w:val="20"/>
        </w:rPr>
        <w:t>US$ 66,47 milhões); Japão (</w:t>
      </w:r>
      <w:r>
        <w:rPr>
          <w:rFonts w:ascii="Arial" w:hAnsi="Arial" w:cs="Arial"/>
          <w:sz w:val="20"/>
          <w:szCs w:val="20"/>
        </w:rPr>
        <w:t>+</w:t>
      </w:r>
      <w:r w:rsidRPr="000E3465">
        <w:rPr>
          <w:rFonts w:ascii="Arial" w:hAnsi="Arial" w:cs="Arial"/>
          <w:sz w:val="20"/>
          <w:szCs w:val="20"/>
        </w:rPr>
        <w:t>US$ 53,06 milhões); Argélia (</w:t>
      </w:r>
      <w:r>
        <w:rPr>
          <w:rFonts w:ascii="Arial" w:hAnsi="Arial" w:cs="Arial"/>
          <w:sz w:val="20"/>
          <w:szCs w:val="20"/>
        </w:rPr>
        <w:t>+</w:t>
      </w:r>
      <w:r w:rsidRPr="000E3465">
        <w:rPr>
          <w:rFonts w:ascii="Arial" w:hAnsi="Arial" w:cs="Arial"/>
          <w:sz w:val="20"/>
          <w:szCs w:val="20"/>
        </w:rPr>
        <w:t>US$ 33,78 milhões); e Egito (</w:t>
      </w:r>
      <w:r>
        <w:rPr>
          <w:rFonts w:ascii="Arial" w:hAnsi="Arial" w:cs="Arial"/>
          <w:sz w:val="20"/>
          <w:szCs w:val="20"/>
        </w:rPr>
        <w:t>+</w:t>
      </w:r>
      <w:r w:rsidRPr="000E3465">
        <w:rPr>
          <w:rFonts w:ascii="Arial" w:hAnsi="Arial" w:cs="Arial"/>
          <w:sz w:val="20"/>
          <w:szCs w:val="20"/>
        </w:rPr>
        <w:t xml:space="preserve">US$ 28,59 milhões).  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lastRenderedPageBreak/>
        <w:t>As exportações do complexo sucroalcooleiro cresceram de US$ 896,85 milhões em dezembro de 2014 para US$ 959,56 milhões em dezembro de 2015 (+7,0%), apesar da queda de 18,0% no preço médio dos produtos do setor. A quantidade embarcada no mês atingiu 3,07 milhões de toneladas, com incremento de 30,4% em comparação a dezembro de 2014. O preço médio do açúcar caiu de US$ 365 para US$ 293 por tonelada (-19,7%), enquanto a quantidade comercializada cresceu 26,4%, aumento suficiente para elevar o nível da receita de exportação, que aumentou 1,5% e alcançou US$ 833,48 milhões. O preço médio do álcool também caiu, passando de US$ 710 por tonelada para os atuais US$ 547 por tonelada (-23,0%). As vendas em quantidade cresceram significativamente (+115,7%), possibilitando o incremento de 66,1% no valor exportado (US$ 125,47 milhões).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>Os produtos florestais aparecem na quarta colocação entre os maiores exportadores do mês, com vendas de US$ 927,27 milhões (+6,2%) e 1,74 milhão de toneladas comercializadas (+7,8%). O principal item negociado foi a celulose, com 1,07 milhão de toneladas embarcadas (+5,8%) e elevação do preço médio de 8,9%, possibilitando aumento de 15,2% no valor exportado, que totalizou US$ 517,23 milhões. As vendas de madeiras e suas obras alcançaram o patamar de US$ 230,46 milhões (-12,4%), com 474 mil toneladas negociadas e queda de 17,5% no preço médios dos produtos esse subsetor. Em relação às vendas externas de papel, houve incremento de 25,6% em quantidade (196,31 mil toneladas), retração de 11,0% no preço médio e elevação de 11,8% na receita (US$ 179,51 milhões).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 xml:space="preserve">As exportações do complexo soja em dezembro de 2015 aumentaram de US$ 546,17 milhões para US$ 783,40 milhões (+43,4%). A queda na cotação média dos produtos do setor (-20,0%) foi compensada pelo aumento de 79,4% no </w:t>
      </w:r>
      <w:r w:rsidRPr="00466669">
        <w:rPr>
          <w:rFonts w:ascii="Arial" w:hAnsi="Arial" w:cs="Arial"/>
          <w:i/>
          <w:sz w:val="20"/>
          <w:szCs w:val="20"/>
        </w:rPr>
        <w:t>quantum</w:t>
      </w:r>
      <w:r w:rsidRPr="000E3465">
        <w:rPr>
          <w:rFonts w:ascii="Arial" w:hAnsi="Arial" w:cs="Arial"/>
          <w:sz w:val="20"/>
          <w:szCs w:val="20"/>
        </w:rPr>
        <w:t xml:space="preserve"> comercializado. O principal produto negociado foi a soja em grãos, com a cifra de US$ 281,46 milhões e variação positiva de 284,0% em comparação a dezembro de 2014. A quantidade embarcada foi de 731,22 mil toneladas (+428,3%) e o preço médio do produto no mercado internacional caiu 27,3%, chegando a US$ 385 por tonelada. As vendas externas de farelo de soja recuaram 5,3% no mês em razão da retração de 21,1% no preço médio do produto, totalizando US$ 386,60 milhões. As vendas de óleo de soja cresceram em quantidade (+121,7%) e em valor (+78,3%), atingindo a cifra de US$ 115,34 milhões.  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>Os cinco setores do agronegócio mencionados, em conjunto, alcançaram a cifra de US$ 5,06 bilhões e obtiveram 73,8% de participação das exportações de dezembro.</w:t>
      </w: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0E3465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E3465">
        <w:rPr>
          <w:rFonts w:ascii="Arial" w:hAnsi="Arial" w:cs="Arial"/>
          <w:sz w:val="20"/>
          <w:szCs w:val="20"/>
        </w:rPr>
        <w:t>No que tange às importações de produtos do agronegócio, observou-se um montante de US$ 896,02 milhões no mês. Os principais itens adquiridos no mercado internacional, nesse período, foram: trigo (US$ 94 milhões e +23,6%); pescados (US$ 85 milhões e -42,0%); papel (US$ 50 milhões e -43,6%); e malte (US$ 43 milhões e -45,6%).</w:t>
      </w:r>
    </w:p>
    <w:p w:rsidR="001B2866" w:rsidRDefault="001B2866" w:rsidP="0074104B">
      <w:pPr>
        <w:jc w:val="both"/>
        <w:rPr>
          <w:rFonts w:ascii="Arial" w:hAnsi="Arial" w:cs="Arial"/>
          <w:sz w:val="20"/>
          <w:szCs w:val="20"/>
        </w:rPr>
      </w:pPr>
    </w:p>
    <w:p w:rsidR="001B2866" w:rsidRDefault="001B2866" w:rsidP="00C656D5">
      <w:pPr>
        <w:jc w:val="both"/>
        <w:rPr>
          <w:rFonts w:ascii="Arial" w:hAnsi="Arial" w:cs="Arial"/>
          <w:sz w:val="20"/>
          <w:szCs w:val="20"/>
        </w:rPr>
      </w:pPr>
    </w:p>
    <w:p w:rsidR="001B2866" w:rsidRPr="00C656D5" w:rsidRDefault="002A3D3D" w:rsidP="00C656D5">
      <w:pPr>
        <w:jc w:val="both"/>
        <w:rPr>
          <w:rFonts w:ascii="Arial" w:hAnsi="Arial" w:cs="Arial"/>
          <w:sz w:val="20"/>
          <w:szCs w:val="20"/>
        </w:rPr>
      </w:pPr>
      <w:r w:rsidRPr="002A3D3D">
        <w:rPr>
          <w:noProof/>
        </w:rPr>
        <w:drawing>
          <wp:inline distT="0" distB="0" distL="0" distR="0" wp14:anchorId="7E542651" wp14:editId="36C1AF23">
            <wp:extent cx="6480175" cy="390652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66" w:rsidRDefault="001B2866" w:rsidP="00E34A2F"/>
    <w:p w:rsidR="001B2866" w:rsidRDefault="001B2866" w:rsidP="00E34A2F"/>
    <w:p w:rsidR="001B2866" w:rsidRDefault="001B286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lastRenderedPageBreak/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1B2866" w:rsidRDefault="001B2866" w:rsidP="00F03E44"/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2713C">
        <w:rPr>
          <w:rFonts w:ascii="Arial" w:hAnsi="Arial" w:cs="Arial"/>
          <w:sz w:val="20"/>
          <w:szCs w:val="20"/>
        </w:rPr>
        <w:t>Em relação às exportações do agronegócio por blocos econômicos e regiões geográficas, a Ásia continuou como o principal destino dos produtos agrícolas brasileiros. As vendas para o continente asiático atingiram a marca de US$ 2,50 bilhões, o que significou incremento de 20,7% em comparação aos valores registrados em dezembro de 2014 (US$ 2,07 bilhões). Os produtos responsáveis pelo incremento das exportações para o conti</w:t>
      </w:r>
      <w:r>
        <w:rPr>
          <w:rFonts w:ascii="Arial" w:hAnsi="Arial" w:cs="Arial"/>
          <w:sz w:val="20"/>
          <w:szCs w:val="20"/>
        </w:rPr>
        <w:t>nente asiático foram o milho (+</w:t>
      </w:r>
      <w:r w:rsidRPr="0032713C">
        <w:rPr>
          <w:rFonts w:ascii="Arial" w:hAnsi="Arial" w:cs="Arial"/>
          <w:sz w:val="20"/>
          <w:szCs w:val="20"/>
        </w:rPr>
        <w:t xml:space="preserve">US$ 269,20 milhões) e a soja em grãos (+ US$ 176,73 milhões). Com tal desempenho, a participação da região nas exportações do agronegócio cresceu 5,8 pontos percentuais, totalizando 36,4%. </w:t>
      </w: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2713C">
        <w:rPr>
          <w:rFonts w:ascii="Arial" w:hAnsi="Arial" w:cs="Arial"/>
          <w:sz w:val="20"/>
          <w:szCs w:val="20"/>
        </w:rPr>
        <w:t>O segundo principal bloco de destino das exportações agropecuárias brasileiras no mês, a União Europeia, apresentou retração de 13,1% nas aquisições de mercadorias brasileiras, alcançando a cifra de US$ 1,43 bilhão, ante um total de US$ 1,65 bilhão no mesmo mês do ano anterior. Essa retração foi causada fundamentalmente pela diminuição dos embarques de café e suco de laranja, que caíram US$ 141,71 milhões e US$ 90,06 milhões, respectivamente, na comparação entre dezembro de 2015 e dezembro de 2014. Com essa queda em valor, a participação da UE28 nas exportações do agronegócio brasileiro caiu de 24,4% para 20,9%, a maior retração verificada entre os blocos econômicos e regiões geográficas selecionados na Tabela 2.</w:t>
      </w:r>
    </w:p>
    <w:p w:rsidR="008624CE" w:rsidRDefault="008624CE" w:rsidP="008624CE">
      <w:pPr>
        <w:pStyle w:val="Recuodecorpodetexto"/>
        <w:rPr>
          <w:rFonts w:ascii="Arial" w:hAnsi="Arial" w:cs="Arial"/>
          <w:sz w:val="20"/>
          <w:szCs w:val="20"/>
        </w:rPr>
      </w:pPr>
    </w:p>
    <w:p w:rsidR="001B2866" w:rsidRDefault="001B2866" w:rsidP="00265D01">
      <w:pPr>
        <w:jc w:val="both"/>
      </w:pPr>
    </w:p>
    <w:p w:rsidR="001B2866" w:rsidRDefault="001B2866" w:rsidP="00265D01">
      <w:pPr>
        <w:jc w:val="both"/>
        <w:rPr>
          <w:rFonts w:ascii="Arial" w:hAnsi="Arial" w:cs="Arial"/>
          <w:sz w:val="20"/>
          <w:szCs w:val="20"/>
        </w:rPr>
      </w:pPr>
    </w:p>
    <w:p w:rsidR="001B2866" w:rsidRDefault="001B2866" w:rsidP="00265D01">
      <w:pPr>
        <w:jc w:val="both"/>
        <w:rPr>
          <w:rFonts w:ascii="Arial" w:hAnsi="Arial" w:cs="Arial"/>
          <w:sz w:val="20"/>
          <w:szCs w:val="20"/>
        </w:rPr>
      </w:pPr>
    </w:p>
    <w:p w:rsidR="001B2866" w:rsidRPr="00F36341" w:rsidRDefault="002A3D3D" w:rsidP="00832C30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2A3D3D">
        <w:rPr>
          <w:noProof/>
        </w:rPr>
        <w:drawing>
          <wp:inline distT="0" distB="0" distL="0" distR="0" wp14:anchorId="248F00BE" wp14:editId="000E2049">
            <wp:extent cx="6480175" cy="234823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66" w:rsidRDefault="001B286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B2866" w:rsidRDefault="001B286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B2866" w:rsidRDefault="001B286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B2866" w:rsidRDefault="001B2866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1B2866" w:rsidRDefault="001B2866" w:rsidP="000C21AB">
      <w:pPr>
        <w:jc w:val="both"/>
        <w:rPr>
          <w:rFonts w:ascii="Arial" w:hAnsi="Arial" w:cs="Arial"/>
          <w:sz w:val="20"/>
          <w:szCs w:val="20"/>
        </w:rPr>
      </w:pP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2713C">
        <w:rPr>
          <w:rFonts w:ascii="Arial" w:hAnsi="Arial" w:cs="Arial"/>
          <w:sz w:val="20"/>
          <w:szCs w:val="20"/>
        </w:rPr>
        <w:t xml:space="preserve">No que se refere aos países, a China permanece como o principal destino das exportações do agronegócio brasileiro, com a cifra de US$ 634,98 milhões. Em relação a dezembro de 2014, verificou-se expansão de 26,8% no valor exportado e crescimento da participação chinesa de 1,9 ponto percentual, chegando a 9,3% de </w:t>
      </w:r>
      <w:proofErr w:type="spellStart"/>
      <w:r w:rsidRPr="0032713C">
        <w:rPr>
          <w:rFonts w:ascii="Arial" w:hAnsi="Arial" w:cs="Arial"/>
          <w:i/>
          <w:sz w:val="20"/>
          <w:szCs w:val="20"/>
        </w:rPr>
        <w:t>market</w:t>
      </w:r>
      <w:proofErr w:type="spellEnd"/>
      <w:r w:rsidRPr="0032713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2713C">
        <w:rPr>
          <w:rFonts w:ascii="Arial" w:hAnsi="Arial" w:cs="Arial"/>
          <w:i/>
          <w:sz w:val="20"/>
          <w:szCs w:val="20"/>
        </w:rPr>
        <w:t>share</w:t>
      </w:r>
      <w:proofErr w:type="spellEnd"/>
      <w:r w:rsidRPr="0032713C">
        <w:rPr>
          <w:rFonts w:ascii="Arial" w:hAnsi="Arial" w:cs="Arial"/>
          <w:sz w:val="20"/>
          <w:szCs w:val="20"/>
        </w:rPr>
        <w:t xml:space="preserve">. </w:t>
      </w: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2713C">
        <w:rPr>
          <w:rFonts w:ascii="Arial" w:hAnsi="Arial" w:cs="Arial"/>
          <w:sz w:val="20"/>
          <w:szCs w:val="20"/>
        </w:rPr>
        <w:t>As exportações para os Estados Unidos, segundo principal destino do mês, caíram de US$ 622,60 milhões para US$ 580,22 milhões (-6,8%), principalmente em razão da diminuição do comércio de suco de laranja (-US$ 44,38 milhões). Com essa retração, a participação norte americana nas exportações brasileiras passou de 9,2% para 8,5%.</w:t>
      </w: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2713C">
        <w:rPr>
          <w:rFonts w:ascii="Arial" w:hAnsi="Arial" w:cs="Arial"/>
          <w:sz w:val="20"/>
          <w:szCs w:val="20"/>
        </w:rPr>
        <w:t>O terceiro principal destino das exportações agropecuárias no mês de dezembro foram os Países Baixos, com US$ 355,91 milhões, o que representou queda de 11,0% em comparação aos US$ 399,85 milhões de dezembro de 2014. Vale destacar, que essa queda foi causada pela diminuição dos embarques de suco de laranja, que representou perda de US$ 42,03 milhões. Com isso, a participação desse parceiro comercial caiu de 5,9% para 5,2%.</w:t>
      </w: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D7B11" w:rsidRPr="0032713C" w:rsidRDefault="004D7B11" w:rsidP="004D7B1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2713C">
        <w:rPr>
          <w:rFonts w:ascii="Arial" w:hAnsi="Arial" w:cs="Arial"/>
          <w:sz w:val="20"/>
          <w:szCs w:val="20"/>
        </w:rPr>
        <w:t>Em relação ao dinamismo das exportações, os principais destaques do mês de dezembro foram: Bangladesh (US$ 112,85 milhões e +519,9%); Índia (US$ 203,74 milhões e +109,6%); Espanha (US$ 128,74 milhões e +91,4%); Vietnã (US$ 285,16 milhões e +81,8%); Coreia do Sul (US$ 240,78 milhões e +53,5%); e Arábia Saudita (US$ 228,16 milhões e +27,5%).</w:t>
      </w:r>
    </w:p>
    <w:p w:rsidR="001B2866" w:rsidRDefault="001B2866" w:rsidP="000C21AB">
      <w:pPr>
        <w:jc w:val="both"/>
        <w:rPr>
          <w:rFonts w:ascii="Arial" w:hAnsi="Arial" w:cs="Arial"/>
          <w:sz w:val="20"/>
          <w:szCs w:val="20"/>
        </w:rPr>
      </w:pPr>
    </w:p>
    <w:p w:rsidR="001B2866" w:rsidRPr="000C21AB" w:rsidRDefault="002A3D3D" w:rsidP="000C21AB">
      <w:pPr>
        <w:rPr>
          <w:noProof/>
        </w:rPr>
      </w:pPr>
      <w:bookmarkStart w:id="0" w:name="OLE_LINK1"/>
      <w:r w:rsidRPr="002A3D3D">
        <w:rPr>
          <w:noProof/>
        </w:rPr>
        <w:lastRenderedPageBreak/>
        <w:drawing>
          <wp:inline distT="0" distB="0" distL="0" distR="0" wp14:anchorId="1B7B0B23" wp14:editId="0DF8A7CB">
            <wp:extent cx="6480175" cy="3879215"/>
            <wp:effectExtent l="0" t="0" r="0" b="698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66" w:rsidRDefault="001B2866" w:rsidP="008902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D7B11" w:rsidRDefault="004D7B11" w:rsidP="008902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2866" w:rsidRDefault="001B2866" w:rsidP="008902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902CD">
        <w:rPr>
          <w:rFonts w:ascii="Arial" w:hAnsi="Arial" w:cs="Arial"/>
          <w:b/>
          <w:bCs/>
          <w:sz w:val="20"/>
          <w:szCs w:val="20"/>
        </w:rPr>
        <w:t xml:space="preserve">II – </w:t>
      </w:r>
      <w:r>
        <w:rPr>
          <w:rFonts w:ascii="Arial" w:hAnsi="Arial" w:cs="Arial"/>
          <w:b/>
          <w:bCs/>
          <w:sz w:val="20"/>
          <w:szCs w:val="20"/>
        </w:rPr>
        <w:t>Resultados do ano (comparativo J</w:t>
      </w:r>
      <w:r w:rsidRPr="008902CD">
        <w:rPr>
          <w:rFonts w:ascii="Arial" w:hAnsi="Arial" w:cs="Arial"/>
          <w:b/>
          <w:bCs/>
          <w:sz w:val="20"/>
          <w:szCs w:val="20"/>
        </w:rPr>
        <w:t>an</w:t>
      </w:r>
      <w:r>
        <w:rPr>
          <w:rFonts w:ascii="Arial" w:hAnsi="Arial" w:cs="Arial"/>
          <w:b/>
          <w:bCs/>
          <w:sz w:val="20"/>
          <w:szCs w:val="20"/>
        </w:rPr>
        <w:t>eiro-</w:t>
      </w:r>
      <w:r w:rsidR="00183096">
        <w:rPr>
          <w:rFonts w:ascii="Arial" w:hAnsi="Arial" w:cs="Arial"/>
          <w:b/>
          <w:bCs/>
          <w:sz w:val="20"/>
          <w:szCs w:val="20"/>
        </w:rPr>
        <w:t>Dezembro</w:t>
      </w:r>
      <w:r>
        <w:rPr>
          <w:rFonts w:ascii="Arial" w:hAnsi="Arial" w:cs="Arial"/>
          <w:b/>
          <w:bCs/>
          <w:sz w:val="20"/>
          <w:szCs w:val="20"/>
        </w:rPr>
        <w:t xml:space="preserve">/2015 –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J</w:t>
      </w:r>
      <w:r w:rsidRPr="008902CD">
        <w:rPr>
          <w:rFonts w:ascii="Arial" w:hAnsi="Arial" w:cs="Arial"/>
          <w:b/>
          <w:bCs/>
          <w:sz w:val="20"/>
          <w:szCs w:val="20"/>
        </w:rPr>
        <w:t>an</w:t>
      </w:r>
      <w:r>
        <w:rPr>
          <w:rFonts w:ascii="Arial" w:hAnsi="Arial" w:cs="Arial"/>
          <w:b/>
          <w:bCs/>
          <w:sz w:val="20"/>
          <w:szCs w:val="20"/>
        </w:rPr>
        <w:t>eiro</w:t>
      </w:r>
      <w:proofErr w:type="gramEnd"/>
      <w:r>
        <w:rPr>
          <w:rFonts w:ascii="Arial" w:hAnsi="Arial" w:cs="Arial"/>
          <w:b/>
          <w:bCs/>
          <w:sz w:val="20"/>
          <w:szCs w:val="20"/>
        </w:rPr>
        <w:t>-</w:t>
      </w:r>
      <w:r w:rsidR="00183096">
        <w:rPr>
          <w:rFonts w:ascii="Arial" w:hAnsi="Arial" w:cs="Arial"/>
          <w:b/>
          <w:bCs/>
          <w:sz w:val="20"/>
          <w:szCs w:val="20"/>
        </w:rPr>
        <w:t>Dezembro</w:t>
      </w:r>
      <w:r w:rsidRPr="008902CD">
        <w:rPr>
          <w:rFonts w:ascii="Arial" w:hAnsi="Arial" w:cs="Arial"/>
          <w:b/>
          <w:bCs/>
          <w:sz w:val="20"/>
          <w:szCs w:val="20"/>
        </w:rPr>
        <w:t>/2014)</w:t>
      </w:r>
    </w:p>
    <w:p w:rsidR="001B2866" w:rsidRDefault="001B2866" w:rsidP="008902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2866" w:rsidRDefault="001B2866" w:rsidP="00C748F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B2866" w:rsidRDefault="001B2866" w:rsidP="008902C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1B2866" w:rsidRPr="00924863" w:rsidRDefault="001B2866" w:rsidP="00D410BC">
      <w:pPr>
        <w:pStyle w:val="Recuodecorpodetexto"/>
        <w:rPr>
          <w:rFonts w:ascii="Arial" w:hAnsi="Arial" w:cs="Arial"/>
          <w:color w:val="000000"/>
          <w:sz w:val="20"/>
          <w:szCs w:val="20"/>
        </w:rPr>
      </w:pPr>
    </w:p>
    <w:p w:rsidR="00756B79" w:rsidRDefault="00907499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2015 as exportações brasileiras do agronegócio somaram US$ 88,22 bilhões, o que representou queda de 8,8% em relação a 2014, quando as vendas externas do setor foram de US$ 96,75 bilhões. </w:t>
      </w:r>
      <w:r w:rsidR="00FA27EE">
        <w:rPr>
          <w:rFonts w:ascii="Arial" w:hAnsi="Arial" w:cs="Arial"/>
          <w:sz w:val="20"/>
          <w:szCs w:val="20"/>
        </w:rPr>
        <w:t>No período,</w:t>
      </w:r>
      <w:r w:rsidR="00FA27EE" w:rsidRPr="004947B5">
        <w:rPr>
          <w:rFonts w:ascii="Arial" w:hAnsi="Arial" w:cs="Arial"/>
          <w:sz w:val="20"/>
          <w:szCs w:val="20"/>
        </w:rPr>
        <w:t xml:space="preserve"> o agronegócio registrou recorde histórico de participaç</w:t>
      </w:r>
      <w:r w:rsidR="00FA27EE">
        <w:rPr>
          <w:rFonts w:ascii="Arial" w:hAnsi="Arial" w:cs="Arial"/>
          <w:sz w:val="20"/>
          <w:szCs w:val="20"/>
        </w:rPr>
        <w:t xml:space="preserve">ão nas exportações brasileiras, sendo responsável por </w:t>
      </w:r>
      <w:r w:rsidR="00FA27EE" w:rsidRPr="004947B5">
        <w:rPr>
          <w:rFonts w:ascii="Arial" w:hAnsi="Arial" w:cs="Arial"/>
          <w:sz w:val="20"/>
          <w:szCs w:val="20"/>
        </w:rPr>
        <w:t>46,2%</w:t>
      </w:r>
      <w:r w:rsidR="00FA27EE">
        <w:rPr>
          <w:rFonts w:ascii="Arial" w:hAnsi="Arial" w:cs="Arial"/>
          <w:sz w:val="20"/>
          <w:szCs w:val="20"/>
        </w:rPr>
        <w:t xml:space="preserve"> das vendas em valor.</w:t>
      </w:r>
      <w:r w:rsidR="005739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importações, por sua vez, alcançaram US$ 13,07 bilhões, ou seja, 21,3% inferiores ao ano anterior. Como resultado, o saldo da balança comercial do agronegócio do país foi de US$ 75,15 bilhões em </w:t>
      </w:r>
      <w:r w:rsidR="008C4A9E">
        <w:rPr>
          <w:rFonts w:ascii="Arial" w:hAnsi="Arial" w:cs="Arial"/>
          <w:sz w:val="20"/>
          <w:szCs w:val="20"/>
        </w:rPr>
        <w:t>2015.</w:t>
      </w:r>
      <w:r w:rsidR="005E0E42">
        <w:rPr>
          <w:rFonts w:ascii="Arial" w:hAnsi="Arial" w:cs="Arial"/>
          <w:sz w:val="20"/>
          <w:szCs w:val="20"/>
        </w:rPr>
        <w:t xml:space="preserve"> </w:t>
      </w:r>
    </w:p>
    <w:p w:rsidR="00756B79" w:rsidRDefault="00756B79" w:rsidP="00B72DB8">
      <w:pPr>
        <w:jc w:val="both"/>
        <w:rPr>
          <w:rFonts w:ascii="Arial" w:hAnsi="Arial" w:cs="Arial"/>
          <w:sz w:val="20"/>
          <w:szCs w:val="20"/>
        </w:rPr>
      </w:pPr>
    </w:p>
    <w:p w:rsidR="009623FF" w:rsidRDefault="00756B79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despeito da queda em valor, houve aumento da quantidade embarcada de diversos produtos, inclusive com registros de recorde</w:t>
      </w:r>
      <w:r w:rsidR="00A42580">
        <w:rPr>
          <w:rFonts w:ascii="Arial" w:hAnsi="Arial" w:cs="Arial"/>
          <w:sz w:val="20"/>
          <w:szCs w:val="20"/>
        </w:rPr>
        <w:t>s</w:t>
      </w:r>
      <w:r w:rsidR="009623FF">
        <w:rPr>
          <w:rFonts w:ascii="Arial" w:hAnsi="Arial" w:cs="Arial"/>
          <w:sz w:val="20"/>
          <w:szCs w:val="20"/>
        </w:rPr>
        <w:t xml:space="preserve"> histórico</w:t>
      </w:r>
      <w:r w:rsidR="00A42580">
        <w:rPr>
          <w:rFonts w:ascii="Arial" w:hAnsi="Arial" w:cs="Arial"/>
          <w:sz w:val="20"/>
          <w:szCs w:val="20"/>
        </w:rPr>
        <w:t>s</w:t>
      </w:r>
      <w:r w:rsidR="0057395B">
        <w:rPr>
          <w:rFonts w:ascii="Arial" w:hAnsi="Arial" w:cs="Arial"/>
          <w:sz w:val="20"/>
          <w:szCs w:val="20"/>
        </w:rPr>
        <w:t xml:space="preserve"> no ano</w:t>
      </w:r>
      <w:r>
        <w:rPr>
          <w:rFonts w:ascii="Arial" w:hAnsi="Arial" w:cs="Arial"/>
          <w:sz w:val="20"/>
          <w:szCs w:val="20"/>
        </w:rPr>
        <w:t xml:space="preserve">, como no caso da soja em grãos, </w:t>
      </w:r>
      <w:r w:rsidR="00613A3B">
        <w:rPr>
          <w:rFonts w:ascii="Arial" w:hAnsi="Arial" w:cs="Arial"/>
          <w:sz w:val="20"/>
          <w:szCs w:val="20"/>
        </w:rPr>
        <w:t xml:space="preserve">farelos de soja, </w:t>
      </w:r>
      <w:r>
        <w:rPr>
          <w:rFonts w:ascii="Arial" w:hAnsi="Arial" w:cs="Arial"/>
          <w:sz w:val="20"/>
          <w:szCs w:val="20"/>
        </w:rPr>
        <w:t xml:space="preserve">café verde e </w:t>
      </w:r>
      <w:r w:rsidR="00613A3B">
        <w:rPr>
          <w:rFonts w:ascii="Arial" w:hAnsi="Arial" w:cs="Arial"/>
          <w:sz w:val="20"/>
          <w:szCs w:val="20"/>
        </w:rPr>
        <w:t xml:space="preserve">carne de </w:t>
      </w:r>
      <w:r>
        <w:rPr>
          <w:rFonts w:ascii="Arial" w:hAnsi="Arial" w:cs="Arial"/>
          <w:sz w:val="20"/>
          <w:szCs w:val="20"/>
        </w:rPr>
        <w:t xml:space="preserve">frango </w:t>
      </w:r>
      <w:r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>, por exemplo.</w:t>
      </w:r>
      <w:r w:rsidR="009623FF">
        <w:rPr>
          <w:rFonts w:ascii="Arial" w:hAnsi="Arial" w:cs="Arial"/>
          <w:sz w:val="20"/>
          <w:szCs w:val="20"/>
        </w:rPr>
        <w:t xml:space="preserve"> O decréscimo nas vendas em valor reflete a queda nos preços </w:t>
      </w:r>
      <w:r w:rsidR="00FB22E5">
        <w:rPr>
          <w:rFonts w:ascii="Arial" w:hAnsi="Arial" w:cs="Arial"/>
          <w:sz w:val="20"/>
          <w:szCs w:val="20"/>
        </w:rPr>
        <w:t>médios dos produtos</w:t>
      </w:r>
      <w:r w:rsidR="009623FF">
        <w:rPr>
          <w:rFonts w:ascii="Arial" w:hAnsi="Arial" w:cs="Arial"/>
          <w:sz w:val="20"/>
          <w:szCs w:val="20"/>
        </w:rPr>
        <w:t>, principalmente carne suína (-27,8%), álcool (-26,6%)</w:t>
      </w:r>
      <w:r w:rsidR="00E16AB2">
        <w:rPr>
          <w:rFonts w:ascii="Arial" w:hAnsi="Arial" w:cs="Arial"/>
          <w:sz w:val="20"/>
          <w:szCs w:val="20"/>
        </w:rPr>
        <w:t xml:space="preserve"> e soja em grãos (-24,2%). </w:t>
      </w:r>
      <w:r w:rsidR="009623FF">
        <w:rPr>
          <w:rFonts w:ascii="Arial" w:hAnsi="Arial" w:cs="Arial"/>
          <w:sz w:val="20"/>
          <w:szCs w:val="20"/>
        </w:rPr>
        <w:t xml:space="preserve">Os únicos setores que observaram crescimento dos preços médios </w:t>
      </w:r>
      <w:r w:rsidR="008F314F">
        <w:rPr>
          <w:rFonts w:ascii="Arial" w:hAnsi="Arial" w:cs="Arial"/>
          <w:sz w:val="20"/>
          <w:szCs w:val="20"/>
        </w:rPr>
        <w:t>foram</w:t>
      </w:r>
      <w:r w:rsidR="009623FF">
        <w:rPr>
          <w:rFonts w:ascii="Arial" w:hAnsi="Arial" w:cs="Arial"/>
          <w:sz w:val="20"/>
          <w:szCs w:val="20"/>
        </w:rPr>
        <w:t xml:space="preserve"> animais vivos (+13,6%) e lácteos (+3,5%).</w:t>
      </w:r>
      <w:r w:rsidR="00E16AB2">
        <w:rPr>
          <w:rFonts w:ascii="Arial" w:hAnsi="Arial" w:cs="Arial"/>
          <w:sz w:val="20"/>
          <w:szCs w:val="20"/>
        </w:rPr>
        <w:t xml:space="preserve"> A desvalorização cambial, por outro lado, compensou a queda dos preços das </w:t>
      </w:r>
      <w:r w:rsidR="00E16AB2" w:rsidRPr="00621C18">
        <w:rPr>
          <w:rFonts w:ascii="Arial" w:hAnsi="Arial" w:cs="Arial"/>
          <w:i/>
          <w:sz w:val="20"/>
          <w:szCs w:val="20"/>
        </w:rPr>
        <w:t>commodities</w:t>
      </w:r>
      <w:r w:rsidR="00E16AB2">
        <w:rPr>
          <w:rFonts w:ascii="Arial" w:hAnsi="Arial" w:cs="Arial"/>
          <w:sz w:val="20"/>
          <w:szCs w:val="20"/>
        </w:rPr>
        <w:t xml:space="preserve">, </w:t>
      </w:r>
      <w:r w:rsidR="00B96B47">
        <w:rPr>
          <w:rFonts w:ascii="Arial" w:hAnsi="Arial" w:cs="Arial"/>
          <w:sz w:val="20"/>
          <w:szCs w:val="20"/>
        </w:rPr>
        <w:t>sustentando</w:t>
      </w:r>
      <w:r w:rsidR="00E16AB2">
        <w:rPr>
          <w:rFonts w:ascii="Arial" w:hAnsi="Arial" w:cs="Arial"/>
          <w:sz w:val="20"/>
          <w:szCs w:val="20"/>
        </w:rPr>
        <w:t xml:space="preserve"> a renda em real dos exportadores.</w:t>
      </w:r>
    </w:p>
    <w:p w:rsidR="009623FF" w:rsidRDefault="009623FF" w:rsidP="00B72DB8">
      <w:pPr>
        <w:jc w:val="both"/>
        <w:rPr>
          <w:rFonts w:ascii="Arial" w:hAnsi="Arial" w:cs="Arial"/>
          <w:sz w:val="20"/>
          <w:szCs w:val="20"/>
        </w:rPr>
      </w:pPr>
    </w:p>
    <w:p w:rsidR="00756B79" w:rsidRDefault="00756B79" w:rsidP="00B72DB8">
      <w:pPr>
        <w:jc w:val="both"/>
        <w:rPr>
          <w:rFonts w:ascii="Arial" w:hAnsi="Arial" w:cs="Arial"/>
          <w:sz w:val="20"/>
          <w:szCs w:val="20"/>
        </w:rPr>
      </w:pPr>
    </w:p>
    <w:p w:rsidR="00756B79" w:rsidRDefault="00756B79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setores que mais contribuíram para amenizar a quedas nas </w:t>
      </w:r>
      <w:r w:rsidR="00AB5CF3">
        <w:rPr>
          <w:rFonts w:ascii="Arial" w:hAnsi="Arial" w:cs="Arial"/>
          <w:sz w:val="20"/>
          <w:szCs w:val="20"/>
        </w:rPr>
        <w:t>exportações do agronegócio foram: cereais, farinhas e preparações (US$ 1,24 bilhão de crescimento) e produtos florestais (US$ 383 milhões de crescimento).</w:t>
      </w:r>
      <w:r w:rsidR="000164BA">
        <w:rPr>
          <w:rFonts w:ascii="Arial" w:hAnsi="Arial" w:cs="Arial"/>
          <w:sz w:val="20"/>
          <w:szCs w:val="20"/>
        </w:rPr>
        <w:t xml:space="preserve"> Por outro lado, os produtos do complexo soja e de carnes foram os que mais contribuíram para a retração nas vendas em valor.</w:t>
      </w:r>
    </w:p>
    <w:p w:rsidR="00D42BB0" w:rsidRDefault="00D42BB0" w:rsidP="00B72DB8">
      <w:pPr>
        <w:jc w:val="both"/>
        <w:rPr>
          <w:rFonts w:ascii="Arial" w:hAnsi="Arial" w:cs="Arial"/>
          <w:sz w:val="20"/>
          <w:szCs w:val="20"/>
        </w:rPr>
      </w:pPr>
    </w:p>
    <w:p w:rsidR="00D42BB0" w:rsidRDefault="000164BA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relação ao valor exportado, o complexo s</w:t>
      </w:r>
      <w:r w:rsidR="00D42BB0">
        <w:rPr>
          <w:rFonts w:ascii="Arial" w:hAnsi="Arial" w:cs="Arial"/>
          <w:sz w:val="20"/>
          <w:szCs w:val="20"/>
        </w:rPr>
        <w:t xml:space="preserve">oja </w:t>
      </w:r>
      <w:r>
        <w:rPr>
          <w:rFonts w:ascii="Arial" w:hAnsi="Arial" w:cs="Arial"/>
          <w:sz w:val="20"/>
          <w:szCs w:val="20"/>
        </w:rPr>
        <w:t xml:space="preserve">ocupou a primeira posição no </w:t>
      </w:r>
      <w:r w:rsidRPr="00F72D01">
        <w:rPr>
          <w:rFonts w:ascii="Arial" w:hAnsi="Arial" w:cs="Arial"/>
          <w:i/>
          <w:sz w:val="20"/>
          <w:szCs w:val="20"/>
        </w:rPr>
        <w:t>ranking</w:t>
      </w:r>
      <w:r w:rsidR="00F72D01">
        <w:rPr>
          <w:rFonts w:ascii="Arial" w:hAnsi="Arial" w:cs="Arial"/>
          <w:sz w:val="20"/>
          <w:szCs w:val="20"/>
        </w:rPr>
        <w:t xml:space="preserve"> de setores, com quase US$ 28 bilhões.</w:t>
      </w:r>
      <w:r w:rsidR="00451160">
        <w:rPr>
          <w:rFonts w:ascii="Arial" w:hAnsi="Arial" w:cs="Arial"/>
          <w:sz w:val="20"/>
          <w:szCs w:val="20"/>
        </w:rPr>
        <w:t xml:space="preserve"> </w:t>
      </w:r>
      <w:r w:rsidR="00613A3B">
        <w:rPr>
          <w:rFonts w:ascii="Arial" w:hAnsi="Arial" w:cs="Arial"/>
          <w:sz w:val="20"/>
          <w:szCs w:val="20"/>
        </w:rPr>
        <w:t xml:space="preserve">Esse montante representou queda de 11% em relação a 2014, em função da queda do preço médio em 23,7%. Contudo, em termos de </w:t>
      </w:r>
      <w:r w:rsidR="00613A3B" w:rsidRPr="00E31689">
        <w:rPr>
          <w:rFonts w:ascii="Arial" w:hAnsi="Arial" w:cs="Arial"/>
          <w:i/>
          <w:sz w:val="20"/>
          <w:szCs w:val="20"/>
        </w:rPr>
        <w:t>quantum</w:t>
      </w:r>
      <w:r w:rsidR="00613A3B">
        <w:rPr>
          <w:rFonts w:ascii="Arial" w:hAnsi="Arial" w:cs="Arial"/>
          <w:sz w:val="20"/>
          <w:szCs w:val="20"/>
        </w:rPr>
        <w:t>, a</w:t>
      </w:r>
      <w:r w:rsidR="00451160">
        <w:rPr>
          <w:rFonts w:ascii="Arial" w:hAnsi="Arial" w:cs="Arial"/>
          <w:sz w:val="20"/>
          <w:szCs w:val="20"/>
        </w:rPr>
        <w:t xml:space="preserve"> soja </w:t>
      </w:r>
      <w:r w:rsidR="00D42BB0">
        <w:rPr>
          <w:rFonts w:ascii="Arial" w:hAnsi="Arial" w:cs="Arial"/>
          <w:sz w:val="20"/>
          <w:szCs w:val="20"/>
        </w:rPr>
        <w:t>em grãos</w:t>
      </w:r>
      <w:r w:rsidR="00613A3B">
        <w:rPr>
          <w:rFonts w:ascii="Arial" w:hAnsi="Arial" w:cs="Arial"/>
          <w:sz w:val="20"/>
          <w:szCs w:val="20"/>
        </w:rPr>
        <w:t xml:space="preserve"> e o farelo de soja atingiram</w:t>
      </w:r>
      <w:r w:rsidR="00D42BB0" w:rsidRPr="00D42BB0">
        <w:rPr>
          <w:rFonts w:ascii="Arial" w:hAnsi="Arial" w:cs="Arial"/>
          <w:sz w:val="20"/>
          <w:szCs w:val="20"/>
        </w:rPr>
        <w:t xml:space="preserve"> recorde histórico</w:t>
      </w:r>
      <w:r w:rsidR="00451160">
        <w:rPr>
          <w:rFonts w:ascii="Arial" w:hAnsi="Arial" w:cs="Arial"/>
          <w:sz w:val="20"/>
          <w:szCs w:val="20"/>
        </w:rPr>
        <w:t xml:space="preserve"> em quantidade</w:t>
      </w:r>
      <w:r w:rsidR="00D42BB0" w:rsidRPr="00D42BB0">
        <w:rPr>
          <w:rFonts w:ascii="Arial" w:hAnsi="Arial" w:cs="Arial"/>
          <w:sz w:val="20"/>
          <w:szCs w:val="20"/>
        </w:rPr>
        <w:t xml:space="preserve">: 54,3 </w:t>
      </w:r>
      <w:r w:rsidR="00613A3B">
        <w:rPr>
          <w:rFonts w:ascii="Arial" w:hAnsi="Arial" w:cs="Arial"/>
          <w:sz w:val="20"/>
          <w:szCs w:val="20"/>
        </w:rPr>
        <w:t xml:space="preserve">e 14,8 </w:t>
      </w:r>
      <w:r w:rsidR="00D42BB0" w:rsidRPr="00D42BB0">
        <w:rPr>
          <w:rFonts w:ascii="Arial" w:hAnsi="Arial" w:cs="Arial"/>
          <w:sz w:val="20"/>
          <w:szCs w:val="20"/>
        </w:rPr>
        <w:t>milhões de toneladas</w:t>
      </w:r>
      <w:r w:rsidR="00613A3B">
        <w:rPr>
          <w:rFonts w:ascii="Arial" w:hAnsi="Arial" w:cs="Arial"/>
          <w:sz w:val="20"/>
          <w:szCs w:val="20"/>
        </w:rPr>
        <w:t>, respectivamente.</w:t>
      </w:r>
      <w:r w:rsidR="008F46DA">
        <w:rPr>
          <w:rFonts w:ascii="Arial" w:hAnsi="Arial" w:cs="Arial"/>
          <w:sz w:val="20"/>
          <w:szCs w:val="20"/>
        </w:rPr>
        <w:t xml:space="preserve"> As vendas externas de óleo de soja somaram US$ 1,15 bilhão, isto é, 2,2% superiores ao que foi registrado em 2014. Houve ainda crescimento na quantidade embarcada do produto: de 1,31 para 1,67 milhão de toneladas.</w:t>
      </w:r>
    </w:p>
    <w:p w:rsidR="00A21145" w:rsidRDefault="00A21145" w:rsidP="00B72DB8">
      <w:pPr>
        <w:jc w:val="both"/>
        <w:rPr>
          <w:rFonts w:ascii="Arial" w:hAnsi="Arial" w:cs="Arial"/>
          <w:sz w:val="20"/>
          <w:szCs w:val="20"/>
        </w:rPr>
      </w:pPr>
    </w:p>
    <w:p w:rsidR="00A21145" w:rsidRPr="00B77536" w:rsidRDefault="00A21145" w:rsidP="00A211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setor de carnes destaca-se em seguida</w:t>
      </w:r>
      <w:r w:rsidR="00207BFB">
        <w:rPr>
          <w:rFonts w:ascii="Arial" w:hAnsi="Arial" w:cs="Arial"/>
          <w:sz w:val="20"/>
          <w:szCs w:val="20"/>
        </w:rPr>
        <w:t xml:space="preserve">, com vendas externas de 14,7 bilhões. Seguindo a tendência das demais </w:t>
      </w:r>
      <w:r w:rsidR="00207BFB" w:rsidRPr="00207BFB">
        <w:rPr>
          <w:rFonts w:ascii="Arial" w:hAnsi="Arial" w:cs="Arial"/>
          <w:i/>
          <w:sz w:val="20"/>
          <w:szCs w:val="20"/>
        </w:rPr>
        <w:t>commodities</w:t>
      </w:r>
      <w:r w:rsidR="00207BFB">
        <w:rPr>
          <w:rFonts w:ascii="Arial" w:hAnsi="Arial" w:cs="Arial"/>
          <w:sz w:val="20"/>
          <w:szCs w:val="20"/>
        </w:rPr>
        <w:t>, houve queda em valor, apesar da ampliação na quantidade embarcada. A exceção ficou por conta da carne bovina, que sofre perdas tanto em valor (-18,9%), quanto em quantidade (-11,9%). A carne de frango representou 48% do valor exportado pe</w:t>
      </w:r>
      <w:r w:rsidR="00AF7DBE">
        <w:rPr>
          <w:rFonts w:ascii="Arial" w:hAnsi="Arial" w:cs="Arial"/>
          <w:sz w:val="20"/>
          <w:szCs w:val="20"/>
        </w:rPr>
        <w:t>lo setor de carnes, com US$ 7,07</w:t>
      </w:r>
      <w:r w:rsidR="00207BFB">
        <w:rPr>
          <w:rFonts w:ascii="Arial" w:hAnsi="Arial" w:cs="Arial"/>
          <w:sz w:val="20"/>
          <w:szCs w:val="20"/>
        </w:rPr>
        <w:t xml:space="preserve"> bilhões e 4,23 milhões de toneladas. Cabe ressaltar ainda que as exportações de f</w:t>
      </w:r>
      <w:r>
        <w:rPr>
          <w:rFonts w:ascii="Arial" w:hAnsi="Arial" w:cs="Arial"/>
          <w:sz w:val="20"/>
          <w:szCs w:val="20"/>
        </w:rPr>
        <w:t xml:space="preserve">rango </w:t>
      </w:r>
      <w:r w:rsidR="00207BFB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</w:t>
      </w:r>
      <w:r w:rsidR="00207BFB">
        <w:rPr>
          <w:rFonts w:ascii="Arial" w:hAnsi="Arial" w:cs="Arial"/>
          <w:sz w:val="20"/>
          <w:szCs w:val="20"/>
        </w:rPr>
        <w:t xml:space="preserve">alcançaram </w:t>
      </w:r>
      <w:r w:rsidRPr="00D42BB0">
        <w:rPr>
          <w:rFonts w:ascii="Arial" w:hAnsi="Arial" w:cs="Arial"/>
          <w:sz w:val="20"/>
          <w:szCs w:val="20"/>
        </w:rPr>
        <w:t>recorde histórico</w:t>
      </w:r>
      <w:r w:rsidR="00207BFB">
        <w:rPr>
          <w:rFonts w:ascii="Arial" w:hAnsi="Arial" w:cs="Arial"/>
          <w:sz w:val="20"/>
          <w:szCs w:val="20"/>
        </w:rPr>
        <w:t xml:space="preserve"> em 2015 em termos de quantidade</w:t>
      </w:r>
      <w:r w:rsidRPr="00D42BB0">
        <w:rPr>
          <w:rFonts w:ascii="Arial" w:hAnsi="Arial" w:cs="Arial"/>
          <w:sz w:val="20"/>
          <w:szCs w:val="20"/>
        </w:rPr>
        <w:t>: 3,9 milhões de toneladas</w:t>
      </w:r>
      <w:r w:rsidR="00207BFB">
        <w:rPr>
          <w:rFonts w:ascii="Arial" w:hAnsi="Arial" w:cs="Arial"/>
          <w:sz w:val="20"/>
          <w:szCs w:val="20"/>
        </w:rPr>
        <w:t>.</w:t>
      </w:r>
    </w:p>
    <w:p w:rsidR="00A21145" w:rsidRDefault="00A21145" w:rsidP="00B72DB8">
      <w:pPr>
        <w:jc w:val="both"/>
        <w:rPr>
          <w:rFonts w:ascii="Arial" w:hAnsi="Arial" w:cs="Arial"/>
          <w:sz w:val="20"/>
          <w:szCs w:val="20"/>
        </w:rPr>
      </w:pPr>
    </w:p>
    <w:p w:rsidR="00A21145" w:rsidRPr="00B2778F" w:rsidRDefault="00A21145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produtos florestais ocuparam a terceira posição no </w:t>
      </w:r>
      <w:r w:rsidRPr="00B2778F">
        <w:rPr>
          <w:rFonts w:ascii="Arial" w:hAnsi="Arial" w:cs="Arial"/>
          <w:i/>
          <w:sz w:val="20"/>
          <w:szCs w:val="20"/>
        </w:rPr>
        <w:t>ranking</w:t>
      </w:r>
      <w:r w:rsidR="00B2778F">
        <w:rPr>
          <w:rFonts w:ascii="Arial" w:hAnsi="Arial" w:cs="Arial"/>
          <w:sz w:val="20"/>
          <w:szCs w:val="20"/>
        </w:rPr>
        <w:t xml:space="preserve"> de setores do agronegócio do país. Foram exportados US$ 10,33 bilhões, dos quais mais da metade foram representadas pelas vendas de celulose (US$ 5,59 bilhões). Em relação ao ano anterior houve crescimento de 5,6% em valor, quando as exportações haviam alcançado US$ 5,29 bilhões.</w:t>
      </w:r>
      <w:r w:rsidR="0075230C">
        <w:rPr>
          <w:rFonts w:ascii="Arial" w:hAnsi="Arial" w:cs="Arial"/>
          <w:sz w:val="20"/>
          <w:szCs w:val="20"/>
        </w:rPr>
        <w:t xml:space="preserve"> Também houve ampliação da quantidade embarcada do produto (de 11,03 para 11,97 milhões de toneladas), apesar da queda de 2,6% no preço médio do produto.</w:t>
      </w:r>
    </w:p>
    <w:p w:rsidR="00A21145" w:rsidRDefault="00A21145" w:rsidP="00B72DB8">
      <w:pPr>
        <w:jc w:val="both"/>
        <w:rPr>
          <w:rFonts w:ascii="Arial" w:hAnsi="Arial" w:cs="Arial"/>
          <w:sz w:val="20"/>
          <w:szCs w:val="20"/>
        </w:rPr>
      </w:pPr>
    </w:p>
    <w:p w:rsidR="00A21145" w:rsidRDefault="00A21145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vendas do complexo sucroalcooleiro</w:t>
      </w:r>
      <w:r w:rsidR="009251F4">
        <w:rPr>
          <w:rFonts w:ascii="Arial" w:hAnsi="Arial" w:cs="Arial"/>
          <w:sz w:val="20"/>
          <w:szCs w:val="20"/>
        </w:rPr>
        <w:t xml:space="preserve"> somaram US$ 8,53 bilhões em 2015, o que representou queda de 17,7% em valor ante 2014.</w:t>
      </w:r>
      <w:r w:rsidR="00A723E2">
        <w:rPr>
          <w:rFonts w:ascii="Arial" w:hAnsi="Arial" w:cs="Arial"/>
          <w:sz w:val="20"/>
          <w:szCs w:val="20"/>
        </w:rPr>
        <w:t xml:space="preserve"> O açúcar foi responsável por 89,6% desse valor, somando US$ 7,64 bilhões</w:t>
      </w:r>
      <w:r w:rsidR="007A60CD">
        <w:rPr>
          <w:rFonts w:ascii="Arial" w:hAnsi="Arial" w:cs="Arial"/>
          <w:sz w:val="20"/>
          <w:szCs w:val="20"/>
        </w:rPr>
        <w:t>. As exportações de álcool foram de US$ 880 milhões e 1,49 milhão de toneladas no período, ou seja, queda de 2% em valor e aumento de 33,5% em quantidade.</w:t>
      </w:r>
    </w:p>
    <w:p w:rsidR="00A21145" w:rsidRDefault="00A21145" w:rsidP="00B72DB8">
      <w:pPr>
        <w:jc w:val="both"/>
        <w:rPr>
          <w:rFonts w:ascii="Arial" w:hAnsi="Arial" w:cs="Arial"/>
          <w:sz w:val="20"/>
          <w:szCs w:val="20"/>
        </w:rPr>
      </w:pPr>
    </w:p>
    <w:p w:rsidR="00D42BB0" w:rsidRDefault="00A21145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fim, cabe ressaltar as exportações de caf</w:t>
      </w:r>
      <w:r w:rsidR="005F1B4A">
        <w:rPr>
          <w:rFonts w:ascii="Arial" w:hAnsi="Arial" w:cs="Arial"/>
          <w:sz w:val="20"/>
          <w:szCs w:val="20"/>
        </w:rPr>
        <w:t xml:space="preserve">é, que somaram US$ 6,16 bilhões. </w:t>
      </w:r>
      <w:r w:rsidR="00D42BB0" w:rsidRPr="00D42BB0">
        <w:rPr>
          <w:rFonts w:ascii="Arial" w:hAnsi="Arial" w:cs="Arial"/>
          <w:sz w:val="20"/>
          <w:szCs w:val="20"/>
        </w:rPr>
        <w:t xml:space="preserve">Em 2015 a quantidade exportada de </w:t>
      </w:r>
      <w:r w:rsidR="0057416E">
        <w:rPr>
          <w:rFonts w:ascii="Arial" w:hAnsi="Arial" w:cs="Arial"/>
          <w:sz w:val="20"/>
          <w:szCs w:val="20"/>
        </w:rPr>
        <w:t>do grão</w:t>
      </w:r>
      <w:r w:rsidR="00D42BB0" w:rsidRPr="00D42BB0">
        <w:rPr>
          <w:rFonts w:ascii="Arial" w:hAnsi="Arial" w:cs="Arial"/>
          <w:sz w:val="20"/>
          <w:szCs w:val="20"/>
        </w:rPr>
        <w:t xml:space="preserve"> verde atingiu o r</w:t>
      </w:r>
      <w:r w:rsidR="005F1B4A">
        <w:rPr>
          <w:rFonts w:ascii="Arial" w:hAnsi="Arial" w:cs="Arial"/>
          <w:sz w:val="20"/>
          <w:szCs w:val="20"/>
        </w:rPr>
        <w:t>ecorde da série histórica, alcançando</w:t>
      </w:r>
      <w:r w:rsidR="00D42BB0" w:rsidRPr="00D42BB0">
        <w:rPr>
          <w:rFonts w:ascii="Arial" w:hAnsi="Arial" w:cs="Arial"/>
          <w:sz w:val="20"/>
          <w:szCs w:val="20"/>
        </w:rPr>
        <w:t xml:space="preserve"> 2</w:t>
      </w:r>
      <w:r w:rsidR="0057416E">
        <w:rPr>
          <w:rFonts w:ascii="Arial" w:hAnsi="Arial" w:cs="Arial"/>
          <w:sz w:val="20"/>
          <w:szCs w:val="20"/>
        </w:rPr>
        <w:t>,0</w:t>
      </w:r>
      <w:r w:rsidR="00987383">
        <w:rPr>
          <w:rFonts w:ascii="Arial" w:hAnsi="Arial" w:cs="Arial"/>
          <w:sz w:val="20"/>
          <w:szCs w:val="20"/>
        </w:rPr>
        <w:t>1</w:t>
      </w:r>
      <w:r w:rsidR="00D42BB0" w:rsidRPr="00D42BB0">
        <w:rPr>
          <w:rFonts w:ascii="Arial" w:hAnsi="Arial" w:cs="Arial"/>
          <w:sz w:val="20"/>
          <w:szCs w:val="20"/>
        </w:rPr>
        <w:t xml:space="preserve"> milhões de toneladas</w:t>
      </w:r>
      <w:r w:rsidR="005F1B4A">
        <w:rPr>
          <w:rFonts w:ascii="Arial" w:hAnsi="Arial" w:cs="Arial"/>
          <w:sz w:val="20"/>
          <w:szCs w:val="20"/>
        </w:rPr>
        <w:t>.</w:t>
      </w:r>
      <w:r w:rsidR="00987383">
        <w:rPr>
          <w:rFonts w:ascii="Arial" w:hAnsi="Arial" w:cs="Arial"/>
          <w:sz w:val="20"/>
          <w:szCs w:val="20"/>
        </w:rPr>
        <w:t xml:space="preserve"> Esse montante representou crescimento de 0,9% perante 2014. A cifra registrada em vendas</w:t>
      </w:r>
      <w:r w:rsidR="00AF7DBE">
        <w:rPr>
          <w:rFonts w:ascii="Arial" w:hAnsi="Arial" w:cs="Arial"/>
          <w:sz w:val="20"/>
          <w:szCs w:val="20"/>
        </w:rPr>
        <w:t xml:space="preserve"> externas do produto foi de 5,56</w:t>
      </w:r>
      <w:r w:rsidR="00987383">
        <w:rPr>
          <w:rFonts w:ascii="Arial" w:hAnsi="Arial" w:cs="Arial"/>
          <w:sz w:val="20"/>
          <w:szCs w:val="20"/>
        </w:rPr>
        <w:t xml:space="preserve"> bilhões, o que representou decréscimo de 8% em relação ao ano anterior.</w:t>
      </w:r>
    </w:p>
    <w:p w:rsidR="00A21145" w:rsidRDefault="00A21145" w:rsidP="00B72DB8">
      <w:pPr>
        <w:jc w:val="both"/>
        <w:rPr>
          <w:rFonts w:ascii="Arial" w:hAnsi="Arial" w:cs="Arial"/>
          <w:sz w:val="20"/>
          <w:szCs w:val="20"/>
        </w:rPr>
      </w:pPr>
    </w:p>
    <w:p w:rsidR="00A21145" w:rsidRDefault="00A21145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conjunto, os cinco principais setores exportadores do agronegócio somaram US$ </w:t>
      </w:r>
      <w:r w:rsidR="00CE2442">
        <w:rPr>
          <w:rFonts w:ascii="Arial" w:hAnsi="Arial" w:cs="Arial"/>
          <w:sz w:val="20"/>
          <w:szCs w:val="20"/>
        </w:rPr>
        <w:t xml:space="preserve">67,71 bilhões </w:t>
      </w:r>
      <w:r>
        <w:rPr>
          <w:rFonts w:ascii="Arial" w:hAnsi="Arial" w:cs="Arial"/>
          <w:sz w:val="20"/>
          <w:szCs w:val="20"/>
        </w:rPr>
        <w:t>em vendas</w:t>
      </w:r>
      <w:r w:rsidR="00CE2442">
        <w:rPr>
          <w:rFonts w:ascii="Arial" w:hAnsi="Arial" w:cs="Arial"/>
          <w:sz w:val="20"/>
          <w:szCs w:val="20"/>
        </w:rPr>
        <w:t>, ou seja, US$ 8,11 bilhões inferiores ao que se registrou em 2014</w:t>
      </w:r>
      <w:r>
        <w:rPr>
          <w:rFonts w:ascii="Arial" w:hAnsi="Arial" w:cs="Arial"/>
          <w:sz w:val="20"/>
          <w:szCs w:val="20"/>
        </w:rPr>
        <w:t xml:space="preserve">. </w:t>
      </w:r>
      <w:r w:rsidR="00CE2442">
        <w:rPr>
          <w:rFonts w:ascii="Arial" w:hAnsi="Arial" w:cs="Arial"/>
          <w:sz w:val="20"/>
          <w:szCs w:val="20"/>
        </w:rPr>
        <w:t>Por outro lado, a cifra alcançada em 2015 representou 76,7% do total das vendas do setor, perante os 78,4% em 2014, o que denota uma redução de quase 2 pontos percentuais na concentração da pauta exportadora brasileira.</w:t>
      </w:r>
    </w:p>
    <w:p w:rsidR="002A31A1" w:rsidRDefault="002A31A1" w:rsidP="00B72DB8">
      <w:pPr>
        <w:jc w:val="both"/>
        <w:rPr>
          <w:rFonts w:ascii="Arial" w:hAnsi="Arial" w:cs="Arial"/>
          <w:sz w:val="20"/>
          <w:szCs w:val="20"/>
        </w:rPr>
      </w:pPr>
    </w:p>
    <w:p w:rsidR="00D42BB0" w:rsidRDefault="007227F3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os</w:t>
      </w:r>
      <w:r w:rsidR="0015301D">
        <w:rPr>
          <w:rFonts w:ascii="Arial" w:hAnsi="Arial" w:cs="Arial"/>
          <w:sz w:val="20"/>
          <w:szCs w:val="20"/>
        </w:rPr>
        <w:t xml:space="preserve"> produtos do agronegócio </w:t>
      </w:r>
      <w:r w:rsidR="00CC4292">
        <w:rPr>
          <w:rFonts w:ascii="Arial" w:hAnsi="Arial" w:cs="Arial"/>
          <w:sz w:val="20"/>
          <w:szCs w:val="20"/>
        </w:rPr>
        <w:t xml:space="preserve">importados </w:t>
      </w:r>
      <w:r w:rsidR="00566F4B">
        <w:rPr>
          <w:rFonts w:ascii="Arial" w:hAnsi="Arial" w:cs="Arial"/>
          <w:sz w:val="20"/>
          <w:szCs w:val="20"/>
        </w:rPr>
        <w:t xml:space="preserve">em 2015 </w:t>
      </w:r>
      <w:r>
        <w:rPr>
          <w:rFonts w:ascii="Arial" w:hAnsi="Arial" w:cs="Arial"/>
          <w:sz w:val="20"/>
          <w:szCs w:val="20"/>
        </w:rPr>
        <w:t>destacaram-se</w:t>
      </w:r>
      <w:r w:rsidR="00CC4292">
        <w:rPr>
          <w:rFonts w:ascii="Arial" w:hAnsi="Arial" w:cs="Arial"/>
          <w:sz w:val="20"/>
          <w:szCs w:val="20"/>
        </w:rPr>
        <w:t xml:space="preserve">: </w:t>
      </w:r>
      <w:r w:rsidR="00566F4B">
        <w:rPr>
          <w:rFonts w:ascii="Arial" w:hAnsi="Arial" w:cs="Arial"/>
          <w:sz w:val="20"/>
          <w:szCs w:val="20"/>
        </w:rPr>
        <w:t xml:space="preserve">trigo (US$ </w:t>
      </w:r>
      <w:r w:rsidR="00CB6E59">
        <w:rPr>
          <w:rFonts w:ascii="Arial" w:hAnsi="Arial" w:cs="Arial"/>
          <w:sz w:val="20"/>
          <w:szCs w:val="20"/>
        </w:rPr>
        <w:t>1,22 bilhão), pescados (US$ 1,18 bilhão), papel (US$ 958 milhões), lácteos (US$ 419 milhões) e malte (US$ 411 milhões).</w:t>
      </w:r>
      <w:r w:rsidR="00577A55">
        <w:rPr>
          <w:rFonts w:ascii="Arial" w:hAnsi="Arial" w:cs="Arial"/>
          <w:sz w:val="20"/>
          <w:szCs w:val="20"/>
        </w:rPr>
        <w:t xml:space="preserve"> Os principais produtos importados registraram queda em valor e </w:t>
      </w:r>
      <w:r w:rsidR="00577A55" w:rsidRPr="00577A55">
        <w:rPr>
          <w:rFonts w:ascii="Arial" w:hAnsi="Arial" w:cs="Arial"/>
          <w:i/>
          <w:sz w:val="20"/>
          <w:szCs w:val="20"/>
        </w:rPr>
        <w:t>quantum</w:t>
      </w:r>
      <w:r w:rsidR="00577A5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 exceção da farinha de trigo</w:t>
      </w:r>
      <w:r w:rsidR="00B614E6">
        <w:rPr>
          <w:rFonts w:ascii="Arial" w:hAnsi="Arial" w:cs="Arial"/>
          <w:sz w:val="20"/>
          <w:szCs w:val="20"/>
        </w:rPr>
        <w:t xml:space="preserve"> e dos lácteos</w:t>
      </w:r>
      <w:r>
        <w:rPr>
          <w:rFonts w:ascii="Arial" w:hAnsi="Arial" w:cs="Arial"/>
          <w:sz w:val="20"/>
          <w:szCs w:val="20"/>
        </w:rPr>
        <w:t>, cujas aquisições subiram 21,1%</w:t>
      </w:r>
      <w:r w:rsidR="00B614E6">
        <w:rPr>
          <w:rFonts w:ascii="Arial" w:hAnsi="Arial" w:cs="Arial"/>
          <w:sz w:val="20"/>
          <w:szCs w:val="20"/>
        </w:rPr>
        <w:t xml:space="preserve"> e 26,3%</w:t>
      </w:r>
      <w:r w:rsidR="00B35DAB">
        <w:rPr>
          <w:rFonts w:ascii="Arial" w:hAnsi="Arial" w:cs="Arial"/>
          <w:sz w:val="20"/>
          <w:szCs w:val="20"/>
        </w:rPr>
        <w:t xml:space="preserve"> em quantidade</w:t>
      </w:r>
      <w:r w:rsidR="00B614E6">
        <w:rPr>
          <w:rFonts w:ascii="Arial" w:hAnsi="Arial" w:cs="Arial"/>
          <w:sz w:val="20"/>
          <w:szCs w:val="20"/>
        </w:rPr>
        <w:t>, respectivamente.</w:t>
      </w:r>
    </w:p>
    <w:p w:rsidR="001B2866" w:rsidRDefault="001B2866" w:rsidP="00265D01">
      <w:pPr>
        <w:jc w:val="both"/>
      </w:pPr>
    </w:p>
    <w:p w:rsidR="006A3FC5" w:rsidRPr="00B72DB8" w:rsidRDefault="006A3FC5" w:rsidP="00265D01">
      <w:pPr>
        <w:jc w:val="both"/>
      </w:pPr>
      <w:bookmarkStart w:id="1" w:name="_GoBack"/>
      <w:bookmarkEnd w:id="1"/>
    </w:p>
    <w:p w:rsidR="001B2866" w:rsidRDefault="002A3D3D" w:rsidP="00265D01">
      <w:pPr>
        <w:jc w:val="both"/>
        <w:rPr>
          <w:rFonts w:ascii="Arial" w:hAnsi="Arial" w:cs="Arial"/>
          <w:sz w:val="20"/>
          <w:szCs w:val="20"/>
        </w:rPr>
      </w:pPr>
      <w:r w:rsidRPr="002A3D3D">
        <w:rPr>
          <w:noProof/>
        </w:rPr>
        <w:drawing>
          <wp:inline distT="0" distB="0" distL="0" distR="0" wp14:anchorId="069DDF4A" wp14:editId="6C63CFC1">
            <wp:extent cx="6480175" cy="390652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66" w:rsidRDefault="001B2866" w:rsidP="00973FDB">
      <w:pPr>
        <w:rPr>
          <w:noProof/>
        </w:rPr>
      </w:pPr>
    </w:p>
    <w:p w:rsidR="001B2866" w:rsidRDefault="001B2866" w:rsidP="008902CD"/>
    <w:p w:rsidR="001B2866" w:rsidRDefault="001B2866" w:rsidP="00495A9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1B2866" w:rsidRDefault="001B2866" w:rsidP="005B0867"/>
    <w:p w:rsidR="001B2866" w:rsidRPr="0085410F" w:rsidRDefault="00644719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Ásia se destacou entre os blocos econômicos e regiões geográficas de destino das exportações do agronegócio brasileiro</w:t>
      </w:r>
      <w:r w:rsidR="005D0CF0">
        <w:rPr>
          <w:rFonts w:ascii="Arial" w:hAnsi="Arial" w:cs="Arial"/>
          <w:sz w:val="20"/>
          <w:szCs w:val="20"/>
        </w:rPr>
        <w:t xml:space="preserve"> em 2015. Foram exportados US$ 38,06 bilhões para a região, o que representou queda de 3,2% ante 2014. Apesar da retração nas vendas externas do Brasil, a região apresentou crescimento de 2,5 pontos percentuais no </w:t>
      </w:r>
      <w:r w:rsidR="005D0CF0">
        <w:rPr>
          <w:rFonts w:ascii="Arial" w:hAnsi="Arial" w:cs="Arial"/>
          <w:i/>
          <w:sz w:val="20"/>
          <w:szCs w:val="20"/>
        </w:rPr>
        <w:t>share</w:t>
      </w:r>
      <w:r w:rsidR="005D0CF0">
        <w:rPr>
          <w:rFonts w:ascii="Arial" w:hAnsi="Arial" w:cs="Arial"/>
          <w:sz w:val="20"/>
          <w:szCs w:val="20"/>
        </w:rPr>
        <w:t xml:space="preserve"> das exportações do setor.</w:t>
      </w:r>
      <w:r w:rsidR="00B84AD7">
        <w:rPr>
          <w:rFonts w:ascii="Arial" w:hAnsi="Arial" w:cs="Arial"/>
          <w:sz w:val="20"/>
          <w:szCs w:val="20"/>
        </w:rPr>
        <w:t xml:space="preserve"> </w:t>
      </w:r>
      <w:r w:rsidR="00757B19">
        <w:rPr>
          <w:rFonts w:ascii="Arial" w:hAnsi="Arial" w:cs="Arial"/>
          <w:sz w:val="20"/>
          <w:szCs w:val="20"/>
        </w:rPr>
        <w:t>A União Europeia ocupou a segunda posição entre os destinos do setor, com US$ 18,26 bilhões.</w:t>
      </w:r>
    </w:p>
    <w:p w:rsidR="001B2866" w:rsidRPr="00327E00" w:rsidRDefault="001B2866" w:rsidP="00B72DB8">
      <w:pPr>
        <w:jc w:val="both"/>
        <w:rPr>
          <w:rFonts w:ascii="Arial" w:hAnsi="Arial" w:cs="Arial"/>
          <w:sz w:val="20"/>
          <w:szCs w:val="20"/>
        </w:rPr>
      </w:pPr>
    </w:p>
    <w:p w:rsidR="00327E00" w:rsidRPr="00327E00" w:rsidRDefault="00327E00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Cabe ressaltar, ainda, o crescimento nas vend</w:t>
      </w:r>
      <w:r w:rsidR="00313082">
        <w:rPr>
          <w:rFonts w:ascii="Arial" w:hAnsi="Arial" w:cs="Arial"/>
          <w:sz w:val="20"/>
          <w:szCs w:val="20"/>
        </w:rPr>
        <w:t>as brasileiras para os países da</w:t>
      </w:r>
      <w:r>
        <w:rPr>
          <w:rFonts w:ascii="Arial" w:hAnsi="Arial" w:cs="Arial"/>
          <w:sz w:val="20"/>
          <w:szCs w:val="20"/>
        </w:rPr>
        <w:t xml:space="preserve"> Aladi (d</w:t>
      </w:r>
      <w:r w:rsidR="00313082">
        <w:rPr>
          <w:rFonts w:ascii="Arial" w:hAnsi="Arial" w:cs="Arial"/>
          <w:sz w:val="20"/>
          <w:szCs w:val="20"/>
        </w:rPr>
        <w:t>e US$ 2,81 bilhões para US$ 3,07</w:t>
      </w:r>
      <w:r>
        <w:rPr>
          <w:rFonts w:ascii="Arial" w:hAnsi="Arial" w:cs="Arial"/>
          <w:sz w:val="20"/>
          <w:szCs w:val="20"/>
        </w:rPr>
        <w:t xml:space="preserve"> bilhões) e da Oceania (de US$ 232</w:t>
      </w:r>
      <w:r w:rsidR="00313082">
        <w:rPr>
          <w:rFonts w:ascii="Arial" w:hAnsi="Arial" w:cs="Arial"/>
          <w:sz w:val="20"/>
          <w:szCs w:val="20"/>
        </w:rPr>
        <w:t>,22</w:t>
      </w:r>
      <w:r>
        <w:rPr>
          <w:rFonts w:ascii="Arial" w:hAnsi="Arial" w:cs="Arial"/>
          <w:sz w:val="20"/>
          <w:szCs w:val="20"/>
        </w:rPr>
        <w:t xml:space="preserve"> para US$ 244</w:t>
      </w:r>
      <w:r w:rsidR="00313082">
        <w:rPr>
          <w:rFonts w:ascii="Arial" w:hAnsi="Arial" w:cs="Arial"/>
          <w:sz w:val="20"/>
          <w:szCs w:val="20"/>
        </w:rPr>
        <w:t>,24</w:t>
      </w:r>
      <w:r>
        <w:rPr>
          <w:rFonts w:ascii="Arial" w:hAnsi="Arial" w:cs="Arial"/>
          <w:sz w:val="20"/>
          <w:szCs w:val="20"/>
        </w:rPr>
        <w:t xml:space="preserve"> milhões).</w:t>
      </w:r>
    </w:p>
    <w:p w:rsidR="00327E00" w:rsidRPr="00327E00" w:rsidRDefault="00327E00" w:rsidP="00B72DB8">
      <w:pPr>
        <w:jc w:val="both"/>
        <w:rPr>
          <w:rFonts w:ascii="Arial" w:hAnsi="Arial" w:cs="Arial"/>
          <w:sz w:val="20"/>
          <w:szCs w:val="20"/>
        </w:rPr>
      </w:pPr>
    </w:p>
    <w:p w:rsidR="001B2866" w:rsidRPr="001D2578" w:rsidRDefault="002A3D3D" w:rsidP="00495A9E">
      <w:pPr>
        <w:rPr>
          <w:noProof/>
          <w:color w:val="FF0000"/>
        </w:rPr>
      </w:pPr>
      <w:r w:rsidRPr="002A3D3D">
        <w:rPr>
          <w:noProof/>
        </w:rPr>
        <w:drawing>
          <wp:inline distT="0" distB="0" distL="0" distR="0" wp14:anchorId="519D107D" wp14:editId="1A141B47">
            <wp:extent cx="6480175" cy="23482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66" w:rsidRDefault="001B2866" w:rsidP="002A26ED"/>
    <w:p w:rsidR="001B2866" w:rsidRPr="002A26ED" w:rsidRDefault="001B2866" w:rsidP="002A26ED"/>
    <w:p w:rsidR="001B2866" w:rsidRPr="000725EF" w:rsidRDefault="001B2866" w:rsidP="008902CD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0725EF">
        <w:rPr>
          <w:rFonts w:ascii="Arial" w:hAnsi="Arial" w:cs="Arial"/>
          <w:sz w:val="20"/>
          <w:szCs w:val="20"/>
        </w:rPr>
        <w:t>II.c</w:t>
      </w:r>
      <w:proofErr w:type="spellEnd"/>
      <w:r w:rsidRPr="000725EF">
        <w:rPr>
          <w:rFonts w:ascii="Arial" w:hAnsi="Arial" w:cs="Arial"/>
          <w:sz w:val="20"/>
          <w:szCs w:val="20"/>
        </w:rPr>
        <w:t xml:space="preserve"> – Países</w:t>
      </w:r>
    </w:p>
    <w:p w:rsidR="001B2866" w:rsidRDefault="001B2866" w:rsidP="00265D01">
      <w:pPr>
        <w:jc w:val="both"/>
        <w:rPr>
          <w:color w:val="FF0000"/>
        </w:rPr>
      </w:pPr>
    </w:p>
    <w:p w:rsidR="00F07D74" w:rsidRDefault="00757B19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China foi o principal destino dos produtos do </w:t>
      </w:r>
      <w:r w:rsidR="00844CDA">
        <w:rPr>
          <w:rFonts w:ascii="Arial" w:hAnsi="Arial" w:cs="Arial"/>
          <w:sz w:val="20"/>
          <w:szCs w:val="20"/>
        </w:rPr>
        <w:t>agronegócio brasileiro</w:t>
      </w:r>
      <w:r>
        <w:rPr>
          <w:rFonts w:ascii="Arial" w:hAnsi="Arial" w:cs="Arial"/>
          <w:sz w:val="20"/>
          <w:szCs w:val="20"/>
        </w:rPr>
        <w:t xml:space="preserve"> em 2015, somando US$ 21,28 bilhões. </w:t>
      </w:r>
      <w:r w:rsidR="00E439FF">
        <w:rPr>
          <w:rFonts w:ascii="Arial" w:hAnsi="Arial" w:cs="Arial"/>
          <w:sz w:val="20"/>
          <w:szCs w:val="20"/>
        </w:rPr>
        <w:t>Desse montante, 74,2% foi representado pela soja em grãos, seguida da celulose, cuja participação foi de 8,7%.</w:t>
      </w:r>
      <w:r w:rsidR="002478ED">
        <w:rPr>
          <w:rFonts w:ascii="Arial" w:hAnsi="Arial" w:cs="Arial"/>
          <w:sz w:val="20"/>
          <w:szCs w:val="20"/>
        </w:rPr>
        <w:t xml:space="preserve"> </w:t>
      </w:r>
      <w:r w:rsidR="00F07D74">
        <w:rPr>
          <w:rFonts w:ascii="Arial" w:hAnsi="Arial" w:cs="Arial"/>
          <w:sz w:val="20"/>
          <w:szCs w:val="20"/>
        </w:rPr>
        <w:t>A China foi o destino de mais de 75% da soja em grãos brasileira no período.</w:t>
      </w:r>
    </w:p>
    <w:p w:rsidR="00F07D74" w:rsidRDefault="00F07D74" w:rsidP="00B72DB8">
      <w:pPr>
        <w:jc w:val="both"/>
        <w:rPr>
          <w:rFonts w:ascii="Arial" w:hAnsi="Arial" w:cs="Arial"/>
          <w:sz w:val="20"/>
          <w:szCs w:val="20"/>
        </w:rPr>
      </w:pPr>
    </w:p>
    <w:p w:rsidR="00E439FF" w:rsidRDefault="002478ED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segundo país destino foram os Estados Unidos, com US$ 6,47 bilhões, com destaque para o café verde (US$ 1,18 bilhão), celulose (US$ 98</w:t>
      </w:r>
      <w:r w:rsidR="001F191A">
        <w:rPr>
          <w:rFonts w:ascii="Arial" w:hAnsi="Arial" w:cs="Arial"/>
          <w:sz w:val="20"/>
          <w:szCs w:val="20"/>
        </w:rPr>
        <w:t>3,62</w:t>
      </w:r>
      <w:r>
        <w:rPr>
          <w:rFonts w:ascii="Arial" w:hAnsi="Arial" w:cs="Arial"/>
          <w:sz w:val="20"/>
          <w:szCs w:val="20"/>
        </w:rPr>
        <w:t xml:space="preserve"> milhões) e álcool (US$ 451</w:t>
      </w:r>
      <w:r w:rsidR="001F191A">
        <w:rPr>
          <w:rFonts w:ascii="Arial" w:hAnsi="Arial" w:cs="Arial"/>
          <w:sz w:val="20"/>
          <w:szCs w:val="20"/>
        </w:rPr>
        <w:t>,03</w:t>
      </w:r>
      <w:r>
        <w:rPr>
          <w:rFonts w:ascii="Arial" w:hAnsi="Arial" w:cs="Arial"/>
          <w:sz w:val="20"/>
          <w:szCs w:val="20"/>
        </w:rPr>
        <w:t xml:space="preserve"> milhões).</w:t>
      </w:r>
      <w:r w:rsidR="006C18FE">
        <w:rPr>
          <w:rFonts w:ascii="Arial" w:hAnsi="Arial" w:cs="Arial"/>
          <w:sz w:val="20"/>
          <w:szCs w:val="20"/>
        </w:rPr>
        <w:t xml:space="preserve"> Em relação ao ano anterior houve queda de 7,6% nas exportações para os EUA, mas a participação </w:t>
      </w:r>
      <w:r w:rsidR="00F07D74">
        <w:rPr>
          <w:rFonts w:ascii="Arial" w:hAnsi="Arial" w:cs="Arial"/>
          <w:sz w:val="20"/>
          <w:szCs w:val="20"/>
        </w:rPr>
        <w:t>do país subiu de 7,2% para 7,3%.</w:t>
      </w:r>
    </w:p>
    <w:p w:rsidR="00E66195" w:rsidRDefault="00E66195" w:rsidP="00B72DB8">
      <w:pPr>
        <w:jc w:val="both"/>
        <w:rPr>
          <w:rFonts w:ascii="Arial" w:hAnsi="Arial" w:cs="Arial"/>
          <w:sz w:val="20"/>
          <w:szCs w:val="20"/>
        </w:rPr>
      </w:pPr>
    </w:p>
    <w:p w:rsidR="001B2866" w:rsidRPr="00B77536" w:rsidRDefault="00E66195" w:rsidP="00B72D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Cabe ressaltar que </w:t>
      </w:r>
      <w:r w:rsidR="00821643" w:rsidRPr="00821643">
        <w:rPr>
          <w:rFonts w:ascii="Arial" w:hAnsi="Arial" w:cs="Arial"/>
          <w:sz w:val="20"/>
          <w:szCs w:val="20"/>
        </w:rPr>
        <w:t>Vietnã, Bangladesh, Irã e Coreia do Sul foram os países que mais contribuíram para amenizar a queda das exportações do agro</w:t>
      </w:r>
      <w:r>
        <w:rPr>
          <w:rFonts w:ascii="Arial" w:hAnsi="Arial" w:cs="Arial"/>
          <w:sz w:val="20"/>
          <w:szCs w:val="20"/>
        </w:rPr>
        <w:t>negócio brasileiro no ano. Em conjunto, esses mercados registraram crescimento de US$ 1,2 bilhão em compra de produtos brasileiros no período.</w:t>
      </w:r>
    </w:p>
    <w:p w:rsidR="001B2866" w:rsidRPr="00B72DB8" w:rsidRDefault="001B2866" w:rsidP="00B72DB8">
      <w:pPr>
        <w:jc w:val="both"/>
      </w:pPr>
    </w:p>
    <w:p w:rsidR="001B2866" w:rsidRDefault="001B2866" w:rsidP="00C748FD">
      <w:pPr>
        <w:pStyle w:val="Recuodecorpodetexto"/>
        <w:ind w:firstLine="0"/>
        <w:rPr>
          <w:noProof/>
        </w:rPr>
      </w:pPr>
    </w:p>
    <w:p w:rsidR="001B2866" w:rsidRDefault="002A3D3D" w:rsidP="00C748FD">
      <w:pPr>
        <w:pStyle w:val="Recuodecorpodetexto"/>
        <w:ind w:firstLine="0"/>
        <w:rPr>
          <w:noProof/>
        </w:rPr>
      </w:pPr>
      <w:r w:rsidRPr="002A3D3D">
        <w:rPr>
          <w:noProof/>
        </w:rPr>
        <w:drawing>
          <wp:inline distT="0" distB="0" distL="0" distR="0" wp14:anchorId="1A774F3E" wp14:editId="22CC0BEB">
            <wp:extent cx="6480175" cy="3879215"/>
            <wp:effectExtent l="0" t="0" r="0" b="698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66" w:rsidRDefault="001B2866" w:rsidP="00C748FD">
      <w:pPr>
        <w:pStyle w:val="Recuodecorpodetexto"/>
        <w:ind w:firstLine="0"/>
        <w:rPr>
          <w:noProof/>
        </w:rPr>
      </w:pPr>
    </w:p>
    <w:p w:rsidR="001B2866" w:rsidRDefault="001B2866" w:rsidP="00C748FD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bookmarkEnd w:id="0"/>
    <w:p w:rsidR="001B2866" w:rsidRPr="003C54E1" w:rsidRDefault="001B286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B2866" w:rsidRPr="003C54E1" w:rsidRDefault="001B2866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iCs w:val="0"/>
          <w:sz w:val="20"/>
          <w:szCs w:val="20"/>
          <w:lang w:val="pt-BR"/>
        </w:rPr>
      </w:pPr>
      <w:r w:rsidRPr="003C54E1">
        <w:rPr>
          <w:i w:val="0"/>
          <w:iCs w:val="0"/>
          <w:sz w:val="20"/>
          <w:szCs w:val="20"/>
          <w:lang w:val="pt-BR"/>
        </w:rPr>
        <w:t>NOTA METODOLÓGICA</w:t>
      </w:r>
    </w:p>
    <w:p w:rsidR="001B2866" w:rsidRPr="003C54E1" w:rsidRDefault="001B2866" w:rsidP="00183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Balança Comercial do Agronegócio utiliza uma classificação dos produtos do agronegócio que reúne 2.8</w:t>
      </w:r>
      <w:r w:rsidR="00183096">
        <w:rPr>
          <w:rFonts w:ascii="Arial" w:hAnsi="Arial" w:cs="Arial"/>
          <w:sz w:val="20"/>
          <w:szCs w:val="20"/>
        </w:rPr>
        <w:t>71</w:t>
      </w:r>
      <w:r w:rsidRPr="003C54E1">
        <w:rPr>
          <w:rFonts w:ascii="Arial" w:hAnsi="Arial" w:cs="Arial"/>
          <w:sz w:val="20"/>
          <w:szCs w:val="20"/>
        </w:rPr>
        <w:t xml:space="preserve"> </w:t>
      </w:r>
      <w:r w:rsidR="00183096">
        <w:rPr>
          <w:rFonts w:ascii="Arial" w:hAnsi="Arial" w:cs="Arial"/>
          <w:sz w:val="20"/>
          <w:szCs w:val="20"/>
        </w:rPr>
        <w:t xml:space="preserve">itens da </w:t>
      </w:r>
      <w:r w:rsidR="00183096" w:rsidRPr="003C54E1">
        <w:rPr>
          <w:rFonts w:ascii="Arial" w:hAnsi="Arial" w:cs="Arial"/>
          <w:sz w:val="20"/>
          <w:szCs w:val="20"/>
        </w:rPr>
        <w:t>Nomenc</w:t>
      </w:r>
      <w:r w:rsidR="00183096">
        <w:rPr>
          <w:rFonts w:ascii="Arial" w:hAnsi="Arial" w:cs="Arial"/>
          <w:sz w:val="20"/>
          <w:szCs w:val="20"/>
        </w:rPr>
        <w:t xml:space="preserve">latura Comum do MERCOSUL – </w:t>
      </w:r>
      <w:r w:rsidRPr="003C54E1">
        <w:rPr>
          <w:rFonts w:ascii="Arial" w:hAnsi="Arial" w:cs="Arial"/>
          <w:sz w:val="20"/>
          <w:szCs w:val="20"/>
        </w:rPr>
        <w:t>NCM em 25 setores</w:t>
      </w:r>
      <w:r w:rsidR="00B1017D">
        <w:rPr>
          <w:rFonts w:ascii="Arial" w:hAnsi="Arial" w:cs="Arial"/>
          <w:sz w:val="20"/>
          <w:szCs w:val="20"/>
        </w:rPr>
        <w:t>, 139 subsetores e 436 produtos</w:t>
      </w:r>
      <w:r w:rsidRPr="003C54E1">
        <w:rPr>
          <w:rFonts w:ascii="Arial" w:hAnsi="Arial" w:cs="Arial"/>
          <w:sz w:val="20"/>
          <w:szCs w:val="20"/>
        </w:rPr>
        <w:t xml:space="preserve">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iCs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iCs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183096" w:rsidRPr="00F41EC4">
          <w:rPr>
            <w:rStyle w:val="Hyperlink"/>
            <w:rFonts w:ascii="Arial" w:hAnsi="Arial" w:cs="Arial"/>
            <w:sz w:val="20"/>
            <w:szCs w:val="20"/>
          </w:rPr>
          <w:t>http://agrostat.agricultura.gov.br</w:t>
        </w:r>
      </w:hyperlink>
      <w:r w:rsidR="00183096">
        <w:rPr>
          <w:rFonts w:ascii="Arial" w:hAnsi="Arial" w:cs="Arial"/>
          <w:sz w:val="20"/>
          <w:szCs w:val="20"/>
        </w:rPr>
        <w:t xml:space="preserve"> </w:t>
      </w:r>
    </w:p>
    <w:p w:rsidR="001B2866" w:rsidRPr="003C54E1" w:rsidRDefault="001B2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1B2866" w:rsidRDefault="001B2866">
      <w:pPr>
        <w:pStyle w:val="Ttulo2"/>
        <w:jc w:val="right"/>
        <w:rPr>
          <w:rFonts w:ascii="Arial" w:hAnsi="Arial" w:cs="Arial"/>
          <w:b/>
          <w:bCs/>
          <w:sz w:val="20"/>
          <w:szCs w:val="20"/>
        </w:rPr>
      </w:pPr>
    </w:p>
    <w:p w:rsidR="001B2866" w:rsidRPr="003C54E1" w:rsidRDefault="001B2866">
      <w:pPr>
        <w:pStyle w:val="Ttulo2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MAPA/SRI/DPI</w:t>
      </w:r>
    </w:p>
    <w:p w:rsidR="001B2866" w:rsidRPr="003C54E1" w:rsidRDefault="001B2866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1F191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/12//2015</w:t>
      </w:r>
    </w:p>
    <w:sectPr w:rsidR="001B2866" w:rsidRPr="003C54E1" w:rsidSect="00C2569A">
      <w:footerReference w:type="default" r:id="rId15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66" w:rsidRDefault="001B2866">
      <w:r>
        <w:separator/>
      </w:r>
    </w:p>
  </w:endnote>
  <w:endnote w:type="continuationSeparator" w:id="0">
    <w:p w:rsidR="001B2866" w:rsidRDefault="001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866" w:rsidRPr="000754DD" w:rsidRDefault="001B2866">
    <w:pPr>
      <w:pStyle w:val="Rodap"/>
      <w:framePr w:wrap="auto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6A3FC5">
      <w:rPr>
        <w:rStyle w:val="Nmerodepgina"/>
        <w:rFonts w:ascii="Arial" w:hAnsi="Arial" w:cs="Arial"/>
        <w:noProof/>
        <w:sz w:val="16"/>
        <w:szCs w:val="16"/>
      </w:rPr>
      <w:t>7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1B2866" w:rsidRDefault="001B28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66" w:rsidRDefault="001B2866">
      <w:r>
        <w:separator/>
      </w:r>
    </w:p>
  </w:footnote>
  <w:footnote w:type="continuationSeparator" w:id="0">
    <w:p w:rsidR="001B2866" w:rsidRDefault="001B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1644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254E"/>
    <w:rsid w:val="00002B53"/>
    <w:rsid w:val="000036C3"/>
    <w:rsid w:val="000051F2"/>
    <w:rsid w:val="00006103"/>
    <w:rsid w:val="00006262"/>
    <w:rsid w:val="00006ECB"/>
    <w:rsid w:val="00007083"/>
    <w:rsid w:val="00007D32"/>
    <w:rsid w:val="00010A70"/>
    <w:rsid w:val="000111A6"/>
    <w:rsid w:val="000120FF"/>
    <w:rsid w:val="00013C10"/>
    <w:rsid w:val="00014081"/>
    <w:rsid w:val="00014B01"/>
    <w:rsid w:val="000164BA"/>
    <w:rsid w:val="000166CF"/>
    <w:rsid w:val="00017D67"/>
    <w:rsid w:val="00017F9E"/>
    <w:rsid w:val="00023B7D"/>
    <w:rsid w:val="00024620"/>
    <w:rsid w:val="00024774"/>
    <w:rsid w:val="00025562"/>
    <w:rsid w:val="0002592B"/>
    <w:rsid w:val="00027B9D"/>
    <w:rsid w:val="00027CD6"/>
    <w:rsid w:val="000301F8"/>
    <w:rsid w:val="00030275"/>
    <w:rsid w:val="00031A57"/>
    <w:rsid w:val="0003291F"/>
    <w:rsid w:val="000329DF"/>
    <w:rsid w:val="000348EF"/>
    <w:rsid w:val="00034D11"/>
    <w:rsid w:val="000354EE"/>
    <w:rsid w:val="00035920"/>
    <w:rsid w:val="00035927"/>
    <w:rsid w:val="000400E7"/>
    <w:rsid w:val="00040CEE"/>
    <w:rsid w:val="0004141A"/>
    <w:rsid w:val="00041926"/>
    <w:rsid w:val="000421AD"/>
    <w:rsid w:val="00042DA0"/>
    <w:rsid w:val="00043C91"/>
    <w:rsid w:val="00045520"/>
    <w:rsid w:val="00045689"/>
    <w:rsid w:val="000456E0"/>
    <w:rsid w:val="00045FD6"/>
    <w:rsid w:val="00047101"/>
    <w:rsid w:val="000506BD"/>
    <w:rsid w:val="00050AF0"/>
    <w:rsid w:val="000531F8"/>
    <w:rsid w:val="00053736"/>
    <w:rsid w:val="00053BD7"/>
    <w:rsid w:val="000542D8"/>
    <w:rsid w:val="00057E53"/>
    <w:rsid w:val="000609B6"/>
    <w:rsid w:val="00060DB6"/>
    <w:rsid w:val="00060E48"/>
    <w:rsid w:val="000610EE"/>
    <w:rsid w:val="00063B61"/>
    <w:rsid w:val="00063D96"/>
    <w:rsid w:val="00063D9B"/>
    <w:rsid w:val="00063DE6"/>
    <w:rsid w:val="00065445"/>
    <w:rsid w:val="000655BC"/>
    <w:rsid w:val="00065696"/>
    <w:rsid w:val="00066372"/>
    <w:rsid w:val="00066406"/>
    <w:rsid w:val="000666A5"/>
    <w:rsid w:val="00067BF2"/>
    <w:rsid w:val="000708D1"/>
    <w:rsid w:val="00070FDC"/>
    <w:rsid w:val="0007136A"/>
    <w:rsid w:val="0007199F"/>
    <w:rsid w:val="000725D6"/>
    <w:rsid w:val="000725EF"/>
    <w:rsid w:val="000728BD"/>
    <w:rsid w:val="00072A5A"/>
    <w:rsid w:val="00072BF1"/>
    <w:rsid w:val="00073B00"/>
    <w:rsid w:val="0007448A"/>
    <w:rsid w:val="00074CFD"/>
    <w:rsid w:val="000754DD"/>
    <w:rsid w:val="00076763"/>
    <w:rsid w:val="000777E6"/>
    <w:rsid w:val="00081DBA"/>
    <w:rsid w:val="00086016"/>
    <w:rsid w:val="00086685"/>
    <w:rsid w:val="0008675A"/>
    <w:rsid w:val="00086BE6"/>
    <w:rsid w:val="00087349"/>
    <w:rsid w:val="00087523"/>
    <w:rsid w:val="00091B89"/>
    <w:rsid w:val="00092E4B"/>
    <w:rsid w:val="000930DA"/>
    <w:rsid w:val="000938A8"/>
    <w:rsid w:val="00093FC9"/>
    <w:rsid w:val="000942EC"/>
    <w:rsid w:val="0009438C"/>
    <w:rsid w:val="000943BA"/>
    <w:rsid w:val="00094CD8"/>
    <w:rsid w:val="000950D3"/>
    <w:rsid w:val="00096E13"/>
    <w:rsid w:val="00097829"/>
    <w:rsid w:val="000978BB"/>
    <w:rsid w:val="00097AEB"/>
    <w:rsid w:val="000A0879"/>
    <w:rsid w:val="000A0E3C"/>
    <w:rsid w:val="000A14AC"/>
    <w:rsid w:val="000A16C5"/>
    <w:rsid w:val="000A3C7F"/>
    <w:rsid w:val="000A412F"/>
    <w:rsid w:val="000A58CA"/>
    <w:rsid w:val="000A6B29"/>
    <w:rsid w:val="000B0C2E"/>
    <w:rsid w:val="000B1245"/>
    <w:rsid w:val="000B1C2B"/>
    <w:rsid w:val="000B2BB4"/>
    <w:rsid w:val="000B2CCF"/>
    <w:rsid w:val="000B36BC"/>
    <w:rsid w:val="000B3A67"/>
    <w:rsid w:val="000B4059"/>
    <w:rsid w:val="000B436C"/>
    <w:rsid w:val="000B4CB7"/>
    <w:rsid w:val="000B617B"/>
    <w:rsid w:val="000B6F56"/>
    <w:rsid w:val="000B778B"/>
    <w:rsid w:val="000C0B2D"/>
    <w:rsid w:val="000C0BCC"/>
    <w:rsid w:val="000C0FB1"/>
    <w:rsid w:val="000C11BF"/>
    <w:rsid w:val="000C1354"/>
    <w:rsid w:val="000C155C"/>
    <w:rsid w:val="000C21AB"/>
    <w:rsid w:val="000C46F0"/>
    <w:rsid w:val="000C4CA1"/>
    <w:rsid w:val="000C53E0"/>
    <w:rsid w:val="000C5899"/>
    <w:rsid w:val="000C5BC6"/>
    <w:rsid w:val="000C64AB"/>
    <w:rsid w:val="000C6B89"/>
    <w:rsid w:val="000C7F10"/>
    <w:rsid w:val="000D0A1C"/>
    <w:rsid w:val="000D2526"/>
    <w:rsid w:val="000D26FA"/>
    <w:rsid w:val="000D279E"/>
    <w:rsid w:val="000D39E2"/>
    <w:rsid w:val="000D4068"/>
    <w:rsid w:val="000D5810"/>
    <w:rsid w:val="000D5BE5"/>
    <w:rsid w:val="000E03A7"/>
    <w:rsid w:val="000E139D"/>
    <w:rsid w:val="000E1F98"/>
    <w:rsid w:val="000E30AF"/>
    <w:rsid w:val="000E33C3"/>
    <w:rsid w:val="000E39A2"/>
    <w:rsid w:val="000E3FFC"/>
    <w:rsid w:val="000E4AF7"/>
    <w:rsid w:val="000E4D0B"/>
    <w:rsid w:val="000E7667"/>
    <w:rsid w:val="000E7821"/>
    <w:rsid w:val="000F10A4"/>
    <w:rsid w:val="000F15BB"/>
    <w:rsid w:val="000F3A73"/>
    <w:rsid w:val="000F4768"/>
    <w:rsid w:val="000F4C96"/>
    <w:rsid w:val="000F5D88"/>
    <w:rsid w:val="000F67E1"/>
    <w:rsid w:val="000F6CFE"/>
    <w:rsid w:val="000F71DB"/>
    <w:rsid w:val="000F7A17"/>
    <w:rsid w:val="000F7E4B"/>
    <w:rsid w:val="000F7E56"/>
    <w:rsid w:val="001002A5"/>
    <w:rsid w:val="001009DA"/>
    <w:rsid w:val="00102086"/>
    <w:rsid w:val="00102714"/>
    <w:rsid w:val="001028A9"/>
    <w:rsid w:val="00103608"/>
    <w:rsid w:val="00103A27"/>
    <w:rsid w:val="00104345"/>
    <w:rsid w:val="00104AAF"/>
    <w:rsid w:val="00105E9D"/>
    <w:rsid w:val="00106133"/>
    <w:rsid w:val="00106502"/>
    <w:rsid w:val="00106AE7"/>
    <w:rsid w:val="0011004F"/>
    <w:rsid w:val="00110F21"/>
    <w:rsid w:val="001114E6"/>
    <w:rsid w:val="001120A0"/>
    <w:rsid w:val="001122DA"/>
    <w:rsid w:val="0011278C"/>
    <w:rsid w:val="0011359A"/>
    <w:rsid w:val="001145E1"/>
    <w:rsid w:val="001148DB"/>
    <w:rsid w:val="00116244"/>
    <w:rsid w:val="00116DF6"/>
    <w:rsid w:val="001172F2"/>
    <w:rsid w:val="00120C53"/>
    <w:rsid w:val="001214F0"/>
    <w:rsid w:val="00121674"/>
    <w:rsid w:val="00121699"/>
    <w:rsid w:val="00121B3C"/>
    <w:rsid w:val="001230EB"/>
    <w:rsid w:val="00123AEA"/>
    <w:rsid w:val="00123C08"/>
    <w:rsid w:val="00124184"/>
    <w:rsid w:val="001248CD"/>
    <w:rsid w:val="00125976"/>
    <w:rsid w:val="00125BEF"/>
    <w:rsid w:val="00127D91"/>
    <w:rsid w:val="00127EF3"/>
    <w:rsid w:val="001302B1"/>
    <w:rsid w:val="00130896"/>
    <w:rsid w:val="00130BEF"/>
    <w:rsid w:val="00131883"/>
    <w:rsid w:val="00131F08"/>
    <w:rsid w:val="00132734"/>
    <w:rsid w:val="001343E9"/>
    <w:rsid w:val="00135398"/>
    <w:rsid w:val="001360B0"/>
    <w:rsid w:val="001368DC"/>
    <w:rsid w:val="00136B69"/>
    <w:rsid w:val="00136D9F"/>
    <w:rsid w:val="00137272"/>
    <w:rsid w:val="0013770C"/>
    <w:rsid w:val="00137B2F"/>
    <w:rsid w:val="00140CC4"/>
    <w:rsid w:val="001410C3"/>
    <w:rsid w:val="001425ED"/>
    <w:rsid w:val="00142F1E"/>
    <w:rsid w:val="00143382"/>
    <w:rsid w:val="00144082"/>
    <w:rsid w:val="0014572B"/>
    <w:rsid w:val="0014658F"/>
    <w:rsid w:val="0015012C"/>
    <w:rsid w:val="00150D5F"/>
    <w:rsid w:val="00151988"/>
    <w:rsid w:val="0015301D"/>
    <w:rsid w:val="00153335"/>
    <w:rsid w:val="00153702"/>
    <w:rsid w:val="001553E1"/>
    <w:rsid w:val="001563E8"/>
    <w:rsid w:val="00156437"/>
    <w:rsid w:val="0015787C"/>
    <w:rsid w:val="00157AFB"/>
    <w:rsid w:val="00160B15"/>
    <w:rsid w:val="00161229"/>
    <w:rsid w:val="00161E99"/>
    <w:rsid w:val="001631E2"/>
    <w:rsid w:val="00163988"/>
    <w:rsid w:val="00164730"/>
    <w:rsid w:val="00164F40"/>
    <w:rsid w:val="001653C9"/>
    <w:rsid w:val="00165A56"/>
    <w:rsid w:val="001668BA"/>
    <w:rsid w:val="00166F09"/>
    <w:rsid w:val="00167040"/>
    <w:rsid w:val="00167101"/>
    <w:rsid w:val="001678AF"/>
    <w:rsid w:val="00167A20"/>
    <w:rsid w:val="00171552"/>
    <w:rsid w:val="00172C22"/>
    <w:rsid w:val="0017334E"/>
    <w:rsid w:val="001737BF"/>
    <w:rsid w:val="001739E0"/>
    <w:rsid w:val="00173C33"/>
    <w:rsid w:val="0017582B"/>
    <w:rsid w:val="00175DF5"/>
    <w:rsid w:val="00175FD4"/>
    <w:rsid w:val="00176926"/>
    <w:rsid w:val="00177C36"/>
    <w:rsid w:val="00180987"/>
    <w:rsid w:val="00180FD2"/>
    <w:rsid w:val="001814A9"/>
    <w:rsid w:val="00181959"/>
    <w:rsid w:val="00181A5E"/>
    <w:rsid w:val="00181F12"/>
    <w:rsid w:val="00183096"/>
    <w:rsid w:val="00183DFC"/>
    <w:rsid w:val="001845DB"/>
    <w:rsid w:val="00185BFA"/>
    <w:rsid w:val="001877D0"/>
    <w:rsid w:val="0018788F"/>
    <w:rsid w:val="00191846"/>
    <w:rsid w:val="00192430"/>
    <w:rsid w:val="001929A1"/>
    <w:rsid w:val="00192E51"/>
    <w:rsid w:val="00193C52"/>
    <w:rsid w:val="00193F46"/>
    <w:rsid w:val="001950E2"/>
    <w:rsid w:val="001965D0"/>
    <w:rsid w:val="001A002C"/>
    <w:rsid w:val="001A0A6C"/>
    <w:rsid w:val="001A12B2"/>
    <w:rsid w:val="001A29EA"/>
    <w:rsid w:val="001A3E76"/>
    <w:rsid w:val="001A4C12"/>
    <w:rsid w:val="001A5F2C"/>
    <w:rsid w:val="001A63CA"/>
    <w:rsid w:val="001A6831"/>
    <w:rsid w:val="001A6958"/>
    <w:rsid w:val="001A69E4"/>
    <w:rsid w:val="001A7D65"/>
    <w:rsid w:val="001B0348"/>
    <w:rsid w:val="001B15A0"/>
    <w:rsid w:val="001B18D8"/>
    <w:rsid w:val="001B21EA"/>
    <w:rsid w:val="001B23D6"/>
    <w:rsid w:val="001B272C"/>
    <w:rsid w:val="001B2866"/>
    <w:rsid w:val="001B290B"/>
    <w:rsid w:val="001B48AD"/>
    <w:rsid w:val="001B5F0E"/>
    <w:rsid w:val="001B658B"/>
    <w:rsid w:val="001C10B3"/>
    <w:rsid w:val="001C1984"/>
    <w:rsid w:val="001C2AFB"/>
    <w:rsid w:val="001C2BE2"/>
    <w:rsid w:val="001C37FB"/>
    <w:rsid w:val="001C3C0D"/>
    <w:rsid w:val="001C55C8"/>
    <w:rsid w:val="001C7639"/>
    <w:rsid w:val="001D0EC1"/>
    <w:rsid w:val="001D1357"/>
    <w:rsid w:val="001D216D"/>
    <w:rsid w:val="001D2578"/>
    <w:rsid w:val="001D3304"/>
    <w:rsid w:val="001D35D6"/>
    <w:rsid w:val="001D3640"/>
    <w:rsid w:val="001D515E"/>
    <w:rsid w:val="001D51EE"/>
    <w:rsid w:val="001D5DA7"/>
    <w:rsid w:val="001D6FA3"/>
    <w:rsid w:val="001E1AB9"/>
    <w:rsid w:val="001E2DBF"/>
    <w:rsid w:val="001E3298"/>
    <w:rsid w:val="001E3EA2"/>
    <w:rsid w:val="001E4FEE"/>
    <w:rsid w:val="001E605F"/>
    <w:rsid w:val="001F04DA"/>
    <w:rsid w:val="001F191A"/>
    <w:rsid w:val="001F1AA6"/>
    <w:rsid w:val="001F1E86"/>
    <w:rsid w:val="001F2486"/>
    <w:rsid w:val="001F304D"/>
    <w:rsid w:val="001F39C4"/>
    <w:rsid w:val="001F4B3D"/>
    <w:rsid w:val="001F6377"/>
    <w:rsid w:val="001F76BE"/>
    <w:rsid w:val="00200422"/>
    <w:rsid w:val="00200BEB"/>
    <w:rsid w:val="00200C1F"/>
    <w:rsid w:val="00201721"/>
    <w:rsid w:val="00201EB6"/>
    <w:rsid w:val="0020265A"/>
    <w:rsid w:val="00202998"/>
    <w:rsid w:val="00202E7D"/>
    <w:rsid w:val="002037B1"/>
    <w:rsid w:val="00203C2C"/>
    <w:rsid w:val="00203F26"/>
    <w:rsid w:val="00204020"/>
    <w:rsid w:val="002048AD"/>
    <w:rsid w:val="0020496C"/>
    <w:rsid w:val="00204E09"/>
    <w:rsid w:val="00204E55"/>
    <w:rsid w:val="00205177"/>
    <w:rsid w:val="00206CCC"/>
    <w:rsid w:val="0020757C"/>
    <w:rsid w:val="00207BFB"/>
    <w:rsid w:val="002104CA"/>
    <w:rsid w:val="002106CF"/>
    <w:rsid w:val="00211985"/>
    <w:rsid w:val="00213CC8"/>
    <w:rsid w:val="0021521E"/>
    <w:rsid w:val="002161A1"/>
    <w:rsid w:val="0021634D"/>
    <w:rsid w:val="00216874"/>
    <w:rsid w:val="002175BC"/>
    <w:rsid w:val="00217690"/>
    <w:rsid w:val="00220165"/>
    <w:rsid w:val="002216BF"/>
    <w:rsid w:val="0022202D"/>
    <w:rsid w:val="00224243"/>
    <w:rsid w:val="00224391"/>
    <w:rsid w:val="00224683"/>
    <w:rsid w:val="002249E4"/>
    <w:rsid w:val="0022550A"/>
    <w:rsid w:val="002259FA"/>
    <w:rsid w:val="0022618F"/>
    <w:rsid w:val="002274EE"/>
    <w:rsid w:val="00230941"/>
    <w:rsid w:val="00232DF4"/>
    <w:rsid w:val="00234BDA"/>
    <w:rsid w:val="00235D98"/>
    <w:rsid w:val="002365E6"/>
    <w:rsid w:val="00236C8A"/>
    <w:rsid w:val="0023726D"/>
    <w:rsid w:val="00240914"/>
    <w:rsid w:val="00240A37"/>
    <w:rsid w:val="00240EBD"/>
    <w:rsid w:val="00241E57"/>
    <w:rsid w:val="0024333A"/>
    <w:rsid w:val="00243565"/>
    <w:rsid w:val="00244DAD"/>
    <w:rsid w:val="00244FFD"/>
    <w:rsid w:val="00246FFB"/>
    <w:rsid w:val="002478ED"/>
    <w:rsid w:val="00247D5C"/>
    <w:rsid w:val="00251E70"/>
    <w:rsid w:val="00253AF2"/>
    <w:rsid w:val="00253BAB"/>
    <w:rsid w:val="00253F6E"/>
    <w:rsid w:val="0025449A"/>
    <w:rsid w:val="0025703A"/>
    <w:rsid w:val="00257972"/>
    <w:rsid w:val="00257CA9"/>
    <w:rsid w:val="00260952"/>
    <w:rsid w:val="00261A84"/>
    <w:rsid w:val="00263B7A"/>
    <w:rsid w:val="002645A5"/>
    <w:rsid w:val="00264637"/>
    <w:rsid w:val="00264A9D"/>
    <w:rsid w:val="00265916"/>
    <w:rsid w:val="00265B91"/>
    <w:rsid w:val="00265D01"/>
    <w:rsid w:val="00266F5A"/>
    <w:rsid w:val="00267384"/>
    <w:rsid w:val="00274325"/>
    <w:rsid w:val="0027457B"/>
    <w:rsid w:val="00275BC8"/>
    <w:rsid w:val="00275FD2"/>
    <w:rsid w:val="00277191"/>
    <w:rsid w:val="00280981"/>
    <w:rsid w:val="00280B61"/>
    <w:rsid w:val="00280D1E"/>
    <w:rsid w:val="00280EB0"/>
    <w:rsid w:val="00280F43"/>
    <w:rsid w:val="00281CB4"/>
    <w:rsid w:val="00282463"/>
    <w:rsid w:val="002825B3"/>
    <w:rsid w:val="002846ED"/>
    <w:rsid w:val="002850EE"/>
    <w:rsid w:val="00286307"/>
    <w:rsid w:val="00286682"/>
    <w:rsid w:val="00286E52"/>
    <w:rsid w:val="00287BF8"/>
    <w:rsid w:val="002905B3"/>
    <w:rsid w:val="00290630"/>
    <w:rsid w:val="002918ED"/>
    <w:rsid w:val="00292902"/>
    <w:rsid w:val="00292C37"/>
    <w:rsid w:val="00292F48"/>
    <w:rsid w:val="002954AE"/>
    <w:rsid w:val="0029641D"/>
    <w:rsid w:val="00297D7C"/>
    <w:rsid w:val="002A0A91"/>
    <w:rsid w:val="002A26ED"/>
    <w:rsid w:val="002A31A1"/>
    <w:rsid w:val="002A32E2"/>
    <w:rsid w:val="002A3D3D"/>
    <w:rsid w:val="002A443F"/>
    <w:rsid w:val="002A4462"/>
    <w:rsid w:val="002A451B"/>
    <w:rsid w:val="002A4B0B"/>
    <w:rsid w:val="002A50D8"/>
    <w:rsid w:val="002A5267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37F"/>
    <w:rsid w:val="002B0AA4"/>
    <w:rsid w:val="002B0BBC"/>
    <w:rsid w:val="002B19C3"/>
    <w:rsid w:val="002B225F"/>
    <w:rsid w:val="002B3B0C"/>
    <w:rsid w:val="002B3FFA"/>
    <w:rsid w:val="002B4209"/>
    <w:rsid w:val="002B48DF"/>
    <w:rsid w:val="002B4B1A"/>
    <w:rsid w:val="002B4BFF"/>
    <w:rsid w:val="002B5200"/>
    <w:rsid w:val="002B5B2D"/>
    <w:rsid w:val="002B6586"/>
    <w:rsid w:val="002B728E"/>
    <w:rsid w:val="002B76D5"/>
    <w:rsid w:val="002C0364"/>
    <w:rsid w:val="002C0938"/>
    <w:rsid w:val="002C2D91"/>
    <w:rsid w:val="002C2E49"/>
    <w:rsid w:val="002C4342"/>
    <w:rsid w:val="002C52F6"/>
    <w:rsid w:val="002C5A64"/>
    <w:rsid w:val="002C5B00"/>
    <w:rsid w:val="002C61C3"/>
    <w:rsid w:val="002C71CF"/>
    <w:rsid w:val="002D057E"/>
    <w:rsid w:val="002D124F"/>
    <w:rsid w:val="002D15C6"/>
    <w:rsid w:val="002D198F"/>
    <w:rsid w:val="002D2497"/>
    <w:rsid w:val="002D36D7"/>
    <w:rsid w:val="002D37D5"/>
    <w:rsid w:val="002D4505"/>
    <w:rsid w:val="002D58E0"/>
    <w:rsid w:val="002D596E"/>
    <w:rsid w:val="002D5A8F"/>
    <w:rsid w:val="002D6145"/>
    <w:rsid w:val="002D66F1"/>
    <w:rsid w:val="002D6B4E"/>
    <w:rsid w:val="002D6E77"/>
    <w:rsid w:val="002D7384"/>
    <w:rsid w:val="002E05B8"/>
    <w:rsid w:val="002E09E9"/>
    <w:rsid w:val="002E0AA6"/>
    <w:rsid w:val="002E1A76"/>
    <w:rsid w:val="002E1D8A"/>
    <w:rsid w:val="002E21CF"/>
    <w:rsid w:val="002E2A6B"/>
    <w:rsid w:val="002E416C"/>
    <w:rsid w:val="002E5064"/>
    <w:rsid w:val="002E6B13"/>
    <w:rsid w:val="002E6CA1"/>
    <w:rsid w:val="002E7085"/>
    <w:rsid w:val="002E7DF8"/>
    <w:rsid w:val="002F00B6"/>
    <w:rsid w:val="002F0E86"/>
    <w:rsid w:val="002F2AA2"/>
    <w:rsid w:val="002F3245"/>
    <w:rsid w:val="002F37D6"/>
    <w:rsid w:val="002F4B47"/>
    <w:rsid w:val="002F5A7C"/>
    <w:rsid w:val="002F6408"/>
    <w:rsid w:val="002F69FB"/>
    <w:rsid w:val="002F6A42"/>
    <w:rsid w:val="002F6CE0"/>
    <w:rsid w:val="002F75AE"/>
    <w:rsid w:val="00301BFC"/>
    <w:rsid w:val="00301E82"/>
    <w:rsid w:val="00302D1E"/>
    <w:rsid w:val="003052D6"/>
    <w:rsid w:val="003054FC"/>
    <w:rsid w:val="003058EA"/>
    <w:rsid w:val="00305B34"/>
    <w:rsid w:val="0030680F"/>
    <w:rsid w:val="00306BB6"/>
    <w:rsid w:val="003073AE"/>
    <w:rsid w:val="00310908"/>
    <w:rsid w:val="003114C5"/>
    <w:rsid w:val="00311EF8"/>
    <w:rsid w:val="00311F32"/>
    <w:rsid w:val="00312E0B"/>
    <w:rsid w:val="00313082"/>
    <w:rsid w:val="003146D2"/>
    <w:rsid w:val="00314BFA"/>
    <w:rsid w:val="0031621C"/>
    <w:rsid w:val="00316822"/>
    <w:rsid w:val="00316C31"/>
    <w:rsid w:val="003202FE"/>
    <w:rsid w:val="00321FD3"/>
    <w:rsid w:val="003222A3"/>
    <w:rsid w:val="003224EB"/>
    <w:rsid w:val="00322652"/>
    <w:rsid w:val="00323A54"/>
    <w:rsid w:val="00324322"/>
    <w:rsid w:val="003243CC"/>
    <w:rsid w:val="00324F68"/>
    <w:rsid w:val="003259EE"/>
    <w:rsid w:val="00327472"/>
    <w:rsid w:val="00327E00"/>
    <w:rsid w:val="00330581"/>
    <w:rsid w:val="003306C9"/>
    <w:rsid w:val="00330D35"/>
    <w:rsid w:val="00331BA8"/>
    <w:rsid w:val="00331D8B"/>
    <w:rsid w:val="00332895"/>
    <w:rsid w:val="00334232"/>
    <w:rsid w:val="00334E38"/>
    <w:rsid w:val="00334ED4"/>
    <w:rsid w:val="00334FCC"/>
    <w:rsid w:val="00335352"/>
    <w:rsid w:val="00335889"/>
    <w:rsid w:val="003360D7"/>
    <w:rsid w:val="00336A86"/>
    <w:rsid w:val="003373F5"/>
    <w:rsid w:val="00341FEA"/>
    <w:rsid w:val="003430B8"/>
    <w:rsid w:val="00343CAD"/>
    <w:rsid w:val="00343F8F"/>
    <w:rsid w:val="00345AEE"/>
    <w:rsid w:val="00346014"/>
    <w:rsid w:val="00347816"/>
    <w:rsid w:val="00347C24"/>
    <w:rsid w:val="00347ED2"/>
    <w:rsid w:val="00350F51"/>
    <w:rsid w:val="00353304"/>
    <w:rsid w:val="00353472"/>
    <w:rsid w:val="0035436D"/>
    <w:rsid w:val="00354FF6"/>
    <w:rsid w:val="00355CCB"/>
    <w:rsid w:val="00355F8F"/>
    <w:rsid w:val="0036016A"/>
    <w:rsid w:val="00361C71"/>
    <w:rsid w:val="003628DB"/>
    <w:rsid w:val="0036317F"/>
    <w:rsid w:val="0036364B"/>
    <w:rsid w:val="00364842"/>
    <w:rsid w:val="0036512B"/>
    <w:rsid w:val="00367EF4"/>
    <w:rsid w:val="00370C77"/>
    <w:rsid w:val="003720DC"/>
    <w:rsid w:val="00372A05"/>
    <w:rsid w:val="003731AB"/>
    <w:rsid w:val="003734AA"/>
    <w:rsid w:val="003735D9"/>
    <w:rsid w:val="003743B9"/>
    <w:rsid w:val="00374794"/>
    <w:rsid w:val="00374A21"/>
    <w:rsid w:val="003820BA"/>
    <w:rsid w:val="003823A1"/>
    <w:rsid w:val="00382526"/>
    <w:rsid w:val="00382C83"/>
    <w:rsid w:val="00383D01"/>
    <w:rsid w:val="00386C6D"/>
    <w:rsid w:val="00392E0F"/>
    <w:rsid w:val="003947CB"/>
    <w:rsid w:val="003952C4"/>
    <w:rsid w:val="0039561C"/>
    <w:rsid w:val="0039658A"/>
    <w:rsid w:val="003977C6"/>
    <w:rsid w:val="003A0B29"/>
    <w:rsid w:val="003A1348"/>
    <w:rsid w:val="003A1858"/>
    <w:rsid w:val="003A510C"/>
    <w:rsid w:val="003A6E55"/>
    <w:rsid w:val="003B049D"/>
    <w:rsid w:val="003B0ACC"/>
    <w:rsid w:val="003B0D74"/>
    <w:rsid w:val="003B1EC6"/>
    <w:rsid w:val="003B2B76"/>
    <w:rsid w:val="003B3718"/>
    <w:rsid w:val="003B5925"/>
    <w:rsid w:val="003B5F85"/>
    <w:rsid w:val="003B6186"/>
    <w:rsid w:val="003B6C9F"/>
    <w:rsid w:val="003B72E0"/>
    <w:rsid w:val="003B73D5"/>
    <w:rsid w:val="003B7B3B"/>
    <w:rsid w:val="003C0D36"/>
    <w:rsid w:val="003C13B7"/>
    <w:rsid w:val="003C1449"/>
    <w:rsid w:val="003C18CA"/>
    <w:rsid w:val="003C1C67"/>
    <w:rsid w:val="003C3CF6"/>
    <w:rsid w:val="003C4326"/>
    <w:rsid w:val="003C51D6"/>
    <w:rsid w:val="003C54E1"/>
    <w:rsid w:val="003C5845"/>
    <w:rsid w:val="003C59B2"/>
    <w:rsid w:val="003C69D0"/>
    <w:rsid w:val="003C6E49"/>
    <w:rsid w:val="003D07AA"/>
    <w:rsid w:val="003D11F0"/>
    <w:rsid w:val="003D17C5"/>
    <w:rsid w:val="003D27B6"/>
    <w:rsid w:val="003D2F6D"/>
    <w:rsid w:val="003D302B"/>
    <w:rsid w:val="003D39F3"/>
    <w:rsid w:val="003D3D98"/>
    <w:rsid w:val="003D5703"/>
    <w:rsid w:val="003D62F6"/>
    <w:rsid w:val="003D7895"/>
    <w:rsid w:val="003E091B"/>
    <w:rsid w:val="003E146F"/>
    <w:rsid w:val="003E165E"/>
    <w:rsid w:val="003E2AF6"/>
    <w:rsid w:val="003E31CD"/>
    <w:rsid w:val="003E367B"/>
    <w:rsid w:val="003E48DE"/>
    <w:rsid w:val="003E4EA6"/>
    <w:rsid w:val="003E53C5"/>
    <w:rsid w:val="003E56D8"/>
    <w:rsid w:val="003E5FC8"/>
    <w:rsid w:val="003E6936"/>
    <w:rsid w:val="003E7039"/>
    <w:rsid w:val="003F0407"/>
    <w:rsid w:val="003F07E7"/>
    <w:rsid w:val="003F0A4D"/>
    <w:rsid w:val="003F1C93"/>
    <w:rsid w:val="003F3106"/>
    <w:rsid w:val="003F3114"/>
    <w:rsid w:val="003F4615"/>
    <w:rsid w:val="003F49CC"/>
    <w:rsid w:val="003F4A68"/>
    <w:rsid w:val="003F5D9B"/>
    <w:rsid w:val="003F6247"/>
    <w:rsid w:val="003F71CE"/>
    <w:rsid w:val="003F73EB"/>
    <w:rsid w:val="003F79EF"/>
    <w:rsid w:val="004004D6"/>
    <w:rsid w:val="004005E8"/>
    <w:rsid w:val="004005EF"/>
    <w:rsid w:val="0040163E"/>
    <w:rsid w:val="00401A32"/>
    <w:rsid w:val="00402BD6"/>
    <w:rsid w:val="0040319B"/>
    <w:rsid w:val="004033C1"/>
    <w:rsid w:val="00403F4D"/>
    <w:rsid w:val="00405739"/>
    <w:rsid w:val="00405BFA"/>
    <w:rsid w:val="00405C25"/>
    <w:rsid w:val="00405D60"/>
    <w:rsid w:val="00406368"/>
    <w:rsid w:val="00406822"/>
    <w:rsid w:val="004130A6"/>
    <w:rsid w:val="00413385"/>
    <w:rsid w:val="0041356D"/>
    <w:rsid w:val="00413ADB"/>
    <w:rsid w:val="00414065"/>
    <w:rsid w:val="0041502E"/>
    <w:rsid w:val="00415075"/>
    <w:rsid w:val="004150FC"/>
    <w:rsid w:val="00415FD7"/>
    <w:rsid w:val="0041600B"/>
    <w:rsid w:val="004169FB"/>
    <w:rsid w:val="0042045D"/>
    <w:rsid w:val="00420E0C"/>
    <w:rsid w:val="00422301"/>
    <w:rsid w:val="00422C8B"/>
    <w:rsid w:val="00422CD7"/>
    <w:rsid w:val="00423E1F"/>
    <w:rsid w:val="00425220"/>
    <w:rsid w:val="00426013"/>
    <w:rsid w:val="0042676A"/>
    <w:rsid w:val="00430556"/>
    <w:rsid w:val="00431374"/>
    <w:rsid w:val="0043165A"/>
    <w:rsid w:val="00431DFE"/>
    <w:rsid w:val="004320F4"/>
    <w:rsid w:val="00432541"/>
    <w:rsid w:val="00433AE8"/>
    <w:rsid w:val="004343AC"/>
    <w:rsid w:val="00434639"/>
    <w:rsid w:val="00434E4E"/>
    <w:rsid w:val="00435123"/>
    <w:rsid w:val="0043540E"/>
    <w:rsid w:val="004360EB"/>
    <w:rsid w:val="00436328"/>
    <w:rsid w:val="00436E8A"/>
    <w:rsid w:val="00437358"/>
    <w:rsid w:val="004375F6"/>
    <w:rsid w:val="004426FE"/>
    <w:rsid w:val="0044309B"/>
    <w:rsid w:val="00443955"/>
    <w:rsid w:val="0044466D"/>
    <w:rsid w:val="00445579"/>
    <w:rsid w:val="0044758F"/>
    <w:rsid w:val="004476F8"/>
    <w:rsid w:val="00447760"/>
    <w:rsid w:val="00451160"/>
    <w:rsid w:val="004515A0"/>
    <w:rsid w:val="00452EA9"/>
    <w:rsid w:val="004556F3"/>
    <w:rsid w:val="00457AA1"/>
    <w:rsid w:val="00457DB3"/>
    <w:rsid w:val="00460BA9"/>
    <w:rsid w:val="00461D30"/>
    <w:rsid w:val="00462022"/>
    <w:rsid w:val="004645F5"/>
    <w:rsid w:val="0046493C"/>
    <w:rsid w:val="00465925"/>
    <w:rsid w:val="00467331"/>
    <w:rsid w:val="004673C8"/>
    <w:rsid w:val="00470511"/>
    <w:rsid w:val="004717FE"/>
    <w:rsid w:val="004719DB"/>
    <w:rsid w:val="00473237"/>
    <w:rsid w:val="0047348F"/>
    <w:rsid w:val="00473872"/>
    <w:rsid w:val="004742BC"/>
    <w:rsid w:val="0047504C"/>
    <w:rsid w:val="0047558D"/>
    <w:rsid w:val="00475ADE"/>
    <w:rsid w:val="0047612C"/>
    <w:rsid w:val="004772A2"/>
    <w:rsid w:val="004776F1"/>
    <w:rsid w:val="00480BCC"/>
    <w:rsid w:val="00481D08"/>
    <w:rsid w:val="00482630"/>
    <w:rsid w:val="00482E82"/>
    <w:rsid w:val="004831BB"/>
    <w:rsid w:val="00484481"/>
    <w:rsid w:val="0048481F"/>
    <w:rsid w:val="00485744"/>
    <w:rsid w:val="00487FB1"/>
    <w:rsid w:val="004906D7"/>
    <w:rsid w:val="00490FC1"/>
    <w:rsid w:val="004919FC"/>
    <w:rsid w:val="0049292E"/>
    <w:rsid w:val="00492C73"/>
    <w:rsid w:val="004931C5"/>
    <w:rsid w:val="0049405D"/>
    <w:rsid w:val="004947B5"/>
    <w:rsid w:val="0049568A"/>
    <w:rsid w:val="00495A9E"/>
    <w:rsid w:val="00496096"/>
    <w:rsid w:val="004A019B"/>
    <w:rsid w:val="004A0AD4"/>
    <w:rsid w:val="004A12EB"/>
    <w:rsid w:val="004A1E44"/>
    <w:rsid w:val="004A31C4"/>
    <w:rsid w:val="004A362C"/>
    <w:rsid w:val="004A5CAF"/>
    <w:rsid w:val="004A63D2"/>
    <w:rsid w:val="004A6A6F"/>
    <w:rsid w:val="004A6DD2"/>
    <w:rsid w:val="004A78A2"/>
    <w:rsid w:val="004A7FE9"/>
    <w:rsid w:val="004B0DEA"/>
    <w:rsid w:val="004B151F"/>
    <w:rsid w:val="004B1A1C"/>
    <w:rsid w:val="004B289F"/>
    <w:rsid w:val="004B37C4"/>
    <w:rsid w:val="004B3949"/>
    <w:rsid w:val="004B56F0"/>
    <w:rsid w:val="004B5C0A"/>
    <w:rsid w:val="004B6007"/>
    <w:rsid w:val="004B6719"/>
    <w:rsid w:val="004B6A3B"/>
    <w:rsid w:val="004B7D09"/>
    <w:rsid w:val="004B7E9A"/>
    <w:rsid w:val="004C0EEB"/>
    <w:rsid w:val="004C191A"/>
    <w:rsid w:val="004C1E56"/>
    <w:rsid w:val="004C30A8"/>
    <w:rsid w:val="004C3A69"/>
    <w:rsid w:val="004C41CC"/>
    <w:rsid w:val="004C4628"/>
    <w:rsid w:val="004C5F79"/>
    <w:rsid w:val="004C6E0A"/>
    <w:rsid w:val="004C6EE3"/>
    <w:rsid w:val="004D12C0"/>
    <w:rsid w:val="004D1443"/>
    <w:rsid w:val="004D169B"/>
    <w:rsid w:val="004D46C1"/>
    <w:rsid w:val="004D5FCA"/>
    <w:rsid w:val="004D6287"/>
    <w:rsid w:val="004D6770"/>
    <w:rsid w:val="004D7B03"/>
    <w:rsid w:val="004D7B11"/>
    <w:rsid w:val="004E065A"/>
    <w:rsid w:val="004E3776"/>
    <w:rsid w:val="004E51AB"/>
    <w:rsid w:val="004E5FC7"/>
    <w:rsid w:val="004E60E3"/>
    <w:rsid w:val="004E71DB"/>
    <w:rsid w:val="004E74AD"/>
    <w:rsid w:val="004E74B2"/>
    <w:rsid w:val="004F0B9D"/>
    <w:rsid w:val="004F1A71"/>
    <w:rsid w:val="004F4B16"/>
    <w:rsid w:val="004F4F0B"/>
    <w:rsid w:val="004F59B2"/>
    <w:rsid w:val="004F5A4C"/>
    <w:rsid w:val="004F5D9D"/>
    <w:rsid w:val="004F6865"/>
    <w:rsid w:val="004F68B1"/>
    <w:rsid w:val="004F70EC"/>
    <w:rsid w:val="004F710D"/>
    <w:rsid w:val="00500160"/>
    <w:rsid w:val="005002E2"/>
    <w:rsid w:val="00500864"/>
    <w:rsid w:val="00500C27"/>
    <w:rsid w:val="00500EAF"/>
    <w:rsid w:val="0050139D"/>
    <w:rsid w:val="00501795"/>
    <w:rsid w:val="00501B3F"/>
    <w:rsid w:val="00502105"/>
    <w:rsid w:val="005021D5"/>
    <w:rsid w:val="00502CE8"/>
    <w:rsid w:val="0050380D"/>
    <w:rsid w:val="00503EF2"/>
    <w:rsid w:val="005052A2"/>
    <w:rsid w:val="00506B9A"/>
    <w:rsid w:val="00506D6A"/>
    <w:rsid w:val="0050737E"/>
    <w:rsid w:val="00507E5C"/>
    <w:rsid w:val="005137DD"/>
    <w:rsid w:val="005153C5"/>
    <w:rsid w:val="00515D55"/>
    <w:rsid w:val="00517607"/>
    <w:rsid w:val="00517835"/>
    <w:rsid w:val="00520C74"/>
    <w:rsid w:val="005211A7"/>
    <w:rsid w:val="0052181D"/>
    <w:rsid w:val="005251AA"/>
    <w:rsid w:val="00525386"/>
    <w:rsid w:val="00525E76"/>
    <w:rsid w:val="0053022D"/>
    <w:rsid w:val="00530B31"/>
    <w:rsid w:val="005316F0"/>
    <w:rsid w:val="00531DCE"/>
    <w:rsid w:val="005326B6"/>
    <w:rsid w:val="00532F6C"/>
    <w:rsid w:val="005334B2"/>
    <w:rsid w:val="00533766"/>
    <w:rsid w:val="005344D9"/>
    <w:rsid w:val="00534954"/>
    <w:rsid w:val="0053642E"/>
    <w:rsid w:val="00537060"/>
    <w:rsid w:val="005371C4"/>
    <w:rsid w:val="00537443"/>
    <w:rsid w:val="005416D7"/>
    <w:rsid w:val="00542256"/>
    <w:rsid w:val="00543648"/>
    <w:rsid w:val="00543885"/>
    <w:rsid w:val="00544917"/>
    <w:rsid w:val="00545B61"/>
    <w:rsid w:val="005476ED"/>
    <w:rsid w:val="00547EEF"/>
    <w:rsid w:val="00550BE0"/>
    <w:rsid w:val="00552390"/>
    <w:rsid w:val="00553C17"/>
    <w:rsid w:val="00553F02"/>
    <w:rsid w:val="00554A36"/>
    <w:rsid w:val="00554BA8"/>
    <w:rsid w:val="00554FBD"/>
    <w:rsid w:val="00555759"/>
    <w:rsid w:val="005558D4"/>
    <w:rsid w:val="00556259"/>
    <w:rsid w:val="005575C5"/>
    <w:rsid w:val="00560934"/>
    <w:rsid w:val="00561DCD"/>
    <w:rsid w:val="00562EC0"/>
    <w:rsid w:val="00563206"/>
    <w:rsid w:val="00563922"/>
    <w:rsid w:val="00563E31"/>
    <w:rsid w:val="00564530"/>
    <w:rsid w:val="00564C24"/>
    <w:rsid w:val="00564DCC"/>
    <w:rsid w:val="005656C2"/>
    <w:rsid w:val="00566F4B"/>
    <w:rsid w:val="00570C63"/>
    <w:rsid w:val="0057119B"/>
    <w:rsid w:val="0057395B"/>
    <w:rsid w:val="0057416E"/>
    <w:rsid w:val="0057461A"/>
    <w:rsid w:val="005747FB"/>
    <w:rsid w:val="00574C37"/>
    <w:rsid w:val="00575079"/>
    <w:rsid w:val="00575363"/>
    <w:rsid w:val="005757C4"/>
    <w:rsid w:val="00576EED"/>
    <w:rsid w:val="00577A55"/>
    <w:rsid w:val="00577FDF"/>
    <w:rsid w:val="00580A75"/>
    <w:rsid w:val="00580E4A"/>
    <w:rsid w:val="0058398C"/>
    <w:rsid w:val="005842E1"/>
    <w:rsid w:val="005863A4"/>
    <w:rsid w:val="005863B1"/>
    <w:rsid w:val="00587010"/>
    <w:rsid w:val="00590E93"/>
    <w:rsid w:val="00592638"/>
    <w:rsid w:val="00592BFC"/>
    <w:rsid w:val="00592C77"/>
    <w:rsid w:val="00594D75"/>
    <w:rsid w:val="00595CE1"/>
    <w:rsid w:val="005A04FC"/>
    <w:rsid w:val="005A1ADA"/>
    <w:rsid w:val="005A1CD4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867"/>
    <w:rsid w:val="005B1238"/>
    <w:rsid w:val="005B173D"/>
    <w:rsid w:val="005B30F3"/>
    <w:rsid w:val="005B36A7"/>
    <w:rsid w:val="005B42EB"/>
    <w:rsid w:val="005B5B16"/>
    <w:rsid w:val="005B6B2A"/>
    <w:rsid w:val="005C1DBC"/>
    <w:rsid w:val="005C20FD"/>
    <w:rsid w:val="005C285C"/>
    <w:rsid w:val="005C2864"/>
    <w:rsid w:val="005C4670"/>
    <w:rsid w:val="005C493E"/>
    <w:rsid w:val="005C4D06"/>
    <w:rsid w:val="005C4DF4"/>
    <w:rsid w:val="005C54D4"/>
    <w:rsid w:val="005C6E9D"/>
    <w:rsid w:val="005C7E19"/>
    <w:rsid w:val="005D0B74"/>
    <w:rsid w:val="005D0CF0"/>
    <w:rsid w:val="005D0E00"/>
    <w:rsid w:val="005D2202"/>
    <w:rsid w:val="005D294F"/>
    <w:rsid w:val="005D349E"/>
    <w:rsid w:val="005D3A39"/>
    <w:rsid w:val="005D3A3A"/>
    <w:rsid w:val="005D3EDB"/>
    <w:rsid w:val="005D47CB"/>
    <w:rsid w:val="005D497D"/>
    <w:rsid w:val="005D4D9F"/>
    <w:rsid w:val="005D535C"/>
    <w:rsid w:val="005D581A"/>
    <w:rsid w:val="005D7673"/>
    <w:rsid w:val="005E00C1"/>
    <w:rsid w:val="005E0AB6"/>
    <w:rsid w:val="005E0E42"/>
    <w:rsid w:val="005E348F"/>
    <w:rsid w:val="005E387F"/>
    <w:rsid w:val="005E396F"/>
    <w:rsid w:val="005E4BC9"/>
    <w:rsid w:val="005E4C1C"/>
    <w:rsid w:val="005E5E31"/>
    <w:rsid w:val="005E67DD"/>
    <w:rsid w:val="005E726E"/>
    <w:rsid w:val="005E73E1"/>
    <w:rsid w:val="005E783E"/>
    <w:rsid w:val="005F1B4A"/>
    <w:rsid w:val="005F216C"/>
    <w:rsid w:val="005F40B5"/>
    <w:rsid w:val="005F45DB"/>
    <w:rsid w:val="005F507B"/>
    <w:rsid w:val="005F5266"/>
    <w:rsid w:val="005F66A0"/>
    <w:rsid w:val="005F69EF"/>
    <w:rsid w:val="005F7B38"/>
    <w:rsid w:val="00601C41"/>
    <w:rsid w:val="00602058"/>
    <w:rsid w:val="006022F2"/>
    <w:rsid w:val="00603A63"/>
    <w:rsid w:val="00603C16"/>
    <w:rsid w:val="00604CE0"/>
    <w:rsid w:val="00604F97"/>
    <w:rsid w:val="00605A12"/>
    <w:rsid w:val="00607CBD"/>
    <w:rsid w:val="00607E5C"/>
    <w:rsid w:val="00610997"/>
    <w:rsid w:val="006115FE"/>
    <w:rsid w:val="00611A3B"/>
    <w:rsid w:val="00613A3B"/>
    <w:rsid w:val="00614C9F"/>
    <w:rsid w:val="00615182"/>
    <w:rsid w:val="00616501"/>
    <w:rsid w:val="00616C3F"/>
    <w:rsid w:val="00617839"/>
    <w:rsid w:val="006203F4"/>
    <w:rsid w:val="00620C08"/>
    <w:rsid w:val="00621C18"/>
    <w:rsid w:val="00623381"/>
    <w:rsid w:val="006237F7"/>
    <w:rsid w:val="006248BE"/>
    <w:rsid w:val="00624CA5"/>
    <w:rsid w:val="00630486"/>
    <w:rsid w:val="006309B8"/>
    <w:rsid w:val="00631085"/>
    <w:rsid w:val="0063124C"/>
    <w:rsid w:val="00632EF5"/>
    <w:rsid w:val="006335FB"/>
    <w:rsid w:val="006337C9"/>
    <w:rsid w:val="00634E94"/>
    <w:rsid w:val="00634F64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4719"/>
    <w:rsid w:val="00645B96"/>
    <w:rsid w:val="00645E6B"/>
    <w:rsid w:val="00646042"/>
    <w:rsid w:val="006469AF"/>
    <w:rsid w:val="00646F34"/>
    <w:rsid w:val="0064735B"/>
    <w:rsid w:val="00647DA6"/>
    <w:rsid w:val="0065028B"/>
    <w:rsid w:val="006513EB"/>
    <w:rsid w:val="00653207"/>
    <w:rsid w:val="00653A3C"/>
    <w:rsid w:val="00653EA3"/>
    <w:rsid w:val="00654F3D"/>
    <w:rsid w:val="00655FE1"/>
    <w:rsid w:val="0065655C"/>
    <w:rsid w:val="006568E2"/>
    <w:rsid w:val="00661356"/>
    <w:rsid w:val="00661CCE"/>
    <w:rsid w:val="00663382"/>
    <w:rsid w:val="00664122"/>
    <w:rsid w:val="00664C23"/>
    <w:rsid w:val="00664EDE"/>
    <w:rsid w:val="0066542A"/>
    <w:rsid w:val="00665DC8"/>
    <w:rsid w:val="00666424"/>
    <w:rsid w:val="00666B87"/>
    <w:rsid w:val="00667067"/>
    <w:rsid w:val="0066714E"/>
    <w:rsid w:val="006702C9"/>
    <w:rsid w:val="00670C8A"/>
    <w:rsid w:val="00671387"/>
    <w:rsid w:val="00671647"/>
    <w:rsid w:val="00671808"/>
    <w:rsid w:val="006735D4"/>
    <w:rsid w:val="00673DE8"/>
    <w:rsid w:val="00674FDF"/>
    <w:rsid w:val="006768AE"/>
    <w:rsid w:val="00682255"/>
    <w:rsid w:val="00683DAF"/>
    <w:rsid w:val="006843BB"/>
    <w:rsid w:val="00684DDA"/>
    <w:rsid w:val="00684DEC"/>
    <w:rsid w:val="00684FDD"/>
    <w:rsid w:val="006868A3"/>
    <w:rsid w:val="00686CA6"/>
    <w:rsid w:val="00687C3B"/>
    <w:rsid w:val="006915B5"/>
    <w:rsid w:val="0069324B"/>
    <w:rsid w:val="00693F5B"/>
    <w:rsid w:val="00693F7C"/>
    <w:rsid w:val="00694BB8"/>
    <w:rsid w:val="00695337"/>
    <w:rsid w:val="006966D5"/>
    <w:rsid w:val="00697955"/>
    <w:rsid w:val="00697BF0"/>
    <w:rsid w:val="00697F2A"/>
    <w:rsid w:val="006A01AB"/>
    <w:rsid w:val="006A038B"/>
    <w:rsid w:val="006A1D97"/>
    <w:rsid w:val="006A2369"/>
    <w:rsid w:val="006A38B2"/>
    <w:rsid w:val="006A3FC5"/>
    <w:rsid w:val="006A4B23"/>
    <w:rsid w:val="006A51A0"/>
    <w:rsid w:val="006A5836"/>
    <w:rsid w:val="006A7B5D"/>
    <w:rsid w:val="006B018A"/>
    <w:rsid w:val="006B0E1E"/>
    <w:rsid w:val="006B2564"/>
    <w:rsid w:val="006B4D07"/>
    <w:rsid w:val="006B53BB"/>
    <w:rsid w:val="006B54BA"/>
    <w:rsid w:val="006B5BF9"/>
    <w:rsid w:val="006B78A4"/>
    <w:rsid w:val="006C1002"/>
    <w:rsid w:val="006C1389"/>
    <w:rsid w:val="006C18FE"/>
    <w:rsid w:val="006C1983"/>
    <w:rsid w:val="006C1BC1"/>
    <w:rsid w:val="006C37DB"/>
    <w:rsid w:val="006C46E0"/>
    <w:rsid w:val="006C4D3E"/>
    <w:rsid w:val="006C5529"/>
    <w:rsid w:val="006C615F"/>
    <w:rsid w:val="006C6ADD"/>
    <w:rsid w:val="006C72EB"/>
    <w:rsid w:val="006C7F46"/>
    <w:rsid w:val="006D0B36"/>
    <w:rsid w:val="006D0BAA"/>
    <w:rsid w:val="006D0DC2"/>
    <w:rsid w:val="006D0E58"/>
    <w:rsid w:val="006D1000"/>
    <w:rsid w:val="006D37E2"/>
    <w:rsid w:val="006D3D26"/>
    <w:rsid w:val="006D3DB2"/>
    <w:rsid w:val="006D4146"/>
    <w:rsid w:val="006D43E1"/>
    <w:rsid w:val="006D50C1"/>
    <w:rsid w:val="006D6CC0"/>
    <w:rsid w:val="006D6D10"/>
    <w:rsid w:val="006D7072"/>
    <w:rsid w:val="006D7AB6"/>
    <w:rsid w:val="006E145A"/>
    <w:rsid w:val="006E15E3"/>
    <w:rsid w:val="006E2387"/>
    <w:rsid w:val="006E24AD"/>
    <w:rsid w:val="006E26A0"/>
    <w:rsid w:val="006E34F6"/>
    <w:rsid w:val="006E3D24"/>
    <w:rsid w:val="006E510D"/>
    <w:rsid w:val="006E5200"/>
    <w:rsid w:val="006E672C"/>
    <w:rsid w:val="006E7BC3"/>
    <w:rsid w:val="006E7BFD"/>
    <w:rsid w:val="006E7E62"/>
    <w:rsid w:val="006F0571"/>
    <w:rsid w:val="006F182E"/>
    <w:rsid w:val="006F3AE3"/>
    <w:rsid w:val="006F5B00"/>
    <w:rsid w:val="006F7D59"/>
    <w:rsid w:val="00700F57"/>
    <w:rsid w:val="00702E28"/>
    <w:rsid w:val="00703EFC"/>
    <w:rsid w:val="0070415B"/>
    <w:rsid w:val="007043A6"/>
    <w:rsid w:val="0070444C"/>
    <w:rsid w:val="00705217"/>
    <w:rsid w:val="007053D4"/>
    <w:rsid w:val="0070564C"/>
    <w:rsid w:val="0070567E"/>
    <w:rsid w:val="00706146"/>
    <w:rsid w:val="00710B96"/>
    <w:rsid w:val="007122A8"/>
    <w:rsid w:val="00713508"/>
    <w:rsid w:val="00713608"/>
    <w:rsid w:val="007145DD"/>
    <w:rsid w:val="00716027"/>
    <w:rsid w:val="007162FA"/>
    <w:rsid w:val="00716D5B"/>
    <w:rsid w:val="00717C33"/>
    <w:rsid w:val="007211C8"/>
    <w:rsid w:val="0072272B"/>
    <w:rsid w:val="007227F3"/>
    <w:rsid w:val="00724780"/>
    <w:rsid w:val="00724D08"/>
    <w:rsid w:val="00724DC6"/>
    <w:rsid w:val="007257D3"/>
    <w:rsid w:val="00725D8B"/>
    <w:rsid w:val="00726CB5"/>
    <w:rsid w:val="00727264"/>
    <w:rsid w:val="0073167F"/>
    <w:rsid w:val="00731C63"/>
    <w:rsid w:val="00732447"/>
    <w:rsid w:val="00732AF2"/>
    <w:rsid w:val="00733634"/>
    <w:rsid w:val="00734D98"/>
    <w:rsid w:val="00735795"/>
    <w:rsid w:val="00736449"/>
    <w:rsid w:val="00740907"/>
    <w:rsid w:val="00740A76"/>
    <w:rsid w:val="0074104B"/>
    <w:rsid w:val="00741BBA"/>
    <w:rsid w:val="00741C21"/>
    <w:rsid w:val="007424EA"/>
    <w:rsid w:val="00742623"/>
    <w:rsid w:val="007454AD"/>
    <w:rsid w:val="0074579E"/>
    <w:rsid w:val="00746768"/>
    <w:rsid w:val="00750B82"/>
    <w:rsid w:val="007511D9"/>
    <w:rsid w:val="0075230C"/>
    <w:rsid w:val="00753CD4"/>
    <w:rsid w:val="00754702"/>
    <w:rsid w:val="0075478E"/>
    <w:rsid w:val="0075509A"/>
    <w:rsid w:val="00755E0C"/>
    <w:rsid w:val="00755E97"/>
    <w:rsid w:val="00756A0B"/>
    <w:rsid w:val="00756B79"/>
    <w:rsid w:val="00756D7C"/>
    <w:rsid w:val="00756F61"/>
    <w:rsid w:val="00757359"/>
    <w:rsid w:val="00757B19"/>
    <w:rsid w:val="0076097C"/>
    <w:rsid w:val="00763458"/>
    <w:rsid w:val="007646E7"/>
    <w:rsid w:val="00766856"/>
    <w:rsid w:val="00766DEB"/>
    <w:rsid w:val="00767405"/>
    <w:rsid w:val="00771D2A"/>
    <w:rsid w:val="007722FF"/>
    <w:rsid w:val="007731E5"/>
    <w:rsid w:val="007734E9"/>
    <w:rsid w:val="00773A1B"/>
    <w:rsid w:val="0077430C"/>
    <w:rsid w:val="00774D6E"/>
    <w:rsid w:val="00776353"/>
    <w:rsid w:val="007763E4"/>
    <w:rsid w:val="0077732B"/>
    <w:rsid w:val="0077791D"/>
    <w:rsid w:val="007801FC"/>
    <w:rsid w:val="00780C12"/>
    <w:rsid w:val="007811A2"/>
    <w:rsid w:val="007815E1"/>
    <w:rsid w:val="00782DCF"/>
    <w:rsid w:val="00783B2F"/>
    <w:rsid w:val="007840F1"/>
    <w:rsid w:val="007847E1"/>
    <w:rsid w:val="00784EEA"/>
    <w:rsid w:val="0078520D"/>
    <w:rsid w:val="007856ED"/>
    <w:rsid w:val="007919AE"/>
    <w:rsid w:val="00792DC4"/>
    <w:rsid w:val="00792E5A"/>
    <w:rsid w:val="00793775"/>
    <w:rsid w:val="007944D6"/>
    <w:rsid w:val="0079485F"/>
    <w:rsid w:val="00794FFA"/>
    <w:rsid w:val="007958A7"/>
    <w:rsid w:val="00796077"/>
    <w:rsid w:val="007974D7"/>
    <w:rsid w:val="0079771F"/>
    <w:rsid w:val="007979FC"/>
    <w:rsid w:val="007A009E"/>
    <w:rsid w:val="007A03C6"/>
    <w:rsid w:val="007A07DE"/>
    <w:rsid w:val="007A095F"/>
    <w:rsid w:val="007A18FD"/>
    <w:rsid w:val="007A1E39"/>
    <w:rsid w:val="007A21EA"/>
    <w:rsid w:val="007A336D"/>
    <w:rsid w:val="007A33FE"/>
    <w:rsid w:val="007A3900"/>
    <w:rsid w:val="007A405C"/>
    <w:rsid w:val="007A4626"/>
    <w:rsid w:val="007A59F1"/>
    <w:rsid w:val="007A5FD1"/>
    <w:rsid w:val="007A60CD"/>
    <w:rsid w:val="007A62ED"/>
    <w:rsid w:val="007A7222"/>
    <w:rsid w:val="007B075C"/>
    <w:rsid w:val="007B0920"/>
    <w:rsid w:val="007B4B22"/>
    <w:rsid w:val="007B5E02"/>
    <w:rsid w:val="007B654B"/>
    <w:rsid w:val="007B656E"/>
    <w:rsid w:val="007B7637"/>
    <w:rsid w:val="007C055F"/>
    <w:rsid w:val="007C0915"/>
    <w:rsid w:val="007C1C13"/>
    <w:rsid w:val="007C1DD6"/>
    <w:rsid w:val="007C225E"/>
    <w:rsid w:val="007C2E24"/>
    <w:rsid w:val="007C35FD"/>
    <w:rsid w:val="007C3DE5"/>
    <w:rsid w:val="007C541E"/>
    <w:rsid w:val="007C6E1E"/>
    <w:rsid w:val="007C78C4"/>
    <w:rsid w:val="007C79EE"/>
    <w:rsid w:val="007C7A97"/>
    <w:rsid w:val="007D1C11"/>
    <w:rsid w:val="007D310E"/>
    <w:rsid w:val="007D3353"/>
    <w:rsid w:val="007D4920"/>
    <w:rsid w:val="007D579D"/>
    <w:rsid w:val="007D5C34"/>
    <w:rsid w:val="007D5E9F"/>
    <w:rsid w:val="007D6AD9"/>
    <w:rsid w:val="007D765E"/>
    <w:rsid w:val="007D7EC9"/>
    <w:rsid w:val="007E054C"/>
    <w:rsid w:val="007E0D1C"/>
    <w:rsid w:val="007E1184"/>
    <w:rsid w:val="007E195E"/>
    <w:rsid w:val="007E1CC3"/>
    <w:rsid w:val="007E2F33"/>
    <w:rsid w:val="007E378E"/>
    <w:rsid w:val="007E3965"/>
    <w:rsid w:val="007E42A0"/>
    <w:rsid w:val="007E4986"/>
    <w:rsid w:val="007E49AF"/>
    <w:rsid w:val="007E542A"/>
    <w:rsid w:val="007E58B4"/>
    <w:rsid w:val="007E5FEB"/>
    <w:rsid w:val="007E6021"/>
    <w:rsid w:val="007E6383"/>
    <w:rsid w:val="007E71F4"/>
    <w:rsid w:val="007E7A82"/>
    <w:rsid w:val="007F0942"/>
    <w:rsid w:val="007F0F67"/>
    <w:rsid w:val="007F24BF"/>
    <w:rsid w:val="007F2AAD"/>
    <w:rsid w:val="007F4F2F"/>
    <w:rsid w:val="007F63F2"/>
    <w:rsid w:val="007F6FE3"/>
    <w:rsid w:val="00800357"/>
    <w:rsid w:val="00802612"/>
    <w:rsid w:val="008030F9"/>
    <w:rsid w:val="008035E6"/>
    <w:rsid w:val="00805412"/>
    <w:rsid w:val="00805618"/>
    <w:rsid w:val="00807432"/>
    <w:rsid w:val="00810BC5"/>
    <w:rsid w:val="00810D66"/>
    <w:rsid w:val="0081249B"/>
    <w:rsid w:val="00813347"/>
    <w:rsid w:val="00813489"/>
    <w:rsid w:val="00813727"/>
    <w:rsid w:val="00814124"/>
    <w:rsid w:val="0081418F"/>
    <w:rsid w:val="008141ED"/>
    <w:rsid w:val="00814700"/>
    <w:rsid w:val="008169AB"/>
    <w:rsid w:val="00820F85"/>
    <w:rsid w:val="00820F86"/>
    <w:rsid w:val="00821214"/>
    <w:rsid w:val="00821643"/>
    <w:rsid w:val="008229D4"/>
    <w:rsid w:val="008230E8"/>
    <w:rsid w:val="0082319C"/>
    <w:rsid w:val="008232CA"/>
    <w:rsid w:val="00823ADA"/>
    <w:rsid w:val="00824E01"/>
    <w:rsid w:val="00825C2F"/>
    <w:rsid w:val="00826338"/>
    <w:rsid w:val="00826965"/>
    <w:rsid w:val="00827260"/>
    <w:rsid w:val="00827F07"/>
    <w:rsid w:val="00830765"/>
    <w:rsid w:val="00830AA3"/>
    <w:rsid w:val="00831416"/>
    <w:rsid w:val="00831A61"/>
    <w:rsid w:val="00832C30"/>
    <w:rsid w:val="00833D8C"/>
    <w:rsid w:val="008351E1"/>
    <w:rsid w:val="008362ED"/>
    <w:rsid w:val="00836903"/>
    <w:rsid w:val="00836E39"/>
    <w:rsid w:val="00836F2A"/>
    <w:rsid w:val="00837798"/>
    <w:rsid w:val="00837C67"/>
    <w:rsid w:val="00840E89"/>
    <w:rsid w:val="00841A78"/>
    <w:rsid w:val="00842DFB"/>
    <w:rsid w:val="00843F38"/>
    <w:rsid w:val="008449F7"/>
    <w:rsid w:val="00844CDA"/>
    <w:rsid w:val="00844FFF"/>
    <w:rsid w:val="008453A4"/>
    <w:rsid w:val="00845DCD"/>
    <w:rsid w:val="00846603"/>
    <w:rsid w:val="0084665B"/>
    <w:rsid w:val="008474CD"/>
    <w:rsid w:val="00850AA7"/>
    <w:rsid w:val="0085234F"/>
    <w:rsid w:val="00853282"/>
    <w:rsid w:val="0085410F"/>
    <w:rsid w:val="00854B9B"/>
    <w:rsid w:val="00855568"/>
    <w:rsid w:val="0085583B"/>
    <w:rsid w:val="00855D5A"/>
    <w:rsid w:val="00855FFD"/>
    <w:rsid w:val="00856101"/>
    <w:rsid w:val="0085743F"/>
    <w:rsid w:val="008576A9"/>
    <w:rsid w:val="00857CC3"/>
    <w:rsid w:val="008616E7"/>
    <w:rsid w:val="008624CE"/>
    <w:rsid w:val="0086332B"/>
    <w:rsid w:val="0086620F"/>
    <w:rsid w:val="00866AF3"/>
    <w:rsid w:val="00866C82"/>
    <w:rsid w:val="008672E6"/>
    <w:rsid w:val="008677E5"/>
    <w:rsid w:val="00867C57"/>
    <w:rsid w:val="00867FF4"/>
    <w:rsid w:val="00870EA9"/>
    <w:rsid w:val="00872D5F"/>
    <w:rsid w:val="00874311"/>
    <w:rsid w:val="00874EC5"/>
    <w:rsid w:val="00875C31"/>
    <w:rsid w:val="00876E75"/>
    <w:rsid w:val="008775EA"/>
    <w:rsid w:val="008775F8"/>
    <w:rsid w:val="0087780F"/>
    <w:rsid w:val="008811E5"/>
    <w:rsid w:val="0088215D"/>
    <w:rsid w:val="008826D8"/>
    <w:rsid w:val="00882832"/>
    <w:rsid w:val="00882C59"/>
    <w:rsid w:val="008832C1"/>
    <w:rsid w:val="008839A7"/>
    <w:rsid w:val="00885016"/>
    <w:rsid w:val="00886225"/>
    <w:rsid w:val="00886823"/>
    <w:rsid w:val="00886BC0"/>
    <w:rsid w:val="008902CD"/>
    <w:rsid w:val="0089075D"/>
    <w:rsid w:val="008913B9"/>
    <w:rsid w:val="008938BD"/>
    <w:rsid w:val="008938D5"/>
    <w:rsid w:val="00894718"/>
    <w:rsid w:val="0089642A"/>
    <w:rsid w:val="008964DA"/>
    <w:rsid w:val="0089703E"/>
    <w:rsid w:val="008A0529"/>
    <w:rsid w:val="008A05B4"/>
    <w:rsid w:val="008A16AF"/>
    <w:rsid w:val="008A1A26"/>
    <w:rsid w:val="008A1D16"/>
    <w:rsid w:val="008A400D"/>
    <w:rsid w:val="008A48EB"/>
    <w:rsid w:val="008A600D"/>
    <w:rsid w:val="008A7119"/>
    <w:rsid w:val="008B00A1"/>
    <w:rsid w:val="008B07D3"/>
    <w:rsid w:val="008B131C"/>
    <w:rsid w:val="008B1E0A"/>
    <w:rsid w:val="008B1E53"/>
    <w:rsid w:val="008B22B6"/>
    <w:rsid w:val="008B3843"/>
    <w:rsid w:val="008B42C0"/>
    <w:rsid w:val="008B5CE8"/>
    <w:rsid w:val="008B600B"/>
    <w:rsid w:val="008B680F"/>
    <w:rsid w:val="008B6B63"/>
    <w:rsid w:val="008B7B94"/>
    <w:rsid w:val="008C151D"/>
    <w:rsid w:val="008C1980"/>
    <w:rsid w:val="008C1A06"/>
    <w:rsid w:val="008C390E"/>
    <w:rsid w:val="008C3EC2"/>
    <w:rsid w:val="008C4A9E"/>
    <w:rsid w:val="008C4C74"/>
    <w:rsid w:val="008C4FFF"/>
    <w:rsid w:val="008C6D79"/>
    <w:rsid w:val="008C71C7"/>
    <w:rsid w:val="008C7941"/>
    <w:rsid w:val="008D08A7"/>
    <w:rsid w:val="008D0AE2"/>
    <w:rsid w:val="008D1843"/>
    <w:rsid w:val="008D311A"/>
    <w:rsid w:val="008D4857"/>
    <w:rsid w:val="008D4D27"/>
    <w:rsid w:val="008D4F19"/>
    <w:rsid w:val="008D7021"/>
    <w:rsid w:val="008E09E2"/>
    <w:rsid w:val="008E1610"/>
    <w:rsid w:val="008E1E4F"/>
    <w:rsid w:val="008E2859"/>
    <w:rsid w:val="008E35C2"/>
    <w:rsid w:val="008E4BC2"/>
    <w:rsid w:val="008E74FA"/>
    <w:rsid w:val="008E7876"/>
    <w:rsid w:val="008E7F8D"/>
    <w:rsid w:val="008E7FB7"/>
    <w:rsid w:val="008F0565"/>
    <w:rsid w:val="008F132E"/>
    <w:rsid w:val="008F13C2"/>
    <w:rsid w:val="008F1C3C"/>
    <w:rsid w:val="008F2EF0"/>
    <w:rsid w:val="008F314F"/>
    <w:rsid w:val="008F3232"/>
    <w:rsid w:val="008F3F61"/>
    <w:rsid w:val="008F46DA"/>
    <w:rsid w:val="008F49A9"/>
    <w:rsid w:val="008F4F40"/>
    <w:rsid w:val="008F63CE"/>
    <w:rsid w:val="008F6657"/>
    <w:rsid w:val="008F7B0E"/>
    <w:rsid w:val="00900411"/>
    <w:rsid w:val="00901136"/>
    <w:rsid w:val="00901D26"/>
    <w:rsid w:val="00904EBC"/>
    <w:rsid w:val="00905482"/>
    <w:rsid w:val="009065F0"/>
    <w:rsid w:val="00906D8D"/>
    <w:rsid w:val="0090713F"/>
    <w:rsid w:val="00907499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20F73"/>
    <w:rsid w:val="00920F9E"/>
    <w:rsid w:val="00921058"/>
    <w:rsid w:val="00921199"/>
    <w:rsid w:val="00923594"/>
    <w:rsid w:val="0092386C"/>
    <w:rsid w:val="0092388F"/>
    <w:rsid w:val="0092416D"/>
    <w:rsid w:val="00924283"/>
    <w:rsid w:val="0092470C"/>
    <w:rsid w:val="00924863"/>
    <w:rsid w:val="00924F1E"/>
    <w:rsid w:val="00924F61"/>
    <w:rsid w:val="009251F4"/>
    <w:rsid w:val="00925627"/>
    <w:rsid w:val="009256FC"/>
    <w:rsid w:val="00925A6D"/>
    <w:rsid w:val="009266FB"/>
    <w:rsid w:val="00932CE3"/>
    <w:rsid w:val="00932E54"/>
    <w:rsid w:val="00932FF6"/>
    <w:rsid w:val="00933552"/>
    <w:rsid w:val="009368E2"/>
    <w:rsid w:val="00936BC5"/>
    <w:rsid w:val="00940E00"/>
    <w:rsid w:val="00941670"/>
    <w:rsid w:val="009417B3"/>
    <w:rsid w:val="00942205"/>
    <w:rsid w:val="009428F3"/>
    <w:rsid w:val="0094410E"/>
    <w:rsid w:val="009451A4"/>
    <w:rsid w:val="00947B6C"/>
    <w:rsid w:val="00950C83"/>
    <w:rsid w:val="00950F37"/>
    <w:rsid w:val="00951AB8"/>
    <w:rsid w:val="009524D4"/>
    <w:rsid w:val="0095253D"/>
    <w:rsid w:val="00952892"/>
    <w:rsid w:val="009532F9"/>
    <w:rsid w:val="0095391A"/>
    <w:rsid w:val="009545D3"/>
    <w:rsid w:val="0095569D"/>
    <w:rsid w:val="00956621"/>
    <w:rsid w:val="009573F5"/>
    <w:rsid w:val="009575C9"/>
    <w:rsid w:val="00957AF1"/>
    <w:rsid w:val="0096044E"/>
    <w:rsid w:val="0096076D"/>
    <w:rsid w:val="009607F8"/>
    <w:rsid w:val="00960DA8"/>
    <w:rsid w:val="00960E6D"/>
    <w:rsid w:val="009613F6"/>
    <w:rsid w:val="009621AF"/>
    <w:rsid w:val="009623FF"/>
    <w:rsid w:val="009629AE"/>
    <w:rsid w:val="009629DB"/>
    <w:rsid w:val="00964A83"/>
    <w:rsid w:val="00964B22"/>
    <w:rsid w:val="0096539E"/>
    <w:rsid w:val="009667A2"/>
    <w:rsid w:val="00966F68"/>
    <w:rsid w:val="009676F5"/>
    <w:rsid w:val="00970F1D"/>
    <w:rsid w:val="009713DE"/>
    <w:rsid w:val="00971F18"/>
    <w:rsid w:val="00972FC0"/>
    <w:rsid w:val="00973FDB"/>
    <w:rsid w:val="00974CC4"/>
    <w:rsid w:val="0097555C"/>
    <w:rsid w:val="009756B7"/>
    <w:rsid w:val="00975D71"/>
    <w:rsid w:val="00976A55"/>
    <w:rsid w:val="009778E9"/>
    <w:rsid w:val="00980252"/>
    <w:rsid w:val="00980542"/>
    <w:rsid w:val="00980CD5"/>
    <w:rsid w:val="009816BD"/>
    <w:rsid w:val="00981E11"/>
    <w:rsid w:val="00982D21"/>
    <w:rsid w:val="00984915"/>
    <w:rsid w:val="00986F45"/>
    <w:rsid w:val="009872B2"/>
    <w:rsid w:val="00987383"/>
    <w:rsid w:val="00990A43"/>
    <w:rsid w:val="00990CD5"/>
    <w:rsid w:val="009919E7"/>
    <w:rsid w:val="0099219C"/>
    <w:rsid w:val="00992345"/>
    <w:rsid w:val="009927E4"/>
    <w:rsid w:val="00992989"/>
    <w:rsid w:val="009929C8"/>
    <w:rsid w:val="00992AD9"/>
    <w:rsid w:val="00993241"/>
    <w:rsid w:val="0099724F"/>
    <w:rsid w:val="00997281"/>
    <w:rsid w:val="00997ACE"/>
    <w:rsid w:val="009A08B6"/>
    <w:rsid w:val="009A1E68"/>
    <w:rsid w:val="009A3692"/>
    <w:rsid w:val="009A499C"/>
    <w:rsid w:val="009A5127"/>
    <w:rsid w:val="009A5547"/>
    <w:rsid w:val="009A5A4C"/>
    <w:rsid w:val="009A688D"/>
    <w:rsid w:val="009A695F"/>
    <w:rsid w:val="009A7CAB"/>
    <w:rsid w:val="009B020F"/>
    <w:rsid w:val="009B092A"/>
    <w:rsid w:val="009B58BE"/>
    <w:rsid w:val="009B5C2C"/>
    <w:rsid w:val="009C053F"/>
    <w:rsid w:val="009C171C"/>
    <w:rsid w:val="009C1A09"/>
    <w:rsid w:val="009C1FB9"/>
    <w:rsid w:val="009C2965"/>
    <w:rsid w:val="009C3AB1"/>
    <w:rsid w:val="009C4C42"/>
    <w:rsid w:val="009C501D"/>
    <w:rsid w:val="009C6CBA"/>
    <w:rsid w:val="009C6E7A"/>
    <w:rsid w:val="009C7A13"/>
    <w:rsid w:val="009C7F03"/>
    <w:rsid w:val="009D2063"/>
    <w:rsid w:val="009D255F"/>
    <w:rsid w:val="009D2FA2"/>
    <w:rsid w:val="009D3F28"/>
    <w:rsid w:val="009D653B"/>
    <w:rsid w:val="009E048A"/>
    <w:rsid w:val="009E19A5"/>
    <w:rsid w:val="009E31B8"/>
    <w:rsid w:val="009E4956"/>
    <w:rsid w:val="009E4AAC"/>
    <w:rsid w:val="009E526E"/>
    <w:rsid w:val="009E5282"/>
    <w:rsid w:val="009E61B6"/>
    <w:rsid w:val="009E705A"/>
    <w:rsid w:val="009E70DC"/>
    <w:rsid w:val="009E71DD"/>
    <w:rsid w:val="009E7F5C"/>
    <w:rsid w:val="009F0115"/>
    <w:rsid w:val="009F17C4"/>
    <w:rsid w:val="009F1836"/>
    <w:rsid w:val="009F28F9"/>
    <w:rsid w:val="009F2CA1"/>
    <w:rsid w:val="009F4883"/>
    <w:rsid w:val="009F48D9"/>
    <w:rsid w:val="009F4BDE"/>
    <w:rsid w:val="009F5173"/>
    <w:rsid w:val="009F5563"/>
    <w:rsid w:val="009F5924"/>
    <w:rsid w:val="00A0032E"/>
    <w:rsid w:val="00A02588"/>
    <w:rsid w:val="00A02BB4"/>
    <w:rsid w:val="00A03186"/>
    <w:rsid w:val="00A054DF"/>
    <w:rsid w:val="00A05A10"/>
    <w:rsid w:val="00A06AB9"/>
    <w:rsid w:val="00A077B0"/>
    <w:rsid w:val="00A1037C"/>
    <w:rsid w:val="00A114A3"/>
    <w:rsid w:val="00A114E6"/>
    <w:rsid w:val="00A13A5D"/>
    <w:rsid w:val="00A14B4E"/>
    <w:rsid w:val="00A15217"/>
    <w:rsid w:val="00A1651B"/>
    <w:rsid w:val="00A16A06"/>
    <w:rsid w:val="00A17AAD"/>
    <w:rsid w:val="00A17EB4"/>
    <w:rsid w:val="00A21145"/>
    <w:rsid w:val="00A235D0"/>
    <w:rsid w:val="00A23D17"/>
    <w:rsid w:val="00A250FE"/>
    <w:rsid w:val="00A2572B"/>
    <w:rsid w:val="00A260FA"/>
    <w:rsid w:val="00A26301"/>
    <w:rsid w:val="00A26DAB"/>
    <w:rsid w:val="00A2750D"/>
    <w:rsid w:val="00A278AC"/>
    <w:rsid w:val="00A27C46"/>
    <w:rsid w:val="00A30096"/>
    <w:rsid w:val="00A3029A"/>
    <w:rsid w:val="00A30794"/>
    <w:rsid w:val="00A30AE2"/>
    <w:rsid w:val="00A31634"/>
    <w:rsid w:val="00A319A8"/>
    <w:rsid w:val="00A31C64"/>
    <w:rsid w:val="00A32233"/>
    <w:rsid w:val="00A324D9"/>
    <w:rsid w:val="00A32704"/>
    <w:rsid w:val="00A32BEE"/>
    <w:rsid w:val="00A334DE"/>
    <w:rsid w:val="00A337A7"/>
    <w:rsid w:val="00A348F6"/>
    <w:rsid w:val="00A34AFC"/>
    <w:rsid w:val="00A34F87"/>
    <w:rsid w:val="00A3572E"/>
    <w:rsid w:val="00A3632C"/>
    <w:rsid w:val="00A369A1"/>
    <w:rsid w:val="00A37AD6"/>
    <w:rsid w:val="00A40658"/>
    <w:rsid w:val="00A408D1"/>
    <w:rsid w:val="00A410FA"/>
    <w:rsid w:val="00A42580"/>
    <w:rsid w:val="00A43002"/>
    <w:rsid w:val="00A433A3"/>
    <w:rsid w:val="00A439B4"/>
    <w:rsid w:val="00A44081"/>
    <w:rsid w:val="00A4436A"/>
    <w:rsid w:val="00A44BC8"/>
    <w:rsid w:val="00A4551E"/>
    <w:rsid w:val="00A45B45"/>
    <w:rsid w:val="00A46E7C"/>
    <w:rsid w:val="00A505C5"/>
    <w:rsid w:val="00A542A3"/>
    <w:rsid w:val="00A54377"/>
    <w:rsid w:val="00A5449D"/>
    <w:rsid w:val="00A6185B"/>
    <w:rsid w:val="00A61CB6"/>
    <w:rsid w:val="00A627B6"/>
    <w:rsid w:val="00A65618"/>
    <w:rsid w:val="00A65B6E"/>
    <w:rsid w:val="00A65F9C"/>
    <w:rsid w:val="00A6651D"/>
    <w:rsid w:val="00A678C1"/>
    <w:rsid w:val="00A67F18"/>
    <w:rsid w:val="00A70297"/>
    <w:rsid w:val="00A704A9"/>
    <w:rsid w:val="00A70557"/>
    <w:rsid w:val="00A706D1"/>
    <w:rsid w:val="00A7098B"/>
    <w:rsid w:val="00A717F0"/>
    <w:rsid w:val="00A71E8F"/>
    <w:rsid w:val="00A723E2"/>
    <w:rsid w:val="00A72A3E"/>
    <w:rsid w:val="00A72FFA"/>
    <w:rsid w:val="00A739B7"/>
    <w:rsid w:val="00A73AFF"/>
    <w:rsid w:val="00A74508"/>
    <w:rsid w:val="00A76061"/>
    <w:rsid w:val="00A7661C"/>
    <w:rsid w:val="00A76A4F"/>
    <w:rsid w:val="00A76F4F"/>
    <w:rsid w:val="00A774BC"/>
    <w:rsid w:val="00A778FF"/>
    <w:rsid w:val="00A77B32"/>
    <w:rsid w:val="00A81A6E"/>
    <w:rsid w:val="00A823AE"/>
    <w:rsid w:val="00A826FD"/>
    <w:rsid w:val="00A84E18"/>
    <w:rsid w:val="00A8529D"/>
    <w:rsid w:val="00A8533D"/>
    <w:rsid w:val="00A868FD"/>
    <w:rsid w:val="00A87FD4"/>
    <w:rsid w:val="00A90014"/>
    <w:rsid w:val="00A91AF4"/>
    <w:rsid w:val="00A92CDF"/>
    <w:rsid w:val="00A93DF9"/>
    <w:rsid w:val="00A93F46"/>
    <w:rsid w:val="00A94E5F"/>
    <w:rsid w:val="00A952F3"/>
    <w:rsid w:val="00A95807"/>
    <w:rsid w:val="00A96395"/>
    <w:rsid w:val="00A96693"/>
    <w:rsid w:val="00AA0FC6"/>
    <w:rsid w:val="00AA12E2"/>
    <w:rsid w:val="00AA18A2"/>
    <w:rsid w:val="00AA1B7B"/>
    <w:rsid w:val="00AA1FDF"/>
    <w:rsid w:val="00AA2245"/>
    <w:rsid w:val="00AA3A8A"/>
    <w:rsid w:val="00AA3F32"/>
    <w:rsid w:val="00AA5B6A"/>
    <w:rsid w:val="00AA6899"/>
    <w:rsid w:val="00AA7B2E"/>
    <w:rsid w:val="00AB1A0D"/>
    <w:rsid w:val="00AB30EB"/>
    <w:rsid w:val="00AB3C6A"/>
    <w:rsid w:val="00AB48FE"/>
    <w:rsid w:val="00AB4A32"/>
    <w:rsid w:val="00AB5CF3"/>
    <w:rsid w:val="00AB7D44"/>
    <w:rsid w:val="00AC0044"/>
    <w:rsid w:val="00AC07EB"/>
    <w:rsid w:val="00AC0945"/>
    <w:rsid w:val="00AC0B82"/>
    <w:rsid w:val="00AC296A"/>
    <w:rsid w:val="00AC347C"/>
    <w:rsid w:val="00AC4B90"/>
    <w:rsid w:val="00AC651B"/>
    <w:rsid w:val="00AC6592"/>
    <w:rsid w:val="00AC6B61"/>
    <w:rsid w:val="00AC6BE2"/>
    <w:rsid w:val="00AC7214"/>
    <w:rsid w:val="00AD02AE"/>
    <w:rsid w:val="00AD066D"/>
    <w:rsid w:val="00AD06F8"/>
    <w:rsid w:val="00AD0E61"/>
    <w:rsid w:val="00AD115A"/>
    <w:rsid w:val="00AD1BEF"/>
    <w:rsid w:val="00AD2BF1"/>
    <w:rsid w:val="00AD2D90"/>
    <w:rsid w:val="00AD316A"/>
    <w:rsid w:val="00AD3B15"/>
    <w:rsid w:val="00AD402A"/>
    <w:rsid w:val="00AD47F3"/>
    <w:rsid w:val="00AD7BDF"/>
    <w:rsid w:val="00AD7EB2"/>
    <w:rsid w:val="00AE4CB0"/>
    <w:rsid w:val="00AE4ED1"/>
    <w:rsid w:val="00AE5427"/>
    <w:rsid w:val="00AE631D"/>
    <w:rsid w:val="00AE6576"/>
    <w:rsid w:val="00AE7134"/>
    <w:rsid w:val="00AF0C76"/>
    <w:rsid w:val="00AF0D0C"/>
    <w:rsid w:val="00AF41A2"/>
    <w:rsid w:val="00AF4775"/>
    <w:rsid w:val="00AF4EF0"/>
    <w:rsid w:val="00AF5144"/>
    <w:rsid w:val="00AF67BC"/>
    <w:rsid w:val="00AF6CB5"/>
    <w:rsid w:val="00AF71FF"/>
    <w:rsid w:val="00AF7DBE"/>
    <w:rsid w:val="00B01BA2"/>
    <w:rsid w:val="00B01BD6"/>
    <w:rsid w:val="00B02D8A"/>
    <w:rsid w:val="00B02DD5"/>
    <w:rsid w:val="00B03A5D"/>
    <w:rsid w:val="00B04E09"/>
    <w:rsid w:val="00B06802"/>
    <w:rsid w:val="00B0766E"/>
    <w:rsid w:val="00B1017D"/>
    <w:rsid w:val="00B10AA6"/>
    <w:rsid w:val="00B10F3A"/>
    <w:rsid w:val="00B11C98"/>
    <w:rsid w:val="00B121EB"/>
    <w:rsid w:val="00B13141"/>
    <w:rsid w:val="00B1389F"/>
    <w:rsid w:val="00B147A6"/>
    <w:rsid w:val="00B1590B"/>
    <w:rsid w:val="00B161A9"/>
    <w:rsid w:val="00B166FD"/>
    <w:rsid w:val="00B17B5E"/>
    <w:rsid w:val="00B20491"/>
    <w:rsid w:val="00B220B5"/>
    <w:rsid w:val="00B2223C"/>
    <w:rsid w:val="00B24A68"/>
    <w:rsid w:val="00B273A2"/>
    <w:rsid w:val="00B2778F"/>
    <w:rsid w:val="00B27D3C"/>
    <w:rsid w:val="00B30923"/>
    <w:rsid w:val="00B30E89"/>
    <w:rsid w:val="00B338A0"/>
    <w:rsid w:val="00B33DF4"/>
    <w:rsid w:val="00B35CB6"/>
    <w:rsid w:val="00B35DAB"/>
    <w:rsid w:val="00B3602E"/>
    <w:rsid w:val="00B3791F"/>
    <w:rsid w:val="00B40438"/>
    <w:rsid w:val="00B40C7D"/>
    <w:rsid w:val="00B41654"/>
    <w:rsid w:val="00B41E70"/>
    <w:rsid w:val="00B43FC8"/>
    <w:rsid w:val="00B4546D"/>
    <w:rsid w:val="00B456E8"/>
    <w:rsid w:val="00B4775F"/>
    <w:rsid w:val="00B512FC"/>
    <w:rsid w:val="00B518A4"/>
    <w:rsid w:val="00B51F2E"/>
    <w:rsid w:val="00B52321"/>
    <w:rsid w:val="00B534C1"/>
    <w:rsid w:val="00B53930"/>
    <w:rsid w:val="00B552A7"/>
    <w:rsid w:val="00B55ABC"/>
    <w:rsid w:val="00B564E6"/>
    <w:rsid w:val="00B56820"/>
    <w:rsid w:val="00B56F09"/>
    <w:rsid w:val="00B614E6"/>
    <w:rsid w:val="00B61F66"/>
    <w:rsid w:val="00B62EFA"/>
    <w:rsid w:val="00B63DC1"/>
    <w:rsid w:val="00B63EED"/>
    <w:rsid w:val="00B67136"/>
    <w:rsid w:val="00B71106"/>
    <w:rsid w:val="00B7173C"/>
    <w:rsid w:val="00B72D1A"/>
    <w:rsid w:val="00B72DB8"/>
    <w:rsid w:val="00B732F4"/>
    <w:rsid w:val="00B737FC"/>
    <w:rsid w:val="00B74506"/>
    <w:rsid w:val="00B75A5D"/>
    <w:rsid w:val="00B764C3"/>
    <w:rsid w:val="00B77368"/>
    <w:rsid w:val="00B77536"/>
    <w:rsid w:val="00B77A9C"/>
    <w:rsid w:val="00B80E9D"/>
    <w:rsid w:val="00B8124E"/>
    <w:rsid w:val="00B8134B"/>
    <w:rsid w:val="00B81B35"/>
    <w:rsid w:val="00B81E15"/>
    <w:rsid w:val="00B83088"/>
    <w:rsid w:val="00B835DF"/>
    <w:rsid w:val="00B836A7"/>
    <w:rsid w:val="00B84AD7"/>
    <w:rsid w:val="00B84ADE"/>
    <w:rsid w:val="00B855C9"/>
    <w:rsid w:val="00B85C47"/>
    <w:rsid w:val="00B86910"/>
    <w:rsid w:val="00B86F92"/>
    <w:rsid w:val="00B87A6D"/>
    <w:rsid w:val="00B87E35"/>
    <w:rsid w:val="00B915C7"/>
    <w:rsid w:val="00B916ED"/>
    <w:rsid w:val="00B923A7"/>
    <w:rsid w:val="00B929EE"/>
    <w:rsid w:val="00B9334C"/>
    <w:rsid w:val="00B933FF"/>
    <w:rsid w:val="00B93C0D"/>
    <w:rsid w:val="00B93DFE"/>
    <w:rsid w:val="00B9446C"/>
    <w:rsid w:val="00B953FF"/>
    <w:rsid w:val="00B95E59"/>
    <w:rsid w:val="00B95F35"/>
    <w:rsid w:val="00B96B47"/>
    <w:rsid w:val="00B96DDE"/>
    <w:rsid w:val="00B96E50"/>
    <w:rsid w:val="00B9731A"/>
    <w:rsid w:val="00B97EA5"/>
    <w:rsid w:val="00B97FD0"/>
    <w:rsid w:val="00BA0B55"/>
    <w:rsid w:val="00BA0E6F"/>
    <w:rsid w:val="00BA14BA"/>
    <w:rsid w:val="00BA36FC"/>
    <w:rsid w:val="00BA3FAE"/>
    <w:rsid w:val="00BA4439"/>
    <w:rsid w:val="00BA4F13"/>
    <w:rsid w:val="00BA5D03"/>
    <w:rsid w:val="00BA5E67"/>
    <w:rsid w:val="00BA76A4"/>
    <w:rsid w:val="00BB1883"/>
    <w:rsid w:val="00BB1F9A"/>
    <w:rsid w:val="00BB201A"/>
    <w:rsid w:val="00BB20F4"/>
    <w:rsid w:val="00BB2335"/>
    <w:rsid w:val="00BB2338"/>
    <w:rsid w:val="00BB3995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698D"/>
    <w:rsid w:val="00BC7B26"/>
    <w:rsid w:val="00BD0DBF"/>
    <w:rsid w:val="00BD0EDF"/>
    <w:rsid w:val="00BD179D"/>
    <w:rsid w:val="00BD22B7"/>
    <w:rsid w:val="00BD2FCB"/>
    <w:rsid w:val="00BD358F"/>
    <w:rsid w:val="00BD418D"/>
    <w:rsid w:val="00BD5176"/>
    <w:rsid w:val="00BD5AAE"/>
    <w:rsid w:val="00BD60FF"/>
    <w:rsid w:val="00BD7E9A"/>
    <w:rsid w:val="00BE1A5B"/>
    <w:rsid w:val="00BE22E8"/>
    <w:rsid w:val="00BE2E13"/>
    <w:rsid w:val="00BE2F01"/>
    <w:rsid w:val="00BE37EC"/>
    <w:rsid w:val="00BE3885"/>
    <w:rsid w:val="00BE467D"/>
    <w:rsid w:val="00BE4DFB"/>
    <w:rsid w:val="00BE5DD4"/>
    <w:rsid w:val="00BE6491"/>
    <w:rsid w:val="00BE7A0F"/>
    <w:rsid w:val="00BF022A"/>
    <w:rsid w:val="00BF0523"/>
    <w:rsid w:val="00BF130E"/>
    <w:rsid w:val="00BF273A"/>
    <w:rsid w:val="00BF32DE"/>
    <w:rsid w:val="00BF3424"/>
    <w:rsid w:val="00BF3958"/>
    <w:rsid w:val="00BF44A8"/>
    <w:rsid w:val="00BF59E7"/>
    <w:rsid w:val="00BF6BDE"/>
    <w:rsid w:val="00BF7D0E"/>
    <w:rsid w:val="00BF7E78"/>
    <w:rsid w:val="00C00500"/>
    <w:rsid w:val="00C06FA5"/>
    <w:rsid w:val="00C07BAD"/>
    <w:rsid w:val="00C1036A"/>
    <w:rsid w:val="00C11866"/>
    <w:rsid w:val="00C13E72"/>
    <w:rsid w:val="00C15A13"/>
    <w:rsid w:val="00C16370"/>
    <w:rsid w:val="00C16A8C"/>
    <w:rsid w:val="00C16C19"/>
    <w:rsid w:val="00C17059"/>
    <w:rsid w:val="00C17262"/>
    <w:rsid w:val="00C17ABB"/>
    <w:rsid w:val="00C200AA"/>
    <w:rsid w:val="00C200CA"/>
    <w:rsid w:val="00C20C09"/>
    <w:rsid w:val="00C20D33"/>
    <w:rsid w:val="00C21057"/>
    <w:rsid w:val="00C232AE"/>
    <w:rsid w:val="00C2360C"/>
    <w:rsid w:val="00C23D75"/>
    <w:rsid w:val="00C24C03"/>
    <w:rsid w:val="00C2561F"/>
    <w:rsid w:val="00C2569A"/>
    <w:rsid w:val="00C25D09"/>
    <w:rsid w:val="00C27831"/>
    <w:rsid w:val="00C30902"/>
    <w:rsid w:val="00C31116"/>
    <w:rsid w:val="00C31377"/>
    <w:rsid w:val="00C32500"/>
    <w:rsid w:val="00C34D7D"/>
    <w:rsid w:val="00C35649"/>
    <w:rsid w:val="00C35A16"/>
    <w:rsid w:val="00C35D86"/>
    <w:rsid w:val="00C377F8"/>
    <w:rsid w:val="00C402DE"/>
    <w:rsid w:val="00C40451"/>
    <w:rsid w:val="00C4088D"/>
    <w:rsid w:val="00C40936"/>
    <w:rsid w:val="00C41025"/>
    <w:rsid w:val="00C41A2B"/>
    <w:rsid w:val="00C41B5D"/>
    <w:rsid w:val="00C41B73"/>
    <w:rsid w:val="00C423D7"/>
    <w:rsid w:val="00C424B4"/>
    <w:rsid w:val="00C424D3"/>
    <w:rsid w:val="00C424DE"/>
    <w:rsid w:val="00C4362E"/>
    <w:rsid w:val="00C44248"/>
    <w:rsid w:val="00C44992"/>
    <w:rsid w:val="00C44D23"/>
    <w:rsid w:val="00C44EAB"/>
    <w:rsid w:val="00C459CE"/>
    <w:rsid w:val="00C46DE0"/>
    <w:rsid w:val="00C47091"/>
    <w:rsid w:val="00C47DEB"/>
    <w:rsid w:val="00C5152B"/>
    <w:rsid w:val="00C51706"/>
    <w:rsid w:val="00C51C28"/>
    <w:rsid w:val="00C5454F"/>
    <w:rsid w:val="00C55CA8"/>
    <w:rsid w:val="00C55CB5"/>
    <w:rsid w:val="00C60339"/>
    <w:rsid w:val="00C609CE"/>
    <w:rsid w:val="00C6126E"/>
    <w:rsid w:val="00C61D05"/>
    <w:rsid w:val="00C61F48"/>
    <w:rsid w:val="00C6230B"/>
    <w:rsid w:val="00C62CD8"/>
    <w:rsid w:val="00C656D5"/>
    <w:rsid w:val="00C70734"/>
    <w:rsid w:val="00C70FFC"/>
    <w:rsid w:val="00C713B6"/>
    <w:rsid w:val="00C71BD8"/>
    <w:rsid w:val="00C723C1"/>
    <w:rsid w:val="00C7442F"/>
    <w:rsid w:val="00C748FD"/>
    <w:rsid w:val="00C7549A"/>
    <w:rsid w:val="00C8035D"/>
    <w:rsid w:val="00C8049A"/>
    <w:rsid w:val="00C814C7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318E"/>
    <w:rsid w:val="00C94272"/>
    <w:rsid w:val="00C9450C"/>
    <w:rsid w:val="00C945E7"/>
    <w:rsid w:val="00C949CA"/>
    <w:rsid w:val="00C9538D"/>
    <w:rsid w:val="00C954C7"/>
    <w:rsid w:val="00C96290"/>
    <w:rsid w:val="00C96BB8"/>
    <w:rsid w:val="00CA085A"/>
    <w:rsid w:val="00CA1B9E"/>
    <w:rsid w:val="00CA1DF3"/>
    <w:rsid w:val="00CA1FEB"/>
    <w:rsid w:val="00CA272D"/>
    <w:rsid w:val="00CA3063"/>
    <w:rsid w:val="00CA3624"/>
    <w:rsid w:val="00CA3A54"/>
    <w:rsid w:val="00CA3EDC"/>
    <w:rsid w:val="00CA487E"/>
    <w:rsid w:val="00CA67BF"/>
    <w:rsid w:val="00CA6AC3"/>
    <w:rsid w:val="00CA6E26"/>
    <w:rsid w:val="00CB0A29"/>
    <w:rsid w:val="00CB0AF1"/>
    <w:rsid w:val="00CB0CEE"/>
    <w:rsid w:val="00CB29E8"/>
    <w:rsid w:val="00CB3711"/>
    <w:rsid w:val="00CB3FEA"/>
    <w:rsid w:val="00CB46A6"/>
    <w:rsid w:val="00CB47CC"/>
    <w:rsid w:val="00CB5EA1"/>
    <w:rsid w:val="00CB6E59"/>
    <w:rsid w:val="00CB6FCA"/>
    <w:rsid w:val="00CB70F2"/>
    <w:rsid w:val="00CB7354"/>
    <w:rsid w:val="00CB75A4"/>
    <w:rsid w:val="00CC013D"/>
    <w:rsid w:val="00CC0922"/>
    <w:rsid w:val="00CC0E59"/>
    <w:rsid w:val="00CC17B5"/>
    <w:rsid w:val="00CC2450"/>
    <w:rsid w:val="00CC4292"/>
    <w:rsid w:val="00CC55CC"/>
    <w:rsid w:val="00CC5754"/>
    <w:rsid w:val="00CC61D7"/>
    <w:rsid w:val="00CD0380"/>
    <w:rsid w:val="00CD063B"/>
    <w:rsid w:val="00CD1675"/>
    <w:rsid w:val="00CD2285"/>
    <w:rsid w:val="00CD2790"/>
    <w:rsid w:val="00CD2DC2"/>
    <w:rsid w:val="00CD35EC"/>
    <w:rsid w:val="00CD3C33"/>
    <w:rsid w:val="00CD44D9"/>
    <w:rsid w:val="00CD46BB"/>
    <w:rsid w:val="00CD556D"/>
    <w:rsid w:val="00CD69C2"/>
    <w:rsid w:val="00CD72B1"/>
    <w:rsid w:val="00CE04FD"/>
    <w:rsid w:val="00CE1073"/>
    <w:rsid w:val="00CE13E8"/>
    <w:rsid w:val="00CE1B3B"/>
    <w:rsid w:val="00CE2442"/>
    <w:rsid w:val="00CE246A"/>
    <w:rsid w:val="00CE2C57"/>
    <w:rsid w:val="00CE45A5"/>
    <w:rsid w:val="00CE49EA"/>
    <w:rsid w:val="00CE5997"/>
    <w:rsid w:val="00CE673C"/>
    <w:rsid w:val="00CE6752"/>
    <w:rsid w:val="00CE68F0"/>
    <w:rsid w:val="00CE7FE8"/>
    <w:rsid w:val="00CF1547"/>
    <w:rsid w:val="00CF1599"/>
    <w:rsid w:val="00CF168B"/>
    <w:rsid w:val="00CF1EA8"/>
    <w:rsid w:val="00CF2D90"/>
    <w:rsid w:val="00CF37F3"/>
    <w:rsid w:val="00CF52F8"/>
    <w:rsid w:val="00CF562A"/>
    <w:rsid w:val="00CF5D17"/>
    <w:rsid w:val="00CF6CCD"/>
    <w:rsid w:val="00D00CD0"/>
    <w:rsid w:val="00D02BCE"/>
    <w:rsid w:val="00D02C19"/>
    <w:rsid w:val="00D0376E"/>
    <w:rsid w:val="00D039CD"/>
    <w:rsid w:val="00D03F91"/>
    <w:rsid w:val="00D0618A"/>
    <w:rsid w:val="00D07798"/>
    <w:rsid w:val="00D102D6"/>
    <w:rsid w:val="00D1160E"/>
    <w:rsid w:val="00D13501"/>
    <w:rsid w:val="00D13BBD"/>
    <w:rsid w:val="00D13FA4"/>
    <w:rsid w:val="00D14615"/>
    <w:rsid w:val="00D1492D"/>
    <w:rsid w:val="00D14DE0"/>
    <w:rsid w:val="00D167B2"/>
    <w:rsid w:val="00D16801"/>
    <w:rsid w:val="00D17753"/>
    <w:rsid w:val="00D17D50"/>
    <w:rsid w:val="00D20F23"/>
    <w:rsid w:val="00D21B83"/>
    <w:rsid w:val="00D23466"/>
    <w:rsid w:val="00D25172"/>
    <w:rsid w:val="00D256BD"/>
    <w:rsid w:val="00D26D23"/>
    <w:rsid w:val="00D31267"/>
    <w:rsid w:val="00D31975"/>
    <w:rsid w:val="00D31E7C"/>
    <w:rsid w:val="00D324E9"/>
    <w:rsid w:val="00D34B67"/>
    <w:rsid w:val="00D40203"/>
    <w:rsid w:val="00D410BC"/>
    <w:rsid w:val="00D41833"/>
    <w:rsid w:val="00D42B21"/>
    <w:rsid w:val="00D42BB0"/>
    <w:rsid w:val="00D42C77"/>
    <w:rsid w:val="00D43378"/>
    <w:rsid w:val="00D439AE"/>
    <w:rsid w:val="00D44C54"/>
    <w:rsid w:val="00D4633F"/>
    <w:rsid w:val="00D47493"/>
    <w:rsid w:val="00D479D1"/>
    <w:rsid w:val="00D479F0"/>
    <w:rsid w:val="00D50C65"/>
    <w:rsid w:val="00D53ADD"/>
    <w:rsid w:val="00D53C30"/>
    <w:rsid w:val="00D54059"/>
    <w:rsid w:val="00D5433E"/>
    <w:rsid w:val="00D547DA"/>
    <w:rsid w:val="00D54F2D"/>
    <w:rsid w:val="00D551BC"/>
    <w:rsid w:val="00D5766C"/>
    <w:rsid w:val="00D577AD"/>
    <w:rsid w:val="00D60379"/>
    <w:rsid w:val="00D60812"/>
    <w:rsid w:val="00D6187C"/>
    <w:rsid w:val="00D61CD7"/>
    <w:rsid w:val="00D61E2B"/>
    <w:rsid w:val="00D62110"/>
    <w:rsid w:val="00D630EF"/>
    <w:rsid w:val="00D6397B"/>
    <w:rsid w:val="00D63ED1"/>
    <w:rsid w:val="00D643F6"/>
    <w:rsid w:val="00D664DE"/>
    <w:rsid w:val="00D66C33"/>
    <w:rsid w:val="00D66F0E"/>
    <w:rsid w:val="00D67D96"/>
    <w:rsid w:val="00D7119E"/>
    <w:rsid w:val="00D72256"/>
    <w:rsid w:val="00D7285A"/>
    <w:rsid w:val="00D75BB1"/>
    <w:rsid w:val="00D75C3A"/>
    <w:rsid w:val="00D773BD"/>
    <w:rsid w:val="00D774E2"/>
    <w:rsid w:val="00D779FC"/>
    <w:rsid w:val="00D80247"/>
    <w:rsid w:val="00D8072A"/>
    <w:rsid w:val="00D815E3"/>
    <w:rsid w:val="00D81C64"/>
    <w:rsid w:val="00D81EBF"/>
    <w:rsid w:val="00D8220A"/>
    <w:rsid w:val="00D829ED"/>
    <w:rsid w:val="00D849BD"/>
    <w:rsid w:val="00D8514E"/>
    <w:rsid w:val="00D85782"/>
    <w:rsid w:val="00D85A42"/>
    <w:rsid w:val="00D8652F"/>
    <w:rsid w:val="00D867D6"/>
    <w:rsid w:val="00D8680A"/>
    <w:rsid w:val="00D86C6C"/>
    <w:rsid w:val="00D86FDF"/>
    <w:rsid w:val="00D918B7"/>
    <w:rsid w:val="00D9272D"/>
    <w:rsid w:val="00D94F0B"/>
    <w:rsid w:val="00D958BA"/>
    <w:rsid w:val="00D95C18"/>
    <w:rsid w:val="00D97177"/>
    <w:rsid w:val="00D971B8"/>
    <w:rsid w:val="00D9763B"/>
    <w:rsid w:val="00D97E7C"/>
    <w:rsid w:val="00DA04DF"/>
    <w:rsid w:val="00DA06EB"/>
    <w:rsid w:val="00DA391F"/>
    <w:rsid w:val="00DA6602"/>
    <w:rsid w:val="00DA67DC"/>
    <w:rsid w:val="00DA78BF"/>
    <w:rsid w:val="00DA7FD8"/>
    <w:rsid w:val="00DB1020"/>
    <w:rsid w:val="00DB23FD"/>
    <w:rsid w:val="00DB2A74"/>
    <w:rsid w:val="00DB3421"/>
    <w:rsid w:val="00DB3669"/>
    <w:rsid w:val="00DB4370"/>
    <w:rsid w:val="00DB4519"/>
    <w:rsid w:val="00DB6DCE"/>
    <w:rsid w:val="00DC25AE"/>
    <w:rsid w:val="00DC260E"/>
    <w:rsid w:val="00DC307F"/>
    <w:rsid w:val="00DC3DA7"/>
    <w:rsid w:val="00DC422C"/>
    <w:rsid w:val="00DC6115"/>
    <w:rsid w:val="00DC6411"/>
    <w:rsid w:val="00DC69A6"/>
    <w:rsid w:val="00DC7211"/>
    <w:rsid w:val="00DC72E0"/>
    <w:rsid w:val="00DD095B"/>
    <w:rsid w:val="00DD10E0"/>
    <w:rsid w:val="00DD1D74"/>
    <w:rsid w:val="00DD2292"/>
    <w:rsid w:val="00DD2444"/>
    <w:rsid w:val="00DD3051"/>
    <w:rsid w:val="00DD3216"/>
    <w:rsid w:val="00DD5278"/>
    <w:rsid w:val="00DD5419"/>
    <w:rsid w:val="00DD5458"/>
    <w:rsid w:val="00DD5B09"/>
    <w:rsid w:val="00DD7BC2"/>
    <w:rsid w:val="00DE0530"/>
    <w:rsid w:val="00DE1131"/>
    <w:rsid w:val="00DE128E"/>
    <w:rsid w:val="00DE2072"/>
    <w:rsid w:val="00DE25FE"/>
    <w:rsid w:val="00DE29AA"/>
    <w:rsid w:val="00DE3C1D"/>
    <w:rsid w:val="00DE541B"/>
    <w:rsid w:val="00DE54A1"/>
    <w:rsid w:val="00DE5EA2"/>
    <w:rsid w:val="00DE6948"/>
    <w:rsid w:val="00DE7351"/>
    <w:rsid w:val="00DF00BD"/>
    <w:rsid w:val="00DF0C4E"/>
    <w:rsid w:val="00DF1581"/>
    <w:rsid w:val="00DF2151"/>
    <w:rsid w:val="00DF300B"/>
    <w:rsid w:val="00DF3023"/>
    <w:rsid w:val="00DF5EA3"/>
    <w:rsid w:val="00DF6078"/>
    <w:rsid w:val="00DF6300"/>
    <w:rsid w:val="00DF705A"/>
    <w:rsid w:val="00E003CF"/>
    <w:rsid w:val="00E00B0B"/>
    <w:rsid w:val="00E017B2"/>
    <w:rsid w:val="00E040DC"/>
    <w:rsid w:val="00E041D9"/>
    <w:rsid w:val="00E050CD"/>
    <w:rsid w:val="00E051ED"/>
    <w:rsid w:val="00E062DE"/>
    <w:rsid w:val="00E113F3"/>
    <w:rsid w:val="00E128DD"/>
    <w:rsid w:val="00E1370B"/>
    <w:rsid w:val="00E163A7"/>
    <w:rsid w:val="00E16AB2"/>
    <w:rsid w:val="00E17BB5"/>
    <w:rsid w:val="00E2080B"/>
    <w:rsid w:val="00E20F73"/>
    <w:rsid w:val="00E2115C"/>
    <w:rsid w:val="00E214A2"/>
    <w:rsid w:val="00E214C6"/>
    <w:rsid w:val="00E21D9C"/>
    <w:rsid w:val="00E2229B"/>
    <w:rsid w:val="00E22DAA"/>
    <w:rsid w:val="00E2435E"/>
    <w:rsid w:val="00E247C2"/>
    <w:rsid w:val="00E24955"/>
    <w:rsid w:val="00E25659"/>
    <w:rsid w:val="00E26546"/>
    <w:rsid w:val="00E269D2"/>
    <w:rsid w:val="00E27B8C"/>
    <w:rsid w:val="00E31020"/>
    <w:rsid w:val="00E31689"/>
    <w:rsid w:val="00E316DA"/>
    <w:rsid w:val="00E31D37"/>
    <w:rsid w:val="00E341C9"/>
    <w:rsid w:val="00E3465E"/>
    <w:rsid w:val="00E34700"/>
    <w:rsid w:val="00E34A2F"/>
    <w:rsid w:val="00E35739"/>
    <w:rsid w:val="00E35872"/>
    <w:rsid w:val="00E40143"/>
    <w:rsid w:val="00E41D96"/>
    <w:rsid w:val="00E4250F"/>
    <w:rsid w:val="00E439FF"/>
    <w:rsid w:val="00E43C09"/>
    <w:rsid w:val="00E449B9"/>
    <w:rsid w:val="00E456A0"/>
    <w:rsid w:val="00E45A1C"/>
    <w:rsid w:val="00E45DC7"/>
    <w:rsid w:val="00E4640C"/>
    <w:rsid w:val="00E4689B"/>
    <w:rsid w:val="00E4771A"/>
    <w:rsid w:val="00E50020"/>
    <w:rsid w:val="00E51357"/>
    <w:rsid w:val="00E51827"/>
    <w:rsid w:val="00E51AA0"/>
    <w:rsid w:val="00E52223"/>
    <w:rsid w:val="00E54628"/>
    <w:rsid w:val="00E546E5"/>
    <w:rsid w:val="00E555B7"/>
    <w:rsid w:val="00E555E2"/>
    <w:rsid w:val="00E5560C"/>
    <w:rsid w:val="00E5565F"/>
    <w:rsid w:val="00E569F9"/>
    <w:rsid w:val="00E60068"/>
    <w:rsid w:val="00E6011C"/>
    <w:rsid w:val="00E61668"/>
    <w:rsid w:val="00E61A65"/>
    <w:rsid w:val="00E61AD0"/>
    <w:rsid w:val="00E634D7"/>
    <w:rsid w:val="00E647E3"/>
    <w:rsid w:val="00E647F8"/>
    <w:rsid w:val="00E6523E"/>
    <w:rsid w:val="00E653C7"/>
    <w:rsid w:val="00E6549E"/>
    <w:rsid w:val="00E66195"/>
    <w:rsid w:val="00E66230"/>
    <w:rsid w:val="00E66711"/>
    <w:rsid w:val="00E67187"/>
    <w:rsid w:val="00E70A91"/>
    <w:rsid w:val="00E73C29"/>
    <w:rsid w:val="00E745DD"/>
    <w:rsid w:val="00E76F7E"/>
    <w:rsid w:val="00E77E94"/>
    <w:rsid w:val="00E81687"/>
    <w:rsid w:val="00E81DAA"/>
    <w:rsid w:val="00E82655"/>
    <w:rsid w:val="00E829BC"/>
    <w:rsid w:val="00E834D5"/>
    <w:rsid w:val="00E85942"/>
    <w:rsid w:val="00E85EF8"/>
    <w:rsid w:val="00E87E19"/>
    <w:rsid w:val="00E902CC"/>
    <w:rsid w:val="00E9046A"/>
    <w:rsid w:val="00E90587"/>
    <w:rsid w:val="00E905A1"/>
    <w:rsid w:val="00E9073B"/>
    <w:rsid w:val="00E90AF4"/>
    <w:rsid w:val="00E90D7F"/>
    <w:rsid w:val="00E919C9"/>
    <w:rsid w:val="00E92522"/>
    <w:rsid w:val="00E93284"/>
    <w:rsid w:val="00E93B57"/>
    <w:rsid w:val="00E940DF"/>
    <w:rsid w:val="00E94854"/>
    <w:rsid w:val="00E95A9C"/>
    <w:rsid w:val="00E95C4F"/>
    <w:rsid w:val="00E96154"/>
    <w:rsid w:val="00E96794"/>
    <w:rsid w:val="00E97A20"/>
    <w:rsid w:val="00E97DE6"/>
    <w:rsid w:val="00EA016A"/>
    <w:rsid w:val="00EA1338"/>
    <w:rsid w:val="00EA22B4"/>
    <w:rsid w:val="00EA291F"/>
    <w:rsid w:val="00EA2D1E"/>
    <w:rsid w:val="00EA445D"/>
    <w:rsid w:val="00EA46E1"/>
    <w:rsid w:val="00EA4A1D"/>
    <w:rsid w:val="00EA594D"/>
    <w:rsid w:val="00EA5D55"/>
    <w:rsid w:val="00EA655C"/>
    <w:rsid w:val="00EA7386"/>
    <w:rsid w:val="00EA7896"/>
    <w:rsid w:val="00EA7D2D"/>
    <w:rsid w:val="00EB0B3E"/>
    <w:rsid w:val="00EB14D9"/>
    <w:rsid w:val="00EB27E9"/>
    <w:rsid w:val="00EB5922"/>
    <w:rsid w:val="00EB5C51"/>
    <w:rsid w:val="00EB65FD"/>
    <w:rsid w:val="00EB6796"/>
    <w:rsid w:val="00EB68B8"/>
    <w:rsid w:val="00EB6E5F"/>
    <w:rsid w:val="00EB73CB"/>
    <w:rsid w:val="00EC14DF"/>
    <w:rsid w:val="00EC21B0"/>
    <w:rsid w:val="00EC29F7"/>
    <w:rsid w:val="00EC2A88"/>
    <w:rsid w:val="00EC4744"/>
    <w:rsid w:val="00EC5982"/>
    <w:rsid w:val="00EC6B62"/>
    <w:rsid w:val="00EC6E73"/>
    <w:rsid w:val="00EC7272"/>
    <w:rsid w:val="00EC74E4"/>
    <w:rsid w:val="00ED000B"/>
    <w:rsid w:val="00ED056F"/>
    <w:rsid w:val="00ED05D8"/>
    <w:rsid w:val="00ED0926"/>
    <w:rsid w:val="00ED10DD"/>
    <w:rsid w:val="00ED15FC"/>
    <w:rsid w:val="00ED4F1D"/>
    <w:rsid w:val="00ED50BF"/>
    <w:rsid w:val="00ED65E0"/>
    <w:rsid w:val="00ED6712"/>
    <w:rsid w:val="00ED6A92"/>
    <w:rsid w:val="00ED6B8E"/>
    <w:rsid w:val="00ED6F02"/>
    <w:rsid w:val="00ED7137"/>
    <w:rsid w:val="00ED72C1"/>
    <w:rsid w:val="00EE14E0"/>
    <w:rsid w:val="00EE1FC5"/>
    <w:rsid w:val="00EE3DC2"/>
    <w:rsid w:val="00EE3E01"/>
    <w:rsid w:val="00EE4DCA"/>
    <w:rsid w:val="00EE5189"/>
    <w:rsid w:val="00EE545E"/>
    <w:rsid w:val="00EE59E7"/>
    <w:rsid w:val="00EE7350"/>
    <w:rsid w:val="00EE7C36"/>
    <w:rsid w:val="00EF02C4"/>
    <w:rsid w:val="00EF084F"/>
    <w:rsid w:val="00EF1ECE"/>
    <w:rsid w:val="00EF201E"/>
    <w:rsid w:val="00EF3A97"/>
    <w:rsid w:val="00EF610A"/>
    <w:rsid w:val="00EF68EE"/>
    <w:rsid w:val="00EF74D9"/>
    <w:rsid w:val="00EF77AD"/>
    <w:rsid w:val="00EF7F30"/>
    <w:rsid w:val="00F0036A"/>
    <w:rsid w:val="00F00AAD"/>
    <w:rsid w:val="00F01400"/>
    <w:rsid w:val="00F0192F"/>
    <w:rsid w:val="00F03E44"/>
    <w:rsid w:val="00F0542F"/>
    <w:rsid w:val="00F05AA4"/>
    <w:rsid w:val="00F05DE3"/>
    <w:rsid w:val="00F06512"/>
    <w:rsid w:val="00F07D74"/>
    <w:rsid w:val="00F10108"/>
    <w:rsid w:val="00F14B47"/>
    <w:rsid w:val="00F154E9"/>
    <w:rsid w:val="00F165C5"/>
    <w:rsid w:val="00F17D24"/>
    <w:rsid w:val="00F208BC"/>
    <w:rsid w:val="00F21630"/>
    <w:rsid w:val="00F21E0A"/>
    <w:rsid w:val="00F22D1F"/>
    <w:rsid w:val="00F23814"/>
    <w:rsid w:val="00F23AC8"/>
    <w:rsid w:val="00F23D11"/>
    <w:rsid w:val="00F2598E"/>
    <w:rsid w:val="00F26372"/>
    <w:rsid w:val="00F26462"/>
    <w:rsid w:val="00F27112"/>
    <w:rsid w:val="00F3061D"/>
    <w:rsid w:val="00F30BBA"/>
    <w:rsid w:val="00F32002"/>
    <w:rsid w:val="00F32065"/>
    <w:rsid w:val="00F35186"/>
    <w:rsid w:val="00F36341"/>
    <w:rsid w:val="00F37217"/>
    <w:rsid w:val="00F37B94"/>
    <w:rsid w:val="00F40270"/>
    <w:rsid w:val="00F40CD7"/>
    <w:rsid w:val="00F40D6D"/>
    <w:rsid w:val="00F41BB6"/>
    <w:rsid w:val="00F420A4"/>
    <w:rsid w:val="00F43428"/>
    <w:rsid w:val="00F43948"/>
    <w:rsid w:val="00F43B2E"/>
    <w:rsid w:val="00F44458"/>
    <w:rsid w:val="00F44BDA"/>
    <w:rsid w:val="00F4585B"/>
    <w:rsid w:val="00F45E55"/>
    <w:rsid w:val="00F46B51"/>
    <w:rsid w:val="00F46E5F"/>
    <w:rsid w:val="00F47E44"/>
    <w:rsid w:val="00F506C7"/>
    <w:rsid w:val="00F50BB2"/>
    <w:rsid w:val="00F50ECD"/>
    <w:rsid w:val="00F50EE8"/>
    <w:rsid w:val="00F5271B"/>
    <w:rsid w:val="00F52E21"/>
    <w:rsid w:val="00F544E4"/>
    <w:rsid w:val="00F548BB"/>
    <w:rsid w:val="00F54FCD"/>
    <w:rsid w:val="00F559EF"/>
    <w:rsid w:val="00F561B7"/>
    <w:rsid w:val="00F565E1"/>
    <w:rsid w:val="00F574F2"/>
    <w:rsid w:val="00F60A3C"/>
    <w:rsid w:val="00F60C61"/>
    <w:rsid w:val="00F62D4C"/>
    <w:rsid w:val="00F652DB"/>
    <w:rsid w:val="00F65398"/>
    <w:rsid w:val="00F65A0C"/>
    <w:rsid w:val="00F66E3A"/>
    <w:rsid w:val="00F66E4D"/>
    <w:rsid w:val="00F67584"/>
    <w:rsid w:val="00F705F3"/>
    <w:rsid w:val="00F70E44"/>
    <w:rsid w:val="00F7114A"/>
    <w:rsid w:val="00F7116F"/>
    <w:rsid w:val="00F7120A"/>
    <w:rsid w:val="00F72132"/>
    <w:rsid w:val="00F72364"/>
    <w:rsid w:val="00F72D01"/>
    <w:rsid w:val="00F734AA"/>
    <w:rsid w:val="00F734CD"/>
    <w:rsid w:val="00F7391E"/>
    <w:rsid w:val="00F7504E"/>
    <w:rsid w:val="00F75541"/>
    <w:rsid w:val="00F75E56"/>
    <w:rsid w:val="00F7678E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0DF"/>
    <w:rsid w:val="00F8449A"/>
    <w:rsid w:val="00F84524"/>
    <w:rsid w:val="00F85552"/>
    <w:rsid w:val="00F856F0"/>
    <w:rsid w:val="00F86BE9"/>
    <w:rsid w:val="00F8728D"/>
    <w:rsid w:val="00F87A11"/>
    <w:rsid w:val="00F87CF3"/>
    <w:rsid w:val="00F917BF"/>
    <w:rsid w:val="00F91B79"/>
    <w:rsid w:val="00F939A7"/>
    <w:rsid w:val="00F95783"/>
    <w:rsid w:val="00F96BCB"/>
    <w:rsid w:val="00F96DFD"/>
    <w:rsid w:val="00F97AC4"/>
    <w:rsid w:val="00F97EC8"/>
    <w:rsid w:val="00FA09B7"/>
    <w:rsid w:val="00FA27EE"/>
    <w:rsid w:val="00FA32B7"/>
    <w:rsid w:val="00FA5348"/>
    <w:rsid w:val="00FA7038"/>
    <w:rsid w:val="00FB1206"/>
    <w:rsid w:val="00FB18AA"/>
    <w:rsid w:val="00FB1AF0"/>
    <w:rsid w:val="00FB215E"/>
    <w:rsid w:val="00FB2168"/>
    <w:rsid w:val="00FB22E5"/>
    <w:rsid w:val="00FB2399"/>
    <w:rsid w:val="00FB281B"/>
    <w:rsid w:val="00FB35DF"/>
    <w:rsid w:val="00FB3B79"/>
    <w:rsid w:val="00FB685E"/>
    <w:rsid w:val="00FB722E"/>
    <w:rsid w:val="00FB75E4"/>
    <w:rsid w:val="00FB7616"/>
    <w:rsid w:val="00FB79B0"/>
    <w:rsid w:val="00FB79C0"/>
    <w:rsid w:val="00FC1388"/>
    <w:rsid w:val="00FC2E48"/>
    <w:rsid w:val="00FC30BF"/>
    <w:rsid w:val="00FC3144"/>
    <w:rsid w:val="00FC3EE0"/>
    <w:rsid w:val="00FC4003"/>
    <w:rsid w:val="00FC4006"/>
    <w:rsid w:val="00FC4F13"/>
    <w:rsid w:val="00FC53E8"/>
    <w:rsid w:val="00FC6B73"/>
    <w:rsid w:val="00FC7FCB"/>
    <w:rsid w:val="00FD346C"/>
    <w:rsid w:val="00FD3B47"/>
    <w:rsid w:val="00FD3E82"/>
    <w:rsid w:val="00FD3FF5"/>
    <w:rsid w:val="00FD4622"/>
    <w:rsid w:val="00FD50AD"/>
    <w:rsid w:val="00FD57B4"/>
    <w:rsid w:val="00FD5A2F"/>
    <w:rsid w:val="00FD5A8B"/>
    <w:rsid w:val="00FE0482"/>
    <w:rsid w:val="00FE0B61"/>
    <w:rsid w:val="00FE0E4B"/>
    <w:rsid w:val="00FE1325"/>
    <w:rsid w:val="00FE1986"/>
    <w:rsid w:val="00FE1B61"/>
    <w:rsid w:val="00FE276C"/>
    <w:rsid w:val="00FE3532"/>
    <w:rsid w:val="00FE378D"/>
    <w:rsid w:val="00FE37FA"/>
    <w:rsid w:val="00FE3F81"/>
    <w:rsid w:val="00FE68EE"/>
    <w:rsid w:val="00FF079F"/>
    <w:rsid w:val="00FF1039"/>
    <w:rsid w:val="00FF1227"/>
    <w:rsid w:val="00FF17BE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EF9448-EF2F-4E45-A81A-007CE39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Calibri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63922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sz w:val="24"/>
      <w:szCs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sz w:val="24"/>
      <w:szCs w:val="24"/>
    </w:rPr>
  </w:style>
  <w:style w:type="character" w:styleId="Nmerodepgina">
    <w:name w:val="page number"/>
    <w:basedOn w:val="Fontepargpadro"/>
    <w:uiPriority w:val="99"/>
    <w:rsid w:val="00C2569A"/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sz w:val="2"/>
      <w:szCs w:val="2"/>
    </w:rPr>
  </w:style>
  <w:style w:type="character" w:styleId="Hyperlink">
    <w:name w:val="Hyperlink"/>
    <w:basedOn w:val="Fontepargpadro"/>
    <w:uiPriority w:val="99"/>
    <w:rsid w:val="00C2569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agrostat.agricultura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F32EC-818F-4FE4-8262-82F2115F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2474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dc:description/>
  <cp:lastModifiedBy>Aline Gomes de Almeida Gastardelo</cp:lastModifiedBy>
  <cp:revision>64</cp:revision>
  <cp:lastPrinted>2015-06-05T18:49:00Z</cp:lastPrinted>
  <dcterms:created xsi:type="dcterms:W3CDTF">2016-01-07T15:54:00Z</dcterms:created>
  <dcterms:modified xsi:type="dcterms:W3CDTF">2016-01-08T19:58:00Z</dcterms:modified>
</cp:coreProperties>
</file>