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02" w:rsidRPr="00DF014A" w:rsidRDefault="00C87B02">
      <w:pPr>
        <w:pStyle w:val="Cabealho"/>
        <w:tabs>
          <w:tab w:val="clear" w:pos="4419"/>
          <w:tab w:val="clear" w:pos="8838"/>
        </w:tabs>
        <w:rPr>
          <w:rFonts w:ascii="Arial" w:hAnsi="Arial" w:cs="Arial"/>
          <w:b/>
        </w:rPr>
      </w:pPr>
      <w:r w:rsidRPr="00DF014A">
        <w:rPr>
          <w:rFonts w:ascii="Arial" w:hAnsi="Arial" w:cs="Arial"/>
          <w:b/>
        </w:rPr>
        <w:t>MINISTÉRIO DA AGRICULTURA, PECUÁRIA E ABASTECIMENTO</w:t>
      </w:r>
    </w:p>
    <w:p w:rsidR="00C87B02" w:rsidRPr="00DF014A" w:rsidRDefault="00C87B02">
      <w:pPr>
        <w:pStyle w:val="Cabealho"/>
        <w:tabs>
          <w:tab w:val="clear" w:pos="4419"/>
          <w:tab w:val="clear" w:pos="8838"/>
        </w:tabs>
        <w:rPr>
          <w:rFonts w:ascii="Arial" w:hAnsi="Arial" w:cs="Arial"/>
          <w:b/>
        </w:rPr>
      </w:pPr>
      <w:r w:rsidRPr="00DF014A">
        <w:rPr>
          <w:rFonts w:ascii="Arial" w:hAnsi="Arial" w:cs="Arial"/>
          <w:b/>
        </w:rPr>
        <w:t>Secretaria de Relações Internacionais do Agronegócio</w:t>
      </w:r>
    </w:p>
    <w:p w:rsidR="00C87B02" w:rsidRPr="00DF014A" w:rsidRDefault="00C87B02">
      <w:pPr>
        <w:pStyle w:val="Ttulo1"/>
        <w:rPr>
          <w:rFonts w:ascii="Arial" w:hAnsi="Arial" w:cs="Arial"/>
          <w:sz w:val="20"/>
          <w:szCs w:val="20"/>
        </w:rPr>
      </w:pPr>
    </w:p>
    <w:p w:rsidR="00C87B02" w:rsidRPr="00DF014A" w:rsidRDefault="00C87B02">
      <w:pPr>
        <w:pStyle w:val="Ttulo1"/>
        <w:rPr>
          <w:rFonts w:ascii="Arial" w:hAnsi="Arial" w:cs="Arial"/>
          <w:sz w:val="20"/>
          <w:szCs w:val="20"/>
        </w:rPr>
      </w:pPr>
      <w:r w:rsidRPr="00DF014A">
        <w:rPr>
          <w:rFonts w:ascii="Arial" w:hAnsi="Arial" w:cs="Arial"/>
          <w:sz w:val="20"/>
          <w:szCs w:val="20"/>
        </w:rPr>
        <w:t xml:space="preserve">Balança Comercial do Agronegócio – </w:t>
      </w:r>
      <w:proofErr w:type="gramStart"/>
      <w:r w:rsidR="00DF014A" w:rsidRPr="00DF014A">
        <w:rPr>
          <w:rFonts w:ascii="Arial" w:hAnsi="Arial" w:cs="Arial"/>
          <w:sz w:val="20"/>
          <w:szCs w:val="20"/>
        </w:rPr>
        <w:t>Novembro</w:t>
      </w:r>
      <w:proofErr w:type="gramEnd"/>
      <w:r w:rsidR="007763E5" w:rsidRPr="00DF014A">
        <w:rPr>
          <w:rFonts w:ascii="Arial" w:hAnsi="Arial" w:cs="Arial"/>
          <w:sz w:val="20"/>
          <w:szCs w:val="20"/>
        </w:rPr>
        <w:t>/2018</w:t>
      </w:r>
    </w:p>
    <w:p w:rsidR="00A10B0C" w:rsidRPr="00DF014A" w:rsidRDefault="00A10B0C" w:rsidP="00A10B0C">
      <w:pPr>
        <w:rPr>
          <w:rFonts w:ascii="Arial" w:hAnsi="Arial" w:cs="Arial"/>
          <w:sz w:val="20"/>
          <w:szCs w:val="20"/>
        </w:rPr>
      </w:pPr>
    </w:p>
    <w:p w:rsidR="00A10B0C" w:rsidRPr="00DF014A" w:rsidRDefault="00554C6F" w:rsidP="00A10B0C">
      <w:pPr>
        <w:rPr>
          <w:rFonts w:ascii="Arial" w:hAnsi="Arial" w:cs="Arial"/>
          <w:sz w:val="20"/>
          <w:szCs w:val="20"/>
        </w:rPr>
      </w:pPr>
      <w:r w:rsidRPr="00554C6F">
        <w:rPr>
          <w:noProof/>
        </w:rPr>
        <w:drawing>
          <wp:inline distT="0" distB="0" distL="0" distR="0" wp14:anchorId="32F8052D" wp14:editId="4BD485C5">
            <wp:extent cx="6480175" cy="305181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DF014A" w:rsidRDefault="00C87B02">
      <w:pPr>
        <w:pStyle w:val="Ttulo5"/>
        <w:autoSpaceDE/>
        <w:autoSpaceDN/>
        <w:adjustRightInd/>
        <w:rPr>
          <w:rFonts w:ascii="Arial" w:hAnsi="Arial" w:cs="Arial"/>
          <w:sz w:val="20"/>
          <w:szCs w:val="20"/>
        </w:rPr>
      </w:pPr>
    </w:p>
    <w:p w:rsidR="00E04FAF" w:rsidRPr="00DF014A" w:rsidRDefault="00E04FAF">
      <w:pPr>
        <w:pStyle w:val="Ttulo5"/>
        <w:autoSpaceDE/>
        <w:autoSpaceDN/>
        <w:adjustRightInd/>
        <w:rPr>
          <w:rFonts w:ascii="Arial" w:hAnsi="Arial" w:cs="Arial"/>
          <w:sz w:val="20"/>
          <w:szCs w:val="20"/>
        </w:rPr>
      </w:pPr>
    </w:p>
    <w:p w:rsidR="003E2A9B" w:rsidRPr="00DF014A" w:rsidRDefault="003E2A9B" w:rsidP="003E2A9B">
      <w:pPr>
        <w:pStyle w:val="Ttulo5"/>
        <w:autoSpaceDE/>
        <w:autoSpaceDN/>
        <w:adjustRightInd/>
        <w:rPr>
          <w:rFonts w:ascii="Arial" w:hAnsi="Arial" w:cs="Arial"/>
          <w:sz w:val="20"/>
          <w:szCs w:val="20"/>
        </w:rPr>
      </w:pPr>
      <w:r w:rsidRPr="00DF014A">
        <w:rPr>
          <w:rFonts w:ascii="Arial" w:hAnsi="Arial" w:cs="Arial"/>
          <w:sz w:val="20"/>
          <w:szCs w:val="20"/>
        </w:rPr>
        <w:t xml:space="preserve">I – Resultados do mês (comparativo </w:t>
      </w:r>
      <w:r w:rsidR="00DF014A" w:rsidRPr="00DF014A">
        <w:rPr>
          <w:rFonts w:ascii="Arial" w:hAnsi="Arial" w:cs="Arial"/>
          <w:sz w:val="20"/>
          <w:szCs w:val="20"/>
        </w:rPr>
        <w:t>Novembro</w:t>
      </w:r>
      <w:r w:rsidRPr="00DF014A">
        <w:rPr>
          <w:rFonts w:ascii="Arial" w:hAnsi="Arial" w:cs="Arial"/>
          <w:sz w:val="20"/>
          <w:szCs w:val="20"/>
        </w:rPr>
        <w:t xml:space="preserve">/2018 – </w:t>
      </w:r>
      <w:proofErr w:type="gramStart"/>
      <w:r w:rsidR="00DF014A" w:rsidRPr="00DF014A">
        <w:rPr>
          <w:rFonts w:ascii="Arial" w:hAnsi="Arial" w:cs="Arial"/>
          <w:sz w:val="20"/>
          <w:szCs w:val="20"/>
        </w:rPr>
        <w:t>Novembro</w:t>
      </w:r>
      <w:proofErr w:type="gramEnd"/>
      <w:r w:rsidRPr="00DF014A">
        <w:rPr>
          <w:rFonts w:ascii="Arial" w:hAnsi="Arial" w:cs="Arial"/>
          <w:sz w:val="20"/>
          <w:szCs w:val="20"/>
        </w:rPr>
        <w:t>/2017)</w:t>
      </w:r>
    </w:p>
    <w:p w:rsidR="003E2A9B" w:rsidRPr="00DF014A" w:rsidRDefault="003E2A9B" w:rsidP="00A75CCF">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As exportações brasileiras do agronegócio atingiram a marca de US$ 8,37 bilhões em novembro de 2018, o que representou elevação de 18,3% em comparação aos US$ 7,08 bilhões comercializados no mesmo mês de 2017. Apesar desse crescimento, a participação dos produtos do agronegócio no total exportado pelo Brasil no período diminuiu, passando de 42,4% em novembro de 2017 para 40,0% em novembro de 2018. No âmbito das importações, verificou-se incremento de 2,2% no período analisado, com a cifra de US$ 1,18 bilhão, ante US$ 1,15 bilhão registrado no mesmo mês do ano precedente. Dessa forma, o saldo da balança comercial do agronegócio alcançou o montante de US$ 7,20 bilhões no período, com variação positiva de 21,4% em relação ao saldo verificado em novembro de 2017 (US$ 5,93 bilhões).</w:t>
      </w:r>
    </w:p>
    <w:p w:rsidR="003E2A9B" w:rsidRPr="00DF014A" w:rsidRDefault="003E2A9B" w:rsidP="003E2A9B">
      <w:pPr>
        <w:pStyle w:val="Recuodecorpodetexto"/>
        <w:ind w:firstLine="0"/>
        <w:rPr>
          <w:rFonts w:ascii="Arial" w:hAnsi="Arial" w:cs="Arial"/>
          <w:sz w:val="20"/>
          <w:szCs w:val="20"/>
        </w:rPr>
      </w:pPr>
    </w:p>
    <w:p w:rsidR="003E2A9B" w:rsidRPr="00DF014A" w:rsidRDefault="003E2A9B" w:rsidP="00755556">
      <w:pPr>
        <w:pStyle w:val="Ttulo5"/>
        <w:autoSpaceDE/>
        <w:autoSpaceDN/>
        <w:adjustRightInd/>
        <w:rPr>
          <w:rFonts w:ascii="Arial" w:hAnsi="Arial" w:cs="Arial"/>
          <w:sz w:val="20"/>
          <w:szCs w:val="20"/>
        </w:rPr>
      </w:pPr>
      <w:proofErr w:type="spellStart"/>
      <w:r w:rsidRPr="00DF014A">
        <w:rPr>
          <w:rFonts w:ascii="Arial" w:hAnsi="Arial" w:cs="Arial"/>
          <w:sz w:val="20"/>
          <w:szCs w:val="20"/>
        </w:rPr>
        <w:t>I.a</w:t>
      </w:r>
      <w:proofErr w:type="spellEnd"/>
      <w:r w:rsidRPr="00DF014A">
        <w:rPr>
          <w:rFonts w:ascii="Arial" w:hAnsi="Arial" w:cs="Arial"/>
          <w:sz w:val="20"/>
          <w:szCs w:val="20"/>
        </w:rPr>
        <w:t xml:space="preserve"> – Setores do Agronegócio</w:t>
      </w:r>
    </w:p>
    <w:p w:rsidR="00755556" w:rsidRPr="00DF014A" w:rsidRDefault="00755556" w:rsidP="00755556">
      <w:pPr>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Em relação aos setores exportadores do agronegócio brasileiro, os destaques do mês foram: complexo soja, com participação de 29,6% das exportações; carnes, com 15,3%; produtos florestais, com 14,1%; cereais, farinhas e preparações, com participação de 9,1%; e complexo sucroalcooleiro, com 7,6%.  Em conjunto, as vendas externas dos cinco setores mencionados apresentaram participação de 75,8% do total exportado pelo agronegócio brasileiro em novembro de 2018.</w:t>
      </w:r>
    </w:p>
    <w:p w:rsidR="004645F9" w:rsidRPr="00A14E45" w:rsidRDefault="004645F9" w:rsidP="004645F9">
      <w:pPr>
        <w:pStyle w:val="Recuodecorpodetexto"/>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As exportações do complexo soja cresceram 97,5% em relação a novembro de 2017, com a cifra de US$ 2,48 bilhões. A maior parcela desse valor foi gerada pelas exportações de soja em grãos, que alcançaram volume recorde para todos os meses de novembro com 5,07 milhões de toneladas (+136,6%), o que resultou em uma cifra também recorde para o mês de novembro de US$ 2,0 bilhões (+145,7%). Além disso, o preço médio do produto subiu 3,8% no período, passando de US$ 381 para US$ 395 por tonelada. O farelo de soja foi o segundo principal produto negociado pelo setor, com receita de US$ 457,85 milhões (+22,2%) para 1,09 milhão de toneladas embarcadas (+1,8%) e preço médio no período de US$ 420 por tonelada (+20,1%). Já as vendas externas de óleo de soja totalizaram US$ 21,02 milhões (-68,5%), com retração no preço médio do produto (-8,0%) e na quantidade comercializada (-65,7%), com 29,07 mil toneladas.</w:t>
      </w:r>
    </w:p>
    <w:p w:rsidR="004645F9" w:rsidRPr="00A14E45" w:rsidRDefault="004645F9" w:rsidP="004645F9">
      <w:pPr>
        <w:pStyle w:val="Recuodecorpodetexto"/>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 xml:space="preserve">Na segunda colocação do mês de novembro, as exportações de carnes totalizaram US$ 1,28 bilhão no período, uma diminuição de 2,5% ante o US$ 1,32 bilhão verificado em novembro de 2017. Houve aumento de 2,5% no quantum comercializado, com 551,49 mil toneladas, além de queda do preço médio dos produtos do setor à taxa de 4,9%. O principal item negociado no mês foi a carne bovina, com US$ 617,77 milhões (+4,8%). As vendas de carne bovina in natura foram recorde para o mês de novembro, com US$ 521,75 milhões. Em relação à quantidade, também houve recorde de comercialização da carne bovina in natura para os meses de novembro, com 130,57 mil toneladas negociadas. As exportações de carne de frango aparecem na segunda posição do setor, com vendas de US$ 518,12 milhões (-5,7%) e 314,24 mil toneladas embarcadas (-1,2%), com queda de 4,5% na cotação da </w:t>
      </w:r>
      <w:r w:rsidRPr="00A14E45">
        <w:rPr>
          <w:rFonts w:ascii="Arial" w:hAnsi="Arial" w:cs="Arial"/>
          <w:sz w:val="20"/>
          <w:szCs w:val="20"/>
        </w:rPr>
        <w:lastRenderedPageBreak/>
        <w:t>mercadoria brasileira no mercado internacional no período. As vendas externas de carne suína atingiram o montante de US$ 103,69 milhões (-16,5%), com incremento de 7,8% no quantum comercializado e retração de 22,5% na cotação média da mercadoria brasileira no período. Por fim, as exportações de carne de peru alcançaram o valor de US$ 6,94 milhões (-59,4%) com o embarque de 3,51 mil toneladas (-47,4%).</w:t>
      </w:r>
    </w:p>
    <w:p w:rsidR="004645F9" w:rsidRPr="00A14E45" w:rsidRDefault="004645F9" w:rsidP="004645F9">
      <w:pPr>
        <w:pStyle w:val="Recuodecorpodetexto"/>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 xml:space="preserve">Em terceiro lugar no ranking dos setores do agronegócio que mais exportaram em valor, os produtos florestais registraram a cifra de US$ 1,18 bilhão, com elevação de 18,6% em relação aos US$ 998,39 milhões obtidos em novembro de 2017. O principal produto negociado foi a celulose, com o valor recorde para os meses de novembro de US$ 649,40 milhões (+17,6%) e quantidade também recorde de 1,24 milhão de toneladas (+14,2%). Em seguida destacaram-se as exportações de madeiras e suas obras, que cresceram 23,2% em valor (US$ 350,21 milhões) e 38,7% em volume (700,83 mil toneladas). As vendas externas de papel foram recorde para os meses de novembro, com a soma de US$ 184,04 milhões (+13,9%), para quantum também recorde de 185,98 mil toneladas (+5,6%). </w:t>
      </w:r>
    </w:p>
    <w:p w:rsidR="004645F9" w:rsidRPr="00A14E45" w:rsidRDefault="004645F9" w:rsidP="004645F9">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 xml:space="preserve">Na quarta colocação de novembro de 2018, o setor de cereais, farinhas e preparações obteve receita de exportação de US$ 761,44 milhões, o que significou incremento de 29,5% em comparação ao mesmo mês de 2017, quando atingiu-se a soma de US$ 588,09 milhões. O principal produto comercializado pelo setor no período foi o milho, com US$ 711,86 milhões, o que representou 93,6% das vendas do segmento. Com da alta do preço médio do milho brasileiro no período (+16,7%), a quantidade negociada cresceu 13,5% frente ao mesmo mês do ano anterior, alcançando 4,0 milhões de toneladas em novembro de 2018. </w:t>
      </w:r>
    </w:p>
    <w:p w:rsidR="004645F9" w:rsidRPr="00A14E45" w:rsidRDefault="004645F9" w:rsidP="004645F9">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 xml:space="preserve">Completando os cinco principais setores do agronegócio em novembro de 2018, destacaram-se as vendas externas do complexo sucroalcooleiro, que atingiram o montante de US$ 638,64 milhões, o que representou diminuição de 26,4% quando comparado com o valor exportado em novembro de 2017 (US$ 867,23 milhões). As vendas de açúcar foram as mais significativas dentro do setor, com o total de US$ 559,78 milhões (-29,4%) e 1,92 milhão de toneladas negociadas (-13,0%). O álcool obteve US$ 77,63 milhões de receita de exportação (+5,1%), com incremento de 9,8% na quantidade comercializada (118,35 mil toneladas) e retração do preço médio do produto, que atingiu a cotação média de US$ 656 por tonelada (-4,3%). </w:t>
      </w:r>
    </w:p>
    <w:p w:rsidR="004645F9" w:rsidRPr="00A14E45" w:rsidRDefault="004645F9" w:rsidP="004645F9">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Pr>
          <w:rFonts w:ascii="Arial" w:hAnsi="Arial" w:cs="Arial"/>
          <w:sz w:val="20"/>
          <w:szCs w:val="20"/>
        </w:rPr>
        <w:t>Em relação</w:t>
      </w:r>
      <w:r w:rsidRPr="00A14E45">
        <w:rPr>
          <w:rFonts w:ascii="Arial" w:hAnsi="Arial" w:cs="Arial"/>
          <w:sz w:val="20"/>
          <w:szCs w:val="20"/>
        </w:rPr>
        <w:t xml:space="preserve"> às importações do agronegócio, como já mencionado, atingiu-se a soma de US$ 1,18 bilhão. Os principais produtos adquiridos no mês foram: trigo (US$ 116,60 milhões e +24,3%); papel (US$ 71,35 milhões e -8,1%); álcool etílico (US$ 55,41 milhões e +143,0%); vestuário e outros produtos têxteis de algodão (US$ 49,62 milhões e -3,5%); azeite de oliva (US$ 41,77 milhões e -4,3%); salmões frescos ou refrigerados (US$ 41,71 milhões e +6,7%); vinho (US$ 37,01 milhões e +1,1%); malte (US$ 36,0 milhões e -5,6%);  leite em pó (US$ 34,11 milhões e +103,3%); e óleo de dendê ou de palma (US$ 31,93 milhões e -2,4%).</w:t>
      </w:r>
    </w:p>
    <w:p w:rsidR="00755556" w:rsidRPr="00DF014A" w:rsidRDefault="00755556" w:rsidP="00755556">
      <w:pPr>
        <w:rPr>
          <w:rFonts w:ascii="Arial" w:hAnsi="Arial" w:cs="Arial"/>
          <w:sz w:val="20"/>
          <w:szCs w:val="20"/>
        </w:rPr>
      </w:pPr>
    </w:p>
    <w:p w:rsidR="00755556" w:rsidRPr="00DF014A" w:rsidRDefault="00B617CF" w:rsidP="00755556">
      <w:pPr>
        <w:rPr>
          <w:rFonts w:ascii="Arial" w:hAnsi="Arial" w:cs="Arial"/>
          <w:sz w:val="20"/>
          <w:szCs w:val="20"/>
        </w:rPr>
      </w:pPr>
      <w:r w:rsidRPr="00B617CF">
        <w:rPr>
          <w:noProof/>
        </w:rPr>
        <w:drawing>
          <wp:inline distT="0" distB="0" distL="0" distR="0" wp14:anchorId="062A7B78" wp14:editId="05CFD709">
            <wp:extent cx="6480175" cy="3855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CF479B" w:rsidRPr="00DF014A" w:rsidRDefault="00CF479B" w:rsidP="00E207EB">
      <w:pPr>
        <w:jc w:val="both"/>
        <w:rPr>
          <w:rFonts w:ascii="Arial" w:hAnsi="Arial" w:cs="Arial"/>
          <w:b/>
          <w:sz w:val="20"/>
          <w:szCs w:val="20"/>
        </w:rPr>
      </w:pPr>
    </w:p>
    <w:p w:rsidR="004645F9" w:rsidRDefault="004645F9" w:rsidP="00E207EB">
      <w:pPr>
        <w:jc w:val="both"/>
        <w:rPr>
          <w:rFonts w:ascii="Arial" w:hAnsi="Arial" w:cs="Arial"/>
          <w:b/>
          <w:sz w:val="20"/>
          <w:szCs w:val="20"/>
        </w:rPr>
      </w:pPr>
    </w:p>
    <w:p w:rsidR="004645F9" w:rsidRDefault="004645F9" w:rsidP="00E207EB">
      <w:pPr>
        <w:jc w:val="both"/>
        <w:rPr>
          <w:rFonts w:ascii="Arial" w:hAnsi="Arial" w:cs="Arial"/>
          <w:b/>
          <w:sz w:val="20"/>
          <w:szCs w:val="20"/>
        </w:rPr>
      </w:pPr>
    </w:p>
    <w:p w:rsidR="004645F9" w:rsidRDefault="004645F9" w:rsidP="00E207EB">
      <w:pPr>
        <w:jc w:val="both"/>
        <w:rPr>
          <w:rFonts w:ascii="Arial" w:hAnsi="Arial" w:cs="Arial"/>
          <w:b/>
          <w:sz w:val="20"/>
          <w:szCs w:val="20"/>
        </w:rPr>
      </w:pPr>
    </w:p>
    <w:p w:rsidR="001D51EE" w:rsidRPr="00DF014A" w:rsidRDefault="006D7B33" w:rsidP="00E207EB">
      <w:pPr>
        <w:jc w:val="both"/>
        <w:rPr>
          <w:rFonts w:ascii="Arial" w:hAnsi="Arial" w:cs="Arial"/>
          <w:b/>
          <w:sz w:val="20"/>
          <w:szCs w:val="20"/>
        </w:rPr>
      </w:pPr>
      <w:proofErr w:type="spellStart"/>
      <w:r w:rsidRPr="00DF014A">
        <w:rPr>
          <w:rFonts w:ascii="Arial" w:hAnsi="Arial" w:cs="Arial"/>
          <w:b/>
          <w:sz w:val="20"/>
          <w:szCs w:val="20"/>
        </w:rPr>
        <w:lastRenderedPageBreak/>
        <w:t>I.b</w:t>
      </w:r>
      <w:proofErr w:type="spellEnd"/>
      <w:r w:rsidRPr="00DF014A">
        <w:rPr>
          <w:rFonts w:ascii="Arial" w:hAnsi="Arial" w:cs="Arial"/>
          <w:b/>
          <w:sz w:val="20"/>
          <w:szCs w:val="20"/>
        </w:rPr>
        <w:t xml:space="preserve"> – Blocos Econômicos e Regiões Geográficas</w:t>
      </w:r>
    </w:p>
    <w:p w:rsidR="00755556" w:rsidRPr="00DF014A" w:rsidRDefault="00755556" w:rsidP="00E207EB">
      <w:pPr>
        <w:jc w:val="both"/>
        <w:rPr>
          <w:rFonts w:ascii="Arial" w:hAnsi="Arial" w:cs="Arial"/>
          <w:b/>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 xml:space="preserve">No que se refere às exportações do agronegócio por blocos econômicos e regiões geográficas em novembro de 2018, a Ásia foi o principal destino dos produtos brasileiros, com a soma de US$ 4,27 bilhões. O crescimento de 60,5% em relação ao mesmo mês do ano anterior foi causado principalmente pela expansão das vendas de soja em grãos (+US$ 1,23 bilhão), celulose (+US$ 213,47 milhões) e algodão não cardado nem penteado (+US$ 102,74 milhões). Com isso, a participação asiática nas vendas externas de produtos agropecuários brasileiros subiu de 37,6% para 51,0%. </w:t>
      </w:r>
    </w:p>
    <w:p w:rsidR="004645F9" w:rsidRPr="00A14E45" w:rsidRDefault="004645F9" w:rsidP="004645F9">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O segundo principal destino das exportações brasileiras, a União Europeia, perdeu participação no período em destaque, saindo de 20,8% para 16,6%, em virtude da retração das vendas de produtos agropecuários brasileiros para o bloco (-5,3%), atingindo o montante de US$ 1,39 bilhão. Os principais produtos comercializados com a UE em novembro de 2018 foram: café verde (US$ 260,14 milhões); farelo de soja (US$ 239,43 milhões); celulose (US$ 158,71 milhões); milho (US$ 143,76 milhões); e fumo não manufaturado (US$ 69,68 milhões).</w:t>
      </w:r>
    </w:p>
    <w:p w:rsidR="004645F9" w:rsidRPr="00A14E45" w:rsidRDefault="004645F9" w:rsidP="004645F9">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 xml:space="preserve">Outro aspecto que pode ser destacado na Tabela 2 é a queda de participação dos principais blocos econômicos e regiões geográficas de destino das exportações do agronegócio brasileiro, na comparação entre novembro de 2018 e novembro de 2017. Com exceção da Ásia, ALADI e demais da América, verificou-se perda de </w:t>
      </w:r>
      <w:r w:rsidRPr="00A14E45">
        <w:rPr>
          <w:rFonts w:ascii="Arial" w:hAnsi="Arial" w:cs="Arial"/>
          <w:i/>
          <w:sz w:val="20"/>
          <w:szCs w:val="20"/>
        </w:rPr>
        <w:t xml:space="preserve">share </w:t>
      </w:r>
      <w:r w:rsidRPr="00A14E45">
        <w:rPr>
          <w:rFonts w:ascii="Arial" w:hAnsi="Arial" w:cs="Arial"/>
          <w:sz w:val="20"/>
          <w:szCs w:val="20"/>
        </w:rPr>
        <w:t>para todos os outros destinos, com destaque negativo para a União Europeia (-4,2 pontos percentuais), NAFTA (-2,6 pontos percentuais) e Oriente Médio (-2,2 pontos percentuais).</w:t>
      </w:r>
    </w:p>
    <w:p w:rsidR="00CF479B" w:rsidRPr="00DF014A" w:rsidRDefault="00CF479B" w:rsidP="00E207EB">
      <w:pPr>
        <w:jc w:val="both"/>
        <w:rPr>
          <w:rFonts w:ascii="Arial" w:hAnsi="Arial" w:cs="Arial"/>
          <w:b/>
          <w:sz w:val="20"/>
          <w:szCs w:val="20"/>
        </w:rPr>
      </w:pPr>
    </w:p>
    <w:p w:rsidR="00C9726F" w:rsidRPr="00DF014A" w:rsidRDefault="00B617CF" w:rsidP="00C9726F">
      <w:pPr>
        <w:pStyle w:val="Recuodecorpodetexto"/>
        <w:ind w:firstLine="0"/>
        <w:rPr>
          <w:rFonts w:ascii="Arial" w:hAnsi="Arial" w:cs="Arial"/>
          <w:sz w:val="20"/>
          <w:szCs w:val="20"/>
        </w:rPr>
      </w:pPr>
      <w:r w:rsidRPr="00B617CF">
        <w:rPr>
          <w:noProof/>
        </w:rPr>
        <w:drawing>
          <wp:inline distT="0" distB="0" distL="0" distR="0" wp14:anchorId="6F6F3343" wp14:editId="30C6B53D">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C9726F" w:rsidRPr="00DF014A" w:rsidRDefault="00C9726F" w:rsidP="00C9726F">
      <w:pPr>
        <w:pStyle w:val="Recuodecorpodetexto"/>
        <w:ind w:firstLine="0"/>
        <w:rPr>
          <w:rFonts w:ascii="Arial" w:hAnsi="Arial" w:cs="Arial"/>
          <w:sz w:val="20"/>
          <w:szCs w:val="20"/>
        </w:rPr>
      </w:pPr>
    </w:p>
    <w:p w:rsidR="001D51EE" w:rsidRPr="00DF014A" w:rsidRDefault="001D51EE" w:rsidP="001D51EE">
      <w:pPr>
        <w:pStyle w:val="Ttulo5"/>
        <w:autoSpaceDE/>
        <w:autoSpaceDN/>
        <w:adjustRightInd/>
        <w:rPr>
          <w:rFonts w:ascii="Arial" w:hAnsi="Arial" w:cs="Arial"/>
          <w:sz w:val="20"/>
          <w:szCs w:val="20"/>
        </w:rPr>
      </w:pPr>
      <w:proofErr w:type="spellStart"/>
      <w:r w:rsidRPr="00DF014A">
        <w:rPr>
          <w:rFonts w:ascii="Arial" w:hAnsi="Arial" w:cs="Arial"/>
          <w:sz w:val="20"/>
          <w:szCs w:val="20"/>
        </w:rPr>
        <w:t>I.c</w:t>
      </w:r>
      <w:proofErr w:type="spellEnd"/>
      <w:r w:rsidRPr="00DF014A">
        <w:rPr>
          <w:rFonts w:ascii="Arial" w:hAnsi="Arial" w:cs="Arial"/>
          <w:sz w:val="20"/>
          <w:szCs w:val="20"/>
        </w:rPr>
        <w:t xml:space="preserve"> – Países</w:t>
      </w:r>
    </w:p>
    <w:p w:rsidR="008F667F" w:rsidRPr="00DF014A" w:rsidRDefault="008F667F" w:rsidP="00C9726F">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No que tange aos países de destino dos produtos do agronegócio brasileiro, a China permanece como o principal mercado das vendas externas brasileiras, com a cifra de US$ 2,89 bilhões. Em relação a novembro de 2017, verificou-se expansão de 126,8% no valor exportado e crescimento da participação chinesa de 18,0% para 34,5%. O principal produto negociado com esse parceiro asiático foi a soja em grãos, com US$ 1,93 bilhão, o que representou dois terços de todas as exportações do agronegócio brasileiro para a China no mês. Em relação à quantidade, em novembro foram embarcadas praticamente 5,0 milhões de toneladas do grão para o mercado chinês, o que significou um acréscimo de pouco mais de 3,0 milhões de toneladas em comparação a igual período de 2017. Além disso, a China foi o principal destino da celulose e da carne bovina in natura brasileira no período, atingindo as cifras de US$ 358,73 milhões e US$ 161,37 milhões, respectivamente.</w:t>
      </w:r>
    </w:p>
    <w:p w:rsidR="004645F9" w:rsidRPr="00A14E45" w:rsidRDefault="004645F9" w:rsidP="004645F9">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O segundo principal destino das exportações do agronegócio de novembro foram os Estados Unidos, com US$ 602,76 milhões, o que representou redução de 8,0% em comparação ao valor exportado no mesmo período de 2017 (US$ 655,38 milhões). Com essa queda, a participação dos Estados Unidos caiu de 9,3% para 7,2%. Os principais produtos responsáveis pela retração das vendas para o mercado norte-americano no mês foram: celulose (-US$ 81,70 milhões); suco de laranja (-US$ 27,0 milhões) e café verde (-US$ 11,50 milhões).</w:t>
      </w:r>
    </w:p>
    <w:p w:rsidR="004645F9" w:rsidRPr="00A14E45" w:rsidRDefault="004645F9" w:rsidP="004645F9">
      <w:pPr>
        <w:pStyle w:val="Recuodecorpodetexto"/>
        <w:ind w:firstLine="0"/>
        <w:rPr>
          <w:rFonts w:ascii="Arial" w:hAnsi="Arial" w:cs="Arial"/>
          <w:sz w:val="20"/>
          <w:szCs w:val="20"/>
        </w:rPr>
      </w:pPr>
    </w:p>
    <w:p w:rsidR="004645F9" w:rsidRPr="00A14E45" w:rsidRDefault="004645F9" w:rsidP="004645F9">
      <w:pPr>
        <w:pStyle w:val="Recuodecorpodetexto"/>
        <w:ind w:firstLine="0"/>
        <w:rPr>
          <w:rFonts w:ascii="Arial" w:hAnsi="Arial" w:cs="Arial"/>
          <w:sz w:val="20"/>
          <w:szCs w:val="20"/>
        </w:rPr>
      </w:pPr>
      <w:r w:rsidRPr="00A14E45">
        <w:rPr>
          <w:rFonts w:ascii="Arial" w:hAnsi="Arial" w:cs="Arial"/>
          <w:sz w:val="20"/>
          <w:szCs w:val="20"/>
        </w:rPr>
        <w:t>As exportações para os Países Baixos, terceiro principal comprador de produtos do agronegócio brasileiro no mês de novembro, caíram de US$ 389,14 milhões para US$ 345,56 milhões (-11,2%). Em sua maior parte, tal diminuição foi causada pela retração do comércio de carne de frango industrializada (-US$ 16,96 milhões), farelo de soja (-US$ 16,75 milhões) e soja em grãos (-US$ 15,55 milhões). Com esse recuo, a participação dos Países Baixos nas exportações do agronegócio brasileiro passou de 5,5 para 4,1%.</w:t>
      </w:r>
    </w:p>
    <w:p w:rsidR="00462A0C" w:rsidRPr="00DF014A" w:rsidRDefault="00462A0C" w:rsidP="00C9726F">
      <w:pPr>
        <w:pStyle w:val="Recuodecorpodetexto"/>
        <w:ind w:firstLine="0"/>
        <w:rPr>
          <w:rFonts w:ascii="Arial" w:hAnsi="Arial" w:cs="Arial"/>
          <w:sz w:val="20"/>
          <w:szCs w:val="20"/>
        </w:rPr>
      </w:pPr>
    </w:p>
    <w:p w:rsidR="00C9726F" w:rsidRPr="00DF014A" w:rsidRDefault="00C9726F" w:rsidP="00C9726F">
      <w:pPr>
        <w:rPr>
          <w:rFonts w:ascii="Arial" w:hAnsi="Arial" w:cs="Arial"/>
          <w:sz w:val="20"/>
          <w:szCs w:val="20"/>
        </w:rPr>
      </w:pPr>
    </w:p>
    <w:p w:rsidR="00202D83" w:rsidRPr="00DF014A" w:rsidRDefault="00B617CF" w:rsidP="00AB2FF5">
      <w:pPr>
        <w:rPr>
          <w:rFonts w:ascii="Arial" w:hAnsi="Arial" w:cs="Arial"/>
          <w:sz w:val="20"/>
          <w:szCs w:val="20"/>
        </w:rPr>
      </w:pPr>
      <w:r w:rsidRPr="00B617CF">
        <w:rPr>
          <w:noProof/>
        </w:rPr>
        <w:lastRenderedPageBreak/>
        <w:drawing>
          <wp:inline distT="0" distB="0" distL="0" distR="0" wp14:anchorId="640BB425" wp14:editId="6BFEB89F">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826906" w:rsidRPr="00DF014A" w:rsidRDefault="00826906" w:rsidP="00AB2FF5">
      <w:pPr>
        <w:rPr>
          <w:rFonts w:ascii="Arial" w:hAnsi="Arial" w:cs="Arial"/>
          <w:sz w:val="20"/>
          <w:szCs w:val="20"/>
        </w:rPr>
      </w:pPr>
    </w:p>
    <w:p w:rsidR="004645F9" w:rsidRDefault="004645F9">
      <w:pPr>
        <w:rPr>
          <w:rFonts w:ascii="Arial" w:hAnsi="Arial" w:cs="Arial"/>
          <w:b/>
          <w:sz w:val="20"/>
          <w:szCs w:val="20"/>
        </w:rPr>
      </w:pPr>
    </w:p>
    <w:p w:rsidR="007A0837" w:rsidRPr="00DF014A" w:rsidRDefault="007A0837" w:rsidP="007A0837">
      <w:pPr>
        <w:autoSpaceDE w:val="0"/>
        <w:autoSpaceDN w:val="0"/>
        <w:adjustRightInd w:val="0"/>
        <w:jc w:val="both"/>
        <w:rPr>
          <w:rFonts w:ascii="Arial" w:hAnsi="Arial" w:cs="Arial"/>
          <w:b/>
          <w:sz w:val="20"/>
          <w:szCs w:val="20"/>
        </w:rPr>
      </w:pPr>
      <w:r w:rsidRPr="00DF014A">
        <w:rPr>
          <w:rFonts w:ascii="Arial" w:hAnsi="Arial" w:cs="Arial"/>
          <w:b/>
          <w:sz w:val="20"/>
          <w:szCs w:val="20"/>
        </w:rPr>
        <w:t>II – Resultados do Ano (comparativo Janeiro-</w:t>
      </w:r>
      <w:r w:rsidR="00DF014A" w:rsidRPr="00DF014A">
        <w:rPr>
          <w:rFonts w:ascii="Arial" w:hAnsi="Arial" w:cs="Arial"/>
          <w:b/>
          <w:sz w:val="20"/>
          <w:szCs w:val="20"/>
        </w:rPr>
        <w:t>Novembro</w:t>
      </w:r>
      <w:r w:rsidRPr="00DF014A">
        <w:rPr>
          <w:rFonts w:ascii="Arial" w:hAnsi="Arial" w:cs="Arial"/>
          <w:b/>
          <w:sz w:val="20"/>
          <w:szCs w:val="20"/>
        </w:rPr>
        <w:t xml:space="preserve">/2018 – </w:t>
      </w:r>
      <w:proofErr w:type="gramStart"/>
      <w:r w:rsidRPr="00DF014A">
        <w:rPr>
          <w:rFonts w:ascii="Arial" w:hAnsi="Arial" w:cs="Arial"/>
          <w:b/>
          <w:sz w:val="20"/>
          <w:szCs w:val="20"/>
        </w:rPr>
        <w:t>Janeiro</w:t>
      </w:r>
      <w:proofErr w:type="gramEnd"/>
      <w:r w:rsidRPr="00DF014A">
        <w:rPr>
          <w:rFonts w:ascii="Arial" w:hAnsi="Arial" w:cs="Arial"/>
          <w:b/>
          <w:sz w:val="20"/>
          <w:szCs w:val="20"/>
        </w:rPr>
        <w:t>-</w:t>
      </w:r>
      <w:r w:rsidR="00DF014A" w:rsidRPr="00DF014A">
        <w:rPr>
          <w:rFonts w:ascii="Arial" w:hAnsi="Arial" w:cs="Arial"/>
          <w:b/>
          <w:sz w:val="20"/>
          <w:szCs w:val="20"/>
        </w:rPr>
        <w:t>Novembro</w:t>
      </w:r>
      <w:r w:rsidRPr="00DF014A">
        <w:rPr>
          <w:rFonts w:ascii="Arial" w:hAnsi="Arial" w:cs="Arial"/>
          <w:b/>
          <w:sz w:val="20"/>
          <w:szCs w:val="20"/>
        </w:rPr>
        <w:t>/2017)</w:t>
      </w:r>
    </w:p>
    <w:p w:rsidR="007A0837" w:rsidRPr="00DF014A" w:rsidRDefault="007A0837" w:rsidP="007A0837">
      <w:pPr>
        <w:autoSpaceDE w:val="0"/>
        <w:autoSpaceDN w:val="0"/>
        <w:adjustRightInd w:val="0"/>
        <w:jc w:val="both"/>
        <w:rPr>
          <w:rFonts w:ascii="Arial" w:hAnsi="Arial" w:cs="Arial"/>
          <w:b/>
          <w:sz w:val="20"/>
          <w:szCs w:val="20"/>
        </w:rPr>
      </w:pPr>
    </w:p>
    <w:p w:rsidR="0060302B" w:rsidRDefault="00241738" w:rsidP="007A0837">
      <w:pPr>
        <w:jc w:val="both"/>
        <w:rPr>
          <w:rFonts w:ascii="Arial" w:hAnsi="Arial" w:cs="Arial"/>
          <w:sz w:val="20"/>
          <w:szCs w:val="20"/>
        </w:rPr>
      </w:pPr>
      <w:r>
        <w:rPr>
          <w:rFonts w:ascii="Arial" w:hAnsi="Arial" w:cs="Arial"/>
          <w:sz w:val="20"/>
          <w:szCs w:val="20"/>
        </w:rPr>
        <w:t xml:space="preserve">Em 2018 (entre janeiro e novembro), as exportações </w:t>
      </w:r>
      <w:r w:rsidRPr="00241738">
        <w:rPr>
          <w:rFonts w:ascii="Arial" w:hAnsi="Arial" w:cs="Arial"/>
          <w:sz w:val="20"/>
          <w:szCs w:val="20"/>
        </w:rPr>
        <w:t xml:space="preserve">brasileiras do agronegócio </w:t>
      </w:r>
      <w:r>
        <w:rPr>
          <w:rFonts w:ascii="Arial" w:hAnsi="Arial" w:cs="Arial"/>
          <w:sz w:val="20"/>
          <w:szCs w:val="20"/>
        </w:rPr>
        <w:t>somaram</w:t>
      </w:r>
      <w:r w:rsidRPr="00241738">
        <w:rPr>
          <w:rFonts w:ascii="Arial" w:hAnsi="Arial" w:cs="Arial"/>
          <w:sz w:val="20"/>
          <w:szCs w:val="20"/>
        </w:rPr>
        <w:t xml:space="preserve"> US$ </w:t>
      </w:r>
      <w:r>
        <w:rPr>
          <w:rFonts w:ascii="Arial" w:hAnsi="Arial" w:cs="Arial"/>
          <w:sz w:val="20"/>
          <w:szCs w:val="20"/>
        </w:rPr>
        <w:t>93,16 bilhões, o que representou crescimento de 4,6% no ano</w:t>
      </w:r>
      <w:r w:rsidRPr="00241738">
        <w:rPr>
          <w:rFonts w:ascii="Arial" w:hAnsi="Arial" w:cs="Arial"/>
          <w:sz w:val="20"/>
          <w:szCs w:val="20"/>
        </w:rPr>
        <w:t xml:space="preserve">. </w:t>
      </w:r>
      <w:r w:rsidR="003E2B32">
        <w:rPr>
          <w:rFonts w:ascii="Arial" w:hAnsi="Arial" w:cs="Arial"/>
          <w:sz w:val="20"/>
          <w:szCs w:val="20"/>
        </w:rPr>
        <w:t>As importações do setor, por sua vez, foram de US$ 12,91 bilhões, ou seja, 0,5% inferiores ao mesmo período em 2017.</w:t>
      </w:r>
      <w:r w:rsidR="00D858DA">
        <w:rPr>
          <w:rFonts w:ascii="Arial" w:hAnsi="Arial" w:cs="Arial"/>
          <w:sz w:val="20"/>
          <w:szCs w:val="20"/>
        </w:rPr>
        <w:t xml:space="preserve"> </w:t>
      </w:r>
      <w:r w:rsidR="00D858DA" w:rsidRPr="00D858DA">
        <w:rPr>
          <w:rFonts w:ascii="Arial" w:hAnsi="Arial" w:cs="Arial"/>
          <w:sz w:val="20"/>
          <w:szCs w:val="20"/>
        </w:rPr>
        <w:t xml:space="preserve">Como resultado, o saldo comercial subiu de US$ </w:t>
      </w:r>
      <w:r w:rsidR="00D858DA">
        <w:rPr>
          <w:rFonts w:ascii="Arial" w:hAnsi="Arial" w:cs="Arial"/>
          <w:sz w:val="20"/>
          <w:szCs w:val="20"/>
        </w:rPr>
        <w:t>76,10</w:t>
      </w:r>
      <w:r w:rsidR="00D858DA" w:rsidRPr="00D858DA">
        <w:rPr>
          <w:rFonts w:ascii="Arial" w:hAnsi="Arial" w:cs="Arial"/>
          <w:sz w:val="20"/>
          <w:szCs w:val="20"/>
        </w:rPr>
        <w:t xml:space="preserve"> bilhões em 2017 </w:t>
      </w:r>
      <w:r w:rsidR="005D4B77">
        <w:rPr>
          <w:rFonts w:ascii="Arial" w:hAnsi="Arial" w:cs="Arial"/>
          <w:sz w:val="20"/>
          <w:szCs w:val="20"/>
        </w:rPr>
        <w:t xml:space="preserve">(janeiro – novembro) </w:t>
      </w:r>
      <w:r w:rsidR="00D858DA" w:rsidRPr="00D858DA">
        <w:rPr>
          <w:rFonts w:ascii="Arial" w:hAnsi="Arial" w:cs="Arial"/>
          <w:sz w:val="20"/>
          <w:szCs w:val="20"/>
        </w:rPr>
        <w:t xml:space="preserve">para US$ </w:t>
      </w:r>
      <w:r w:rsidR="00D858DA">
        <w:rPr>
          <w:rFonts w:ascii="Arial" w:hAnsi="Arial" w:cs="Arial"/>
          <w:sz w:val="20"/>
          <w:szCs w:val="20"/>
        </w:rPr>
        <w:t>80,26</w:t>
      </w:r>
      <w:r w:rsidR="00D858DA" w:rsidRPr="00D858DA">
        <w:rPr>
          <w:rFonts w:ascii="Arial" w:hAnsi="Arial" w:cs="Arial"/>
          <w:sz w:val="20"/>
          <w:szCs w:val="20"/>
        </w:rPr>
        <w:t xml:space="preserve"> bilhões em 2018.</w:t>
      </w:r>
      <w:r w:rsidR="0060302B">
        <w:rPr>
          <w:rFonts w:ascii="Arial" w:hAnsi="Arial" w:cs="Arial"/>
          <w:sz w:val="20"/>
          <w:szCs w:val="20"/>
        </w:rPr>
        <w:t xml:space="preserve"> </w:t>
      </w:r>
      <w:r w:rsidR="0060302B" w:rsidRPr="0060302B">
        <w:rPr>
          <w:rFonts w:ascii="Arial" w:hAnsi="Arial" w:cs="Arial"/>
          <w:sz w:val="20"/>
          <w:szCs w:val="20"/>
        </w:rPr>
        <w:t xml:space="preserve">O agronegócio contribuiu com </w:t>
      </w:r>
      <w:r w:rsidR="0060302B">
        <w:rPr>
          <w:rFonts w:ascii="Arial" w:hAnsi="Arial" w:cs="Arial"/>
          <w:sz w:val="20"/>
          <w:szCs w:val="20"/>
        </w:rPr>
        <w:t>42,4</w:t>
      </w:r>
      <w:r w:rsidR="0060302B" w:rsidRPr="0060302B">
        <w:rPr>
          <w:rFonts w:ascii="Arial" w:hAnsi="Arial" w:cs="Arial"/>
          <w:sz w:val="20"/>
          <w:szCs w:val="20"/>
        </w:rPr>
        <w:t xml:space="preserve">% do total das exportações brasileiras </w:t>
      </w:r>
      <w:r w:rsidR="0060302B">
        <w:rPr>
          <w:rFonts w:ascii="Arial" w:hAnsi="Arial" w:cs="Arial"/>
          <w:sz w:val="20"/>
          <w:szCs w:val="20"/>
        </w:rPr>
        <w:t xml:space="preserve">acumulado do ano. </w:t>
      </w:r>
    </w:p>
    <w:p w:rsidR="009612AC" w:rsidRPr="00DF014A" w:rsidRDefault="009612AC" w:rsidP="007A0837">
      <w:pPr>
        <w:jc w:val="both"/>
        <w:rPr>
          <w:rFonts w:ascii="Arial" w:hAnsi="Arial" w:cs="Arial"/>
          <w:sz w:val="20"/>
          <w:szCs w:val="20"/>
        </w:rPr>
      </w:pPr>
    </w:p>
    <w:p w:rsidR="007A0837" w:rsidRPr="00DF014A" w:rsidRDefault="007A0837" w:rsidP="007A0837">
      <w:pPr>
        <w:jc w:val="both"/>
        <w:rPr>
          <w:rFonts w:ascii="Arial" w:hAnsi="Arial" w:cs="Arial"/>
          <w:sz w:val="20"/>
          <w:szCs w:val="20"/>
        </w:rPr>
      </w:pPr>
    </w:p>
    <w:p w:rsidR="007A0837" w:rsidRPr="00DF014A" w:rsidRDefault="007A0837" w:rsidP="007A0837">
      <w:pPr>
        <w:pStyle w:val="Ttulo5"/>
        <w:autoSpaceDE/>
        <w:autoSpaceDN/>
        <w:adjustRightInd/>
        <w:rPr>
          <w:rFonts w:ascii="Arial" w:hAnsi="Arial" w:cs="Arial"/>
          <w:sz w:val="20"/>
          <w:szCs w:val="20"/>
        </w:rPr>
      </w:pPr>
      <w:proofErr w:type="spellStart"/>
      <w:r w:rsidRPr="00DF014A">
        <w:rPr>
          <w:rFonts w:ascii="Arial" w:hAnsi="Arial" w:cs="Arial"/>
          <w:sz w:val="20"/>
          <w:szCs w:val="20"/>
        </w:rPr>
        <w:t>II.a</w:t>
      </w:r>
      <w:proofErr w:type="spellEnd"/>
      <w:r w:rsidRPr="00DF014A">
        <w:rPr>
          <w:rFonts w:ascii="Arial" w:hAnsi="Arial" w:cs="Arial"/>
          <w:sz w:val="20"/>
          <w:szCs w:val="20"/>
        </w:rPr>
        <w:t xml:space="preserve"> – Setores do Agronegócio</w:t>
      </w:r>
    </w:p>
    <w:p w:rsidR="007A0837" w:rsidRPr="00DF014A" w:rsidRDefault="007A0837" w:rsidP="007A0837">
      <w:pPr>
        <w:rPr>
          <w:rFonts w:ascii="Arial" w:hAnsi="Arial" w:cs="Arial"/>
          <w:sz w:val="20"/>
          <w:szCs w:val="20"/>
        </w:rPr>
      </w:pPr>
    </w:p>
    <w:p w:rsidR="00781C3B" w:rsidRDefault="007128E3" w:rsidP="007128E3">
      <w:pPr>
        <w:pStyle w:val="Recuodecorpodetexto"/>
        <w:ind w:firstLine="0"/>
        <w:rPr>
          <w:rFonts w:ascii="Arial" w:hAnsi="Arial" w:cs="Arial"/>
          <w:sz w:val="20"/>
          <w:szCs w:val="20"/>
        </w:rPr>
      </w:pPr>
      <w:r>
        <w:rPr>
          <w:rFonts w:ascii="Arial" w:hAnsi="Arial" w:cs="Arial"/>
          <w:sz w:val="20"/>
          <w:szCs w:val="20"/>
        </w:rPr>
        <w:t>Os produtos de origem vegetal foram os que mais contribuíram</w:t>
      </w:r>
      <w:r w:rsidR="009E422C">
        <w:rPr>
          <w:rFonts w:ascii="Arial" w:hAnsi="Arial" w:cs="Arial"/>
          <w:sz w:val="20"/>
          <w:szCs w:val="20"/>
        </w:rPr>
        <w:t xml:space="preserve"> para o crescimento das vendas externas de produtos agropecuários</w:t>
      </w:r>
      <w:r w:rsidR="007A7E6D">
        <w:rPr>
          <w:rFonts w:ascii="Arial" w:hAnsi="Arial" w:cs="Arial"/>
          <w:sz w:val="20"/>
          <w:szCs w:val="20"/>
        </w:rPr>
        <w:t xml:space="preserve"> no acumulado do ano, com aumento de US$ 5,11 bilhões de expansão. </w:t>
      </w:r>
      <w:r w:rsidR="00A14A1B">
        <w:rPr>
          <w:rFonts w:ascii="Arial" w:hAnsi="Arial" w:cs="Arial"/>
          <w:sz w:val="20"/>
          <w:szCs w:val="20"/>
        </w:rPr>
        <w:t>Em termos de valor exportado o</w:t>
      </w:r>
      <w:r w:rsidR="00A14A1B" w:rsidRPr="00A14A1B">
        <w:rPr>
          <w:rFonts w:ascii="Arial" w:hAnsi="Arial" w:cs="Arial"/>
          <w:sz w:val="20"/>
          <w:szCs w:val="20"/>
        </w:rPr>
        <w:t>s cinco principais setores exportadores do agronegócio foram: complexo soja (</w:t>
      </w:r>
      <w:r w:rsidR="00A14A1B">
        <w:rPr>
          <w:rFonts w:ascii="Arial" w:hAnsi="Arial" w:cs="Arial"/>
          <w:sz w:val="20"/>
          <w:szCs w:val="20"/>
        </w:rPr>
        <w:t>41,6</w:t>
      </w:r>
      <w:r w:rsidR="00A14A1B" w:rsidRPr="00A14A1B">
        <w:rPr>
          <w:rFonts w:ascii="Arial" w:hAnsi="Arial" w:cs="Arial"/>
          <w:sz w:val="20"/>
          <w:szCs w:val="20"/>
        </w:rPr>
        <w:t>% de participação); carnes (</w:t>
      </w:r>
      <w:r w:rsidR="00A14A1B">
        <w:rPr>
          <w:rFonts w:ascii="Arial" w:hAnsi="Arial" w:cs="Arial"/>
          <w:sz w:val="20"/>
          <w:szCs w:val="20"/>
        </w:rPr>
        <w:t>14,4</w:t>
      </w:r>
      <w:r w:rsidR="00A14A1B" w:rsidRPr="00A14A1B">
        <w:rPr>
          <w:rFonts w:ascii="Arial" w:hAnsi="Arial" w:cs="Arial"/>
          <w:sz w:val="20"/>
          <w:szCs w:val="20"/>
        </w:rPr>
        <w:t>% de participação); produtos florestais (1</w:t>
      </w:r>
      <w:r w:rsidR="00A14A1B">
        <w:rPr>
          <w:rFonts w:ascii="Arial" w:hAnsi="Arial" w:cs="Arial"/>
          <w:sz w:val="20"/>
          <w:szCs w:val="20"/>
        </w:rPr>
        <w:t>3</w:t>
      </w:r>
      <w:r w:rsidR="00A14A1B" w:rsidRPr="00A14A1B">
        <w:rPr>
          <w:rFonts w:ascii="Arial" w:hAnsi="Arial" w:cs="Arial"/>
          <w:sz w:val="20"/>
          <w:szCs w:val="20"/>
        </w:rPr>
        <w:t>,7% de participação);</w:t>
      </w:r>
      <w:r w:rsidR="004716B2" w:rsidRPr="004716B2">
        <w:rPr>
          <w:rFonts w:ascii="Arial" w:hAnsi="Arial" w:cs="Arial"/>
          <w:sz w:val="20"/>
          <w:szCs w:val="20"/>
        </w:rPr>
        <w:t xml:space="preserve"> </w:t>
      </w:r>
      <w:r w:rsidR="004716B2" w:rsidRPr="00A14A1B">
        <w:rPr>
          <w:rFonts w:ascii="Arial" w:hAnsi="Arial" w:cs="Arial"/>
          <w:sz w:val="20"/>
          <w:szCs w:val="20"/>
        </w:rPr>
        <w:t>complexo sucroalcooleiro (</w:t>
      </w:r>
      <w:r w:rsidR="004716B2">
        <w:rPr>
          <w:rFonts w:ascii="Arial" w:hAnsi="Arial" w:cs="Arial"/>
          <w:sz w:val="20"/>
          <w:szCs w:val="20"/>
        </w:rPr>
        <w:t>7,4% de participação) e café</w:t>
      </w:r>
      <w:r w:rsidR="004716B2" w:rsidRPr="00A14A1B">
        <w:rPr>
          <w:rFonts w:ascii="Arial" w:hAnsi="Arial" w:cs="Arial"/>
          <w:sz w:val="20"/>
          <w:szCs w:val="20"/>
        </w:rPr>
        <w:t xml:space="preserve"> (</w:t>
      </w:r>
      <w:r w:rsidR="00ED64F0">
        <w:rPr>
          <w:rFonts w:ascii="Arial" w:hAnsi="Arial" w:cs="Arial"/>
          <w:sz w:val="20"/>
          <w:szCs w:val="20"/>
        </w:rPr>
        <w:t>4,7</w:t>
      </w:r>
      <w:r w:rsidR="004716B2" w:rsidRPr="00A14A1B">
        <w:rPr>
          <w:rFonts w:ascii="Arial" w:hAnsi="Arial" w:cs="Arial"/>
          <w:sz w:val="20"/>
          <w:szCs w:val="20"/>
        </w:rPr>
        <w:t>% de participação).</w:t>
      </w:r>
      <w:r w:rsidR="00781C3B">
        <w:rPr>
          <w:rFonts w:ascii="Arial" w:hAnsi="Arial" w:cs="Arial"/>
          <w:sz w:val="20"/>
          <w:szCs w:val="20"/>
        </w:rPr>
        <w:t xml:space="preserve"> Em conjunto, tais </w:t>
      </w:r>
      <w:r w:rsidR="00A14A1B" w:rsidRPr="00A14A1B">
        <w:rPr>
          <w:rFonts w:ascii="Arial" w:hAnsi="Arial" w:cs="Arial"/>
          <w:sz w:val="20"/>
          <w:szCs w:val="20"/>
        </w:rPr>
        <w:t xml:space="preserve">setores foram responsáveis por </w:t>
      </w:r>
      <w:r w:rsidR="00781C3B">
        <w:rPr>
          <w:rFonts w:ascii="Arial" w:hAnsi="Arial" w:cs="Arial"/>
          <w:sz w:val="20"/>
          <w:szCs w:val="20"/>
        </w:rPr>
        <w:t>81,7</w:t>
      </w:r>
      <w:r w:rsidR="00A14A1B" w:rsidRPr="00A14A1B">
        <w:rPr>
          <w:rFonts w:ascii="Arial" w:hAnsi="Arial" w:cs="Arial"/>
          <w:sz w:val="20"/>
          <w:szCs w:val="20"/>
        </w:rPr>
        <w:t xml:space="preserve">% do total das exportações do agronegócio </w:t>
      </w:r>
      <w:r w:rsidR="00781C3B">
        <w:rPr>
          <w:rFonts w:ascii="Arial" w:hAnsi="Arial" w:cs="Arial"/>
          <w:sz w:val="20"/>
          <w:szCs w:val="20"/>
        </w:rPr>
        <w:t>entre janeiro e novembro</w:t>
      </w:r>
      <w:r w:rsidR="00A14A1B" w:rsidRPr="00A14A1B">
        <w:rPr>
          <w:rFonts w:ascii="Arial" w:hAnsi="Arial" w:cs="Arial"/>
          <w:sz w:val="20"/>
          <w:szCs w:val="20"/>
        </w:rPr>
        <w:t xml:space="preserve"> de 2018</w:t>
      </w:r>
      <w:r w:rsidR="00781C3B">
        <w:rPr>
          <w:rFonts w:ascii="Arial" w:hAnsi="Arial" w:cs="Arial"/>
          <w:sz w:val="20"/>
          <w:szCs w:val="20"/>
        </w:rPr>
        <w:t>, ou seja, 1,5 ponto percentual a mais do que a concentração dos mesmos setores no ano anterior</w:t>
      </w:r>
      <w:r w:rsidR="0085077D">
        <w:rPr>
          <w:rFonts w:ascii="Arial" w:hAnsi="Arial" w:cs="Arial"/>
          <w:sz w:val="20"/>
          <w:szCs w:val="20"/>
        </w:rPr>
        <w:t xml:space="preserve"> (80,2%)</w:t>
      </w:r>
      <w:r w:rsidR="00781C3B">
        <w:rPr>
          <w:rFonts w:ascii="Arial" w:hAnsi="Arial" w:cs="Arial"/>
          <w:sz w:val="20"/>
          <w:szCs w:val="20"/>
        </w:rPr>
        <w:t>.</w:t>
      </w:r>
    </w:p>
    <w:p w:rsidR="00781C3B" w:rsidRDefault="00781C3B" w:rsidP="007128E3">
      <w:pPr>
        <w:pStyle w:val="Recuodecorpodetexto"/>
        <w:ind w:firstLine="0"/>
        <w:rPr>
          <w:rFonts w:ascii="Arial" w:hAnsi="Arial" w:cs="Arial"/>
          <w:sz w:val="20"/>
          <w:szCs w:val="20"/>
        </w:rPr>
      </w:pPr>
    </w:p>
    <w:p w:rsidR="004644E5" w:rsidRPr="00C573CA" w:rsidRDefault="004644E5" w:rsidP="00C573CA">
      <w:pPr>
        <w:jc w:val="both"/>
        <w:rPr>
          <w:rFonts w:ascii="Arial" w:hAnsi="Arial" w:cs="Arial"/>
          <w:sz w:val="20"/>
          <w:szCs w:val="20"/>
        </w:rPr>
      </w:pPr>
      <w:r w:rsidRPr="00C573CA">
        <w:rPr>
          <w:rFonts w:ascii="Arial" w:hAnsi="Arial" w:cs="Arial"/>
          <w:sz w:val="20"/>
          <w:szCs w:val="20"/>
        </w:rPr>
        <w:t xml:space="preserve">As </w:t>
      </w:r>
      <w:r w:rsidR="004D58F7" w:rsidRPr="00C573CA">
        <w:rPr>
          <w:rFonts w:ascii="Arial" w:hAnsi="Arial" w:cs="Arial"/>
          <w:sz w:val="20"/>
          <w:szCs w:val="20"/>
        </w:rPr>
        <w:t>exportações</w:t>
      </w:r>
      <w:r w:rsidRPr="00C573CA">
        <w:rPr>
          <w:rFonts w:ascii="Arial" w:hAnsi="Arial" w:cs="Arial"/>
          <w:sz w:val="20"/>
          <w:szCs w:val="20"/>
        </w:rPr>
        <w:t xml:space="preserve"> do complexo soja</w:t>
      </w:r>
      <w:r w:rsidR="004D58F7" w:rsidRPr="00C573CA">
        <w:rPr>
          <w:rFonts w:ascii="Arial" w:hAnsi="Arial" w:cs="Arial"/>
          <w:sz w:val="20"/>
          <w:szCs w:val="20"/>
        </w:rPr>
        <w:t>, principal setor,</w:t>
      </w:r>
      <w:r w:rsidRPr="00C573CA">
        <w:rPr>
          <w:rFonts w:ascii="Arial" w:hAnsi="Arial" w:cs="Arial"/>
          <w:sz w:val="20"/>
          <w:szCs w:val="20"/>
        </w:rPr>
        <w:t xml:space="preserve"> </w:t>
      </w:r>
      <w:r w:rsidR="004D58F7" w:rsidRPr="00C573CA">
        <w:rPr>
          <w:rFonts w:ascii="Arial" w:hAnsi="Arial" w:cs="Arial"/>
          <w:sz w:val="20"/>
          <w:szCs w:val="20"/>
        </w:rPr>
        <w:t>somaram</w:t>
      </w:r>
      <w:r w:rsidRPr="00C573CA">
        <w:rPr>
          <w:rFonts w:ascii="Arial" w:hAnsi="Arial" w:cs="Arial"/>
          <w:sz w:val="20"/>
          <w:szCs w:val="20"/>
        </w:rPr>
        <w:t xml:space="preserve"> US$ </w:t>
      </w:r>
      <w:r w:rsidR="00AF49D0" w:rsidRPr="00C573CA">
        <w:rPr>
          <w:rFonts w:ascii="Arial" w:hAnsi="Arial" w:cs="Arial"/>
          <w:sz w:val="20"/>
          <w:szCs w:val="20"/>
        </w:rPr>
        <w:t>38,71</w:t>
      </w:r>
      <w:r w:rsidRPr="00C573CA">
        <w:rPr>
          <w:rFonts w:ascii="Arial" w:hAnsi="Arial" w:cs="Arial"/>
          <w:sz w:val="20"/>
          <w:szCs w:val="20"/>
        </w:rPr>
        <w:t xml:space="preserve"> bilhões no período em destaque, com expansão de </w:t>
      </w:r>
      <w:r w:rsidR="00AF49D0" w:rsidRPr="00C573CA">
        <w:rPr>
          <w:rFonts w:ascii="Arial" w:hAnsi="Arial" w:cs="Arial"/>
          <w:sz w:val="20"/>
          <w:szCs w:val="20"/>
        </w:rPr>
        <w:t>26,8</w:t>
      </w:r>
      <w:r w:rsidRPr="00C573CA">
        <w:rPr>
          <w:rFonts w:ascii="Arial" w:hAnsi="Arial" w:cs="Arial"/>
          <w:sz w:val="20"/>
          <w:szCs w:val="20"/>
        </w:rPr>
        <w:t xml:space="preserve">% em comparação </w:t>
      </w:r>
      <w:r w:rsidR="00AF49D0" w:rsidRPr="00C573CA">
        <w:rPr>
          <w:rFonts w:ascii="Arial" w:hAnsi="Arial" w:cs="Arial"/>
          <w:sz w:val="20"/>
          <w:szCs w:val="20"/>
        </w:rPr>
        <w:t>mesmo período imediatamente anterior</w:t>
      </w:r>
      <w:r w:rsidRPr="00C573CA">
        <w:rPr>
          <w:rFonts w:ascii="Arial" w:hAnsi="Arial" w:cs="Arial"/>
          <w:sz w:val="20"/>
          <w:szCs w:val="20"/>
        </w:rPr>
        <w:t xml:space="preserve"> ou, em valores absolutos, US$ </w:t>
      </w:r>
      <w:r w:rsidR="00AF49D0" w:rsidRPr="00C573CA">
        <w:rPr>
          <w:rFonts w:ascii="Arial" w:hAnsi="Arial" w:cs="Arial"/>
          <w:sz w:val="20"/>
          <w:szCs w:val="20"/>
        </w:rPr>
        <w:t>8,18</w:t>
      </w:r>
      <w:r w:rsidRPr="00C573CA">
        <w:rPr>
          <w:rFonts w:ascii="Arial" w:hAnsi="Arial" w:cs="Arial"/>
          <w:sz w:val="20"/>
          <w:szCs w:val="20"/>
        </w:rPr>
        <w:t xml:space="preserve"> bilhões. Tal incremento foi causado tanto pelo crescimento da quantidade comercializada (+</w:t>
      </w:r>
      <w:r w:rsidR="00AF49D0" w:rsidRPr="00C573CA">
        <w:rPr>
          <w:rFonts w:ascii="Arial" w:hAnsi="Arial" w:cs="Arial"/>
          <w:sz w:val="20"/>
          <w:szCs w:val="20"/>
        </w:rPr>
        <w:t>19,4</w:t>
      </w:r>
      <w:r w:rsidRPr="00C573CA">
        <w:rPr>
          <w:rFonts w:ascii="Arial" w:hAnsi="Arial" w:cs="Arial"/>
          <w:sz w:val="20"/>
          <w:szCs w:val="20"/>
        </w:rPr>
        <w:t>%), quanto pelo aumento do preço médio dos produtos do setor no período analisado (+</w:t>
      </w:r>
      <w:r w:rsidR="00AF49D0" w:rsidRPr="00C573CA">
        <w:rPr>
          <w:rFonts w:ascii="Arial" w:hAnsi="Arial" w:cs="Arial"/>
          <w:sz w:val="20"/>
          <w:szCs w:val="20"/>
        </w:rPr>
        <w:t>6,2%). A soja em grãos foi o</w:t>
      </w:r>
      <w:r w:rsidRPr="00C573CA">
        <w:rPr>
          <w:rFonts w:ascii="Arial" w:hAnsi="Arial" w:cs="Arial"/>
          <w:sz w:val="20"/>
          <w:szCs w:val="20"/>
        </w:rPr>
        <w:t xml:space="preserve"> item </w:t>
      </w:r>
      <w:r w:rsidR="00AF49D0" w:rsidRPr="00C573CA">
        <w:rPr>
          <w:rFonts w:ascii="Arial" w:hAnsi="Arial" w:cs="Arial"/>
          <w:sz w:val="20"/>
          <w:szCs w:val="20"/>
        </w:rPr>
        <w:t xml:space="preserve">mais vendido </w:t>
      </w:r>
      <w:r w:rsidR="005167A4">
        <w:rPr>
          <w:rFonts w:ascii="Arial" w:hAnsi="Arial" w:cs="Arial"/>
          <w:sz w:val="20"/>
          <w:szCs w:val="20"/>
        </w:rPr>
        <w:t xml:space="preserve">alcançando os recordes </w:t>
      </w:r>
      <w:r w:rsidR="009E0AC1">
        <w:rPr>
          <w:rFonts w:ascii="Arial" w:hAnsi="Arial" w:cs="Arial"/>
          <w:sz w:val="20"/>
          <w:szCs w:val="20"/>
        </w:rPr>
        <w:t xml:space="preserve">tanto </w:t>
      </w:r>
      <w:r w:rsidR="005167A4">
        <w:rPr>
          <w:rFonts w:ascii="Arial" w:hAnsi="Arial" w:cs="Arial"/>
          <w:sz w:val="20"/>
          <w:szCs w:val="20"/>
        </w:rPr>
        <w:t>em valor</w:t>
      </w:r>
      <w:r w:rsidR="00CC580F" w:rsidRPr="00C573CA">
        <w:rPr>
          <w:rFonts w:ascii="Arial" w:hAnsi="Arial" w:cs="Arial"/>
          <w:sz w:val="20"/>
          <w:szCs w:val="20"/>
        </w:rPr>
        <w:t xml:space="preserve"> </w:t>
      </w:r>
      <w:r w:rsidR="005167A4">
        <w:rPr>
          <w:rFonts w:ascii="Arial" w:hAnsi="Arial" w:cs="Arial"/>
          <w:sz w:val="20"/>
          <w:szCs w:val="20"/>
        </w:rPr>
        <w:t>(</w:t>
      </w:r>
      <w:r w:rsidR="00CC580F" w:rsidRPr="00C573CA">
        <w:rPr>
          <w:rFonts w:ascii="Arial" w:hAnsi="Arial" w:cs="Arial"/>
          <w:sz w:val="20"/>
          <w:szCs w:val="20"/>
        </w:rPr>
        <w:t xml:space="preserve">US$ </w:t>
      </w:r>
      <w:r w:rsidR="00C573CA" w:rsidRPr="00C573CA">
        <w:rPr>
          <w:rFonts w:ascii="Arial" w:hAnsi="Arial" w:cs="Arial"/>
          <w:sz w:val="20"/>
          <w:szCs w:val="20"/>
        </w:rPr>
        <w:t>31,63 bilhões</w:t>
      </w:r>
      <w:r w:rsidR="009E0AC1">
        <w:rPr>
          <w:rFonts w:ascii="Arial" w:hAnsi="Arial" w:cs="Arial"/>
          <w:sz w:val="20"/>
          <w:szCs w:val="20"/>
        </w:rPr>
        <w:t>)</w:t>
      </w:r>
      <w:r w:rsidR="00C573CA" w:rsidRPr="00C573CA">
        <w:rPr>
          <w:rFonts w:ascii="Arial" w:hAnsi="Arial" w:cs="Arial"/>
          <w:sz w:val="20"/>
          <w:szCs w:val="20"/>
        </w:rPr>
        <w:t xml:space="preserve"> </w:t>
      </w:r>
      <w:r w:rsidR="003B4B15">
        <w:rPr>
          <w:rFonts w:ascii="Arial" w:hAnsi="Arial" w:cs="Arial"/>
          <w:sz w:val="20"/>
          <w:szCs w:val="20"/>
        </w:rPr>
        <w:t>como em</w:t>
      </w:r>
      <w:r w:rsidR="009E0AC1">
        <w:rPr>
          <w:rFonts w:ascii="Arial" w:hAnsi="Arial" w:cs="Arial"/>
          <w:sz w:val="20"/>
          <w:szCs w:val="20"/>
        </w:rPr>
        <w:t xml:space="preserve"> quantidade (</w:t>
      </w:r>
      <w:r w:rsidR="00C573CA" w:rsidRPr="00C573CA">
        <w:rPr>
          <w:rFonts w:ascii="Arial" w:hAnsi="Arial" w:cs="Arial"/>
          <w:sz w:val="20"/>
          <w:szCs w:val="20"/>
        </w:rPr>
        <w:t>79,57 milhões de toneladas</w:t>
      </w:r>
      <w:r w:rsidR="009E0AC1">
        <w:rPr>
          <w:rFonts w:ascii="Arial" w:hAnsi="Arial" w:cs="Arial"/>
          <w:sz w:val="20"/>
          <w:szCs w:val="20"/>
        </w:rPr>
        <w:t>)</w:t>
      </w:r>
      <w:r w:rsidR="00C573CA" w:rsidRPr="00C573CA">
        <w:rPr>
          <w:rFonts w:ascii="Arial" w:hAnsi="Arial" w:cs="Arial"/>
          <w:sz w:val="20"/>
          <w:szCs w:val="20"/>
        </w:rPr>
        <w:t>.</w:t>
      </w:r>
      <w:r w:rsidRPr="00C573CA">
        <w:rPr>
          <w:rFonts w:ascii="Arial" w:hAnsi="Arial" w:cs="Arial"/>
          <w:sz w:val="20"/>
          <w:szCs w:val="20"/>
        </w:rPr>
        <w:t xml:space="preserve"> O farelo de soja contribuiu com US$ </w:t>
      </w:r>
      <w:r w:rsidR="00C573CA" w:rsidRPr="00C573CA">
        <w:rPr>
          <w:rFonts w:ascii="Arial" w:hAnsi="Arial" w:cs="Arial"/>
          <w:sz w:val="20"/>
          <w:szCs w:val="20"/>
        </w:rPr>
        <w:t>6,09</w:t>
      </w:r>
      <w:r w:rsidRPr="00C573CA">
        <w:rPr>
          <w:rFonts w:ascii="Arial" w:hAnsi="Arial" w:cs="Arial"/>
          <w:sz w:val="20"/>
          <w:szCs w:val="20"/>
        </w:rPr>
        <w:t xml:space="preserve"> bilhões em vendas </w:t>
      </w:r>
      <w:r w:rsidR="00C573CA" w:rsidRPr="00C573CA">
        <w:rPr>
          <w:rFonts w:ascii="Arial" w:hAnsi="Arial" w:cs="Arial"/>
          <w:sz w:val="20"/>
          <w:szCs w:val="20"/>
        </w:rPr>
        <w:t>(+28,5</w:t>
      </w:r>
      <w:r w:rsidRPr="00C573CA">
        <w:rPr>
          <w:rFonts w:ascii="Arial" w:hAnsi="Arial" w:cs="Arial"/>
          <w:sz w:val="20"/>
          <w:szCs w:val="20"/>
        </w:rPr>
        <w:t xml:space="preserve">%) e </w:t>
      </w:r>
      <w:r w:rsidR="00D876D0">
        <w:rPr>
          <w:rFonts w:ascii="Arial" w:hAnsi="Arial" w:cs="Arial"/>
          <w:sz w:val="20"/>
          <w:szCs w:val="20"/>
        </w:rPr>
        <w:t xml:space="preserve">o recorde de </w:t>
      </w:r>
      <w:r w:rsidR="00C573CA" w:rsidRPr="00C573CA">
        <w:rPr>
          <w:rFonts w:ascii="Arial" w:hAnsi="Arial" w:cs="Arial"/>
          <w:sz w:val="20"/>
          <w:szCs w:val="20"/>
        </w:rPr>
        <w:t>15,25</w:t>
      </w:r>
      <w:r w:rsidRPr="00C573CA">
        <w:rPr>
          <w:rFonts w:ascii="Arial" w:hAnsi="Arial" w:cs="Arial"/>
          <w:sz w:val="20"/>
          <w:szCs w:val="20"/>
        </w:rPr>
        <w:t xml:space="preserve"> milhões de toneladas </w:t>
      </w:r>
      <w:r w:rsidR="00C573CA" w:rsidRPr="00C573CA">
        <w:rPr>
          <w:rFonts w:ascii="Arial" w:hAnsi="Arial" w:cs="Arial"/>
          <w:sz w:val="20"/>
          <w:szCs w:val="20"/>
        </w:rPr>
        <w:t>embarcadas (+13,0%)</w:t>
      </w:r>
      <w:r w:rsidRPr="00C573CA">
        <w:rPr>
          <w:rFonts w:ascii="Arial" w:hAnsi="Arial" w:cs="Arial"/>
          <w:sz w:val="20"/>
          <w:szCs w:val="20"/>
        </w:rPr>
        <w:t xml:space="preserve">. As exportações de óleo de soja totalizaram US$ </w:t>
      </w:r>
      <w:r w:rsidR="00C573CA" w:rsidRPr="00C573CA">
        <w:rPr>
          <w:rFonts w:ascii="Arial" w:hAnsi="Arial" w:cs="Arial"/>
          <w:sz w:val="20"/>
          <w:szCs w:val="20"/>
        </w:rPr>
        <w:t>993,17</w:t>
      </w:r>
      <w:r w:rsidRPr="00C573CA">
        <w:rPr>
          <w:rFonts w:ascii="Arial" w:hAnsi="Arial" w:cs="Arial"/>
          <w:sz w:val="20"/>
          <w:szCs w:val="20"/>
        </w:rPr>
        <w:t xml:space="preserve"> milhões (+</w:t>
      </w:r>
      <w:r w:rsidR="00C573CA" w:rsidRPr="00C573CA">
        <w:rPr>
          <w:rFonts w:ascii="Arial" w:hAnsi="Arial" w:cs="Arial"/>
          <w:sz w:val="20"/>
          <w:szCs w:val="20"/>
        </w:rPr>
        <w:t>0,2</w:t>
      </w:r>
      <w:r w:rsidRPr="00C573CA">
        <w:rPr>
          <w:rFonts w:ascii="Arial" w:hAnsi="Arial" w:cs="Arial"/>
          <w:sz w:val="20"/>
          <w:szCs w:val="20"/>
        </w:rPr>
        <w:t xml:space="preserve">%) </w:t>
      </w:r>
      <w:r w:rsidR="00C573CA" w:rsidRPr="00C573CA">
        <w:rPr>
          <w:rFonts w:ascii="Arial" w:hAnsi="Arial" w:cs="Arial"/>
          <w:sz w:val="20"/>
          <w:szCs w:val="20"/>
        </w:rPr>
        <w:t>e</w:t>
      </w:r>
      <w:r w:rsidRPr="00C573CA">
        <w:rPr>
          <w:rFonts w:ascii="Arial" w:hAnsi="Arial" w:cs="Arial"/>
          <w:sz w:val="20"/>
          <w:szCs w:val="20"/>
        </w:rPr>
        <w:t xml:space="preserve"> </w:t>
      </w:r>
      <w:r w:rsidR="00C573CA" w:rsidRPr="00C573CA">
        <w:rPr>
          <w:rFonts w:ascii="Arial" w:hAnsi="Arial" w:cs="Arial"/>
          <w:sz w:val="20"/>
          <w:szCs w:val="20"/>
        </w:rPr>
        <w:t>1,37 milhão de</w:t>
      </w:r>
      <w:r w:rsidRPr="00C573CA">
        <w:rPr>
          <w:rFonts w:ascii="Arial" w:hAnsi="Arial" w:cs="Arial"/>
          <w:sz w:val="20"/>
          <w:szCs w:val="20"/>
        </w:rPr>
        <w:t xml:space="preserve"> toneladas (+</w:t>
      </w:r>
      <w:r w:rsidR="00C573CA" w:rsidRPr="00C573CA">
        <w:rPr>
          <w:rFonts w:ascii="Arial" w:hAnsi="Arial" w:cs="Arial"/>
          <w:sz w:val="20"/>
          <w:szCs w:val="20"/>
        </w:rPr>
        <w:t>6,0</w:t>
      </w:r>
      <w:r w:rsidRPr="00C573CA">
        <w:rPr>
          <w:rFonts w:ascii="Arial" w:hAnsi="Arial" w:cs="Arial"/>
          <w:sz w:val="20"/>
          <w:szCs w:val="20"/>
        </w:rPr>
        <w:t>%).</w:t>
      </w:r>
    </w:p>
    <w:p w:rsidR="004644E5" w:rsidRPr="00C573CA" w:rsidRDefault="004644E5" w:rsidP="004644E5">
      <w:pPr>
        <w:jc w:val="both"/>
        <w:rPr>
          <w:rFonts w:ascii="Arial" w:hAnsi="Arial" w:cs="Arial"/>
          <w:sz w:val="20"/>
          <w:szCs w:val="20"/>
        </w:rPr>
      </w:pPr>
    </w:p>
    <w:p w:rsidR="009E736D" w:rsidRDefault="00017297" w:rsidP="009E736D">
      <w:pPr>
        <w:jc w:val="both"/>
        <w:rPr>
          <w:rFonts w:ascii="Arial" w:hAnsi="Arial" w:cs="Arial"/>
          <w:sz w:val="20"/>
          <w:szCs w:val="20"/>
        </w:rPr>
      </w:pPr>
      <w:r w:rsidRPr="00017297">
        <w:rPr>
          <w:rFonts w:ascii="Arial" w:hAnsi="Arial" w:cs="Arial"/>
          <w:sz w:val="20"/>
          <w:szCs w:val="20"/>
        </w:rPr>
        <w:t xml:space="preserve">As carnes ocuparam a segunda posição no </w:t>
      </w:r>
      <w:r w:rsidRPr="003957DC">
        <w:rPr>
          <w:rFonts w:ascii="Arial" w:hAnsi="Arial" w:cs="Arial"/>
          <w:i/>
          <w:sz w:val="20"/>
          <w:szCs w:val="20"/>
        </w:rPr>
        <w:t>ranking</w:t>
      </w:r>
      <w:r w:rsidRPr="00017297">
        <w:rPr>
          <w:rFonts w:ascii="Arial" w:hAnsi="Arial" w:cs="Arial"/>
          <w:sz w:val="20"/>
          <w:szCs w:val="20"/>
        </w:rPr>
        <w:t xml:space="preserve"> de setores por valor.</w:t>
      </w:r>
      <w:r w:rsidR="004E55F7">
        <w:rPr>
          <w:rFonts w:ascii="Arial" w:hAnsi="Arial" w:cs="Arial"/>
          <w:sz w:val="20"/>
          <w:szCs w:val="20"/>
        </w:rPr>
        <w:t xml:space="preserve"> Suas </w:t>
      </w:r>
      <w:r w:rsidR="009E736D">
        <w:rPr>
          <w:rFonts w:ascii="Arial" w:hAnsi="Arial" w:cs="Arial"/>
          <w:sz w:val="20"/>
          <w:szCs w:val="20"/>
        </w:rPr>
        <w:t>vendas externas foram de US$ 13,40 bilhões, o que representou queda de 5,9% em relação</w:t>
      </w:r>
      <w:r w:rsidR="004644E5" w:rsidRPr="009E736D">
        <w:rPr>
          <w:rFonts w:ascii="Arial" w:hAnsi="Arial" w:cs="Arial"/>
          <w:sz w:val="20"/>
          <w:szCs w:val="20"/>
        </w:rPr>
        <w:t xml:space="preserve"> </w:t>
      </w:r>
      <w:r w:rsidR="009E736D" w:rsidRPr="009E736D">
        <w:rPr>
          <w:rFonts w:ascii="Arial" w:hAnsi="Arial" w:cs="Arial"/>
          <w:sz w:val="20"/>
          <w:szCs w:val="20"/>
        </w:rPr>
        <w:t xml:space="preserve">ao </w:t>
      </w:r>
      <w:r w:rsidR="009E736D">
        <w:rPr>
          <w:rFonts w:ascii="Arial" w:hAnsi="Arial" w:cs="Arial"/>
          <w:sz w:val="20"/>
          <w:szCs w:val="20"/>
        </w:rPr>
        <w:t xml:space="preserve">mesmo período do </w:t>
      </w:r>
      <w:r w:rsidR="009E736D" w:rsidRPr="009E736D">
        <w:rPr>
          <w:rFonts w:ascii="Arial" w:hAnsi="Arial" w:cs="Arial"/>
          <w:sz w:val="20"/>
          <w:szCs w:val="20"/>
        </w:rPr>
        <w:t xml:space="preserve">ano anterior. </w:t>
      </w:r>
      <w:r w:rsidR="00506D8E">
        <w:rPr>
          <w:rFonts w:ascii="Arial" w:hAnsi="Arial" w:cs="Arial"/>
          <w:sz w:val="20"/>
          <w:szCs w:val="20"/>
        </w:rPr>
        <w:t xml:space="preserve">Essa queda foi causada particularmente pelas perdas na carne de frango, que passaram de US$ 6,62 bilhões </w:t>
      </w:r>
      <w:r w:rsidR="003957DC">
        <w:rPr>
          <w:rFonts w:ascii="Arial" w:hAnsi="Arial" w:cs="Arial"/>
          <w:sz w:val="20"/>
          <w:szCs w:val="20"/>
        </w:rPr>
        <w:t xml:space="preserve">no acumulado do ano em 2017 </w:t>
      </w:r>
      <w:r w:rsidR="00506D8E">
        <w:rPr>
          <w:rFonts w:ascii="Arial" w:hAnsi="Arial" w:cs="Arial"/>
          <w:sz w:val="20"/>
          <w:szCs w:val="20"/>
        </w:rPr>
        <w:t xml:space="preserve">para US$ 5,84 bilhões </w:t>
      </w:r>
      <w:r w:rsidR="003957DC">
        <w:rPr>
          <w:rFonts w:ascii="Arial" w:hAnsi="Arial" w:cs="Arial"/>
          <w:sz w:val="20"/>
          <w:szCs w:val="20"/>
        </w:rPr>
        <w:t xml:space="preserve">no último período </w:t>
      </w:r>
      <w:r w:rsidR="00506D8E">
        <w:rPr>
          <w:rFonts w:ascii="Arial" w:hAnsi="Arial" w:cs="Arial"/>
          <w:sz w:val="20"/>
          <w:szCs w:val="20"/>
        </w:rPr>
        <w:t>(-11,7%). Com esse resultado</w:t>
      </w:r>
      <w:r w:rsidR="00D94D7E">
        <w:rPr>
          <w:rFonts w:ascii="Arial" w:hAnsi="Arial" w:cs="Arial"/>
          <w:sz w:val="20"/>
          <w:szCs w:val="20"/>
        </w:rPr>
        <w:t>,</w:t>
      </w:r>
      <w:r w:rsidR="00506D8E">
        <w:rPr>
          <w:rFonts w:ascii="Arial" w:hAnsi="Arial" w:cs="Arial"/>
          <w:sz w:val="20"/>
          <w:szCs w:val="20"/>
        </w:rPr>
        <w:t xml:space="preserve"> o produto perdeu sua posição enquanto principal item do setor para a carne bovina, cujas exportações somaram US$ 5,97 bilhões (+8,3%).</w:t>
      </w:r>
      <w:r w:rsidR="006D523D">
        <w:rPr>
          <w:rFonts w:ascii="Arial" w:hAnsi="Arial" w:cs="Arial"/>
          <w:sz w:val="20"/>
          <w:szCs w:val="20"/>
        </w:rPr>
        <w:t xml:space="preserve"> Tanto a carne de frango quanto a bovina sofreram quedas de preço (-5,9% e -2,2%, respectivamente), porém enquanto o frango registrou queda n</w:t>
      </w:r>
      <w:r w:rsidR="008F127B">
        <w:rPr>
          <w:rFonts w:ascii="Arial" w:hAnsi="Arial" w:cs="Arial"/>
          <w:sz w:val="20"/>
          <w:szCs w:val="20"/>
        </w:rPr>
        <w:t xml:space="preserve">a quantidade </w:t>
      </w:r>
      <w:r w:rsidR="009929FF">
        <w:rPr>
          <w:rFonts w:ascii="Arial" w:hAnsi="Arial" w:cs="Arial"/>
          <w:sz w:val="20"/>
          <w:szCs w:val="20"/>
        </w:rPr>
        <w:t>(-6,2</w:t>
      </w:r>
      <w:r w:rsidR="006D523D">
        <w:rPr>
          <w:rFonts w:ascii="Arial" w:hAnsi="Arial" w:cs="Arial"/>
          <w:sz w:val="20"/>
          <w:szCs w:val="20"/>
        </w:rPr>
        <w:t>%), a carne bovina observou crescimento de 10,7%</w:t>
      </w:r>
      <w:r w:rsidR="00D511E3">
        <w:rPr>
          <w:rFonts w:ascii="Arial" w:hAnsi="Arial" w:cs="Arial"/>
          <w:sz w:val="20"/>
          <w:szCs w:val="20"/>
        </w:rPr>
        <w:t xml:space="preserve">, alcançando o </w:t>
      </w:r>
      <w:r w:rsidR="008F127B">
        <w:rPr>
          <w:rFonts w:ascii="Arial" w:hAnsi="Arial" w:cs="Arial"/>
          <w:sz w:val="20"/>
          <w:szCs w:val="20"/>
        </w:rPr>
        <w:t xml:space="preserve">segundo maior </w:t>
      </w:r>
      <w:r w:rsidR="008F127B" w:rsidRPr="008F127B">
        <w:rPr>
          <w:rFonts w:ascii="Arial" w:hAnsi="Arial" w:cs="Arial"/>
          <w:i/>
          <w:sz w:val="20"/>
          <w:szCs w:val="20"/>
        </w:rPr>
        <w:t>quantum</w:t>
      </w:r>
      <w:r w:rsidR="008F127B">
        <w:rPr>
          <w:rFonts w:ascii="Arial" w:hAnsi="Arial" w:cs="Arial"/>
          <w:sz w:val="20"/>
          <w:szCs w:val="20"/>
        </w:rPr>
        <w:t xml:space="preserve"> </w:t>
      </w:r>
      <w:r w:rsidR="00B24D7A">
        <w:rPr>
          <w:rFonts w:ascii="Arial" w:hAnsi="Arial" w:cs="Arial"/>
          <w:sz w:val="20"/>
          <w:szCs w:val="20"/>
        </w:rPr>
        <w:t xml:space="preserve">da série histórica </w:t>
      </w:r>
      <w:r w:rsidR="00D511E3">
        <w:rPr>
          <w:rFonts w:ascii="Arial" w:hAnsi="Arial" w:cs="Arial"/>
          <w:sz w:val="20"/>
          <w:szCs w:val="20"/>
        </w:rPr>
        <w:t>para o período (</w:t>
      </w:r>
      <w:r w:rsidR="008F0FE2">
        <w:rPr>
          <w:rFonts w:ascii="Arial" w:hAnsi="Arial" w:cs="Arial"/>
          <w:sz w:val="20"/>
          <w:szCs w:val="20"/>
        </w:rPr>
        <w:t>1,49</w:t>
      </w:r>
      <w:r w:rsidR="00D511E3">
        <w:rPr>
          <w:rFonts w:ascii="Arial" w:hAnsi="Arial" w:cs="Arial"/>
          <w:sz w:val="20"/>
          <w:szCs w:val="20"/>
        </w:rPr>
        <w:t xml:space="preserve"> milhão de toneladas)</w:t>
      </w:r>
      <w:r w:rsidR="006D523D">
        <w:rPr>
          <w:rFonts w:ascii="Arial" w:hAnsi="Arial" w:cs="Arial"/>
          <w:sz w:val="20"/>
          <w:szCs w:val="20"/>
        </w:rPr>
        <w:t>.</w:t>
      </w:r>
    </w:p>
    <w:p w:rsidR="006D523D" w:rsidRPr="00364750" w:rsidRDefault="006D523D" w:rsidP="009E736D">
      <w:pPr>
        <w:jc w:val="both"/>
        <w:rPr>
          <w:rFonts w:ascii="Arial" w:hAnsi="Arial" w:cs="Arial"/>
          <w:sz w:val="20"/>
          <w:szCs w:val="20"/>
        </w:rPr>
      </w:pPr>
    </w:p>
    <w:p w:rsidR="00CA26F5" w:rsidRPr="00364750" w:rsidRDefault="00CA26F5" w:rsidP="00CA26F5">
      <w:pPr>
        <w:jc w:val="both"/>
        <w:rPr>
          <w:rFonts w:ascii="Arial" w:hAnsi="Arial" w:cs="Arial"/>
          <w:sz w:val="20"/>
          <w:szCs w:val="20"/>
        </w:rPr>
      </w:pPr>
      <w:r w:rsidRPr="003462D9">
        <w:rPr>
          <w:rFonts w:ascii="Arial" w:hAnsi="Arial" w:cs="Arial"/>
          <w:sz w:val="20"/>
          <w:szCs w:val="20"/>
        </w:rPr>
        <w:lastRenderedPageBreak/>
        <w:t xml:space="preserve">Em seguida se destacaram os produtos florestais, com vendas de US$ </w:t>
      </w:r>
      <w:r w:rsidR="00BA2E93" w:rsidRPr="003462D9">
        <w:rPr>
          <w:rFonts w:ascii="Arial" w:hAnsi="Arial" w:cs="Arial"/>
          <w:sz w:val="20"/>
          <w:szCs w:val="20"/>
        </w:rPr>
        <w:t>12,73</w:t>
      </w:r>
      <w:r w:rsidRPr="003462D9">
        <w:rPr>
          <w:rFonts w:ascii="Arial" w:hAnsi="Arial" w:cs="Arial"/>
          <w:sz w:val="20"/>
          <w:szCs w:val="20"/>
        </w:rPr>
        <w:t xml:space="preserve"> bilhões (+</w:t>
      </w:r>
      <w:r w:rsidR="00BA2E93" w:rsidRPr="003462D9">
        <w:rPr>
          <w:rFonts w:ascii="Arial" w:hAnsi="Arial" w:cs="Arial"/>
          <w:sz w:val="20"/>
          <w:szCs w:val="20"/>
        </w:rPr>
        <w:t>22,2</w:t>
      </w:r>
      <w:r w:rsidRPr="003462D9">
        <w:rPr>
          <w:rFonts w:ascii="Arial" w:hAnsi="Arial" w:cs="Arial"/>
          <w:sz w:val="20"/>
          <w:szCs w:val="20"/>
        </w:rPr>
        <w:t xml:space="preserve">%). O principal item negociado foi a celulose, cujas exportações atingiram números recordes para o </w:t>
      </w:r>
      <w:r w:rsidR="00486A0A" w:rsidRPr="003462D9">
        <w:rPr>
          <w:rFonts w:ascii="Arial" w:hAnsi="Arial" w:cs="Arial"/>
          <w:sz w:val="20"/>
          <w:szCs w:val="20"/>
        </w:rPr>
        <w:t>período acumulado (janeiro a novembro)</w:t>
      </w:r>
      <w:r w:rsidRPr="003462D9">
        <w:rPr>
          <w:rFonts w:ascii="Arial" w:hAnsi="Arial" w:cs="Arial"/>
          <w:sz w:val="20"/>
          <w:szCs w:val="20"/>
        </w:rPr>
        <w:t xml:space="preserve">, tanto em valor (US$ </w:t>
      </w:r>
      <w:r w:rsidR="00486A0A" w:rsidRPr="003462D9">
        <w:rPr>
          <w:rFonts w:ascii="Arial" w:hAnsi="Arial" w:cs="Arial"/>
          <w:sz w:val="20"/>
          <w:szCs w:val="20"/>
        </w:rPr>
        <w:t>7,51</w:t>
      </w:r>
      <w:r w:rsidRPr="003462D9">
        <w:rPr>
          <w:rFonts w:ascii="Arial" w:hAnsi="Arial" w:cs="Arial"/>
          <w:sz w:val="20"/>
          <w:szCs w:val="20"/>
        </w:rPr>
        <w:t xml:space="preserve"> bilhões) quanto em quantidade (</w:t>
      </w:r>
      <w:r w:rsidR="00486A0A" w:rsidRPr="003462D9">
        <w:rPr>
          <w:rFonts w:ascii="Arial" w:hAnsi="Arial" w:cs="Arial"/>
          <w:sz w:val="20"/>
          <w:szCs w:val="20"/>
        </w:rPr>
        <w:t>13,78</w:t>
      </w:r>
      <w:r w:rsidRPr="003462D9">
        <w:rPr>
          <w:rFonts w:ascii="Arial" w:hAnsi="Arial" w:cs="Arial"/>
          <w:sz w:val="20"/>
          <w:szCs w:val="20"/>
        </w:rPr>
        <w:t xml:space="preserve"> milhões de toneladas). Em seguida, destacaram-se as exportações de madeiras e suas obras, com a cifra de US$ </w:t>
      </w:r>
      <w:r w:rsidR="003462D9" w:rsidRPr="003462D9">
        <w:rPr>
          <w:rFonts w:ascii="Arial" w:hAnsi="Arial" w:cs="Arial"/>
          <w:sz w:val="20"/>
          <w:szCs w:val="20"/>
        </w:rPr>
        <w:t>3,38</w:t>
      </w:r>
      <w:r w:rsidRPr="003462D9">
        <w:rPr>
          <w:rFonts w:ascii="Arial" w:hAnsi="Arial" w:cs="Arial"/>
          <w:sz w:val="20"/>
          <w:szCs w:val="20"/>
        </w:rPr>
        <w:t xml:space="preserve"> bilh</w:t>
      </w:r>
      <w:r w:rsidR="003462D9" w:rsidRPr="003462D9">
        <w:rPr>
          <w:rFonts w:ascii="Arial" w:hAnsi="Arial" w:cs="Arial"/>
          <w:sz w:val="20"/>
          <w:szCs w:val="20"/>
        </w:rPr>
        <w:t>ões</w:t>
      </w:r>
      <w:r w:rsidRPr="003462D9">
        <w:rPr>
          <w:rFonts w:ascii="Arial" w:hAnsi="Arial" w:cs="Arial"/>
          <w:sz w:val="20"/>
          <w:szCs w:val="20"/>
        </w:rPr>
        <w:t xml:space="preserve"> (+</w:t>
      </w:r>
      <w:r w:rsidR="003462D9" w:rsidRPr="003462D9">
        <w:rPr>
          <w:rFonts w:ascii="Arial" w:hAnsi="Arial" w:cs="Arial"/>
          <w:sz w:val="20"/>
          <w:szCs w:val="20"/>
        </w:rPr>
        <w:t>15,1</w:t>
      </w:r>
      <w:r w:rsidRPr="003462D9">
        <w:rPr>
          <w:rFonts w:ascii="Arial" w:hAnsi="Arial" w:cs="Arial"/>
          <w:sz w:val="20"/>
          <w:szCs w:val="20"/>
        </w:rPr>
        <w:t xml:space="preserve">%), e as vendas externas de papel, que totalizaram US$ </w:t>
      </w:r>
      <w:r w:rsidR="003462D9" w:rsidRPr="003462D9">
        <w:rPr>
          <w:rFonts w:ascii="Arial" w:hAnsi="Arial" w:cs="Arial"/>
          <w:sz w:val="20"/>
          <w:szCs w:val="20"/>
        </w:rPr>
        <w:t>1,84 bilhão (+5,1</w:t>
      </w:r>
      <w:r w:rsidRPr="003462D9">
        <w:rPr>
          <w:rFonts w:ascii="Arial" w:hAnsi="Arial" w:cs="Arial"/>
          <w:sz w:val="20"/>
          <w:szCs w:val="20"/>
        </w:rPr>
        <w:t>%).</w:t>
      </w:r>
    </w:p>
    <w:p w:rsidR="00CA26F5" w:rsidRPr="00364750" w:rsidRDefault="00CA26F5" w:rsidP="00CA26F5">
      <w:pPr>
        <w:jc w:val="both"/>
        <w:rPr>
          <w:rFonts w:ascii="Arial" w:hAnsi="Arial" w:cs="Arial"/>
          <w:sz w:val="20"/>
          <w:szCs w:val="20"/>
        </w:rPr>
      </w:pPr>
    </w:p>
    <w:p w:rsidR="004644E5" w:rsidRPr="00364750" w:rsidRDefault="004644E5" w:rsidP="004644E5">
      <w:pPr>
        <w:jc w:val="both"/>
        <w:rPr>
          <w:rFonts w:ascii="Arial" w:hAnsi="Arial" w:cs="Arial"/>
          <w:sz w:val="20"/>
          <w:szCs w:val="20"/>
        </w:rPr>
      </w:pPr>
      <w:r w:rsidRPr="00364750">
        <w:rPr>
          <w:rFonts w:ascii="Arial" w:hAnsi="Arial" w:cs="Arial"/>
          <w:sz w:val="20"/>
          <w:szCs w:val="20"/>
        </w:rPr>
        <w:t xml:space="preserve">O complexo sucroalcooleiro ficou na </w:t>
      </w:r>
      <w:r w:rsidR="00CA26F5">
        <w:rPr>
          <w:rFonts w:ascii="Arial" w:hAnsi="Arial" w:cs="Arial"/>
          <w:sz w:val="20"/>
          <w:szCs w:val="20"/>
        </w:rPr>
        <w:t>quarta</w:t>
      </w:r>
      <w:r w:rsidRPr="00364750">
        <w:rPr>
          <w:rFonts w:ascii="Arial" w:hAnsi="Arial" w:cs="Arial"/>
          <w:sz w:val="20"/>
          <w:szCs w:val="20"/>
        </w:rPr>
        <w:t xml:space="preserve"> colocação entre os principais setores do agronegócio brasileiro em valor exportado entre janeiro e </w:t>
      </w:r>
      <w:r w:rsidR="009A34D1">
        <w:rPr>
          <w:rFonts w:ascii="Arial" w:hAnsi="Arial" w:cs="Arial"/>
          <w:sz w:val="20"/>
          <w:szCs w:val="20"/>
        </w:rPr>
        <w:t>novembro de 2018</w:t>
      </w:r>
      <w:r w:rsidRPr="00364750">
        <w:rPr>
          <w:rFonts w:ascii="Arial" w:hAnsi="Arial" w:cs="Arial"/>
          <w:sz w:val="20"/>
          <w:szCs w:val="20"/>
        </w:rPr>
        <w:t xml:space="preserve">, com a cifra de US$ </w:t>
      </w:r>
      <w:r w:rsidR="004662F4">
        <w:rPr>
          <w:rFonts w:ascii="Arial" w:hAnsi="Arial" w:cs="Arial"/>
          <w:sz w:val="20"/>
          <w:szCs w:val="20"/>
        </w:rPr>
        <w:t>6,93</w:t>
      </w:r>
      <w:r w:rsidRPr="00364750">
        <w:rPr>
          <w:rFonts w:ascii="Arial" w:hAnsi="Arial" w:cs="Arial"/>
          <w:sz w:val="20"/>
          <w:szCs w:val="20"/>
        </w:rPr>
        <w:t xml:space="preserve"> bilhões </w:t>
      </w:r>
      <w:r w:rsidR="004662F4">
        <w:rPr>
          <w:rFonts w:ascii="Arial" w:hAnsi="Arial" w:cs="Arial"/>
          <w:sz w:val="20"/>
          <w:szCs w:val="20"/>
        </w:rPr>
        <w:t>(-39,7</w:t>
      </w:r>
      <w:r w:rsidRPr="00364750">
        <w:rPr>
          <w:rFonts w:ascii="Arial" w:hAnsi="Arial" w:cs="Arial"/>
          <w:sz w:val="20"/>
          <w:szCs w:val="20"/>
        </w:rPr>
        <w:t xml:space="preserve">%). O açúcar foi o principal item negociado pelo setor, com </w:t>
      </w:r>
      <w:r w:rsidR="004662F4">
        <w:rPr>
          <w:rFonts w:ascii="Arial" w:hAnsi="Arial" w:cs="Arial"/>
          <w:sz w:val="20"/>
          <w:szCs w:val="20"/>
        </w:rPr>
        <w:t>87,7</w:t>
      </w:r>
      <w:r w:rsidRPr="00364750">
        <w:rPr>
          <w:rFonts w:ascii="Arial" w:hAnsi="Arial" w:cs="Arial"/>
          <w:sz w:val="20"/>
          <w:szCs w:val="20"/>
        </w:rPr>
        <w:t xml:space="preserve">% das vendas, alcançando o montante de US$ </w:t>
      </w:r>
      <w:r w:rsidR="004662F4">
        <w:rPr>
          <w:rFonts w:ascii="Arial" w:hAnsi="Arial" w:cs="Arial"/>
          <w:sz w:val="20"/>
          <w:szCs w:val="20"/>
        </w:rPr>
        <w:t>6,08</w:t>
      </w:r>
      <w:r w:rsidRPr="00364750">
        <w:rPr>
          <w:rFonts w:ascii="Arial" w:hAnsi="Arial" w:cs="Arial"/>
          <w:sz w:val="20"/>
          <w:szCs w:val="20"/>
        </w:rPr>
        <w:t xml:space="preserve"> bilhões </w:t>
      </w:r>
      <w:r w:rsidR="004662F4">
        <w:rPr>
          <w:rFonts w:ascii="Arial" w:hAnsi="Arial" w:cs="Arial"/>
          <w:sz w:val="20"/>
          <w:szCs w:val="20"/>
        </w:rPr>
        <w:t>(-43,3</w:t>
      </w:r>
      <w:r w:rsidRPr="00364750">
        <w:rPr>
          <w:rFonts w:ascii="Arial" w:hAnsi="Arial" w:cs="Arial"/>
          <w:sz w:val="20"/>
          <w:szCs w:val="20"/>
        </w:rPr>
        <w:t xml:space="preserve">%). Em quantidade, houve </w:t>
      </w:r>
      <w:r w:rsidR="004662F4">
        <w:rPr>
          <w:rFonts w:ascii="Arial" w:hAnsi="Arial" w:cs="Arial"/>
          <w:sz w:val="20"/>
          <w:szCs w:val="20"/>
        </w:rPr>
        <w:t xml:space="preserve">retração </w:t>
      </w:r>
      <w:r w:rsidRPr="00364750">
        <w:rPr>
          <w:rFonts w:ascii="Arial" w:hAnsi="Arial" w:cs="Arial"/>
          <w:sz w:val="20"/>
          <w:szCs w:val="20"/>
        </w:rPr>
        <w:t xml:space="preserve">de </w:t>
      </w:r>
      <w:r w:rsidR="004662F4">
        <w:rPr>
          <w:rFonts w:ascii="Arial" w:hAnsi="Arial" w:cs="Arial"/>
          <w:sz w:val="20"/>
          <w:szCs w:val="20"/>
        </w:rPr>
        <w:t>26,3</w:t>
      </w:r>
      <w:r w:rsidRPr="00364750">
        <w:rPr>
          <w:rFonts w:ascii="Arial" w:hAnsi="Arial" w:cs="Arial"/>
          <w:sz w:val="20"/>
          <w:szCs w:val="20"/>
        </w:rPr>
        <w:t xml:space="preserve">% no período, totalizando </w:t>
      </w:r>
      <w:r w:rsidR="004662F4">
        <w:rPr>
          <w:rFonts w:ascii="Arial" w:hAnsi="Arial" w:cs="Arial"/>
          <w:sz w:val="20"/>
          <w:szCs w:val="20"/>
        </w:rPr>
        <w:t>19,75</w:t>
      </w:r>
      <w:r w:rsidRPr="00364750">
        <w:rPr>
          <w:rFonts w:ascii="Arial" w:hAnsi="Arial" w:cs="Arial"/>
          <w:sz w:val="20"/>
          <w:szCs w:val="20"/>
        </w:rPr>
        <w:t xml:space="preserve"> milhões de toneladas comercializadas. A</w:t>
      </w:r>
      <w:r w:rsidR="00E25ECF">
        <w:rPr>
          <w:rFonts w:ascii="Arial" w:hAnsi="Arial" w:cs="Arial"/>
          <w:sz w:val="20"/>
          <w:szCs w:val="20"/>
        </w:rPr>
        <w:t>s</w:t>
      </w:r>
      <w:r w:rsidRPr="00364750">
        <w:rPr>
          <w:rFonts w:ascii="Arial" w:hAnsi="Arial" w:cs="Arial"/>
          <w:sz w:val="20"/>
          <w:szCs w:val="20"/>
        </w:rPr>
        <w:t xml:space="preserve"> exportações de álcool atingiram a cifra de US$ </w:t>
      </w:r>
      <w:r w:rsidR="00E25ECF">
        <w:rPr>
          <w:rFonts w:ascii="Arial" w:hAnsi="Arial" w:cs="Arial"/>
          <w:sz w:val="20"/>
          <w:szCs w:val="20"/>
        </w:rPr>
        <w:t>839,42 milhões (+9,5</w:t>
      </w:r>
      <w:r w:rsidRPr="00364750">
        <w:rPr>
          <w:rFonts w:ascii="Arial" w:hAnsi="Arial" w:cs="Arial"/>
          <w:sz w:val="20"/>
          <w:szCs w:val="20"/>
        </w:rPr>
        <w:t xml:space="preserve">%), para um total de </w:t>
      </w:r>
      <w:r w:rsidR="00E25ECF">
        <w:rPr>
          <w:rFonts w:ascii="Arial" w:hAnsi="Arial" w:cs="Arial"/>
          <w:sz w:val="20"/>
          <w:szCs w:val="20"/>
        </w:rPr>
        <w:t xml:space="preserve">1,26 milhão de </w:t>
      </w:r>
      <w:r w:rsidRPr="00364750">
        <w:rPr>
          <w:rFonts w:ascii="Arial" w:hAnsi="Arial" w:cs="Arial"/>
          <w:sz w:val="20"/>
          <w:szCs w:val="20"/>
        </w:rPr>
        <w:t>toneladas embarcadas (</w:t>
      </w:r>
      <w:r w:rsidR="00E25ECF">
        <w:rPr>
          <w:rFonts w:ascii="Arial" w:hAnsi="Arial" w:cs="Arial"/>
          <w:sz w:val="20"/>
          <w:szCs w:val="20"/>
        </w:rPr>
        <w:t>+16</w:t>
      </w:r>
      <w:r w:rsidR="009929FF">
        <w:rPr>
          <w:rFonts w:ascii="Arial" w:hAnsi="Arial" w:cs="Arial"/>
          <w:sz w:val="20"/>
          <w:szCs w:val="20"/>
        </w:rPr>
        <w:t>,0</w:t>
      </w:r>
      <w:r w:rsidRPr="00364750">
        <w:rPr>
          <w:rFonts w:ascii="Arial" w:hAnsi="Arial" w:cs="Arial"/>
          <w:sz w:val="20"/>
          <w:szCs w:val="20"/>
        </w:rPr>
        <w:t xml:space="preserve">%) entre janeiro e </w:t>
      </w:r>
      <w:r w:rsidR="00E25ECF">
        <w:rPr>
          <w:rFonts w:ascii="Arial" w:hAnsi="Arial" w:cs="Arial"/>
          <w:sz w:val="20"/>
          <w:szCs w:val="20"/>
        </w:rPr>
        <w:t>novembro</w:t>
      </w:r>
      <w:r w:rsidRPr="00364750">
        <w:rPr>
          <w:rFonts w:ascii="Arial" w:hAnsi="Arial" w:cs="Arial"/>
          <w:sz w:val="20"/>
          <w:szCs w:val="20"/>
        </w:rPr>
        <w:t xml:space="preserve"> de 201</w:t>
      </w:r>
      <w:r w:rsidR="00E25ECF">
        <w:rPr>
          <w:rFonts w:ascii="Arial" w:hAnsi="Arial" w:cs="Arial"/>
          <w:sz w:val="20"/>
          <w:szCs w:val="20"/>
        </w:rPr>
        <w:t>8</w:t>
      </w:r>
      <w:r w:rsidRPr="00364750">
        <w:rPr>
          <w:rFonts w:ascii="Arial" w:hAnsi="Arial" w:cs="Arial"/>
          <w:sz w:val="20"/>
          <w:szCs w:val="20"/>
        </w:rPr>
        <w:t xml:space="preserve">. </w:t>
      </w:r>
    </w:p>
    <w:p w:rsidR="004644E5" w:rsidRPr="00364750" w:rsidRDefault="004644E5" w:rsidP="004644E5">
      <w:pPr>
        <w:jc w:val="both"/>
        <w:rPr>
          <w:rFonts w:ascii="Arial" w:hAnsi="Arial" w:cs="Arial"/>
          <w:sz w:val="20"/>
          <w:szCs w:val="20"/>
        </w:rPr>
      </w:pPr>
    </w:p>
    <w:p w:rsidR="00F61C7C" w:rsidRDefault="00A63616" w:rsidP="004644E5">
      <w:pPr>
        <w:jc w:val="both"/>
        <w:rPr>
          <w:rFonts w:ascii="Arial" w:hAnsi="Arial" w:cs="Arial"/>
          <w:sz w:val="20"/>
          <w:szCs w:val="20"/>
        </w:rPr>
      </w:pPr>
      <w:r>
        <w:rPr>
          <w:rFonts w:ascii="Arial" w:hAnsi="Arial" w:cs="Arial"/>
          <w:sz w:val="20"/>
          <w:szCs w:val="20"/>
        </w:rPr>
        <w:t xml:space="preserve">Por fim, cabe </w:t>
      </w:r>
      <w:r w:rsidR="00C163DC">
        <w:rPr>
          <w:rFonts w:ascii="Arial" w:hAnsi="Arial" w:cs="Arial"/>
          <w:sz w:val="20"/>
          <w:szCs w:val="20"/>
        </w:rPr>
        <w:t>ressaltar</w:t>
      </w:r>
      <w:r w:rsidR="009410A7">
        <w:rPr>
          <w:rFonts w:ascii="Arial" w:hAnsi="Arial" w:cs="Arial"/>
          <w:sz w:val="20"/>
          <w:szCs w:val="20"/>
        </w:rPr>
        <w:t xml:space="preserve"> o setor de café</w:t>
      </w:r>
      <w:r w:rsidR="005A01D8">
        <w:rPr>
          <w:rFonts w:ascii="Arial" w:hAnsi="Arial" w:cs="Arial"/>
          <w:sz w:val="20"/>
          <w:szCs w:val="20"/>
        </w:rPr>
        <w:t xml:space="preserve">, que alcançou </w:t>
      </w:r>
      <w:r w:rsidR="004644E5" w:rsidRPr="00364750">
        <w:rPr>
          <w:rFonts w:ascii="Arial" w:hAnsi="Arial" w:cs="Arial"/>
          <w:sz w:val="20"/>
          <w:szCs w:val="20"/>
        </w:rPr>
        <w:t xml:space="preserve">o valor de US$ </w:t>
      </w:r>
      <w:r w:rsidR="000A07F5">
        <w:rPr>
          <w:rFonts w:ascii="Arial" w:hAnsi="Arial" w:cs="Arial"/>
          <w:sz w:val="20"/>
          <w:szCs w:val="20"/>
        </w:rPr>
        <w:t>4,35</w:t>
      </w:r>
      <w:r w:rsidR="004644E5" w:rsidRPr="00364750">
        <w:rPr>
          <w:rFonts w:ascii="Arial" w:hAnsi="Arial" w:cs="Arial"/>
          <w:sz w:val="20"/>
          <w:szCs w:val="20"/>
        </w:rPr>
        <w:t xml:space="preserve"> bilhões</w:t>
      </w:r>
      <w:r w:rsidR="000A07F5">
        <w:rPr>
          <w:rFonts w:ascii="Arial" w:hAnsi="Arial" w:cs="Arial"/>
          <w:sz w:val="20"/>
          <w:szCs w:val="20"/>
        </w:rPr>
        <w:t xml:space="preserve"> e 1,66 milhão de toneladas no período.</w:t>
      </w:r>
      <w:r w:rsidR="00F61C7C">
        <w:rPr>
          <w:rFonts w:ascii="Arial" w:hAnsi="Arial" w:cs="Arial"/>
          <w:sz w:val="20"/>
          <w:szCs w:val="20"/>
        </w:rPr>
        <w:t xml:space="preserve"> O café verde, principal produto do setor, respondeu por 87,5% do valor exportado, somando US$ 3,81 bilhões.</w:t>
      </w:r>
      <w:r w:rsidR="008A2AED">
        <w:rPr>
          <w:rFonts w:ascii="Arial" w:hAnsi="Arial" w:cs="Arial"/>
          <w:sz w:val="20"/>
          <w:szCs w:val="20"/>
        </w:rPr>
        <w:t xml:space="preserve"> Em comparação ao período imediatamente anterior houve queda de 8,9%, em função da queda de 14</w:t>
      </w:r>
      <w:r w:rsidR="00E53165">
        <w:rPr>
          <w:rFonts w:ascii="Arial" w:hAnsi="Arial" w:cs="Arial"/>
          <w:sz w:val="20"/>
          <w:szCs w:val="20"/>
        </w:rPr>
        <w:t>,0</w:t>
      </w:r>
      <w:r w:rsidR="008A2AED">
        <w:rPr>
          <w:rFonts w:ascii="Arial" w:hAnsi="Arial" w:cs="Arial"/>
          <w:sz w:val="20"/>
          <w:szCs w:val="20"/>
        </w:rPr>
        <w:t xml:space="preserve">% no preço médio que não foi compensado pelo crescimento da quantidade embarcada </w:t>
      </w:r>
      <w:r w:rsidR="00EB7998">
        <w:rPr>
          <w:rFonts w:ascii="Arial" w:hAnsi="Arial" w:cs="Arial"/>
          <w:sz w:val="20"/>
          <w:szCs w:val="20"/>
        </w:rPr>
        <w:t>em 5,9%</w:t>
      </w:r>
      <w:r w:rsidR="008A2AED">
        <w:rPr>
          <w:rFonts w:ascii="Arial" w:hAnsi="Arial" w:cs="Arial"/>
          <w:sz w:val="20"/>
          <w:szCs w:val="20"/>
        </w:rPr>
        <w:t>.</w:t>
      </w:r>
      <w:r w:rsidR="00F17E45">
        <w:rPr>
          <w:rFonts w:ascii="Arial" w:hAnsi="Arial" w:cs="Arial"/>
          <w:sz w:val="20"/>
          <w:szCs w:val="20"/>
        </w:rPr>
        <w:t xml:space="preserve"> As vendas de café solúvel, por sua vez, somaram US$ </w:t>
      </w:r>
      <w:r w:rsidR="00C52D7A">
        <w:rPr>
          <w:rFonts w:ascii="Arial" w:hAnsi="Arial" w:cs="Arial"/>
          <w:sz w:val="20"/>
          <w:szCs w:val="20"/>
        </w:rPr>
        <w:t>476,13 milh</w:t>
      </w:r>
      <w:r w:rsidR="008E6C21">
        <w:rPr>
          <w:rFonts w:ascii="Arial" w:hAnsi="Arial" w:cs="Arial"/>
          <w:sz w:val="20"/>
          <w:szCs w:val="20"/>
        </w:rPr>
        <w:t>ões (-10,2</w:t>
      </w:r>
      <w:r w:rsidR="002976CD">
        <w:rPr>
          <w:rFonts w:ascii="Arial" w:hAnsi="Arial" w:cs="Arial"/>
          <w:sz w:val="20"/>
          <w:szCs w:val="20"/>
        </w:rPr>
        <w:t>%).</w:t>
      </w:r>
    </w:p>
    <w:p w:rsidR="0083680C" w:rsidRDefault="0083680C" w:rsidP="004644E5">
      <w:pPr>
        <w:jc w:val="both"/>
        <w:rPr>
          <w:rFonts w:ascii="Arial" w:hAnsi="Arial" w:cs="Arial"/>
          <w:sz w:val="20"/>
          <w:szCs w:val="20"/>
        </w:rPr>
      </w:pPr>
    </w:p>
    <w:p w:rsidR="0083680C" w:rsidRDefault="0083680C" w:rsidP="004644E5">
      <w:pPr>
        <w:jc w:val="both"/>
        <w:rPr>
          <w:rFonts w:ascii="Arial" w:hAnsi="Arial" w:cs="Arial"/>
          <w:sz w:val="20"/>
          <w:szCs w:val="20"/>
        </w:rPr>
      </w:pPr>
      <w:r>
        <w:rPr>
          <w:rFonts w:ascii="Arial" w:hAnsi="Arial" w:cs="Arial"/>
          <w:sz w:val="20"/>
          <w:szCs w:val="20"/>
        </w:rPr>
        <w:t>Em relaç</w:t>
      </w:r>
      <w:r w:rsidR="0041031F">
        <w:rPr>
          <w:rFonts w:ascii="Arial" w:hAnsi="Arial" w:cs="Arial"/>
          <w:sz w:val="20"/>
          <w:szCs w:val="20"/>
        </w:rPr>
        <w:t>ão à</w:t>
      </w:r>
      <w:r>
        <w:rPr>
          <w:rFonts w:ascii="Arial" w:hAnsi="Arial" w:cs="Arial"/>
          <w:sz w:val="20"/>
          <w:szCs w:val="20"/>
        </w:rPr>
        <w:t xml:space="preserve">s importações cabe </w:t>
      </w:r>
      <w:r w:rsidR="0022415C">
        <w:rPr>
          <w:rFonts w:ascii="Arial" w:hAnsi="Arial" w:cs="Arial"/>
          <w:sz w:val="20"/>
          <w:szCs w:val="20"/>
        </w:rPr>
        <w:t>destacar</w:t>
      </w:r>
      <w:r>
        <w:rPr>
          <w:rFonts w:ascii="Arial" w:hAnsi="Arial" w:cs="Arial"/>
          <w:sz w:val="20"/>
          <w:szCs w:val="20"/>
        </w:rPr>
        <w:t xml:space="preserve">: </w:t>
      </w:r>
      <w:r w:rsidR="0022415C">
        <w:rPr>
          <w:rFonts w:ascii="Arial" w:hAnsi="Arial" w:cs="Arial"/>
          <w:sz w:val="20"/>
          <w:szCs w:val="20"/>
        </w:rPr>
        <w:t>trigo (US$ 1,36 bilhão); pescados (US$ 1,21 bilhão)</w:t>
      </w:r>
      <w:r w:rsidR="005B1D1E">
        <w:rPr>
          <w:rFonts w:ascii="Arial" w:hAnsi="Arial" w:cs="Arial"/>
          <w:sz w:val="20"/>
          <w:szCs w:val="20"/>
        </w:rPr>
        <w:t xml:space="preserve"> e</w:t>
      </w:r>
      <w:r w:rsidR="0022415C">
        <w:rPr>
          <w:rFonts w:ascii="Arial" w:hAnsi="Arial" w:cs="Arial"/>
          <w:sz w:val="20"/>
          <w:szCs w:val="20"/>
        </w:rPr>
        <w:t xml:space="preserve"> papel (US$ 841,18 milh</w:t>
      </w:r>
      <w:r w:rsidR="005B1D1E">
        <w:rPr>
          <w:rFonts w:ascii="Arial" w:hAnsi="Arial" w:cs="Arial"/>
          <w:sz w:val="20"/>
          <w:szCs w:val="20"/>
        </w:rPr>
        <w:t>ões).</w:t>
      </w:r>
    </w:p>
    <w:p w:rsidR="00EE2DE7" w:rsidRDefault="00EE2DE7" w:rsidP="004644E5">
      <w:pPr>
        <w:jc w:val="both"/>
        <w:rPr>
          <w:rFonts w:ascii="Arial" w:hAnsi="Arial" w:cs="Arial"/>
          <w:sz w:val="20"/>
          <w:szCs w:val="20"/>
        </w:rPr>
      </w:pPr>
    </w:p>
    <w:p w:rsidR="00517D6A" w:rsidRPr="00DF014A" w:rsidRDefault="00B617CF" w:rsidP="00F42F39">
      <w:pPr>
        <w:jc w:val="both"/>
        <w:rPr>
          <w:rFonts w:ascii="Arial" w:hAnsi="Arial" w:cs="Arial"/>
          <w:sz w:val="20"/>
          <w:szCs w:val="20"/>
        </w:rPr>
      </w:pPr>
      <w:r w:rsidRPr="00B617CF">
        <w:rPr>
          <w:noProof/>
        </w:rPr>
        <w:drawing>
          <wp:inline distT="0" distB="0" distL="0" distR="0" wp14:anchorId="0135A658" wp14:editId="409CA089">
            <wp:extent cx="6480175" cy="38550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B8451B" w:rsidRDefault="00B8451B" w:rsidP="003B632E">
      <w:pPr>
        <w:pStyle w:val="Ttulo5"/>
        <w:autoSpaceDE/>
        <w:autoSpaceDN/>
        <w:adjustRightInd/>
        <w:rPr>
          <w:rFonts w:ascii="Arial" w:hAnsi="Arial" w:cs="Arial"/>
          <w:sz w:val="20"/>
          <w:szCs w:val="20"/>
        </w:rPr>
      </w:pPr>
      <w:bookmarkStart w:id="0" w:name="OLE_LINK1"/>
    </w:p>
    <w:p w:rsidR="002D46CC" w:rsidRPr="002D46CC" w:rsidRDefault="002D46CC" w:rsidP="002D46CC"/>
    <w:p w:rsidR="007A0837" w:rsidRPr="00DF014A" w:rsidRDefault="007A0837" w:rsidP="007A0837">
      <w:pPr>
        <w:pStyle w:val="Ttulo5"/>
        <w:autoSpaceDE/>
        <w:autoSpaceDN/>
        <w:adjustRightInd/>
        <w:rPr>
          <w:rFonts w:ascii="Arial" w:hAnsi="Arial" w:cs="Arial"/>
          <w:sz w:val="20"/>
          <w:szCs w:val="20"/>
        </w:rPr>
      </w:pPr>
      <w:proofErr w:type="spellStart"/>
      <w:r w:rsidRPr="00DF014A">
        <w:rPr>
          <w:rFonts w:ascii="Arial" w:hAnsi="Arial" w:cs="Arial"/>
          <w:sz w:val="20"/>
          <w:szCs w:val="20"/>
        </w:rPr>
        <w:t>II.b</w:t>
      </w:r>
      <w:proofErr w:type="spellEnd"/>
      <w:r w:rsidRPr="00DF014A">
        <w:rPr>
          <w:rFonts w:ascii="Arial" w:hAnsi="Arial" w:cs="Arial"/>
          <w:sz w:val="20"/>
          <w:szCs w:val="20"/>
        </w:rPr>
        <w:t xml:space="preserve"> – Blocos Econômicos e Regiões Geográficas</w:t>
      </w:r>
    </w:p>
    <w:p w:rsidR="007A0837" w:rsidRPr="00DF014A" w:rsidRDefault="007A0837" w:rsidP="007A0837">
      <w:pPr>
        <w:rPr>
          <w:rFonts w:ascii="Arial" w:hAnsi="Arial" w:cs="Arial"/>
          <w:sz w:val="20"/>
          <w:szCs w:val="20"/>
        </w:rPr>
      </w:pPr>
    </w:p>
    <w:p w:rsidR="00C9726F" w:rsidRDefault="00860B72" w:rsidP="00C9726F">
      <w:pPr>
        <w:jc w:val="both"/>
        <w:rPr>
          <w:rFonts w:ascii="Arial" w:hAnsi="Arial" w:cs="Arial"/>
          <w:noProof/>
          <w:sz w:val="20"/>
          <w:szCs w:val="20"/>
        </w:rPr>
      </w:pPr>
      <w:r w:rsidRPr="00860B72">
        <w:rPr>
          <w:rFonts w:ascii="Arial" w:hAnsi="Arial" w:cs="Arial"/>
          <w:noProof/>
          <w:sz w:val="20"/>
          <w:szCs w:val="20"/>
        </w:rPr>
        <w:t>Em relação às exportações do agronegócio por blocos econômicos e regiões geográficas, no período de janeiro a novembro de 201</w:t>
      </w:r>
      <w:r w:rsidR="00772C8A">
        <w:rPr>
          <w:rFonts w:ascii="Arial" w:hAnsi="Arial" w:cs="Arial"/>
          <w:noProof/>
          <w:sz w:val="20"/>
          <w:szCs w:val="20"/>
        </w:rPr>
        <w:t>8</w:t>
      </w:r>
      <w:r w:rsidRPr="00860B72">
        <w:rPr>
          <w:rFonts w:ascii="Arial" w:hAnsi="Arial" w:cs="Arial"/>
          <w:noProof/>
          <w:sz w:val="20"/>
          <w:szCs w:val="20"/>
        </w:rPr>
        <w:t xml:space="preserve"> a Ásia permaneceu como o principal destino dos produtos brasileiros, com a soma de US$ </w:t>
      </w:r>
      <w:r w:rsidR="00772C8A">
        <w:rPr>
          <w:rFonts w:ascii="Arial" w:hAnsi="Arial" w:cs="Arial"/>
          <w:noProof/>
          <w:sz w:val="20"/>
          <w:szCs w:val="20"/>
        </w:rPr>
        <w:t>47,62</w:t>
      </w:r>
      <w:r w:rsidRPr="00860B72">
        <w:rPr>
          <w:rFonts w:ascii="Arial" w:hAnsi="Arial" w:cs="Arial"/>
          <w:noProof/>
          <w:sz w:val="20"/>
          <w:szCs w:val="20"/>
        </w:rPr>
        <w:t xml:space="preserve"> bilhões. </w:t>
      </w:r>
      <w:r w:rsidR="00772C8A">
        <w:rPr>
          <w:rFonts w:ascii="Arial" w:hAnsi="Arial" w:cs="Arial"/>
          <w:noProof/>
          <w:sz w:val="20"/>
          <w:szCs w:val="20"/>
        </w:rPr>
        <w:t xml:space="preserve">Com a expansão </w:t>
      </w:r>
      <w:r w:rsidRPr="00860B72">
        <w:rPr>
          <w:rFonts w:ascii="Arial" w:hAnsi="Arial" w:cs="Arial"/>
          <w:noProof/>
          <w:sz w:val="20"/>
          <w:szCs w:val="20"/>
        </w:rPr>
        <w:t xml:space="preserve">de </w:t>
      </w:r>
      <w:r w:rsidR="00772C8A">
        <w:rPr>
          <w:rFonts w:ascii="Arial" w:hAnsi="Arial" w:cs="Arial"/>
          <w:noProof/>
          <w:sz w:val="20"/>
          <w:szCs w:val="20"/>
        </w:rPr>
        <w:t>15,0</w:t>
      </w:r>
      <w:r w:rsidRPr="00860B72">
        <w:rPr>
          <w:rFonts w:ascii="Arial" w:hAnsi="Arial" w:cs="Arial"/>
          <w:noProof/>
          <w:sz w:val="20"/>
          <w:szCs w:val="20"/>
        </w:rPr>
        <w:t xml:space="preserve">% nas suas aquisições, a participação asiática nas vendas externas de produtos agropecuários brasileiros subiu de </w:t>
      </w:r>
      <w:r w:rsidR="00772C8A">
        <w:rPr>
          <w:rFonts w:ascii="Arial" w:hAnsi="Arial" w:cs="Arial"/>
          <w:noProof/>
          <w:sz w:val="20"/>
          <w:szCs w:val="20"/>
        </w:rPr>
        <w:t>46,5</w:t>
      </w:r>
      <w:r w:rsidRPr="00860B72">
        <w:rPr>
          <w:rFonts w:ascii="Arial" w:hAnsi="Arial" w:cs="Arial"/>
          <w:noProof/>
          <w:sz w:val="20"/>
          <w:szCs w:val="20"/>
        </w:rPr>
        <w:t xml:space="preserve">% para </w:t>
      </w:r>
      <w:r w:rsidR="00772C8A">
        <w:rPr>
          <w:rFonts w:ascii="Arial" w:hAnsi="Arial" w:cs="Arial"/>
          <w:noProof/>
          <w:sz w:val="20"/>
          <w:szCs w:val="20"/>
        </w:rPr>
        <w:t>51,1</w:t>
      </w:r>
      <w:r w:rsidRPr="00860B72">
        <w:rPr>
          <w:rFonts w:ascii="Arial" w:hAnsi="Arial" w:cs="Arial"/>
          <w:noProof/>
          <w:sz w:val="20"/>
          <w:szCs w:val="20"/>
        </w:rPr>
        <w:t xml:space="preserve">%. Já o segundo principal destino das exportações brasileiras, a União Europeia, diminuiu a sua participação de </w:t>
      </w:r>
      <w:r w:rsidR="00772C8A">
        <w:rPr>
          <w:rFonts w:ascii="Arial" w:hAnsi="Arial" w:cs="Arial"/>
          <w:noProof/>
          <w:sz w:val="20"/>
          <w:szCs w:val="20"/>
        </w:rPr>
        <w:t>17,5</w:t>
      </w:r>
      <w:r w:rsidRPr="00860B72">
        <w:rPr>
          <w:rFonts w:ascii="Arial" w:hAnsi="Arial" w:cs="Arial"/>
          <w:noProof/>
          <w:sz w:val="20"/>
          <w:szCs w:val="20"/>
        </w:rPr>
        <w:t xml:space="preserve">% para </w:t>
      </w:r>
      <w:r w:rsidR="00772C8A">
        <w:rPr>
          <w:rFonts w:ascii="Arial" w:hAnsi="Arial" w:cs="Arial"/>
          <w:noProof/>
          <w:sz w:val="20"/>
          <w:szCs w:val="20"/>
        </w:rPr>
        <w:t>17,4%</w:t>
      </w:r>
      <w:r w:rsidRPr="00860B72">
        <w:rPr>
          <w:rFonts w:ascii="Arial" w:hAnsi="Arial" w:cs="Arial"/>
          <w:noProof/>
          <w:sz w:val="20"/>
          <w:szCs w:val="20"/>
        </w:rPr>
        <w:t xml:space="preserve">. Vale destacar que dos onze mercados selecionados na Tabela 5, </w:t>
      </w:r>
      <w:r w:rsidR="00772C8A">
        <w:rPr>
          <w:rFonts w:ascii="Arial" w:hAnsi="Arial" w:cs="Arial"/>
          <w:noProof/>
          <w:sz w:val="20"/>
          <w:szCs w:val="20"/>
        </w:rPr>
        <w:t>seis</w:t>
      </w:r>
      <w:r w:rsidRPr="00860B72">
        <w:rPr>
          <w:rFonts w:ascii="Arial" w:hAnsi="Arial" w:cs="Arial"/>
          <w:noProof/>
          <w:sz w:val="20"/>
          <w:szCs w:val="20"/>
        </w:rPr>
        <w:t xml:space="preserve"> apresentaram queda em valores nas suas aquisições de produtos brasileiros.</w:t>
      </w:r>
    </w:p>
    <w:p w:rsidR="00860B72" w:rsidRDefault="00860B72" w:rsidP="00C9726F">
      <w:pPr>
        <w:jc w:val="both"/>
        <w:rPr>
          <w:rFonts w:ascii="Arial" w:hAnsi="Arial" w:cs="Arial"/>
          <w:noProof/>
          <w:sz w:val="20"/>
          <w:szCs w:val="20"/>
        </w:rPr>
      </w:pPr>
    </w:p>
    <w:p w:rsidR="00860B72" w:rsidRPr="00DF014A" w:rsidRDefault="00860B72" w:rsidP="00C9726F">
      <w:pPr>
        <w:jc w:val="both"/>
        <w:rPr>
          <w:rFonts w:ascii="Arial" w:hAnsi="Arial" w:cs="Arial"/>
          <w:sz w:val="20"/>
          <w:szCs w:val="20"/>
        </w:rPr>
      </w:pPr>
    </w:p>
    <w:p w:rsidR="00C9726F" w:rsidRPr="00DF014A" w:rsidRDefault="00B617CF" w:rsidP="00C9726F">
      <w:pPr>
        <w:jc w:val="both"/>
        <w:rPr>
          <w:rFonts w:ascii="Arial" w:hAnsi="Arial" w:cs="Arial"/>
          <w:sz w:val="20"/>
          <w:szCs w:val="20"/>
        </w:rPr>
      </w:pPr>
      <w:r w:rsidRPr="00B617CF">
        <w:rPr>
          <w:noProof/>
        </w:rPr>
        <w:lastRenderedPageBreak/>
        <w:drawing>
          <wp:inline distT="0" distB="0" distL="0" distR="0" wp14:anchorId="5AB6F045" wp14:editId="1854480C">
            <wp:extent cx="6480175" cy="234823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2D46CC" w:rsidRPr="002D46CC" w:rsidRDefault="002D46CC" w:rsidP="002D46CC"/>
    <w:p w:rsidR="007A0837" w:rsidRPr="00DF014A" w:rsidRDefault="007A0837" w:rsidP="007A0837">
      <w:pPr>
        <w:pStyle w:val="Ttulo5"/>
        <w:autoSpaceDE/>
        <w:autoSpaceDN/>
        <w:adjustRightInd/>
        <w:rPr>
          <w:rFonts w:ascii="Arial" w:hAnsi="Arial" w:cs="Arial"/>
          <w:sz w:val="20"/>
          <w:szCs w:val="20"/>
        </w:rPr>
      </w:pPr>
      <w:proofErr w:type="spellStart"/>
      <w:r w:rsidRPr="00DF014A">
        <w:rPr>
          <w:rFonts w:ascii="Arial" w:hAnsi="Arial" w:cs="Arial"/>
          <w:sz w:val="20"/>
          <w:szCs w:val="20"/>
        </w:rPr>
        <w:t>II.c</w:t>
      </w:r>
      <w:proofErr w:type="spellEnd"/>
      <w:r w:rsidRPr="00DF014A">
        <w:rPr>
          <w:rFonts w:ascii="Arial" w:hAnsi="Arial" w:cs="Arial"/>
          <w:sz w:val="20"/>
          <w:szCs w:val="20"/>
        </w:rPr>
        <w:t xml:space="preserve"> – Países</w:t>
      </w:r>
    </w:p>
    <w:p w:rsidR="007A0837" w:rsidRPr="00DF014A" w:rsidRDefault="007A0837" w:rsidP="007A0837">
      <w:pPr>
        <w:rPr>
          <w:rFonts w:ascii="Arial" w:hAnsi="Arial" w:cs="Arial"/>
          <w:sz w:val="20"/>
          <w:szCs w:val="20"/>
        </w:rPr>
      </w:pPr>
    </w:p>
    <w:p w:rsidR="00FE102B" w:rsidRDefault="00FE102B" w:rsidP="00FE102B">
      <w:pPr>
        <w:jc w:val="both"/>
        <w:rPr>
          <w:rFonts w:ascii="Arial" w:hAnsi="Arial" w:cs="Arial"/>
          <w:sz w:val="20"/>
          <w:szCs w:val="20"/>
        </w:rPr>
      </w:pPr>
      <w:r w:rsidRPr="00FE102B">
        <w:rPr>
          <w:rFonts w:ascii="Arial" w:hAnsi="Arial" w:cs="Arial"/>
          <w:sz w:val="20"/>
          <w:szCs w:val="20"/>
        </w:rPr>
        <w:t xml:space="preserve">No rol de países, as vendas à China (principal mercado com grande destaque) somaram US$ </w:t>
      </w:r>
      <w:r>
        <w:rPr>
          <w:rFonts w:ascii="Arial" w:hAnsi="Arial" w:cs="Arial"/>
          <w:sz w:val="20"/>
          <w:szCs w:val="20"/>
        </w:rPr>
        <w:t>33,16</w:t>
      </w:r>
      <w:r w:rsidRPr="00FE102B">
        <w:rPr>
          <w:rFonts w:ascii="Arial" w:hAnsi="Arial" w:cs="Arial"/>
          <w:sz w:val="20"/>
          <w:szCs w:val="20"/>
        </w:rPr>
        <w:t xml:space="preserve"> bilhões, superando em </w:t>
      </w:r>
      <w:r>
        <w:rPr>
          <w:rFonts w:ascii="Arial" w:hAnsi="Arial" w:cs="Arial"/>
          <w:sz w:val="20"/>
          <w:szCs w:val="20"/>
        </w:rPr>
        <w:t>32,2</w:t>
      </w:r>
      <w:r w:rsidRPr="00FE102B">
        <w:rPr>
          <w:rFonts w:ascii="Arial" w:hAnsi="Arial" w:cs="Arial"/>
          <w:sz w:val="20"/>
          <w:szCs w:val="20"/>
        </w:rPr>
        <w:t xml:space="preserve">% o resultado do período anterior e elevando a participação do país, de </w:t>
      </w:r>
      <w:r>
        <w:rPr>
          <w:rFonts w:ascii="Arial" w:hAnsi="Arial" w:cs="Arial"/>
          <w:sz w:val="20"/>
          <w:szCs w:val="20"/>
        </w:rPr>
        <w:t>28,2</w:t>
      </w:r>
      <w:r w:rsidRPr="00FE102B">
        <w:rPr>
          <w:rFonts w:ascii="Arial" w:hAnsi="Arial" w:cs="Arial"/>
          <w:sz w:val="20"/>
          <w:szCs w:val="20"/>
        </w:rPr>
        <w:t xml:space="preserve">% para </w:t>
      </w:r>
      <w:r>
        <w:rPr>
          <w:rFonts w:ascii="Arial" w:hAnsi="Arial" w:cs="Arial"/>
          <w:sz w:val="20"/>
          <w:szCs w:val="20"/>
        </w:rPr>
        <w:t>35,6</w:t>
      </w:r>
      <w:r w:rsidRPr="00FE102B">
        <w:rPr>
          <w:rFonts w:ascii="Arial" w:hAnsi="Arial" w:cs="Arial"/>
          <w:sz w:val="20"/>
          <w:szCs w:val="20"/>
        </w:rPr>
        <w:t>%. Aos Estados Unidos, as exportações atingiram US$ 6,</w:t>
      </w:r>
      <w:r>
        <w:rPr>
          <w:rFonts w:ascii="Arial" w:hAnsi="Arial" w:cs="Arial"/>
          <w:sz w:val="20"/>
          <w:szCs w:val="20"/>
        </w:rPr>
        <w:t>13</w:t>
      </w:r>
      <w:r w:rsidRPr="00FE102B">
        <w:rPr>
          <w:rFonts w:ascii="Arial" w:hAnsi="Arial" w:cs="Arial"/>
          <w:sz w:val="20"/>
          <w:szCs w:val="20"/>
        </w:rPr>
        <w:t xml:space="preserve"> bilhões, com decréscimo de </w:t>
      </w:r>
      <w:r>
        <w:rPr>
          <w:rFonts w:ascii="Arial" w:hAnsi="Arial" w:cs="Arial"/>
          <w:sz w:val="20"/>
          <w:szCs w:val="20"/>
        </w:rPr>
        <w:t>0,3</w:t>
      </w:r>
      <w:r w:rsidRPr="00FE102B">
        <w:rPr>
          <w:rFonts w:ascii="Arial" w:hAnsi="Arial" w:cs="Arial"/>
          <w:sz w:val="20"/>
          <w:szCs w:val="20"/>
        </w:rPr>
        <w:t xml:space="preserve">% </w:t>
      </w:r>
      <w:r w:rsidR="009157C7">
        <w:rPr>
          <w:rFonts w:ascii="Arial" w:hAnsi="Arial" w:cs="Arial"/>
          <w:sz w:val="20"/>
          <w:szCs w:val="20"/>
        </w:rPr>
        <w:t xml:space="preserve">sobre igual intervalo anterior. </w:t>
      </w:r>
      <w:r>
        <w:rPr>
          <w:rFonts w:ascii="Arial" w:hAnsi="Arial" w:cs="Arial"/>
          <w:sz w:val="20"/>
          <w:szCs w:val="20"/>
        </w:rPr>
        <w:t>Além da China, os países que mais contribuíram para o aumento das exportações brasileiras do agronegócio no período foram:</w:t>
      </w:r>
      <w:r w:rsidR="009157C7">
        <w:rPr>
          <w:rFonts w:ascii="Arial" w:hAnsi="Arial" w:cs="Arial"/>
          <w:sz w:val="20"/>
          <w:szCs w:val="20"/>
        </w:rPr>
        <w:t xml:space="preserve"> Turquia (+US$ 610,63 milhões); Chile (+US$ 231,30 milhões) e Argentina (+US$ 209,66 milhões).</w:t>
      </w:r>
    </w:p>
    <w:p w:rsidR="004645F9" w:rsidRPr="00DF014A" w:rsidRDefault="004645F9" w:rsidP="00FE102B">
      <w:pPr>
        <w:jc w:val="both"/>
        <w:rPr>
          <w:rFonts w:ascii="Arial" w:hAnsi="Arial" w:cs="Arial"/>
          <w:sz w:val="20"/>
          <w:szCs w:val="20"/>
        </w:rPr>
      </w:pPr>
    </w:p>
    <w:bookmarkEnd w:id="0"/>
    <w:p w:rsidR="00C7675B" w:rsidRPr="00DF014A" w:rsidRDefault="00B617CF" w:rsidP="00CF05AB">
      <w:pPr>
        <w:jc w:val="both"/>
        <w:rPr>
          <w:rFonts w:ascii="Arial" w:hAnsi="Arial" w:cs="Arial"/>
          <w:sz w:val="20"/>
          <w:szCs w:val="20"/>
        </w:rPr>
      </w:pPr>
      <w:r w:rsidRPr="00B617CF">
        <w:rPr>
          <w:noProof/>
        </w:rPr>
        <w:drawing>
          <wp:inline distT="0" distB="0" distL="0" distR="0" wp14:anchorId="5F61F290" wp14:editId="0323B615">
            <wp:extent cx="6480175" cy="387921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4645F9" w:rsidRDefault="004645F9">
      <w:pPr>
        <w:rPr>
          <w:rFonts w:ascii="Arial" w:hAnsi="Arial" w:cs="Arial"/>
          <w:sz w:val="20"/>
          <w:szCs w:val="20"/>
        </w:rPr>
      </w:pPr>
    </w:p>
    <w:p w:rsidR="004645F9" w:rsidRDefault="004645F9">
      <w:pPr>
        <w:rPr>
          <w:rFonts w:ascii="Arial" w:hAnsi="Arial" w:cs="Arial"/>
          <w:sz w:val="20"/>
          <w:szCs w:val="20"/>
        </w:rPr>
      </w:pPr>
    </w:p>
    <w:p w:rsidR="007A0837" w:rsidRPr="00DF014A" w:rsidRDefault="007A0837" w:rsidP="007A0837">
      <w:pPr>
        <w:autoSpaceDE w:val="0"/>
        <w:autoSpaceDN w:val="0"/>
        <w:adjustRightInd w:val="0"/>
        <w:jc w:val="both"/>
        <w:rPr>
          <w:rFonts w:ascii="Arial" w:hAnsi="Arial" w:cs="Arial"/>
          <w:b/>
          <w:sz w:val="20"/>
          <w:szCs w:val="20"/>
        </w:rPr>
      </w:pPr>
      <w:r w:rsidRPr="00DF014A">
        <w:rPr>
          <w:rFonts w:ascii="Arial" w:hAnsi="Arial" w:cs="Arial"/>
          <w:b/>
          <w:sz w:val="20"/>
          <w:szCs w:val="20"/>
        </w:rPr>
        <w:t xml:space="preserve">III – Resultados de </w:t>
      </w:r>
      <w:r w:rsidR="00DF014A" w:rsidRPr="00DF014A">
        <w:rPr>
          <w:rFonts w:ascii="Arial" w:hAnsi="Arial" w:cs="Arial"/>
          <w:b/>
          <w:sz w:val="20"/>
          <w:szCs w:val="20"/>
        </w:rPr>
        <w:t>Dezembro</w:t>
      </w:r>
      <w:r w:rsidRPr="00DF014A">
        <w:rPr>
          <w:rFonts w:ascii="Arial" w:hAnsi="Arial" w:cs="Arial"/>
          <w:b/>
          <w:sz w:val="20"/>
          <w:szCs w:val="20"/>
        </w:rPr>
        <w:t xml:space="preserve"> de 2017 a </w:t>
      </w:r>
      <w:proofErr w:type="gramStart"/>
      <w:r w:rsidR="00DF014A" w:rsidRPr="00DF014A">
        <w:rPr>
          <w:rFonts w:ascii="Arial" w:hAnsi="Arial" w:cs="Arial"/>
          <w:b/>
          <w:sz w:val="20"/>
          <w:szCs w:val="20"/>
        </w:rPr>
        <w:t>Novembro</w:t>
      </w:r>
      <w:proofErr w:type="gramEnd"/>
      <w:r w:rsidRPr="00DF014A">
        <w:rPr>
          <w:rFonts w:ascii="Arial" w:hAnsi="Arial" w:cs="Arial"/>
          <w:b/>
          <w:sz w:val="20"/>
          <w:szCs w:val="20"/>
        </w:rPr>
        <w:t xml:space="preserve"> de 2018 (Acumulado 12 meses)</w:t>
      </w:r>
    </w:p>
    <w:p w:rsidR="007A0837" w:rsidRPr="00DF014A" w:rsidRDefault="007A0837" w:rsidP="007A0837">
      <w:pPr>
        <w:autoSpaceDE w:val="0"/>
        <w:autoSpaceDN w:val="0"/>
        <w:adjustRightInd w:val="0"/>
        <w:jc w:val="both"/>
        <w:rPr>
          <w:rFonts w:ascii="Arial" w:hAnsi="Arial" w:cs="Arial"/>
          <w:b/>
          <w:sz w:val="20"/>
          <w:szCs w:val="20"/>
        </w:rPr>
      </w:pPr>
    </w:p>
    <w:p w:rsidR="004645F9" w:rsidRP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As exportações do agronegócio atingiram US$ 100,10 bilhões entre dezembro de 2017 e novembro de 2018 (+5,2%), ultrapassando a marca simbólica de US$ 100 bilhões. O recorde para o período ocorreu entre dezembro de 2012 e novembro de 2013, quando o Brasil exportou US$ 100,70 bilhões em produtos do agronegócio. O aumento das exportações ocorreu em função do aumento da quantidade exportada, pois o índice de quantum das exportações cresceu 5,3%. Já o índice de preço registrou redução de 0,1%. </w:t>
      </w:r>
    </w:p>
    <w:p w:rsidR="004645F9" w:rsidRPr="004645F9" w:rsidRDefault="004645F9" w:rsidP="004645F9">
      <w:pPr>
        <w:pStyle w:val="Recuodecorpodetexto"/>
        <w:ind w:firstLine="0"/>
        <w:rPr>
          <w:rFonts w:ascii="Arial" w:hAnsi="Arial" w:cs="Arial"/>
          <w:sz w:val="20"/>
          <w:szCs w:val="20"/>
        </w:rPr>
      </w:pPr>
    </w:p>
    <w:p w:rsidR="004645F9" w:rsidRP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A elevação das exportações do agronegócio não significou um incremento da participação do setor nas exportações totais brasileiras. O agronegócio diminuiu sua participação relativa de 44,0% entre dezembro de 2016 a novembro de 2017 para 42,1% entre dezembro de 2017 e novembro de 2018.  Essa queda de 1,9 ponto percentual é resultado </w:t>
      </w:r>
      <w:r w:rsidRPr="004645F9">
        <w:rPr>
          <w:rFonts w:ascii="Arial" w:hAnsi="Arial" w:cs="Arial"/>
          <w:sz w:val="20"/>
          <w:szCs w:val="20"/>
        </w:rPr>
        <w:lastRenderedPageBreak/>
        <w:t xml:space="preserve">do crescimento mais vigoroso das exportações dos demais setores, que registraram crescimento de 13,7%, passando, assim, de US$ 120,90 bilhões para US$ 137,46 bilhões no período em análise. </w:t>
      </w:r>
    </w:p>
    <w:p w:rsidR="004645F9" w:rsidRPr="004645F9" w:rsidRDefault="004645F9" w:rsidP="004645F9">
      <w:pPr>
        <w:pStyle w:val="Recuodecorpodetexto"/>
        <w:ind w:firstLine="0"/>
        <w:rPr>
          <w:rFonts w:ascii="Arial" w:hAnsi="Arial" w:cs="Arial"/>
          <w:sz w:val="20"/>
          <w:szCs w:val="20"/>
        </w:rPr>
      </w:pPr>
    </w:p>
    <w:p w:rsidR="004645F9" w:rsidRPr="004645F9" w:rsidRDefault="004645F9" w:rsidP="004645F9">
      <w:pPr>
        <w:pStyle w:val="Recuodecorpodetexto"/>
        <w:ind w:firstLine="0"/>
        <w:rPr>
          <w:rFonts w:ascii="Arial" w:hAnsi="Arial" w:cs="Arial"/>
          <w:sz w:val="20"/>
          <w:szCs w:val="20"/>
        </w:rPr>
      </w:pPr>
      <w:r w:rsidRPr="004645F9">
        <w:rPr>
          <w:rFonts w:ascii="Arial" w:hAnsi="Arial" w:cs="Arial"/>
          <w:sz w:val="20"/>
          <w:szCs w:val="20"/>
        </w:rPr>
        <w:t>As importações do agronegócio, por sua vez, foram de US$ 14,09 bilhões entre dezembro de 2017 e novembro de 2018, o que significou uma queda de 1,7% em relação aos US$ 14,34 bilhões importados entre dezembro de 2016 e novembro de 2017. Essas aquisições também perderam participação relativa no total das importações brasileiras, passando de 9,6% de participação entre dezembro de 2016 e novembro de 2017 para 7,8% entre dezembro de 2017 e novembro de 2018.</w:t>
      </w:r>
    </w:p>
    <w:p w:rsidR="007A0837" w:rsidRPr="00DF014A" w:rsidRDefault="007A0837" w:rsidP="007A0837">
      <w:pPr>
        <w:autoSpaceDE w:val="0"/>
        <w:autoSpaceDN w:val="0"/>
        <w:adjustRightInd w:val="0"/>
        <w:jc w:val="both"/>
        <w:rPr>
          <w:rFonts w:ascii="Arial" w:hAnsi="Arial" w:cs="Arial"/>
          <w:b/>
          <w:sz w:val="20"/>
          <w:szCs w:val="20"/>
        </w:rPr>
      </w:pPr>
    </w:p>
    <w:p w:rsidR="007A0837" w:rsidRPr="00DF014A" w:rsidRDefault="007A0837" w:rsidP="007A0837">
      <w:pPr>
        <w:pStyle w:val="Ttulo5"/>
        <w:autoSpaceDE/>
        <w:autoSpaceDN/>
        <w:adjustRightInd/>
        <w:rPr>
          <w:rFonts w:ascii="Arial" w:hAnsi="Arial" w:cs="Arial"/>
          <w:sz w:val="20"/>
          <w:szCs w:val="20"/>
        </w:rPr>
      </w:pPr>
      <w:proofErr w:type="spellStart"/>
      <w:r w:rsidRPr="00DF014A">
        <w:rPr>
          <w:rFonts w:ascii="Arial" w:hAnsi="Arial" w:cs="Arial"/>
          <w:sz w:val="20"/>
          <w:szCs w:val="20"/>
        </w:rPr>
        <w:t>III.a</w:t>
      </w:r>
      <w:proofErr w:type="spellEnd"/>
      <w:r w:rsidRPr="00DF014A">
        <w:rPr>
          <w:rFonts w:ascii="Arial" w:hAnsi="Arial" w:cs="Arial"/>
          <w:sz w:val="20"/>
          <w:szCs w:val="20"/>
        </w:rPr>
        <w:t xml:space="preserve"> – Setores do Agronegócio</w:t>
      </w:r>
    </w:p>
    <w:p w:rsidR="007A0837" w:rsidRPr="00DF014A" w:rsidRDefault="007A0837" w:rsidP="007A0837">
      <w:pPr>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Os cinco principais setores exportadores do agronegócio brasileiro entre dezembro de 2017 e novembro de 2018 foram: complexo soja (39,9% de participação), carnes (14,6% de participação), produtos florestais (13,8% de participação), complexo sucroalcooleiro (7,7% de participação), café (4,8% de participação). Estes cinco setores reunidos foram responsáveis por 80,8% do valor total exportado pelo Brasil em produtos do agronegócio entre dezembro de 2017 e novembro de 2018. Nos doze meses que antecederam ao mencionado período, os mesmos setores foram responsáveis por 79,9% do valor total exportado pelo Brasil em produtos do agronegócio. Ou seja, houve uma concentração das exportações brasileiras entre os cinco principais setores exportadores. </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Os demais vinte setores exportadores do agronegócio brasileiro exportaram US$ 19,21 bilhões entre dezembro de 2017 e novembro de 2018. Nos doze meses imediatamente anteriores, as exportações desses mesmos vinte setores foram de US$ 19,12 bilhões. Apesar da elevação de US$ 97,4 milhões nas exportações desses setores, a participação dos mesmos nas exportações do agronegócio brasileiro declinou de 20,1% para 19,2% entre os períodos em análise.</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O complexo soja foi o principal setor exportador do agronegócio brasileiro com quase 40,0% de participação nas exportações totais do agronegócio. As exportações do setor cresceram de US$ 31,23 bilhões entre dezembro de 2016 e novembro de 2017 para US$ 39,90 bilhões entre dezembro de 2017 e novembro de 2018 (+27,8%), recorde para o período. Este aumento em valor no período, de US$ 8,67 bilhões, suplantou o crescimento total das exportações do agronegócio, que cresceram US$ 4,92 bilhões. Com efeito, a elevação das exportações do complexo soja respondeu sozinha pelo crescimento das exportações do agronegócio no período em análise.</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No setor, as exportações de soja em grão tiveram incremento de 29,8%, atingindo US$ 32,54 bilhões entre dezembro de 2017 e novembro de 2018. O principal fator responsável por essa elevação foi o aumento do volume exportado de soja em grão, que aumentou de 66,4 milhões de toneladas entre dezembro de 2016 e novembro de 2017 para o recorde de 81,9 milhões de toneladas entre dezembro de 2017 e novembro de 2018. O preço também subiu 5,3%, chegando a US$ 397 por tonelada. As exportações de farelo de soja também cresceram, passando de US$ 5,11 bilhões entre dezembro de 2016 e novembro de 2017 para US$ 6,32 bilhões entre dezembro de 2017 e novembro de 2018 (+23,8%), fruto da expansão da quantidade exportada de 14,5 milhões de toneladas para 15,9 milhões de toneladas (+9,7) e, também, da elevação do preço médio de exportação do farelo de soja, que foi de US$ 397 por tonelada. </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Nesses últimos doze meses, a soma do volume exportado de soja em grão e farelo de soja chegou a 102,6 milhões de toneladas, desde que se multiplique as vendas externas de farelo de soja pelo fator de 1,3, o que converte, aproximadamente, o farelo de soja na soja em grão utilizada para a produção do mesmo. Essas 102,6 milhões de toneladas exportadas representaram cerca de 86,0% da produção total brasileira de soja em grão na safra 2017/2018 estimada pela CONAB em 119,2 milhões de toneladas. Dessa forma, uma quantidade aproximada de 17 milhões de toneladas da mencionada safra ficou disponível para o mercado doméstico.</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O segundo principal setor exportador, carnes, não teve um desempenho positivo nesses últimos doze meses. As vendas externas do setor caíram de US$ 15,41 bilhões entre dezembro de 2016 e novembro de 2017 para US$ 14,64 bilhões entre dezembro de 2017 e novembro de 2018 (-5,0%). No setor, a única carne que teve desempenho exportador positivo, em valor, foi a carne bovina, com US$ 6,53 bilhões em vendas externas (+9,7%). Com esse valor, a carne bovina assumiu a liderança dentre as carnes exportadas, ultrapassando a carne de frango, que usualmente ocupava a primeira posição. Além disso, o volume exportado de carne bovina in natura foi recorde para o período, com embarques de 1,34 milhão de toneladas. As demais carnes tiveram queda no valor exportado: carne de frango (US$ 6,36 bilhões entre dezembro de 2017 e novembro de 2018; -11,5%); carne suína (US$ 1,20 bilhão entre dezembro de 2017 e novembro de 2018; -25,0%); e carne de peru (US$ 153,83 milhões entre dezembro de 2017 e novembro de 2018; -47,7%).</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Os produtos florestais aumentaram as vendas externas em 21,5%, chegando a US$ 13,84 bilhões entre dezembro de 2017 e novembro de 2018.  A celulose é o principal produto comercializado pelo setor, com US$ 8,13 bilhões exportados (+29,5%), cifra recorde para esse período de doze meses. Outros produtos exportados pelo setor foram: madeiras e suas obras (US$ 3,70 bilhões; +15,8%) e papel (US$ 2,00 bilhões; +4,8%). </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lastRenderedPageBreak/>
        <w:t xml:space="preserve">O complexo sucroalcooleiro diminuiu as exportações de US$ 12,64 bilhões entre dezembro de 2016 e novembro de 2017 para US$ 7,67 bilhões entre dezembro de 2017 e novembro de 2018 (-39,3%). Esta queda ocorreu em função do declínio nas vendas externas de açúcar, que diminuíram de US$ 11,82 bilhões para US$ 6,78 bilhões no período em análise. Uma redução absoluta de aproximadamente US$ 5,0 bilhões nas vendas externas. Tal cenário foi fruto do excesso de oferta mundial do produto, que reduziu o preço e a demanda do açúcar brasileiro em diversos mercados. O outro produto exportado pelo setor, o álcool, apresentou crescimento de 8,5% das vendas externas, que atingiram US$ 879,84 milhões entre dezembro de 2017 e novembro de 2018. </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Por fim, na quinta posição dentre os principais setores exportadores do agronegócio brasileiro apareceu o café. As exportações do setor recuaram 10,2%, chegando a US$ 4,84 bilhões. O café verde é o principal produto exportado pelo setor, com US$ 4,23 bilhões (-10,3%) entre dezembro de 2017 e novembro de 2018, enquanto as vendas externas de café solúvel foram de US$ 530,07 milhões nos últimos doze meses (-10,3%).</w:t>
      </w:r>
    </w:p>
    <w:p w:rsidR="004645F9" w:rsidRPr="004645F9" w:rsidRDefault="004645F9" w:rsidP="004645F9">
      <w:pPr>
        <w:pStyle w:val="Recuodecorpodetexto"/>
        <w:ind w:firstLine="0"/>
        <w:rPr>
          <w:rFonts w:ascii="Arial" w:hAnsi="Arial" w:cs="Arial"/>
          <w:sz w:val="20"/>
          <w:szCs w:val="20"/>
        </w:rPr>
      </w:pPr>
    </w:p>
    <w:p w:rsidR="004645F9" w:rsidRPr="004645F9" w:rsidRDefault="004645F9" w:rsidP="004645F9">
      <w:pPr>
        <w:pStyle w:val="Recuodecorpodetexto"/>
        <w:ind w:firstLine="0"/>
        <w:rPr>
          <w:rFonts w:ascii="Arial" w:hAnsi="Arial" w:cs="Arial"/>
          <w:sz w:val="20"/>
          <w:szCs w:val="20"/>
        </w:rPr>
      </w:pPr>
      <w:r w:rsidRPr="004645F9">
        <w:rPr>
          <w:rFonts w:ascii="Arial" w:hAnsi="Arial" w:cs="Arial"/>
          <w:sz w:val="20"/>
          <w:szCs w:val="20"/>
        </w:rPr>
        <w:t>As importações de produtos do agronegócio caíram 1,7%, atingindo a cifra de US$ 14,09 bilhões entre dezembro de 2017 e novembro de 2018. Os dez principais produtos do setor importados pelo Brasil no período em análise foram: trigo (US$ 1,44 bilhão; +19,8%); papel (US$ 902,32 milhões; +7,9%); álcool etílico (US$ 708,62 milhões; -23,7%); vestuário e outros produtos têxteis de algodão (US$ 623,94 milhões; +15,9%); salmões, frescos ou refrigerados (US$ 502,60 milhões; -2,4%); azeite de oliva (US$ 449,63 milhões; +37,6%); malte (US$ 415,52 milhões; -2,4%); vinho (US$ 379,01 milhões; +5,0%); óleo de palma (US$ 410,20 milhões; -4,5%); e borracha natural (US$ 353,65 milhões; -13,9%).</w:t>
      </w:r>
    </w:p>
    <w:p w:rsidR="00C9726F" w:rsidRPr="00DF014A" w:rsidRDefault="00C9726F" w:rsidP="00C9726F">
      <w:pPr>
        <w:pStyle w:val="Recuodecorpodetexto"/>
        <w:ind w:firstLine="0"/>
        <w:rPr>
          <w:rFonts w:ascii="Arial" w:hAnsi="Arial" w:cs="Arial"/>
          <w:sz w:val="20"/>
          <w:szCs w:val="20"/>
        </w:rPr>
      </w:pPr>
    </w:p>
    <w:p w:rsidR="00D8041E" w:rsidRPr="00DF014A" w:rsidRDefault="00B617CF" w:rsidP="001450A5">
      <w:pPr>
        <w:pStyle w:val="Recuodecorpodetexto"/>
        <w:ind w:firstLine="0"/>
        <w:rPr>
          <w:rFonts w:ascii="Arial" w:hAnsi="Arial" w:cs="Arial"/>
          <w:sz w:val="20"/>
          <w:szCs w:val="20"/>
        </w:rPr>
      </w:pPr>
      <w:r w:rsidRPr="00B617CF">
        <w:rPr>
          <w:noProof/>
        </w:rPr>
        <w:drawing>
          <wp:inline distT="0" distB="0" distL="0" distR="0" wp14:anchorId="0D2D1663" wp14:editId="642B05FB">
            <wp:extent cx="6480175" cy="38550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EC07E7" w:rsidRDefault="00EC07E7" w:rsidP="00CA2C33">
      <w:pPr>
        <w:rPr>
          <w:rFonts w:ascii="Arial" w:hAnsi="Arial" w:cs="Arial"/>
          <w:b/>
          <w:sz w:val="20"/>
          <w:szCs w:val="20"/>
        </w:rPr>
      </w:pPr>
    </w:p>
    <w:p w:rsidR="004645F9" w:rsidRDefault="004645F9" w:rsidP="00CA2C33">
      <w:pPr>
        <w:rPr>
          <w:rFonts w:ascii="Arial" w:hAnsi="Arial" w:cs="Arial"/>
          <w:b/>
          <w:sz w:val="20"/>
          <w:szCs w:val="20"/>
        </w:rPr>
      </w:pPr>
    </w:p>
    <w:p w:rsidR="0001136D" w:rsidRPr="00DF014A" w:rsidRDefault="0001136D" w:rsidP="00CA2C33">
      <w:pPr>
        <w:rPr>
          <w:rFonts w:ascii="Arial" w:hAnsi="Arial" w:cs="Arial"/>
          <w:b/>
          <w:sz w:val="20"/>
          <w:szCs w:val="20"/>
        </w:rPr>
      </w:pPr>
      <w:proofErr w:type="spellStart"/>
      <w:r w:rsidRPr="00DF014A">
        <w:rPr>
          <w:rFonts w:ascii="Arial" w:hAnsi="Arial" w:cs="Arial"/>
          <w:b/>
          <w:sz w:val="20"/>
          <w:szCs w:val="20"/>
        </w:rPr>
        <w:t>III.b</w:t>
      </w:r>
      <w:proofErr w:type="spellEnd"/>
      <w:r w:rsidRPr="00DF014A">
        <w:rPr>
          <w:rFonts w:ascii="Arial" w:hAnsi="Arial" w:cs="Arial"/>
          <w:b/>
          <w:sz w:val="20"/>
          <w:szCs w:val="20"/>
        </w:rPr>
        <w:t xml:space="preserve"> – Blocos Econômicos e Regiões Geográficas</w:t>
      </w:r>
    </w:p>
    <w:p w:rsidR="002F6D78" w:rsidRPr="00DF014A" w:rsidRDefault="002F6D78" w:rsidP="008E6AF0">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A Ásia foi destaque nas exportações brasileiras do agronegócio entre dezembro de 2017 e novembro de 2018. A região subiu as aquisições de US$ 43,42 bilhões entre dezembro de 2016 e novembro de 2017 para US$ 50,40 bilhões nos últimos doze meses (+16,1%).  Com tal incremento, a participação da Ásia das exportações brasileiras do agronegócio subiu 4,7 pontos percentuais chegando a 50,3% nos últimos doze meses. Ou seja, para cada US$ 100 exportados pelo Brasil em produtos do agronegócio, mais de US$ 50 foram encaminhados à Ásia nos últimos doze meses. </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A União Europeia também aumentou as aquisições de produtos do agronegócio brasileiro, com crescimento de 4,1%, elevando as compras para US$ 17,59 bilhões. A participação do bloco, porém, caiu 0,1 ponto percentual, indo para 17,6% de participação. </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A participação conjunta da Ásia e da União Europeia no comércio exterior do agronegócio brasileiro foi de 67,9% nos últimos doze meses.</w:t>
      </w:r>
    </w:p>
    <w:p w:rsidR="004645F9" w:rsidRPr="004645F9" w:rsidRDefault="004645F9" w:rsidP="004645F9">
      <w:pPr>
        <w:pStyle w:val="Recuodecorpodetexto"/>
        <w:ind w:firstLine="0"/>
        <w:rPr>
          <w:rFonts w:ascii="Arial" w:hAnsi="Arial" w:cs="Arial"/>
          <w:sz w:val="20"/>
          <w:szCs w:val="20"/>
        </w:rPr>
      </w:pPr>
    </w:p>
    <w:p w:rsidR="004645F9" w:rsidRPr="004645F9" w:rsidRDefault="004645F9" w:rsidP="004645F9">
      <w:pPr>
        <w:pStyle w:val="Recuodecorpodetexto"/>
        <w:ind w:firstLine="0"/>
        <w:rPr>
          <w:rFonts w:ascii="Arial" w:hAnsi="Arial" w:cs="Arial"/>
          <w:sz w:val="20"/>
          <w:szCs w:val="20"/>
        </w:rPr>
      </w:pPr>
      <w:r w:rsidRPr="004645F9">
        <w:rPr>
          <w:rFonts w:ascii="Arial" w:hAnsi="Arial" w:cs="Arial"/>
          <w:sz w:val="20"/>
          <w:szCs w:val="20"/>
        </w:rPr>
        <w:lastRenderedPageBreak/>
        <w:t>As outras regiões ou blocos que tiveram comércio com o Brasil são apresentadas na Tabela 8.</w:t>
      </w:r>
    </w:p>
    <w:p w:rsidR="00CD3649" w:rsidRPr="00DF014A" w:rsidRDefault="00CD3649" w:rsidP="002B1A0F">
      <w:pPr>
        <w:pStyle w:val="Recuodecorpodetexto"/>
        <w:ind w:firstLine="0"/>
        <w:rPr>
          <w:rFonts w:ascii="Arial" w:hAnsi="Arial" w:cs="Arial"/>
          <w:sz w:val="20"/>
          <w:szCs w:val="20"/>
        </w:rPr>
      </w:pPr>
    </w:p>
    <w:p w:rsidR="002C1597" w:rsidRPr="00DF014A" w:rsidRDefault="00B617CF" w:rsidP="002B1A0F">
      <w:pPr>
        <w:pStyle w:val="Recuodecorpodetexto"/>
        <w:ind w:firstLine="0"/>
        <w:rPr>
          <w:rFonts w:ascii="Arial" w:hAnsi="Arial" w:cs="Arial"/>
          <w:sz w:val="20"/>
          <w:szCs w:val="20"/>
        </w:rPr>
      </w:pPr>
      <w:r w:rsidRPr="00B617CF">
        <w:rPr>
          <w:noProof/>
        </w:rPr>
        <w:drawing>
          <wp:inline distT="0" distB="0" distL="0" distR="0" wp14:anchorId="28FC950B" wp14:editId="2076FBBC">
            <wp:extent cx="6480175" cy="234823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E17DA9" w:rsidRPr="00DF014A" w:rsidRDefault="00E17DA9" w:rsidP="002B1A0F">
      <w:pPr>
        <w:pStyle w:val="Recuodecorpodetexto"/>
        <w:ind w:firstLine="0"/>
        <w:rPr>
          <w:rFonts w:ascii="Arial" w:hAnsi="Arial" w:cs="Arial"/>
          <w:sz w:val="20"/>
          <w:szCs w:val="20"/>
        </w:rPr>
      </w:pPr>
    </w:p>
    <w:p w:rsidR="0001136D" w:rsidRPr="00DF014A" w:rsidRDefault="0001136D" w:rsidP="0001136D">
      <w:pPr>
        <w:pStyle w:val="Ttulo5"/>
        <w:autoSpaceDE/>
        <w:autoSpaceDN/>
        <w:adjustRightInd/>
        <w:rPr>
          <w:rFonts w:ascii="Arial" w:hAnsi="Arial" w:cs="Arial"/>
          <w:sz w:val="20"/>
          <w:szCs w:val="20"/>
        </w:rPr>
      </w:pPr>
      <w:proofErr w:type="spellStart"/>
      <w:r w:rsidRPr="00DF014A">
        <w:rPr>
          <w:rFonts w:ascii="Arial" w:hAnsi="Arial" w:cs="Arial"/>
          <w:sz w:val="20"/>
          <w:szCs w:val="20"/>
        </w:rPr>
        <w:t>III.c</w:t>
      </w:r>
      <w:proofErr w:type="spellEnd"/>
      <w:r w:rsidRPr="00DF014A">
        <w:rPr>
          <w:rFonts w:ascii="Arial" w:hAnsi="Arial" w:cs="Arial"/>
          <w:sz w:val="20"/>
          <w:szCs w:val="20"/>
        </w:rPr>
        <w:t xml:space="preserve"> – Países</w:t>
      </w:r>
    </w:p>
    <w:p w:rsidR="00717244" w:rsidRPr="00DF014A" w:rsidRDefault="00717244" w:rsidP="008E6AF0">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A China merece destaque na análise dos últimos doze meses quanto à participação nas exportações brasileiras do agronegócio. O país asiático incrementou as aquisições de produtos do agronegócio brasileiro de US$ 25,97 bilhões entre dezembro de 2016 e novembro de 2017 para US$ 34,66 bilhões entre dezembro de 2017 e novembro de 2018 (+33,4%).  O forte aumento das exportações à China elevou a participação do país de 27,3% para 34,6% no período em análise. Dessa forma, mais de um terço do valor total exportado pelo Brasil em produtos do agronegócio foi remetido à China nos últimos doze meses. </w:t>
      </w:r>
    </w:p>
    <w:p w:rsidR="004645F9" w:rsidRPr="004645F9" w:rsidRDefault="004645F9" w:rsidP="004645F9">
      <w:pPr>
        <w:pStyle w:val="Recuodecorpodetexto"/>
        <w:ind w:firstLine="0"/>
        <w:rPr>
          <w:rFonts w:ascii="Arial" w:hAnsi="Arial" w:cs="Arial"/>
          <w:sz w:val="20"/>
          <w:szCs w:val="20"/>
        </w:rPr>
      </w:pPr>
    </w:p>
    <w:p w:rsidR="004645F9" w:rsidRDefault="004645F9" w:rsidP="004645F9">
      <w:pPr>
        <w:pStyle w:val="Recuodecorpodetexto"/>
        <w:ind w:firstLine="0"/>
        <w:rPr>
          <w:rFonts w:ascii="Arial" w:hAnsi="Arial" w:cs="Arial"/>
          <w:sz w:val="20"/>
          <w:szCs w:val="20"/>
        </w:rPr>
      </w:pPr>
      <w:r w:rsidRPr="004645F9">
        <w:rPr>
          <w:rFonts w:ascii="Arial" w:hAnsi="Arial" w:cs="Arial"/>
          <w:sz w:val="20"/>
          <w:szCs w:val="20"/>
        </w:rPr>
        <w:t>Três produtos merecem destaque no comércio com a China: soja em grãos, celulose e carne bovina in natura. A China adquiriu 67,0 milhões de toneladas de soja em grãos, número que representou 81,8% da quantidade total exportado pelo Brasil do grão, que foi de 81,93 milhões de toneladas nos últimos doze meses. A quantidade adquirida pela China representou 56,2% da safra brasileira de soja 2017/2018, estimada em 119,2 milhões de toneladas. No comércio de celulose, a China comprou 6,50 milhões de toneladas do Brasil ou 43,4% das 15,0 milhões de toneladas exportadas pelo Brasil.  A carne bovina in natura ficou na terceira posição dentre os principais produtos exportados pelo Brasil à China, foram 317,8 mil toneladas exportadas. Essa quantidade representou 19,6% da 1,6 milhão de toneladas exportadas pelo Brasil.</w:t>
      </w:r>
    </w:p>
    <w:p w:rsidR="004645F9" w:rsidRPr="004645F9" w:rsidRDefault="004645F9" w:rsidP="004645F9">
      <w:pPr>
        <w:pStyle w:val="Recuodecorpodetexto"/>
        <w:ind w:firstLine="0"/>
        <w:rPr>
          <w:rFonts w:ascii="Arial" w:hAnsi="Arial" w:cs="Arial"/>
          <w:sz w:val="20"/>
          <w:szCs w:val="20"/>
        </w:rPr>
      </w:pPr>
    </w:p>
    <w:p w:rsidR="004645F9" w:rsidRPr="004645F9" w:rsidRDefault="004645F9" w:rsidP="004645F9">
      <w:pPr>
        <w:pStyle w:val="Recuodecorpodetexto"/>
        <w:ind w:firstLine="0"/>
        <w:rPr>
          <w:rFonts w:ascii="Arial" w:hAnsi="Arial" w:cs="Arial"/>
          <w:sz w:val="20"/>
          <w:szCs w:val="20"/>
        </w:rPr>
      </w:pPr>
      <w:r w:rsidRPr="004645F9">
        <w:rPr>
          <w:rFonts w:ascii="Arial" w:hAnsi="Arial" w:cs="Arial"/>
          <w:sz w:val="20"/>
          <w:szCs w:val="20"/>
        </w:rPr>
        <w:t xml:space="preserve">Outros países que registraram no período crescimento das aquisições de produtos do agronegócio brasileira acima de um dígito foram: Espanha (US$ 2,09 bilhões; +14,7%); Vietnã (US$ 1,64 bilhão; +18,4%); Argentina (US$ 1,55 bilhão; +17,7%); e Turquia (US$ 1,41 bilhão; +86,6%). </w:t>
      </w:r>
    </w:p>
    <w:p w:rsidR="00C9726F" w:rsidRPr="00DF014A" w:rsidRDefault="00B617CF" w:rsidP="00C9726F">
      <w:pPr>
        <w:pStyle w:val="Recuodecorpodetexto"/>
        <w:ind w:firstLine="0"/>
        <w:rPr>
          <w:rFonts w:ascii="Arial" w:hAnsi="Arial" w:cs="Arial"/>
          <w:sz w:val="20"/>
          <w:szCs w:val="20"/>
        </w:rPr>
      </w:pPr>
      <w:r w:rsidRPr="00B617CF">
        <w:rPr>
          <w:noProof/>
        </w:rPr>
        <w:lastRenderedPageBreak/>
        <w:drawing>
          <wp:inline distT="0" distB="0" distL="0" distR="0" wp14:anchorId="24435F68" wp14:editId="059F1FA9">
            <wp:extent cx="6480175" cy="3879215"/>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517D6A" w:rsidRPr="00DF014A" w:rsidRDefault="00517D6A" w:rsidP="008E6AF0">
      <w:pPr>
        <w:pStyle w:val="Recuodecorpodetexto"/>
        <w:ind w:firstLine="0"/>
        <w:rPr>
          <w:rFonts w:ascii="Arial" w:hAnsi="Arial" w:cs="Arial"/>
          <w:sz w:val="20"/>
          <w:szCs w:val="20"/>
        </w:rPr>
      </w:pPr>
    </w:p>
    <w:p w:rsidR="008E6AF0" w:rsidRPr="00DF014A" w:rsidRDefault="008E6AF0" w:rsidP="00717244">
      <w:pPr>
        <w:rPr>
          <w:rFonts w:ascii="Arial" w:hAnsi="Arial" w:cs="Arial"/>
          <w:sz w:val="20"/>
          <w:szCs w:val="20"/>
        </w:rPr>
      </w:pPr>
    </w:p>
    <w:p w:rsidR="00384963" w:rsidRPr="00DF014A" w:rsidRDefault="00384963" w:rsidP="0001136D">
      <w:pPr>
        <w:rPr>
          <w:rFonts w:ascii="Arial" w:hAnsi="Arial" w:cs="Arial"/>
          <w:sz w:val="20"/>
          <w:szCs w:val="20"/>
        </w:rPr>
      </w:pPr>
    </w:p>
    <w:p w:rsidR="00CB601C" w:rsidRPr="00DF014A" w:rsidRDefault="00CB601C" w:rsidP="00CB601C">
      <w:pPr>
        <w:pStyle w:val="Recuodecorpodetexto"/>
        <w:ind w:firstLine="0"/>
        <w:rPr>
          <w:rFonts w:ascii="Arial" w:hAnsi="Arial" w:cs="Arial"/>
          <w:sz w:val="20"/>
          <w:szCs w:val="20"/>
        </w:rPr>
      </w:pPr>
    </w:p>
    <w:p w:rsidR="00CB601C" w:rsidRPr="00DF014A" w:rsidRDefault="00CB601C" w:rsidP="00CB601C">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DF014A">
        <w:rPr>
          <w:i w:val="0"/>
          <w:sz w:val="20"/>
          <w:szCs w:val="20"/>
          <w:lang w:val="pt-BR"/>
        </w:rPr>
        <w:t>NOTA METODOLÓGICA</w:t>
      </w:r>
    </w:p>
    <w:p w:rsidR="00CB601C" w:rsidRPr="00DF014A"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DF014A">
        <w:rPr>
          <w:rFonts w:ascii="Arial" w:hAnsi="Arial" w:cs="Arial"/>
          <w:sz w:val="20"/>
          <w:szCs w:val="20"/>
        </w:rP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rsidR="00CB601C" w:rsidRPr="00DF014A"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B601C" w:rsidRPr="00DF014A"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DF014A">
        <w:rPr>
          <w:rFonts w:ascii="Arial" w:hAnsi="Arial" w:cs="Arial"/>
          <w:sz w:val="20"/>
          <w:szCs w:val="20"/>
        </w:rPr>
        <w:t xml:space="preserve">A Balança Comercial do Agronegócio utiliza uma classificação dos produtos do agronegócio que reúne 2.867 </w:t>
      </w:r>
      <w:proofErr w:type="spellStart"/>
      <w:r w:rsidRPr="00DF014A">
        <w:rPr>
          <w:rFonts w:ascii="Arial" w:hAnsi="Arial" w:cs="Arial"/>
          <w:sz w:val="20"/>
          <w:szCs w:val="20"/>
        </w:rPr>
        <w:t>NCM’s</w:t>
      </w:r>
      <w:proofErr w:type="spellEnd"/>
      <w:r w:rsidRPr="00DF014A">
        <w:rPr>
          <w:rFonts w:ascii="Arial" w:hAnsi="Arial" w:cs="Arial"/>
          <w:sz w:val="20"/>
          <w:szCs w:val="20"/>
        </w:rPr>
        <w:t xml:space="preserve"> em 25 setores. Essa é a mesma classificação utilizada no AGROSTAT BRASIL - base de dados </w:t>
      </w:r>
      <w:proofErr w:type="spellStart"/>
      <w:r w:rsidRPr="00DF014A">
        <w:rPr>
          <w:rFonts w:ascii="Arial" w:hAnsi="Arial" w:cs="Arial"/>
          <w:i/>
          <w:sz w:val="20"/>
          <w:szCs w:val="20"/>
        </w:rPr>
        <w:t>on</w:t>
      </w:r>
      <w:proofErr w:type="spellEnd"/>
      <w:r w:rsidRPr="00DF014A">
        <w:rPr>
          <w:rFonts w:ascii="Arial" w:hAnsi="Arial" w:cs="Arial"/>
          <w:i/>
          <w:sz w:val="20"/>
          <w:szCs w:val="20"/>
        </w:rPr>
        <w:t xml:space="preserve"> </w:t>
      </w:r>
      <w:proofErr w:type="spellStart"/>
      <w:r w:rsidRPr="00DF014A">
        <w:rPr>
          <w:rFonts w:ascii="Arial" w:hAnsi="Arial" w:cs="Arial"/>
          <w:i/>
          <w:sz w:val="20"/>
          <w:szCs w:val="20"/>
        </w:rPr>
        <w:t>line</w:t>
      </w:r>
      <w:proofErr w:type="spellEnd"/>
      <w:r w:rsidRPr="00DF014A">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DF014A">
          <w:rPr>
            <w:rStyle w:val="Hyperlink"/>
            <w:rFonts w:ascii="Arial" w:hAnsi="Arial" w:cs="Arial"/>
            <w:sz w:val="20"/>
            <w:szCs w:val="20"/>
          </w:rPr>
          <w:t>agrostat.agricultura.gov.br</w:t>
        </w:r>
      </w:hyperlink>
      <w:r w:rsidRPr="00DF014A">
        <w:rPr>
          <w:rFonts w:ascii="Arial" w:hAnsi="Arial" w:cs="Arial"/>
          <w:sz w:val="20"/>
          <w:szCs w:val="20"/>
        </w:rPr>
        <w:t xml:space="preserve"> </w:t>
      </w:r>
    </w:p>
    <w:p w:rsidR="00CB601C" w:rsidRPr="00DF014A"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B601C" w:rsidRPr="00DF014A" w:rsidRDefault="00CB601C" w:rsidP="00CB601C">
      <w:pPr>
        <w:pStyle w:val="Ttulo2"/>
        <w:jc w:val="right"/>
        <w:rPr>
          <w:rFonts w:ascii="Arial" w:hAnsi="Arial" w:cs="Arial"/>
          <w:b/>
          <w:sz w:val="20"/>
        </w:rPr>
      </w:pPr>
    </w:p>
    <w:p w:rsidR="007D7D4C" w:rsidRPr="00DF014A" w:rsidRDefault="007D7D4C" w:rsidP="00384963">
      <w:pPr>
        <w:pStyle w:val="Recuodecorpodetexto"/>
        <w:ind w:firstLine="0"/>
        <w:rPr>
          <w:rFonts w:ascii="Arial" w:hAnsi="Arial" w:cs="Arial"/>
          <w:sz w:val="20"/>
          <w:szCs w:val="20"/>
        </w:rPr>
      </w:pPr>
    </w:p>
    <w:p w:rsidR="00C87B02" w:rsidRPr="00DF014A" w:rsidRDefault="00C87B02">
      <w:pPr>
        <w:pStyle w:val="Ttulo2"/>
        <w:jc w:val="right"/>
        <w:rPr>
          <w:rFonts w:ascii="Arial" w:hAnsi="Arial" w:cs="Arial"/>
          <w:b/>
          <w:sz w:val="20"/>
        </w:rPr>
      </w:pPr>
    </w:p>
    <w:p w:rsidR="00C87B02" w:rsidRPr="00DF014A" w:rsidRDefault="00C87B02">
      <w:pPr>
        <w:pStyle w:val="Ttulo2"/>
        <w:jc w:val="right"/>
        <w:rPr>
          <w:rFonts w:ascii="Arial" w:hAnsi="Arial" w:cs="Arial"/>
          <w:b/>
          <w:sz w:val="20"/>
        </w:rPr>
      </w:pPr>
      <w:r w:rsidRPr="00DF014A">
        <w:rPr>
          <w:rFonts w:ascii="Arial" w:hAnsi="Arial" w:cs="Arial"/>
          <w:b/>
          <w:sz w:val="20"/>
        </w:rPr>
        <w:t>MAPA/SRI/D</w:t>
      </w:r>
      <w:r w:rsidR="00A87ED0" w:rsidRPr="00DF014A">
        <w:rPr>
          <w:rFonts w:ascii="Arial" w:hAnsi="Arial" w:cs="Arial"/>
          <w:b/>
          <w:sz w:val="20"/>
        </w:rPr>
        <w:t>AC</w:t>
      </w:r>
    </w:p>
    <w:p w:rsidR="00C87B02" w:rsidRPr="00DF014A" w:rsidRDefault="00C87B02">
      <w:pPr>
        <w:pStyle w:val="Recuodecorpodetexto"/>
        <w:jc w:val="right"/>
        <w:rPr>
          <w:rFonts w:ascii="Arial" w:hAnsi="Arial" w:cs="Arial"/>
          <w:sz w:val="20"/>
          <w:szCs w:val="20"/>
        </w:rPr>
      </w:pPr>
      <w:r w:rsidRPr="00DF014A">
        <w:rPr>
          <w:rFonts w:ascii="Arial" w:hAnsi="Arial" w:cs="Arial"/>
          <w:sz w:val="20"/>
          <w:szCs w:val="20"/>
        </w:rPr>
        <w:t xml:space="preserve"> </w:t>
      </w:r>
      <w:r w:rsidR="00EC07E7">
        <w:rPr>
          <w:rFonts w:ascii="Arial" w:hAnsi="Arial" w:cs="Arial"/>
          <w:sz w:val="20"/>
          <w:szCs w:val="20"/>
        </w:rPr>
        <w:t>1</w:t>
      </w:r>
      <w:r w:rsidR="004645F9">
        <w:rPr>
          <w:rFonts w:ascii="Arial" w:hAnsi="Arial" w:cs="Arial"/>
          <w:sz w:val="20"/>
          <w:szCs w:val="20"/>
        </w:rPr>
        <w:t>3</w:t>
      </w:r>
      <w:bookmarkStart w:id="1" w:name="_GoBack"/>
      <w:bookmarkEnd w:id="1"/>
      <w:r w:rsidR="00755556" w:rsidRPr="00DF014A">
        <w:rPr>
          <w:rFonts w:ascii="Arial" w:hAnsi="Arial" w:cs="Arial"/>
          <w:sz w:val="20"/>
          <w:szCs w:val="20"/>
        </w:rPr>
        <w:t>/1</w:t>
      </w:r>
      <w:r w:rsidR="00EC07E7">
        <w:rPr>
          <w:rFonts w:ascii="Arial" w:hAnsi="Arial" w:cs="Arial"/>
          <w:sz w:val="20"/>
          <w:szCs w:val="20"/>
        </w:rPr>
        <w:t>2</w:t>
      </w:r>
      <w:r w:rsidR="00826906" w:rsidRPr="00DF014A">
        <w:rPr>
          <w:rFonts w:ascii="Arial" w:hAnsi="Arial" w:cs="Arial"/>
          <w:sz w:val="20"/>
          <w:szCs w:val="20"/>
        </w:rPr>
        <w:t>/201</w:t>
      </w:r>
      <w:r w:rsidR="00A87ED0" w:rsidRPr="00DF014A">
        <w:rPr>
          <w:rFonts w:ascii="Arial" w:hAnsi="Arial" w:cs="Arial"/>
          <w:sz w:val="20"/>
          <w:szCs w:val="20"/>
        </w:rPr>
        <w:t>8</w:t>
      </w:r>
    </w:p>
    <w:sectPr w:rsidR="00C87B02" w:rsidRPr="00DF014A"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4645F9">
      <w:rPr>
        <w:rStyle w:val="Nmerodepgina"/>
        <w:rFonts w:ascii="Arial" w:hAnsi="Arial" w:cs="Arial"/>
        <w:noProof/>
        <w:sz w:val="16"/>
        <w:szCs w:val="16"/>
      </w:rPr>
      <w:t>2</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86" w:rsidRDefault="00F35186">
      <w:r>
        <w:separator/>
      </w:r>
    </w:p>
  </w:footnote>
  <w:footnote w:type="continuationSeparator" w:id="0">
    <w:p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28AB"/>
    <w:rsid w:val="00003612"/>
    <w:rsid w:val="000036C3"/>
    <w:rsid w:val="0000402A"/>
    <w:rsid w:val="00004903"/>
    <w:rsid w:val="000054FF"/>
    <w:rsid w:val="00006103"/>
    <w:rsid w:val="00006262"/>
    <w:rsid w:val="00006ECB"/>
    <w:rsid w:val="00007083"/>
    <w:rsid w:val="00007D32"/>
    <w:rsid w:val="00010A28"/>
    <w:rsid w:val="00010A70"/>
    <w:rsid w:val="0001136D"/>
    <w:rsid w:val="00011C4D"/>
    <w:rsid w:val="00012110"/>
    <w:rsid w:val="0001326B"/>
    <w:rsid w:val="00013681"/>
    <w:rsid w:val="00013B15"/>
    <w:rsid w:val="00013C10"/>
    <w:rsid w:val="0001553F"/>
    <w:rsid w:val="000166CF"/>
    <w:rsid w:val="00017297"/>
    <w:rsid w:val="00017D67"/>
    <w:rsid w:val="00017F9E"/>
    <w:rsid w:val="0002038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0698"/>
    <w:rsid w:val="0003161E"/>
    <w:rsid w:val="00031A57"/>
    <w:rsid w:val="0003291F"/>
    <w:rsid w:val="000329DF"/>
    <w:rsid w:val="0003345D"/>
    <w:rsid w:val="000348EF"/>
    <w:rsid w:val="00034D11"/>
    <w:rsid w:val="000354EE"/>
    <w:rsid w:val="00035920"/>
    <w:rsid w:val="00035927"/>
    <w:rsid w:val="00035E51"/>
    <w:rsid w:val="000400E7"/>
    <w:rsid w:val="00040781"/>
    <w:rsid w:val="00040AAD"/>
    <w:rsid w:val="00040CEE"/>
    <w:rsid w:val="000411F9"/>
    <w:rsid w:val="0004141A"/>
    <w:rsid w:val="00041459"/>
    <w:rsid w:val="0004188A"/>
    <w:rsid w:val="00041926"/>
    <w:rsid w:val="00041C47"/>
    <w:rsid w:val="000421AD"/>
    <w:rsid w:val="00042DA0"/>
    <w:rsid w:val="00043C91"/>
    <w:rsid w:val="00044959"/>
    <w:rsid w:val="00045520"/>
    <w:rsid w:val="00045689"/>
    <w:rsid w:val="000456E0"/>
    <w:rsid w:val="0004621E"/>
    <w:rsid w:val="00046E51"/>
    <w:rsid w:val="00047101"/>
    <w:rsid w:val="00047F65"/>
    <w:rsid w:val="00047FF1"/>
    <w:rsid w:val="00050C8F"/>
    <w:rsid w:val="00051416"/>
    <w:rsid w:val="00052337"/>
    <w:rsid w:val="000525EF"/>
    <w:rsid w:val="00053736"/>
    <w:rsid w:val="000542D8"/>
    <w:rsid w:val="00054E07"/>
    <w:rsid w:val="00055505"/>
    <w:rsid w:val="0005671D"/>
    <w:rsid w:val="00056994"/>
    <w:rsid w:val="00056B26"/>
    <w:rsid w:val="00057E53"/>
    <w:rsid w:val="00057F96"/>
    <w:rsid w:val="00060DB6"/>
    <w:rsid w:val="00060E48"/>
    <w:rsid w:val="00060ECE"/>
    <w:rsid w:val="00063414"/>
    <w:rsid w:val="00063D9B"/>
    <w:rsid w:val="00063DE6"/>
    <w:rsid w:val="00065F75"/>
    <w:rsid w:val="00066372"/>
    <w:rsid w:val="00066406"/>
    <w:rsid w:val="000666A5"/>
    <w:rsid w:val="000667F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77AB6"/>
    <w:rsid w:val="00080387"/>
    <w:rsid w:val="00080C6F"/>
    <w:rsid w:val="00080CDD"/>
    <w:rsid w:val="0008233D"/>
    <w:rsid w:val="000825A4"/>
    <w:rsid w:val="000838F3"/>
    <w:rsid w:val="00084C40"/>
    <w:rsid w:val="000851AD"/>
    <w:rsid w:val="000860D5"/>
    <w:rsid w:val="0008675A"/>
    <w:rsid w:val="00086BE6"/>
    <w:rsid w:val="00087349"/>
    <w:rsid w:val="00091B89"/>
    <w:rsid w:val="00092CA9"/>
    <w:rsid w:val="000930DA"/>
    <w:rsid w:val="00093582"/>
    <w:rsid w:val="00093FC9"/>
    <w:rsid w:val="0009438C"/>
    <w:rsid w:val="00094CD8"/>
    <w:rsid w:val="00094EAB"/>
    <w:rsid w:val="000950D3"/>
    <w:rsid w:val="00095783"/>
    <w:rsid w:val="00096E13"/>
    <w:rsid w:val="00096EDA"/>
    <w:rsid w:val="000976B6"/>
    <w:rsid w:val="000978BB"/>
    <w:rsid w:val="00097960"/>
    <w:rsid w:val="00097ADA"/>
    <w:rsid w:val="00097AEB"/>
    <w:rsid w:val="000A07F5"/>
    <w:rsid w:val="000A0879"/>
    <w:rsid w:val="000A0E3C"/>
    <w:rsid w:val="000A12CC"/>
    <w:rsid w:val="000A14AC"/>
    <w:rsid w:val="000A16C5"/>
    <w:rsid w:val="000A3C7F"/>
    <w:rsid w:val="000A412F"/>
    <w:rsid w:val="000A58CA"/>
    <w:rsid w:val="000A5E83"/>
    <w:rsid w:val="000A6462"/>
    <w:rsid w:val="000A6B29"/>
    <w:rsid w:val="000A7772"/>
    <w:rsid w:val="000B0374"/>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3E4"/>
    <w:rsid w:val="000C64AB"/>
    <w:rsid w:val="000C6B89"/>
    <w:rsid w:val="000D0596"/>
    <w:rsid w:val="000D0A1C"/>
    <w:rsid w:val="000D0A49"/>
    <w:rsid w:val="000D1791"/>
    <w:rsid w:val="000D26FA"/>
    <w:rsid w:val="000D279E"/>
    <w:rsid w:val="000D2804"/>
    <w:rsid w:val="000D2D61"/>
    <w:rsid w:val="000D39E2"/>
    <w:rsid w:val="000D4068"/>
    <w:rsid w:val="000D5591"/>
    <w:rsid w:val="000D5BE5"/>
    <w:rsid w:val="000E03A7"/>
    <w:rsid w:val="000E0754"/>
    <w:rsid w:val="000E1E96"/>
    <w:rsid w:val="000E1F98"/>
    <w:rsid w:val="000E2E7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185"/>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5593"/>
    <w:rsid w:val="00116244"/>
    <w:rsid w:val="00116DF6"/>
    <w:rsid w:val="001172F2"/>
    <w:rsid w:val="00120C53"/>
    <w:rsid w:val="00120FC3"/>
    <w:rsid w:val="001214F0"/>
    <w:rsid w:val="00121674"/>
    <w:rsid w:val="00121B82"/>
    <w:rsid w:val="001230EB"/>
    <w:rsid w:val="00123324"/>
    <w:rsid w:val="00123AEA"/>
    <w:rsid w:val="00123C08"/>
    <w:rsid w:val="00124184"/>
    <w:rsid w:val="00124275"/>
    <w:rsid w:val="00124438"/>
    <w:rsid w:val="001248CD"/>
    <w:rsid w:val="00125976"/>
    <w:rsid w:val="00127EF3"/>
    <w:rsid w:val="001302B1"/>
    <w:rsid w:val="00130896"/>
    <w:rsid w:val="00130BEF"/>
    <w:rsid w:val="00131883"/>
    <w:rsid w:val="00131C03"/>
    <w:rsid w:val="001322CD"/>
    <w:rsid w:val="00132734"/>
    <w:rsid w:val="00132CFF"/>
    <w:rsid w:val="001343E9"/>
    <w:rsid w:val="00134A6E"/>
    <w:rsid w:val="00134AB8"/>
    <w:rsid w:val="00135398"/>
    <w:rsid w:val="00135405"/>
    <w:rsid w:val="00135BA2"/>
    <w:rsid w:val="001360B0"/>
    <w:rsid w:val="00136522"/>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0A5"/>
    <w:rsid w:val="0014572B"/>
    <w:rsid w:val="0014658F"/>
    <w:rsid w:val="0014766D"/>
    <w:rsid w:val="001479CC"/>
    <w:rsid w:val="00147F3E"/>
    <w:rsid w:val="0015012C"/>
    <w:rsid w:val="00150906"/>
    <w:rsid w:val="00150D5F"/>
    <w:rsid w:val="00151988"/>
    <w:rsid w:val="00153702"/>
    <w:rsid w:val="00153873"/>
    <w:rsid w:val="00153E37"/>
    <w:rsid w:val="00155044"/>
    <w:rsid w:val="001553E1"/>
    <w:rsid w:val="0015622C"/>
    <w:rsid w:val="00156437"/>
    <w:rsid w:val="00156CF0"/>
    <w:rsid w:val="00157AFB"/>
    <w:rsid w:val="00161E99"/>
    <w:rsid w:val="001631E2"/>
    <w:rsid w:val="00164539"/>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353B"/>
    <w:rsid w:val="001845DB"/>
    <w:rsid w:val="00185460"/>
    <w:rsid w:val="001855B7"/>
    <w:rsid w:val="001877D0"/>
    <w:rsid w:val="00187C56"/>
    <w:rsid w:val="0019065E"/>
    <w:rsid w:val="00191D61"/>
    <w:rsid w:val="00192430"/>
    <w:rsid w:val="00193C52"/>
    <w:rsid w:val="00193F46"/>
    <w:rsid w:val="00194175"/>
    <w:rsid w:val="0019506D"/>
    <w:rsid w:val="001950E2"/>
    <w:rsid w:val="001965D0"/>
    <w:rsid w:val="00196B83"/>
    <w:rsid w:val="001A002C"/>
    <w:rsid w:val="001A0A6C"/>
    <w:rsid w:val="001A0C5C"/>
    <w:rsid w:val="001A0CE7"/>
    <w:rsid w:val="001A1062"/>
    <w:rsid w:val="001A1AD0"/>
    <w:rsid w:val="001A1F94"/>
    <w:rsid w:val="001A29EA"/>
    <w:rsid w:val="001A3B72"/>
    <w:rsid w:val="001A3C0C"/>
    <w:rsid w:val="001A47BE"/>
    <w:rsid w:val="001A4C12"/>
    <w:rsid w:val="001A551F"/>
    <w:rsid w:val="001A5F2C"/>
    <w:rsid w:val="001A6782"/>
    <w:rsid w:val="001A6825"/>
    <w:rsid w:val="001A69E4"/>
    <w:rsid w:val="001A7D65"/>
    <w:rsid w:val="001B0348"/>
    <w:rsid w:val="001B15A0"/>
    <w:rsid w:val="001B18D8"/>
    <w:rsid w:val="001B21EA"/>
    <w:rsid w:val="001B23D6"/>
    <w:rsid w:val="001B272C"/>
    <w:rsid w:val="001B290B"/>
    <w:rsid w:val="001B2E81"/>
    <w:rsid w:val="001B48AD"/>
    <w:rsid w:val="001B5153"/>
    <w:rsid w:val="001B5F0E"/>
    <w:rsid w:val="001B67B5"/>
    <w:rsid w:val="001B7C51"/>
    <w:rsid w:val="001C10B3"/>
    <w:rsid w:val="001C182B"/>
    <w:rsid w:val="001C2AFB"/>
    <w:rsid w:val="001C2BE2"/>
    <w:rsid w:val="001C3C0D"/>
    <w:rsid w:val="001C499D"/>
    <w:rsid w:val="001C5747"/>
    <w:rsid w:val="001C75BF"/>
    <w:rsid w:val="001C7639"/>
    <w:rsid w:val="001D02B6"/>
    <w:rsid w:val="001D1357"/>
    <w:rsid w:val="001D2BB4"/>
    <w:rsid w:val="001D3304"/>
    <w:rsid w:val="001D35D6"/>
    <w:rsid w:val="001D3640"/>
    <w:rsid w:val="001D44D5"/>
    <w:rsid w:val="001D51EE"/>
    <w:rsid w:val="001D5DA7"/>
    <w:rsid w:val="001D5EE4"/>
    <w:rsid w:val="001E005F"/>
    <w:rsid w:val="001E2DBF"/>
    <w:rsid w:val="001E3298"/>
    <w:rsid w:val="001E3EA2"/>
    <w:rsid w:val="001E4FEE"/>
    <w:rsid w:val="001E605F"/>
    <w:rsid w:val="001E649C"/>
    <w:rsid w:val="001E7D96"/>
    <w:rsid w:val="001F03E4"/>
    <w:rsid w:val="001F1E12"/>
    <w:rsid w:val="001F1E86"/>
    <w:rsid w:val="001F25CA"/>
    <w:rsid w:val="001F304D"/>
    <w:rsid w:val="001F3315"/>
    <w:rsid w:val="001F39C4"/>
    <w:rsid w:val="001F407C"/>
    <w:rsid w:val="001F47BF"/>
    <w:rsid w:val="001F59FD"/>
    <w:rsid w:val="001F6377"/>
    <w:rsid w:val="001F64C6"/>
    <w:rsid w:val="001F6BD9"/>
    <w:rsid w:val="00200422"/>
    <w:rsid w:val="00200C1F"/>
    <w:rsid w:val="00201721"/>
    <w:rsid w:val="00201EB6"/>
    <w:rsid w:val="0020228A"/>
    <w:rsid w:val="00202D83"/>
    <w:rsid w:val="00202E7D"/>
    <w:rsid w:val="002037B1"/>
    <w:rsid w:val="00203C2C"/>
    <w:rsid w:val="00204020"/>
    <w:rsid w:val="00204023"/>
    <w:rsid w:val="002048AD"/>
    <w:rsid w:val="0020496C"/>
    <w:rsid w:val="00204E09"/>
    <w:rsid w:val="00204E55"/>
    <w:rsid w:val="00205177"/>
    <w:rsid w:val="00206CCC"/>
    <w:rsid w:val="0020757C"/>
    <w:rsid w:val="002101DA"/>
    <w:rsid w:val="002104CA"/>
    <w:rsid w:val="002106CF"/>
    <w:rsid w:val="00210CDA"/>
    <w:rsid w:val="0021144F"/>
    <w:rsid w:val="00211702"/>
    <w:rsid w:val="00214201"/>
    <w:rsid w:val="00214566"/>
    <w:rsid w:val="0021521E"/>
    <w:rsid w:val="00215A65"/>
    <w:rsid w:val="0021634D"/>
    <w:rsid w:val="00216841"/>
    <w:rsid w:val="002175BC"/>
    <w:rsid w:val="00217690"/>
    <w:rsid w:val="0021787B"/>
    <w:rsid w:val="00220165"/>
    <w:rsid w:val="0022415C"/>
    <w:rsid w:val="00224391"/>
    <w:rsid w:val="00224683"/>
    <w:rsid w:val="0022533F"/>
    <w:rsid w:val="002259FA"/>
    <w:rsid w:val="00230941"/>
    <w:rsid w:val="00230FEE"/>
    <w:rsid w:val="00231034"/>
    <w:rsid w:val="0023186C"/>
    <w:rsid w:val="00232DF4"/>
    <w:rsid w:val="00232F38"/>
    <w:rsid w:val="00232F99"/>
    <w:rsid w:val="0023307D"/>
    <w:rsid w:val="00233BE6"/>
    <w:rsid w:val="00233C69"/>
    <w:rsid w:val="0023409D"/>
    <w:rsid w:val="00234BDA"/>
    <w:rsid w:val="002358FA"/>
    <w:rsid w:val="00235B60"/>
    <w:rsid w:val="00235D7C"/>
    <w:rsid w:val="00235D98"/>
    <w:rsid w:val="00236443"/>
    <w:rsid w:val="002365E6"/>
    <w:rsid w:val="00236C8A"/>
    <w:rsid w:val="0023726D"/>
    <w:rsid w:val="0024071A"/>
    <w:rsid w:val="00240914"/>
    <w:rsid w:val="00241738"/>
    <w:rsid w:val="00243565"/>
    <w:rsid w:val="00244DAD"/>
    <w:rsid w:val="00244FFD"/>
    <w:rsid w:val="00246FFB"/>
    <w:rsid w:val="0024709A"/>
    <w:rsid w:val="0025029B"/>
    <w:rsid w:val="00252568"/>
    <w:rsid w:val="00253BAB"/>
    <w:rsid w:val="00253F6E"/>
    <w:rsid w:val="0025449A"/>
    <w:rsid w:val="00256A85"/>
    <w:rsid w:val="0025703A"/>
    <w:rsid w:val="002575E1"/>
    <w:rsid w:val="00257676"/>
    <w:rsid w:val="002576A8"/>
    <w:rsid w:val="00257972"/>
    <w:rsid w:val="00257CA9"/>
    <w:rsid w:val="00260952"/>
    <w:rsid w:val="00260A3D"/>
    <w:rsid w:val="00260D3A"/>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1DD7"/>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0EE0"/>
    <w:rsid w:val="00292902"/>
    <w:rsid w:val="00292C37"/>
    <w:rsid w:val="00292F48"/>
    <w:rsid w:val="002954AE"/>
    <w:rsid w:val="002954F3"/>
    <w:rsid w:val="002960A2"/>
    <w:rsid w:val="0029641D"/>
    <w:rsid w:val="00296626"/>
    <w:rsid w:val="002976CD"/>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1A0F"/>
    <w:rsid w:val="002B225F"/>
    <w:rsid w:val="002B3E1D"/>
    <w:rsid w:val="002B3FF6"/>
    <w:rsid w:val="002B3FFA"/>
    <w:rsid w:val="002B40D1"/>
    <w:rsid w:val="002B4209"/>
    <w:rsid w:val="002B48DF"/>
    <w:rsid w:val="002B4BFF"/>
    <w:rsid w:val="002B5200"/>
    <w:rsid w:val="002B6586"/>
    <w:rsid w:val="002B728E"/>
    <w:rsid w:val="002B76D5"/>
    <w:rsid w:val="002B7E61"/>
    <w:rsid w:val="002C006D"/>
    <w:rsid w:val="002C0364"/>
    <w:rsid w:val="002C0850"/>
    <w:rsid w:val="002C0938"/>
    <w:rsid w:val="002C1597"/>
    <w:rsid w:val="002C2E49"/>
    <w:rsid w:val="002C2EBD"/>
    <w:rsid w:val="002C2F67"/>
    <w:rsid w:val="002C41FE"/>
    <w:rsid w:val="002C5A64"/>
    <w:rsid w:val="002C61C3"/>
    <w:rsid w:val="002C71CF"/>
    <w:rsid w:val="002C741E"/>
    <w:rsid w:val="002C7757"/>
    <w:rsid w:val="002D057E"/>
    <w:rsid w:val="002D15C6"/>
    <w:rsid w:val="002D198F"/>
    <w:rsid w:val="002D2497"/>
    <w:rsid w:val="002D2693"/>
    <w:rsid w:val="002D35B6"/>
    <w:rsid w:val="002D37D5"/>
    <w:rsid w:val="002D4505"/>
    <w:rsid w:val="002D46CC"/>
    <w:rsid w:val="002D52F9"/>
    <w:rsid w:val="002D5693"/>
    <w:rsid w:val="002D58E0"/>
    <w:rsid w:val="002D6145"/>
    <w:rsid w:val="002D6B4E"/>
    <w:rsid w:val="002D6E77"/>
    <w:rsid w:val="002D7367"/>
    <w:rsid w:val="002E05B8"/>
    <w:rsid w:val="002E0714"/>
    <w:rsid w:val="002E1A76"/>
    <w:rsid w:val="002E1D8A"/>
    <w:rsid w:val="002E1FCD"/>
    <w:rsid w:val="002E2A6B"/>
    <w:rsid w:val="002E3695"/>
    <w:rsid w:val="002E416C"/>
    <w:rsid w:val="002E50B6"/>
    <w:rsid w:val="002E50CA"/>
    <w:rsid w:val="002E5A8C"/>
    <w:rsid w:val="002E64B9"/>
    <w:rsid w:val="002E6B13"/>
    <w:rsid w:val="002E6BC7"/>
    <w:rsid w:val="002E6CA1"/>
    <w:rsid w:val="002E7085"/>
    <w:rsid w:val="002E78F4"/>
    <w:rsid w:val="002F00B6"/>
    <w:rsid w:val="002F2AA2"/>
    <w:rsid w:val="002F2B38"/>
    <w:rsid w:val="002F37D6"/>
    <w:rsid w:val="002F4059"/>
    <w:rsid w:val="002F4822"/>
    <w:rsid w:val="002F4B47"/>
    <w:rsid w:val="002F6408"/>
    <w:rsid w:val="002F69FB"/>
    <w:rsid w:val="002F6A42"/>
    <w:rsid w:val="002F6CE0"/>
    <w:rsid w:val="002F6D78"/>
    <w:rsid w:val="00301071"/>
    <w:rsid w:val="00301BFC"/>
    <w:rsid w:val="00301E82"/>
    <w:rsid w:val="00302D1E"/>
    <w:rsid w:val="0030347E"/>
    <w:rsid w:val="003054FC"/>
    <w:rsid w:val="0030680F"/>
    <w:rsid w:val="0031100B"/>
    <w:rsid w:val="00311262"/>
    <w:rsid w:val="003114C5"/>
    <w:rsid w:val="00311EF8"/>
    <w:rsid w:val="00311F32"/>
    <w:rsid w:val="00312E0B"/>
    <w:rsid w:val="00313A73"/>
    <w:rsid w:val="003143F7"/>
    <w:rsid w:val="003146D2"/>
    <w:rsid w:val="00314BFA"/>
    <w:rsid w:val="00316822"/>
    <w:rsid w:val="00316C31"/>
    <w:rsid w:val="003202FE"/>
    <w:rsid w:val="00320DCF"/>
    <w:rsid w:val="003213EA"/>
    <w:rsid w:val="00321FD3"/>
    <w:rsid w:val="003222A3"/>
    <w:rsid w:val="003224EB"/>
    <w:rsid w:val="00322652"/>
    <w:rsid w:val="00323974"/>
    <w:rsid w:val="00323A54"/>
    <w:rsid w:val="00324262"/>
    <w:rsid w:val="00324322"/>
    <w:rsid w:val="003243CC"/>
    <w:rsid w:val="00324ECE"/>
    <w:rsid w:val="00324F68"/>
    <w:rsid w:val="003259EE"/>
    <w:rsid w:val="00327472"/>
    <w:rsid w:val="00330581"/>
    <w:rsid w:val="003306C9"/>
    <w:rsid w:val="00330A67"/>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462D9"/>
    <w:rsid w:val="00350F51"/>
    <w:rsid w:val="0035125D"/>
    <w:rsid w:val="00352DE2"/>
    <w:rsid w:val="00353472"/>
    <w:rsid w:val="0035436D"/>
    <w:rsid w:val="00354FF6"/>
    <w:rsid w:val="00355FCD"/>
    <w:rsid w:val="003573B7"/>
    <w:rsid w:val="00361C71"/>
    <w:rsid w:val="003630D6"/>
    <w:rsid w:val="0036317F"/>
    <w:rsid w:val="00364750"/>
    <w:rsid w:val="00364842"/>
    <w:rsid w:val="00365AB9"/>
    <w:rsid w:val="00367D6B"/>
    <w:rsid w:val="00370C77"/>
    <w:rsid w:val="00370E99"/>
    <w:rsid w:val="00370F4A"/>
    <w:rsid w:val="00372F4E"/>
    <w:rsid w:val="00372FB4"/>
    <w:rsid w:val="003734AA"/>
    <w:rsid w:val="003743B9"/>
    <w:rsid w:val="00374794"/>
    <w:rsid w:val="00374A21"/>
    <w:rsid w:val="003766EA"/>
    <w:rsid w:val="00376A7A"/>
    <w:rsid w:val="0038134C"/>
    <w:rsid w:val="003820BA"/>
    <w:rsid w:val="003823A1"/>
    <w:rsid w:val="00382526"/>
    <w:rsid w:val="00382C83"/>
    <w:rsid w:val="00383C89"/>
    <w:rsid w:val="00383D01"/>
    <w:rsid w:val="00384177"/>
    <w:rsid w:val="00384963"/>
    <w:rsid w:val="003862C2"/>
    <w:rsid w:val="00386C6D"/>
    <w:rsid w:val="003909E2"/>
    <w:rsid w:val="00390CD1"/>
    <w:rsid w:val="00392C3A"/>
    <w:rsid w:val="00392E0F"/>
    <w:rsid w:val="00392FC0"/>
    <w:rsid w:val="00393FDE"/>
    <w:rsid w:val="003947CB"/>
    <w:rsid w:val="003949D8"/>
    <w:rsid w:val="00394C37"/>
    <w:rsid w:val="00394ED0"/>
    <w:rsid w:val="003952C4"/>
    <w:rsid w:val="0039561C"/>
    <w:rsid w:val="003957DC"/>
    <w:rsid w:val="003A0B29"/>
    <w:rsid w:val="003A0E82"/>
    <w:rsid w:val="003A1348"/>
    <w:rsid w:val="003A1858"/>
    <w:rsid w:val="003A2950"/>
    <w:rsid w:val="003A47B8"/>
    <w:rsid w:val="003A510C"/>
    <w:rsid w:val="003A6481"/>
    <w:rsid w:val="003A7A2A"/>
    <w:rsid w:val="003A7F11"/>
    <w:rsid w:val="003B049D"/>
    <w:rsid w:val="003B0ACC"/>
    <w:rsid w:val="003B0D74"/>
    <w:rsid w:val="003B0E1F"/>
    <w:rsid w:val="003B1517"/>
    <w:rsid w:val="003B1EC6"/>
    <w:rsid w:val="003B2B76"/>
    <w:rsid w:val="003B3718"/>
    <w:rsid w:val="003B434D"/>
    <w:rsid w:val="003B4B15"/>
    <w:rsid w:val="003B5497"/>
    <w:rsid w:val="003B58CD"/>
    <w:rsid w:val="003B6186"/>
    <w:rsid w:val="003B632E"/>
    <w:rsid w:val="003B6A83"/>
    <w:rsid w:val="003B6C9F"/>
    <w:rsid w:val="003B73D5"/>
    <w:rsid w:val="003B7B3B"/>
    <w:rsid w:val="003C13B7"/>
    <w:rsid w:val="003C1449"/>
    <w:rsid w:val="003C3151"/>
    <w:rsid w:val="003C315C"/>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633"/>
    <w:rsid w:val="003D5703"/>
    <w:rsid w:val="003D62F6"/>
    <w:rsid w:val="003D71DE"/>
    <w:rsid w:val="003D7895"/>
    <w:rsid w:val="003D79D4"/>
    <w:rsid w:val="003E091B"/>
    <w:rsid w:val="003E0991"/>
    <w:rsid w:val="003E146F"/>
    <w:rsid w:val="003E1610"/>
    <w:rsid w:val="003E165E"/>
    <w:rsid w:val="003E1EE3"/>
    <w:rsid w:val="003E2A9B"/>
    <w:rsid w:val="003E2AF6"/>
    <w:rsid w:val="003E2B32"/>
    <w:rsid w:val="003E30EC"/>
    <w:rsid w:val="003E31CD"/>
    <w:rsid w:val="003E367B"/>
    <w:rsid w:val="003E4A98"/>
    <w:rsid w:val="003E53C5"/>
    <w:rsid w:val="003E56D8"/>
    <w:rsid w:val="003E6803"/>
    <w:rsid w:val="003E7039"/>
    <w:rsid w:val="003F07E7"/>
    <w:rsid w:val="003F0A4D"/>
    <w:rsid w:val="003F10A8"/>
    <w:rsid w:val="003F150F"/>
    <w:rsid w:val="003F1C93"/>
    <w:rsid w:val="003F2069"/>
    <w:rsid w:val="003F3106"/>
    <w:rsid w:val="003F3114"/>
    <w:rsid w:val="003F3BA2"/>
    <w:rsid w:val="003F45C6"/>
    <w:rsid w:val="003F4615"/>
    <w:rsid w:val="003F49CC"/>
    <w:rsid w:val="003F5D9B"/>
    <w:rsid w:val="003F5E37"/>
    <w:rsid w:val="003F71CE"/>
    <w:rsid w:val="003F73EB"/>
    <w:rsid w:val="003F79EF"/>
    <w:rsid w:val="004004D6"/>
    <w:rsid w:val="004005E8"/>
    <w:rsid w:val="004005EF"/>
    <w:rsid w:val="004012D9"/>
    <w:rsid w:val="0040178D"/>
    <w:rsid w:val="00401878"/>
    <w:rsid w:val="00401A32"/>
    <w:rsid w:val="00402BD6"/>
    <w:rsid w:val="004033C1"/>
    <w:rsid w:val="00403F4D"/>
    <w:rsid w:val="00405739"/>
    <w:rsid w:val="0040583E"/>
    <w:rsid w:val="00405BFA"/>
    <w:rsid w:val="00405D60"/>
    <w:rsid w:val="00406735"/>
    <w:rsid w:val="00406822"/>
    <w:rsid w:val="00407255"/>
    <w:rsid w:val="0041031F"/>
    <w:rsid w:val="004130A6"/>
    <w:rsid w:val="0041356D"/>
    <w:rsid w:val="00413ADB"/>
    <w:rsid w:val="0041433C"/>
    <w:rsid w:val="00414AB5"/>
    <w:rsid w:val="0041502E"/>
    <w:rsid w:val="00415075"/>
    <w:rsid w:val="004150FC"/>
    <w:rsid w:val="0041600B"/>
    <w:rsid w:val="004169FB"/>
    <w:rsid w:val="004215B4"/>
    <w:rsid w:val="00421D62"/>
    <w:rsid w:val="00422301"/>
    <w:rsid w:val="00422C8B"/>
    <w:rsid w:val="004233BC"/>
    <w:rsid w:val="004238B9"/>
    <w:rsid w:val="00426013"/>
    <w:rsid w:val="0042654A"/>
    <w:rsid w:val="0042676A"/>
    <w:rsid w:val="00426779"/>
    <w:rsid w:val="00427339"/>
    <w:rsid w:val="004278D4"/>
    <w:rsid w:val="00430556"/>
    <w:rsid w:val="00430BF1"/>
    <w:rsid w:val="00431374"/>
    <w:rsid w:val="0043165A"/>
    <w:rsid w:val="00431DFE"/>
    <w:rsid w:val="004320F4"/>
    <w:rsid w:val="00432541"/>
    <w:rsid w:val="00432B9C"/>
    <w:rsid w:val="00433948"/>
    <w:rsid w:val="00433AE8"/>
    <w:rsid w:val="004343AC"/>
    <w:rsid w:val="00434639"/>
    <w:rsid w:val="00434E4E"/>
    <w:rsid w:val="00435123"/>
    <w:rsid w:val="00435284"/>
    <w:rsid w:val="0043540E"/>
    <w:rsid w:val="004360EB"/>
    <w:rsid w:val="00436328"/>
    <w:rsid w:val="00436E8A"/>
    <w:rsid w:val="004375F6"/>
    <w:rsid w:val="00437F7C"/>
    <w:rsid w:val="004418ED"/>
    <w:rsid w:val="00441FB7"/>
    <w:rsid w:val="0044278E"/>
    <w:rsid w:val="00443955"/>
    <w:rsid w:val="00445579"/>
    <w:rsid w:val="00445D12"/>
    <w:rsid w:val="0044631C"/>
    <w:rsid w:val="00446752"/>
    <w:rsid w:val="00446BC7"/>
    <w:rsid w:val="0044758F"/>
    <w:rsid w:val="004475B8"/>
    <w:rsid w:val="004476F8"/>
    <w:rsid w:val="00447760"/>
    <w:rsid w:val="00450323"/>
    <w:rsid w:val="004515A0"/>
    <w:rsid w:val="00452393"/>
    <w:rsid w:val="00452B1D"/>
    <w:rsid w:val="00452EA9"/>
    <w:rsid w:val="004556F3"/>
    <w:rsid w:val="00457723"/>
    <w:rsid w:val="00457AA1"/>
    <w:rsid w:val="00457DB3"/>
    <w:rsid w:val="00462A0C"/>
    <w:rsid w:val="00463C85"/>
    <w:rsid w:val="004644E5"/>
    <w:rsid w:val="004645F5"/>
    <w:rsid w:val="004645F9"/>
    <w:rsid w:val="0046493C"/>
    <w:rsid w:val="004653FC"/>
    <w:rsid w:val="00465925"/>
    <w:rsid w:val="004662F4"/>
    <w:rsid w:val="00466B47"/>
    <w:rsid w:val="004673C8"/>
    <w:rsid w:val="00470511"/>
    <w:rsid w:val="004716B2"/>
    <w:rsid w:val="004717FE"/>
    <w:rsid w:val="004719BB"/>
    <w:rsid w:val="004719DB"/>
    <w:rsid w:val="00471F27"/>
    <w:rsid w:val="004731CC"/>
    <w:rsid w:val="00473237"/>
    <w:rsid w:val="00473532"/>
    <w:rsid w:val="00473872"/>
    <w:rsid w:val="0047394C"/>
    <w:rsid w:val="0047417C"/>
    <w:rsid w:val="004742BC"/>
    <w:rsid w:val="004749AB"/>
    <w:rsid w:val="0047504C"/>
    <w:rsid w:val="0047558D"/>
    <w:rsid w:val="00475ADE"/>
    <w:rsid w:val="004772A2"/>
    <w:rsid w:val="004776F1"/>
    <w:rsid w:val="00480B14"/>
    <w:rsid w:val="00480BCC"/>
    <w:rsid w:val="00480D68"/>
    <w:rsid w:val="00481D08"/>
    <w:rsid w:val="00482630"/>
    <w:rsid w:val="00482E82"/>
    <w:rsid w:val="004830F2"/>
    <w:rsid w:val="004831BB"/>
    <w:rsid w:val="00483AB6"/>
    <w:rsid w:val="00484481"/>
    <w:rsid w:val="0048481F"/>
    <w:rsid w:val="00485744"/>
    <w:rsid w:val="004861A8"/>
    <w:rsid w:val="00486A0A"/>
    <w:rsid w:val="00486ECE"/>
    <w:rsid w:val="00487FB1"/>
    <w:rsid w:val="00492292"/>
    <w:rsid w:val="0049292E"/>
    <w:rsid w:val="00492C73"/>
    <w:rsid w:val="004931C5"/>
    <w:rsid w:val="0049405D"/>
    <w:rsid w:val="0049568A"/>
    <w:rsid w:val="00495E53"/>
    <w:rsid w:val="00496096"/>
    <w:rsid w:val="00496C98"/>
    <w:rsid w:val="004A00D7"/>
    <w:rsid w:val="004A019B"/>
    <w:rsid w:val="004A0AD4"/>
    <w:rsid w:val="004A106D"/>
    <w:rsid w:val="004A12EB"/>
    <w:rsid w:val="004A1E44"/>
    <w:rsid w:val="004A31C4"/>
    <w:rsid w:val="004A4252"/>
    <w:rsid w:val="004A454D"/>
    <w:rsid w:val="004A4EDA"/>
    <w:rsid w:val="004A5CAF"/>
    <w:rsid w:val="004A63D2"/>
    <w:rsid w:val="004A68FB"/>
    <w:rsid w:val="004A6A6F"/>
    <w:rsid w:val="004A77C5"/>
    <w:rsid w:val="004A78A2"/>
    <w:rsid w:val="004A7FE9"/>
    <w:rsid w:val="004B0525"/>
    <w:rsid w:val="004B0DEA"/>
    <w:rsid w:val="004B151F"/>
    <w:rsid w:val="004B1A1C"/>
    <w:rsid w:val="004B289F"/>
    <w:rsid w:val="004B300D"/>
    <w:rsid w:val="004B336A"/>
    <w:rsid w:val="004B368E"/>
    <w:rsid w:val="004B37C4"/>
    <w:rsid w:val="004B3949"/>
    <w:rsid w:val="004B3CE9"/>
    <w:rsid w:val="004B5C0A"/>
    <w:rsid w:val="004B6007"/>
    <w:rsid w:val="004B63F1"/>
    <w:rsid w:val="004B6A3B"/>
    <w:rsid w:val="004B7D09"/>
    <w:rsid w:val="004C09A9"/>
    <w:rsid w:val="004C1656"/>
    <w:rsid w:val="004C191A"/>
    <w:rsid w:val="004C1E56"/>
    <w:rsid w:val="004C28BB"/>
    <w:rsid w:val="004C30A8"/>
    <w:rsid w:val="004C38B2"/>
    <w:rsid w:val="004C3A69"/>
    <w:rsid w:val="004C41CC"/>
    <w:rsid w:val="004C4B68"/>
    <w:rsid w:val="004C4B97"/>
    <w:rsid w:val="004C5467"/>
    <w:rsid w:val="004C5F79"/>
    <w:rsid w:val="004C61CD"/>
    <w:rsid w:val="004C6E0A"/>
    <w:rsid w:val="004C6EE3"/>
    <w:rsid w:val="004D0671"/>
    <w:rsid w:val="004D12C0"/>
    <w:rsid w:val="004D17C2"/>
    <w:rsid w:val="004D46C1"/>
    <w:rsid w:val="004D58F7"/>
    <w:rsid w:val="004D72DB"/>
    <w:rsid w:val="004E065A"/>
    <w:rsid w:val="004E0700"/>
    <w:rsid w:val="004E0FE6"/>
    <w:rsid w:val="004E10B6"/>
    <w:rsid w:val="004E3415"/>
    <w:rsid w:val="004E3776"/>
    <w:rsid w:val="004E51AB"/>
    <w:rsid w:val="004E5270"/>
    <w:rsid w:val="004E55F7"/>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1D7"/>
    <w:rsid w:val="00502FFC"/>
    <w:rsid w:val="00503EF2"/>
    <w:rsid w:val="00504C04"/>
    <w:rsid w:val="005052A2"/>
    <w:rsid w:val="0050583C"/>
    <w:rsid w:val="005069AD"/>
    <w:rsid w:val="00506B9A"/>
    <w:rsid w:val="00506D6A"/>
    <w:rsid w:val="00506D8E"/>
    <w:rsid w:val="0050737E"/>
    <w:rsid w:val="00507E5C"/>
    <w:rsid w:val="005106CE"/>
    <w:rsid w:val="005113AF"/>
    <w:rsid w:val="005137DD"/>
    <w:rsid w:val="00513DA7"/>
    <w:rsid w:val="005153C5"/>
    <w:rsid w:val="00515548"/>
    <w:rsid w:val="00515B3A"/>
    <w:rsid w:val="005167A4"/>
    <w:rsid w:val="00517835"/>
    <w:rsid w:val="00517D6A"/>
    <w:rsid w:val="0052020F"/>
    <w:rsid w:val="005209A5"/>
    <w:rsid w:val="00520C74"/>
    <w:rsid w:val="005211A7"/>
    <w:rsid w:val="005222A9"/>
    <w:rsid w:val="00522768"/>
    <w:rsid w:val="00522B94"/>
    <w:rsid w:val="00525E76"/>
    <w:rsid w:val="00526112"/>
    <w:rsid w:val="00526F60"/>
    <w:rsid w:val="00527C8F"/>
    <w:rsid w:val="00530B31"/>
    <w:rsid w:val="0053113E"/>
    <w:rsid w:val="00531DCE"/>
    <w:rsid w:val="00531E2F"/>
    <w:rsid w:val="005326B6"/>
    <w:rsid w:val="00532F6C"/>
    <w:rsid w:val="005334B2"/>
    <w:rsid w:val="00533766"/>
    <w:rsid w:val="0053494E"/>
    <w:rsid w:val="00534954"/>
    <w:rsid w:val="0053642E"/>
    <w:rsid w:val="005365A1"/>
    <w:rsid w:val="00537060"/>
    <w:rsid w:val="0054071A"/>
    <w:rsid w:val="00540A2B"/>
    <w:rsid w:val="005416D7"/>
    <w:rsid w:val="00542256"/>
    <w:rsid w:val="0054233D"/>
    <w:rsid w:val="00543648"/>
    <w:rsid w:val="00543885"/>
    <w:rsid w:val="00544917"/>
    <w:rsid w:val="005474C2"/>
    <w:rsid w:val="005476ED"/>
    <w:rsid w:val="00550BE0"/>
    <w:rsid w:val="00551BF9"/>
    <w:rsid w:val="00551E1E"/>
    <w:rsid w:val="00553174"/>
    <w:rsid w:val="00553574"/>
    <w:rsid w:val="00553C17"/>
    <w:rsid w:val="00554A36"/>
    <w:rsid w:val="00554BA8"/>
    <w:rsid w:val="00554C6F"/>
    <w:rsid w:val="00554FBD"/>
    <w:rsid w:val="00555759"/>
    <w:rsid w:val="005558D4"/>
    <w:rsid w:val="00555A06"/>
    <w:rsid w:val="00556259"/>
    <w:rsid w:val="00560934"/>
    <w:rsid w:val="00561A9B"/>
    <w:rsid w:val="00561C8B"/>
    <w:rsid w:val="00561DCD"/>
    <w:rsid w:val="0056250A"/>
    <w:rsid w:val="00562601"/>
    <w:rsid w:val="00562EC0"/>
    <w:rsid w:val="00563206"/>
    <w:rsid w:val="00563922"/>
    <w:rsid w:val="00563E31"/>
    <w:rsid w:val="00564C24"/>
    <w:rsid w:val="00564DCC"/>
    <w:rsid w:val="005656C2"/>
    <w:rsid w:val="00567CF5"/>
    <w:rsid w:val="00570121"/>
    <w:rsid w:val="0057119B"/>
    <w:rsid w:val="0057128D"/>
    <w:rsid w:val="005729B2"/>
    <w:rsid w:val="00573EDD"/>
    <w:rsid w:val="0057461A"/>
    <w:rsid w:val="005747FB"/>
    <w:rsid w:val="00574C37"/>
    <w:rsid w:val="00575079"/>
    <w:rsid w:val="00575363"/>
    <w:rsid w:val="00575449"/>
    <w:rsid w:val="005757C4"/>
    <w:rsid w:val="00575A5D"/>
    <w:rsid w:val="00575EB6"/>
    <w:rsid w:val="005765A4"/>
    <w:rsid w:val="00576A24"/>
    <w:rsid w:val="00576B4D"/>
    <w:rsid w:val="00577A93"/>
    <w:rsid w:val="00577DF1"/>
    <w:rsid w:val="00577E5A"/>
    <w:rsid w:val="00580A75"/>
    <w:rsid w:val="00582727"/>
    <w:rsid w:val="00583441"/>
    <w:rsid w:val="0058410D"/>
    <w:rsid w:val="005842E1"/>
    <w:rsid w:val="00584359"/>
    <w:rsid w:val="0058550E"/>
    <w:rsid w:val="005863B1"/>
    <w:rsid w:val="0058686F"/>
    <w:rsid w:val="00587010"/>
    <w:rsid w:val="00587460"/>
    <w:rsid w:val="00590201"/>
    <w:rsid w:val="0059163E"/>
    <w:rsid w:val="005919DE"/>
    <w:rsid w:val="00592638"/>
    <w:rsid w:val="00592C77"/>
    <w:rsid w:val="00593158"/>
    <w:rsid w:val="00594D75"/>
    <w:rsid w:val="00595490"/>
    <w:rsid w:val="00595A34"/>
    <w:rsid w:val="00595CE1"/>
    <w:rsid w:val="005A01D8"/>
    <w:rsid w:val="005A04FC"/>
    <w:rsid w:val="005A162D"/>
    <w:rsid w:val="005A1ADA"/>
    <w:rsid w:val="005A1EEF"/>
    <w:rsid w:val="005A2565"/>
    <w:rsid w:val="005A2EF8"/>
    <w:rsid w:val="005A3060"/>
    <w:rsid w:val="005A34B6"/>
    <w:rsid w:val="005A3524"/>
    <w:rsid w:val="005A51F4"/>
    <w:rsid w:val="005A707C"/>
    <w:rsid w:val="005B0013"/>
    <w:rsid w:val="005B04C0"/>
    <w:rsid w:val="005B0A08"/>
    <w:rsid w:val="005B0EB6"/>
    <w:rsid w:val="005B1238"/>
    <w:rsid w:val="005B173D"/>
    <w:rsid w:val="005B1A76"/>
    <w:rsid w:val="005B1D1E"/>
    <w:rsid w:val="005B243D"/>
    <w:rsid w:val="005B30F3"/>
    <w:rsid w:val="005B3102"/>
    <w:rsid w:val="005B5B16"/>
    <w:rsid w:val="005B6B2A"/>
    <w:rsid w:val="005C01FF"/>
    <w:rsid w:val="005C1449"/>
    <w:rsid w:val="005C1DBC"/>
    <w:rsid w:val="005C1E38"/>
    <w:rsid w:val="005C1F05"/>
    <w:rsid w:val="005C2FE7"/>
    <w:rsid w:val="005C3C51"/>
    <w:rsid w:val="005C3E04"/>
    <w:rsid w:val="005C4401"/>
    <w:rsid w:val="005C493E"/>
    <w:rsid w:val="005C4D06"/>
    <w:rsid w:val="005C4DF4"/>
    <w:rsid w:val="005C54D4"/>
    <w:rsid w:val="005C62C4"/>
    <w:rsid w:val="005C6E9D"/>
    <w:rsid w:val="005C7E19"/>
    <w:rsid w:val="005D0B74"/>
    <w:rsid w:val="005D0E00"/>
    <w:rsid w:val="005D2202"/>
    <w:rsid w:val="005D2627"/>
    <w:rsid w:val="005D294F"/>
    <w:rsid w:val="005D349E"/>
    <w:rsid w:val="005D3EDB"/>
    <w:rsid w:val="005D497D"/>
    <w:rsid w:val="005D4B77"/>
    <w:rsid w:val="005D4D9F"/>
    <w:rsid w:val="005D535C"/>
    <w:rsid w:val="005D581A"/>
    <w:rsid w:val="005D71E2"/>
    <w:rsid w:val="005D7673"/>
    <w:rsid w:val="005E00C1"/>
    <w:rsid w:val="005E19E6"/>
    <w:rsid w:val="005E26F5"/>
    <w:rsid w:val="005E387F"/>
    <w:rsid w:val="005E396F"/>
    <w:rsid w:val="005E4BC9"/>
    <w:rsid w:val="005E4C1C"/>
    <w:rsid w:val="005E5354"/>
    <w:rsid w:val="005E59C3"/>
    <w:rsid w:val="005E67DD"/>
    <w:rsid w:val="005E6930"/>
    <w:rsid w:val="005E726E"/>
    <w:rsid w:val="005E783E"/>
    <w:rsid w:val="005F0EDC"/>
    <w:rsid w:val="005F216C"/>
    <w:rsid w:val="005F40B5"/>
    <w:rsid w:val="005F45DB"/>
    <w:rsid w:val="005F507B"/>
    <w:rsid w:val="005F519E"/>
    <w:rsid w:val="005F5266"/>
    <w:rsid w:val="005F529A"/>
    <w:rsid w:val="005F66A0"/>
    <w:rsid w:val="005F69F8"/>
    <w:rsid w:val="005F6A69"/>
    <w:rsid w:val="005F6E44"/>
    <w:rsid w:val="005F7628"/>
    <w:rsid w:val="005F7682"/>
    <w:rsid w:val="005F7990"/>
    <w:rsid w:val="00601A76"/>
    <w:rsid w:val="0060206D"/>
    <w:rsid w:val="006020C0"/>
    <w:rsid w:val="006022F2"/>
    <w:rsid w:val="006029F1"/>
    <w:rsid w:val="0060302B"/>
    <w:rsid w:val="006033BB"/>
    <w:rsid w:val="00603A63"/>
    <w:rsid w:val="00603C16"/>
    <w:rsid w:val="0060433B"/>
    <w:rsid w:val="00604CE0"/>
    <w:rsid w:val="00604F97"/>
    <w:rsid w:val="00605CCD"/>
    <w:rsid w:val="006063EA"/>
    <w:rsid w:val="00606817"/>
    <w:rsid w:val="006078EA"/>
    <w:rsid w:val="00607CBD"/>
    <w:rsid w:val="0061004B"/>
    <w:rsid w:val="00610453"/>
    <w:rsid w:val="00610997"/>
    <w:rsid w:val="006115FE"/>
    <w:rsid w:val="00611A3B"/>
    <w:rsid w:val="00611DCE"/>
    <w:rsid w:val="00613DE1"/>
    <w:rsid w:val="00615182"/>
    <w:rsid w:val="00615F17"/>
    <w:rsid w:val="00616501"/>
    <w:rsid w:val="00616C3F"/>
    <w:rsid w:val="00617839"/>
    <w:rsid w:val="006203F4"/>
    <w:rsid w:val="00622C51"/>
    <w:rsid w:val="00623381"/>
    <w:rsid w:val="006237F7"/>
    <w:rsid w:val="00623A62"/>
    <w:rsid w:val="006248BE"/>
    <w:rsid w:val="00627D41"/>
    <w:rsid w:val="006307DC"/>
    <w:rsid w:val="0063124C"/>
    <w:rsid w:val="0063325D"/>
    <w:rsid w:val="006337C9"/>
    <w:rsid w:val="00633D29"/>
    <w:rsid w:val="00634E94"/>
    <w:rsid w:val="00634F64"/>
    <w:rsid w:val="00635D33"/>
    <w:rsid w:val="00636DB1"/>
    <w:rsid w:val="006405ED"/>
    <w:rsid w:val="00640EC4"/>
    <w:rsid w:val="0064101C"/>
    <w:rsid w:val="006416FB"/>
    <w:rsid w:val="00641D1A"/>
    <w:rsid w:val="006425D4"/>
    <w:rsid w:val="006425F1"/>
    <w:rsid w:val="006430B7"/>
    <w:rsid w:val="0064386E"/>
    <w:rsid w:val="00643E9C"/>
    <w:rsid w:val="00645B96"/>
    <w:rsid w:val="00645E2E"/>
    <w:rsid w:val="00645E6B"/>
    <w:rsid w:val="006467C5"/>
    <w:rsid w:val="006469AF"/>
    <w:rsid w:val="00646F34"/>
    <w:rsid w:val="006479DC"/>
    <w:rsid w:val="00647DA6"/>
    <w:rsid w:val="0065028B"/>
    <w:rsid w:val="006507C0"/>
    <w:rsid w:val="00650A91"/>
    <w:rsid w:val="006513EB"/>
    <w:rsid w:val="00651518"/>
    <w:rsid w:val="00653A3C"/>
    <w:rsid w:val="00653E16"/>
    <w:rsid w:val="00653EA3"/>
    <w:rsid w:val="00654F3D"/>
    <w:rsid w:val="00655FE1"/>
    <w:rsid w:val="0065655C"/>
    <w:rsid w:val="006568E2"/>
    <w:rsid w:val="0066066A"/>
    <w:rsid w:val="00660EFB"/>
    <w:rsid w:val="00661356"/>
    <w:rsid w:val="006619F8"/>
    <w:rsid w:val="00661A7D"/>
    <w:rsid w:val="00661D05"/>
    <w:rsid w:val="0066245A"/>
    <w:rsid w:val="00664122"/>
    <w:rsid w:val="00664C23"/>
    <w:rsid w:val="00664EDE"/>
    <w:rsid w:val="0066542A"/>
    <w:rsid w:val="006659BC"/>
    <w:rsid w:val="00665ADB"/>
    <w:rsid w:val="00665DC8"/>
    <w:rsid w:val="00666023"/>
    <w:rsid w:val="00666D8F"/>
    <w:rsid w:val="00667067"/>
    <w:rsid w:val="0066714E"/>
    <w:rsid w:val="00670C8A"/>
    <w:rsid w:val="00671808"/>
    <w:rsid w:val="00671FD4"/>
    <w:rsid w:val="00673DE8"/>
    <w:rsid w:val="006749F3"/>
    <w:rsid w:val="00674FDF"/>
    <w:rsid w:val="0067603E"/>
    <w:rsid w:val="00676890"/>
    <w:rsid w:val="00680817"/>
    <w:rsid w:val="00681277"/>
    <w:rsid w:val="00682255"/>
    <w:rsid w:val="00683DAF"/>
    <w:rsid w:val="006843BB"/>
    <w:rsid w:val="00684A7F"/>
    <w:rsid w:val="00684AB5"/>
    <w:rsid w:val="00684DDA"/>
    <w:rsid w:val="00684DEC"/>
    <w:rsid w:val="00684FDD"/>
    <w:rsid w:val="006857E8"/>
    <w:rsid w:val="00686432"/>
    <w:rsid w:val="00686CA6"/>
    <w:rsid w:val="006871A0"/>
    <w:rsid w:val="00692C0D"/>
    <w:rsid w:val="0069324B"/>
    <w:rsid w:val="00693F5B"/>
    <w:rsid w:val="00695337"/>
    <w:rsid w:val="006956F2"/>
    <w:rsid w:val="00695E6E"/>
    <w:rsid w:val="006966D5"/>
    <w:rsid w:val="00696EFB"/>
    <w:rsid w:val="00697955"/>
    <w:rsid w:val="00697BB4"/>
    <w:rsid w:val="00697BF0"/>
    <w:rsid w:val="00697D83"/>
    <w:rsid w:val="00697F2A"/>
    <w:rsid w:val="006A01AB"/>
    <w:rsid w:val="006A06D6"/>
    <w:rsid w:val="006A1D97"/>
    <w:rsid w:val="006A2369"/>
    <w:rsid w:val="006A2ED3"/>
    <w:rsid w:val="006A38B2"/>
    <w:rsid w:val="006A5836"/>
    <w:rsid w:val="006A72DC"/>
    <w:rsid w:val="006A7B5D"/>
    <w:rsid w:val="006B018A"/>
    <w:rsid w:val="006B0E1E"/>
    <w:rsid w:val="006B0E20"/>
    <w:rsid w:val="006B2564"/>
    <w:rsid w:val="006B25D6"/>
    <w:rsid w:val="006B2DCE"/>
    <w:rsid w:val="006B3017"/>
    <w:rsid w:val="006B3F02"/>
    <w:rsid w:val="006B43BC"/>
    <w:rsid w:val="006B4BFE"/>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75E"/>
    <w:rsid w:val="006D3D26"/>
    <w:rsid w:val="006D3DB2"/>
    <w:rsid w:val="006D43E1"/>
    <w:rsid w:val="006D50C1"/>
    <w:rsid w:val="006D523D"/>
    <w:rsid w:val="006D5726"/>
    <w:rsid w:val="006D6CC0"/>
    <w:rsid w:val="006D7072"/>
    <w:rsid w:val="006D7274"/>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7BD"/>
    <w:rsid w:val="006F182E"/>
    <w:rsid w:val="006F39FB"/>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28E3"/>
    <w:rsid w:val="00713508"/>
    <w:rsid w:val="00713608"/>
    <w:rsid w:val="00713659"/>
    <w:rsid w:val="0071396F"/>
    <w:rsid w:val="007140B5"/>
    <w:rsid w:val="00716027"/>
    <w:rsid w:val="007162FA"/>
    <w:rsid w:val="00716332"/>
    <w:rsid w:val="00716BA8"/>
    <w:rsid w:val="00717244"/>
    <w:rsid w:val="00717443"/>
    <w:rsid w:val="00717C33"/>
    <w:rsid w:val="00717EB6"/>
    <w:rsid w:val="007211C8"/>
    <w:rsid w:val="0072273E"/>
    <w:rsid w:val="00724D08"/>
    <w:rsid w:val="00725BD7"/>
    <w:rsid w:val="00725C27"/>
    <w:rsid w:val="00726C9C"/>
    <w:rsid w:val="00727264"/>
    <w:rsid w:val="0073050D"/>
    <w:rsid w:val="0073056F"/>
    <w:rsid w:val="0073167F"/>
    <w:rsid w:val="007321B4"/>
    <w:rsid w:val="00732AF2"/>
    <w:rsid w:val="007332D5"/>
    <w:rsid w:val="00734D98"/>
    <w:rsid w:val="00735795"/>
    <w:rsid w:val="0073628B"/>
    <w:rsid w:val="00736449"/>
    <w:rsid w:val="007368EE"/>
    <w:rsid w:val="00737BA7"/>
    <w:rsid w:val="00741387"/>
    <w:rsid w:val="00741BBA"/>
    <w:rsid w:val="00741C21"/>
    <w:rsid w:val="00742623"/>
    <w:rsid w:val="00743211"/>
    <w:rsid w:val="0074579E"/>
    <w:rsid w:val="00746225"/>
    <w:rsid w:val="00746768"/>
    <w:rsid w:val="00750B82"/>
    <w:rsid w:val="007511D9"/>
    <w:rsid w:val="007515E8"/>
    <w:rsid w:val="00751CB0"/>
    <w:rsid w:val="007523AB"/>
    <w:rsid w:val="007525F0"/>
    <w:rsid w:val="00753CD4"/>
    <w:rsid w:val="0075478E"/>
    <w:rsid w:val="0075509A"/>
    <w:rsid w:val="00755556"/>
    <w:rsid w:val="00755E97"/>
    <w:rsid w:val="00756A0B"/>
    <w:rsid w:val="00756B34"/>
    <w:rsid w:val="00756D7C"/>
    <w:rsid w:val="00757359"/>
    <w:rsid w:val="0076015B"/>
    <w:rsid w:val="007605D7"/>
    <w:rsid w:val="007625D1"/>
    <w:rsid w:val="0076331F"/>
    <w:rsid w:val="00763458"/>
    <w:rsid w:val="007637C1"/>
    <w:rsid w:val="007646E7"/>
    <w:rsid w:val="00766856"/>
    <w:rsid w:val="007669F0"/>
    <w:rsid w:val="00766DEB"/>
    <w:rsid w:val="00770A47"/>
    <w:rsid w:val="00771D2A"/>
    <w:rsid w:val="007722FF"/>
    <w:rsid w:val="00772498"/>
    <w:rsid w:val="00772C8A"/>
    <w:rsid w:val="007731E5"/>
    <w:rsid w:val="00773A1B"/>
    <w:rsid w:val="0077430C"/>
    <w:rsid w:val="00774D6E"/>
    <w:rsid w:val="00776353"/>
    <w:rsid w:val="007763E4"/>
    <w:rsid w:val="007763E5"/>
    <w:rsid w:val="00776E5F"/>
    <w:rsid w:val="0077732B"/>
    <w:rsid w:val="00777445"/>
    <w:rsid w:val="0077791D"/>
    <w:rsid w:val="007800C1"/>
    <w:rsid w:val="007801FC"/>
    <w:rsid w:val="00780AD9"/>
    <w:rsid w:val="00780C12"/>
    <w:rsid w:val="007811A2"/>
    <w:rsid w:val="00781286"/>
    <w:rsid w:val="007815E1"/>
    <w:rsid w:val="007817C0"/>
    <w:rsid w:val="00781C3B"/>
    <w:rsid w:val="00783B2F"/>
    <w:rsid w:val="007840F1"/>
    <w:rsid w:val="0078520D"/>
    <w:rsid w:val="007917AC"/>
    <w:rsid w:val="007919AE"/>
    <w:rsid w:val="00792DC4"/>
    <w:rsid w:val="00792E5A"/>
    <w:rsid w:val="00793D80"/>
    <w:rsid w:val="00793F51"/>
    <w:rsid w:val="007944D6"/>
    <w:rsid w:val="0079485F"/>
    <w:rsid w:val="00794E8F"/>
    <w:rsid w:val="00794FFA"/>
    <w:rsid w:val="00796077"/>
    <w:rsid w:val="007962FD"/>
    <w:rsid w:val="00796DD3"/>
    <w:rsid w:val="00796ED6"/>
    <w:rsid w:val="00797419"/>
    <w:rsid w:val="0079756F"/>
    <w:rsid w:val="007A009E"/>
    <w:rsid w:val="007A03C6"/>
    <w:rsid w:val="007A0837"/>
    <w:rsid w:val="007A095F"/>
    <w:rsid w:val="007A21EA"/>
    <w:rsid w:val="007A25F1"/>
    <w:rsid w:val="007A33FE"/>
    <w:rsid w:val="007A3900"/>
    <w:rsid w:val="007A3A36"/>
    <w:rsid w:val="007A405C"/>
    <w:rsid w:val="007A4626"/>
    <w:rsid w:val="007A59F1"/>
    <w:rsid w:val="007A5AFF"/>
    <w:rsid w:val="007A5FD1"/>
    <w:rsid w:val="007A62ED"/>
    <w:rsid w:val="007A7222"/>
    <w:rsid w:val="007A7E6D"/>
    <w:rsid w:val="007B075C"/>
    <w:rsid w:val="007B147F"/>
    <w:rsid w:val="007B35B2"/>
    <w:rsid w:val="007B4B22"/>
    <w:rsid w:val="007B5980"/>
    <w:rsid w:val="007B5E02"/>
    <w:rsid w:val="007B654B"/>
    <w:rsid w:val="007B719B"/>
    <w:rsid w:val="007B7637"/>
    <w:rsid w:val="007B7819"/>
    <w:rsid w:val="007C0915"/>
    <w:rsid w:val="007C1C13"/>
    <w:rsid w:val="007C225E"/>
    <w:rsid w:val="007C2627"/>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93E"/>
    <w:rsid w:val="007D7D4C"/>
    <w:rsid w:val="007E0D1C"/>
    <w:rsid w:val="007E153A"/>
    <w:rsid w:val="007E15CE"/>
    <w:rsid w:val="007E195E"/>
    <w:rsid w:val="007E1CC3"/>
    <w:rsid w:val="007E28FE"/>
    <w:rsid w:val="007E3965"/>
    <w:rsid w:val="007E42A0"/>
    <w:rsid w:val="007E4986"/>
    <w:rsid w:val="007E49AF"/>
    <w:rsid w:val="007E58B4"/>
    <w:rsid w:val="007E5FEB"/>
    <w:rsid w:val="007E6383"/>
    <w:rsid w:val="007F0942"/>
    <w:rsid w:val="007F1B75"/>
    <w:rsid w:val="007F21A3"/>
    <w:rsid w:val="007F2AAD"/>
    <w:rsid w:val="007F39BA"/>
    <w:rsid w:val="007F4F2F"/>
    <w:rsid w:val="007F5863"/>
    <w:rsid w:val="007F63F2"/>
    <w:rsid w:val="007F6D79"/>
    <w:rsid w:val="007F6FE3"/>
    <w:rsid w:val="00800357"/>
    <w:rsid w:val="00800B28"/>
    <w:rsid w:val="008021A1"/>
    <w:rsid w:val="008025B4"/>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187"/>
    <w:rsid w:val="008229D4"/>
    <w:rsid w:val="008230E8"/>
    <w:rsid w:val="008232CA"/>
    <w:rsid w:val="00823ADA"/>
    <w:rsid w:val="00823B3E"/>
    <w:rsid w:val="00824E01"/>
    <w:rsid w:val="00825103"/>
    <w:rsid w:val="00825A0B"/>
    <w:rsid w:val="00825B8E"/>
    <w:rsid w:val="00825C2F"/>
    <w:rsid w:val="00826338"/>
    <w:rsid w:val="00826906"/>
    <w:rsid w:val="00826965"/>
    <w:rsid w:val="00827260"/>
    <w:rsid w:val="00830765"/>
    <w:rsid w:val="00830AA3"/>
    <w:rsid w:val="0083136D"/>
    <w:rsid w:val="00831416"/>
    <w:rsid w:val="00832C10"/>
    <w:rsid w:val="00833901"/>
    <w:rsid w:val="00833D8C"/>
    <w:rsid w:val="0083425C"/>
    <w:rsid w:val="008351E1"/>
    <w:rsid w:val="008362ED"/>
    <w:rsid w:val="0083680C"/>
    <w:rsid w:val="00836903"/>
    <w:rsid w:val="00836E39"/>
    <w:rsid w:val="00836F2A"/>
    <w:rsid w:val="00837798"/>
    <w:rsid w:val="00840E89"/>
    <w:rsid w:val="00840FA3"/>
    <w:rsid w:val="00842DFB"/>
    <w:rsid w:val="008449F7"/>
    <w:rsid w:val="00844CEB"/>
    <w:rsid w:val="00845DCD"/>
    <w:rsid w:val="0084665B"/>
    <w:rsid w:val="008474CD"/>
    <w:rsid w:val="00847F55"/>
    <w:rsid w:val="0085077D"/>
    <w:rsid w:val="00850AA7"/>
    <w:rsid w:val="00850D44"/>
    <w:rsid w:val="00850E6D"/>
    <w:rsid w:val="00851631"/>
    <w:rsid w:val="0085234F"/>
    <w:rsid w:val="00853282"/>
    <w:rsid w:val="0085401B"/>
    <w:rsid w:val="008549FD"/>
    <w:rsid w:val="00855568"/>
    <w:rsid w:val="00855FFD"/>
    <w:rsid w:val="008560AA"/>
    <w:rsid w:val="00856101"/>
    <w:rsid w:val="00856358"/>
    <w:rsid w:val="0085725D"/>
    <w:rsid w:val="00857CC3"/>
    <w:rsid w:val="008608A3"/>
    <w:rsid w:val="00860B72"/>
    <w:rsid w:val="008610F3"/>
    <w:rsid w:val="008616E7"/>
    <w:rsid w:val="0086177F"/>
    <w:rsid w:val="00861ADB"/>
    <w:rsid w:val="00861D7A"/>
    <w:rsid w:val="00862470"/>
    <w:rsid w:val="00862660"/>
    <w:rsid w:val="00864322"/>
    <w:rsid w:val="008651E9"/>
    <w:rsid w:val="008653E4"/>
    <w:rsid w:val="0086620F"/>
    <w:rsid w:val="00866AF3"/>
    <w:rsid w:val="00866C82"/>
    <w:rsid w:val="008672E6"/>
    <w:rsid w:val="008677E5"/>
    <w:rsid w:val="00867C57"/>
    <w:rsid w:val="00874311"/>
    <w:rsid w:val="00874A6B"/>
    <w:rsid w:val="00874EC5"/>
    <w:rsid w:val="00875741"/>
    <w:rsid w:val="00875B00"/>
    <w:rsid w:val="00875C31"/>
    <w:rsid w:val="00876E75"/>
    <w:rsid w:val="0087706E"/>
    <w:rsid w:val="008775EA"/>
    <w:rsid w:val="008775F8"/>
    <w:rsid w:val="0087780F"/>
    <w:rsid w:val="00877CD3"/>
    <w:rsid w:val="008811E5"/>
    <w:rsid w:val="0088215D"/>
    <w:rsid w:val="008826D8"/>
    <w:rsid w:val="00882832"/>
    <w:rsid w:val="00883013"/>
    <w:rsid w:val="008832C1"/>
    <w:rsid w:val="00883EE7"/>
    <w:rsid w:val="00884F3F"/>
    <w:rsid w:val="00885016"/>
    <w:rsid w:val="00885243"/>
    <w:rsid w:val="00885D64"/>
    <w:rsid w:val="008867D4"/>
    <w:rsid w:val="00886823"/>
    <w:rsid w:val="00886BC0"/>
    <w:rsid w:val="00887179"/>
    <w:rsid w:val="00890252"/>
    <w:rsid w:val="008904B6"/>
    <w:rsid w:val="0089075D"/>
    <w:rsid w:val="008913B9"/>
    <w:rsid w:val="008917A2"/>
    <w:rsid w:val="00892E4C"/>
    <w:rsid w:val="008937C6"/>
    <w:rsid w:val="008938BD"/>
    <w:rsid w:val="008938D5"/>
    <w:rsid w:val="0089404D"/>
    <w:rsid w:val="00894718"/>
    <w:rsid w:val="008964DA"/>
    <w:rsid w:val="008965F1"/>
    <w:rsid w:val="0089703E"/>
    <w:rsid w:val="00897ED9"/>
    <w:rsid w:val="008A05B4"/>
    <w:rsid w:val="008A16AF"/>
    <w:rsid w:val="008A1A26"/>
    <w:rsid w:val="008A1D16"/>
    <w:rsid w:val="008A2AED"/>
    <w:rsid w:val="008A400D"/>
    <w:rsid w:val="008A48EB"/>
    <w:rsid w:val="008A530D"/>
    <w:rsid w:val="008A600D"/>
    <w:rsid w:val="008A6118"/>
    <w:rsid w:val="008A7119"/>
    <w:rsid w:val="008A7EBA"/>
    <w:rsid w:val="008B07D3"/>
    <w:rsid w:val="008B131C"/>
    <w:rsid w:val="008B1588"/>
    <w:rsid w:val="008B1E0A"/>
    <w:rsid w:val="008B1E53"/>
    <w:rsid w:val="008B22B6"/>
    <w:rsid w:val="008B3178"/>
    <w:rsid w:val="008B3E3E"/>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5FC5"/>
    <w:rsid w:val="008C6BCA"/>
    <w:rsid w:val="008C6D79"/>
    <w:rsid w:val="008C71C7"/>
    <w:rsid w:val="008C7941"/>
    <w:rsid w:val="008D024C"/>
    <w:rsid w:val="008D0AE2"/>
    <w:rsid w:val="008D0C17"/>
    <w:rsid w:val="008D4D27"/>
    <w:rsid w:val="008D4F19"/>
    <w:rsid w:val="008D6C81"/>
    <w:rsid w:val="008D7021"/>
    <w:rsid w:val="008E09E2"/>
    <w:rsid w:val="008E0F89"/>
    <w:rsid w:val="008E1610"/>
    <w:rsid w:val="008E1E4F"/>
    <w:rsid w:val="008E35C2"/>
    <w:rsid w:val="008E5112"/>
    <w:rsid w:val="008E65E1"/>
    <w:rsid w:val="008E6631"/>
    <w:rsid w:val="008E6AF0"/>
    <w:rsid w:val="008E6C21"/>
    <w:rsid w:val="008E6DE2"/>
    <w:rsid w:val="008E74FA"/>
    <w:rsid w:val="008E7876"/>
    <w:rsid w:val="008E7C8C"/>
    <w:rsid w:val="008E7F8D"/>
    <w:rsid w:val="008E7FB7"/>
    <w:rsid w:val="008F0FE2"/>
    <w:rsid w:val="008F127B"/>
    <w:rsid w:val="008F132E"/>
    <w:rsid w:val="008F13C2"/>
    <w:rsid w:val="008F18DE"/>
    <w:rsid w:val="008F2EF0"/>
    <w:rsid w:val="008F3198"/>
    <w:rsid w:val="008F3F61"/>
    <w:rsid w:val="008F49A9"/>
    <w:rsid w:val="008F4F40"/>
    <w:rsid w:val="008F63CE"/>
    <w:rsid w:val="008F6657"/>
    <w:rsid w:val="008F667F"/>
    <w:rsid w:val="008F7B0E"/>
    <w:rsid w:val="00900716"/>
    <w:rsid w:val="00901136"/>
    <w:rsid w:val="00902407"/>
    <w:rsid w:val="0090272A"/>
    <w:rsid w:val="00902823"/>
    <w:rsid w:val="009031A1"/>
    <w:rsid w:val="009039AC"/>
    <w:rsid w:val="00904EBC"/>
    <w:rsid w:val="00905482"/>
    <w:rsid w:val="009065F0"/>
    <w:rsid w:val="00906693"/>
    <w:rsid w:val="0090713F"/>
    <w:rsid w:val="00907DCF"/>
    <w:rsid w:val="00910995"/>
    <w:rsid w:val="00910A4F"/>
    <w:rsid w:val="00912803"/>
    <w:rsid w:val="009137DC"/>
    <w:rsid w:val="0091402A"/>
    <w:rsid w:val="0091434B"/>
    <w:rsid w:val="009157C7"/>
    <w:rsid w:val="00915A83"/>
    <w:rsid w:val="00915AB5"/>
    <w:rsid w:val="00915D7D"/>
    <w:rsid w:val="00916501"/>
    <w:rsid w:val="00917C96"/>
    <w:rsid w:val="00917E9D"/>
    <w:rsid w:val="00920F9E"/>
    <w:rsid w:val="00921058"/>
    <w:rsid w:val="00921199"/>
    <w:rsid w:val="009226A6"/>
    <w:rsid w:val="00923040"/>
    <w:rsid w:val="009233A1"/>
    <w:rsid w:val="0092386C"/>
    <w:rsid w:val="0092388F"/>
    <w:rsid w:val="00923FA4"/>
    <w:rsid w:val="0092470C"/>
    <w:rsid w:val="00924F1E"/>
    <w:rsid w:val="00924F61"/>
    <w:rsid w:val="00925489"/>
    <w:rsid w:val="00925627"/>
    <w:rsid w:val="009256FC"/>
    <w:rsid w:val="009324AF"/>
    <w:rsid w:val="00932E54"/>
    <w:rsid w:val="00933156"/>
    <w:rsid w:val="00933552"/>
    <w:rsid w:val="00935227"/>
    <w:rsid w:val="00940E00"/>
    <w:rsid w:val="009410A7"/>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2AC"/>
    <w:rsid w:val="009613F6"/>
    <w:rsid w:val="00962042"/>
    <w:rsid w:val="009621AF"/>
    <w:rsid w:val="009629AE"/>
    <w:rsid w:val="009629DB"/>
    <w:rsid w:val="00964A83"/>
    <w:rsid w:val="00964B22"/>
    <w:rsid w:val="009667A2"/>
    <w:rsid w:val="00966A08"/>
    <w:rsid w:val="00966B28"/>
    <w:rsid w:val="00966F68"/>
    <w:rsid w:val="009676F5"/>
    <w:rsid w:val="00967EBC"/>
    <w:rsid w:val="00967F78"/>
    <w:rsid w:val="00970F1D"/>
    <w:rsid w:val="0097115D"/>
    <w:rsid w:val="009713DE"/>
    <w:rsid w:val="00971EEE"/>
    <w:rsid w:val="0097264A"/>
    <w:rsid w:val="00972FC0"/>
    <w:rsid w:val="00974CC4"/>
    <w:rsid w:val="0097555C"/>
    <w:rsid w:val="00975D71"/>
    <w:rsid w:val="00976A55"/>
    <w:rsid w:val="00980252"/>
    <w:rsid w:val="009804B0"/>
    <w:rsid w:val="00980542"/>
    <w:rsid w:val="00980CD5"/>
    <w:rsid w:val="00981CE7"/>
    <w:rsid w:val="00982D21"/>
    <w:rsid w:val="00984915"/>
    <w:rsid w:val="00986F45"/>
    <w:rsid w:val="009872B2"/>
    <w:rsid w:val="009902EA"/>
    <w:rsid w:val="0099046C"/>
    <w:rsid w:val="00990A43"/>
    <w:rsid w:val="00990CD5"/>
    <w:rsid w:val="009919E7"/>
    <w:rsid w:val="0099219C"/>
    <w:rsid w:val="00992989"/>
    <w:rsid w:val="009929C8"/>
    <w:rsid w:val="009929FF"/>
    <w:rsid w:val="00992AF4"/>
    <w:rsid w:val="00993241"/>
    <w:rsid w:val="009936C3"/>
    <w:rsid w:val="0099535D"/>
    <w:rsid w:val="00996DFE"/>
    <w:rsid w:val="00997281"/>
    <w:rsid w:val="009975F4"/>
    <w:rsid w:val="009A08B6"/>
    <w:rsid w:val="009A0F29"/>
    <w:rsid w:val="009A17C8"/>
    <w:rsid w:val="009A1E68"/>
    <w:rsid w:val="009A34D1"/>
    <w:rsid w:val="009A3572"/>
    <w:rsid w:val="009A3692"/>
    <w:rsid w:val="009A46D4"/>
    <w:rsid w:val="009A499C"/>
    <w:rsid w:val="009A5127"/>
    <w:rsid w:val="009A5547"/>
    <w:rsid w:val="009A6296"/>
    <w:rsid w:val="009A662B"/>
    <w:rsid w:val="009A688D"/>
    <w:rsid w:val="009A695F"/>
    <w:rsid w:val="009A7259"/>
    <w:rsid w:val="009A7774"/>
    <w:rsid w:val="009A7CAB"/>
    <w:rsid w:val="009B020F"/>
    <w:rsid w:val="009B0584"/>
    <w:rsid w:val="009B437D"/>
    <w:rsid w:val="009B58BE"/>
    <w:rsid w:val="009B5C2C"/>
    <w:rsid w:val="009B6260"/>
    <w:rsid w:val="009C053F"/>
    <w:rsid w:val="009C1A09"/>
    <w:rsid w:val="009C1F8A"/>
    <w:rsid w:val="009C2965"/>
    <w:rsid w:val="009C4C42"/>
    <w:rsid w:val="009C6CBA"/>
    <w:rsid w:val="009C6E7A"/>
    <w:rsid w:val="009C7265"/>
    <w:rsid w:val="009C737A"/>
    <w:rsid w:val="009C7A13"/>
    <w:rsid w:val="009C7F03"/>
    <w:rsid w:val="009D2063"/>
    <w:rsid w:val="009D2132"/>
    <w:rsid w:val="009D255F"/>
    <w:rsid w:val="009D2FA2"/>
    <w:rsid w:val="009D3F28"/>
    <w:rsid w:val="009D5908"/>
    <w:rsid w:val="009D5DD1"/>
    <w:rsid w:val="009D66B5"/>
    <w:rsid w:val="009D74F5"/>
    <w:rsid w:val="009D7A04"/>
    <w:rsid w:val="009E048A"/>
    <w:rsid w:val="009E0AC1"/>
    <w:rsid w:val="009E31B8"/>
    <w:rsid w:val="009E418C"/>
    <w:rsid w:val="009E422C"/>
    <w:rsid w:val="009E4AAC"/>
    <w:rsid w:val="009E526E"/>
    <w:rsid w:val="009E5282"/>
    <w:rsid w:val="009E6008"/>
    <w:rsid w:val="009E61B6"/>
    <w:rsid w:val="009E70DC"/>
    <w:rsid w:val="009E736D"/>
    <w:rsid w:val="009E7F5C"/>
    <w:rsid w:val="009F0115"/>
    <w:rsid w:val="009F0DD1"/>
    <w:rsid w:val="009F17C4"/>
    <w:rsid w:val="009F1836"/>
    <w:rsid w:val="009F2CA1"/>
    <w:rsid w:val="009F3D33"/>
    <w:rsid w:val="009F402F"/>
    <w:rsid w:val="009F47E4"/>
    <w:rsid w:val="009F4883"/>
    <w:rsid w:val="009F48D9"/>
    <w:rsid w:val="009F4BDE"/>
    <w:rsid w:val="009F5173"/>
    <w:rsid w:val="009F5563"/>
    <w:rsid w:val="009F5924"/>
    <w:rsid w:val="009F610B"/>
    <w:rsid w:val="009F6484"/>
    <w:rsid w:val="00A015D1"/>
    <w:rsid w:val="00A02588"/>
    <w:rsid w:val="00A029F3"/>
    <w:rsid w:val="00A02BB4"/>
    <w:rsid w:val="00A03186"/>
    <w:rsid w:val="00A03941"/>
    <w:rsid w:val="00A054DF"/>
    <w:rsid w:val="00A0558C"/>
    <w:rsid w:val="00A05F29"/>
    <w:rsid w:val="00A0773C"/>
    <w:rsid w:val="00A10502"/>
    <w:rsid w:val="00A10B0C"/>
    <w:rsid w:val="00A114E6"/>
    <w:rsid w:val="00A13A5D"/>
    <w:rsid w:val="00A14063"/>
    <w:rsid w:val="00A14A1B"/>
    <w:rsid w:val="00A15217"/>
    <w:rsid w:val="00A15B9B"/>
    <w:rsid w:val="00A16A06"/>
    <w:rsid w:val="00A16A28"/>
    <w:rsid w:val="00A17AAD"/>
    <w:rsid w:val="00A17CA3"/>
    <w:rsid w:val="00A21722"/>
    <w:rsid w:val="00A21A18"/>
    <w:rsid w:val="00A22329"/>
    <w:rsid w:val="00A224F9"/>
    <w:rsid w:val="00A235D0"/>
    <w:rsid w:val="00A23781"/>
    <w:rsid w:val="00A23A08"/>
    <w:rsid w:val="00A23D17"/>
    <w:rsid w:val="00A250FE"/>
    <w:rsid w:val="00A253AC"/>
    <w:rsid w:val="00A2572B"/>
    <w:rsid w:val="00A25E62"/>
    <w:rsid w:val="00A260FA"/>
    <w:rsid w:val="00A26301"/>
    <w:rsid w:val="00A26761"/>
    <w:rsid w:val="00A26CA1"/>
    <w:rsid w:val="00A26DAB"/>
    <w:rsid w:val="00A278AC"/>
    <w:rsid w:val="00A30096"/>
    <w:rsid w:val="00A30794"/>
    <w:rsid w:val="00A30AE2"/>
    <w:rsid w:val="00A319A8"/>
    <w:rsid w:val="00A32233"/>
    <w:rsid w:val="00A324D9"/>
    <w:rsid w:val="00A32704"/>
    <w:rsid w:val="00A32BEE"/>
    <w:rsid w:val="00A334DE"/>
    <w:rsid w:val="00A340FC"/>
    <w:rsid w:val="00A348F6"/>
    <w:rsid w:val="00A34AFC"/>
    <w:rsid w:val="00A35215"/>
    <w:rsid w:val="00A3632C"/>
    <w:rsid w:val="00A367CC"/>
    <w:rsid w:val="00A369A1"/>
    <w:rsid w:val="00A371D6"/>
    <w:rsid w:val="00A37B26"/>
    <w:rsid w:val="00A40673"/>
    <w:rsid w:val="00A408D1"/>
    <w:rsid w:val="00A41354"/>
    <w:rsid w:val="00A41C17"/>
    <w:rsid w:val="00A4281D"/>
    <w:rsid w:val="00A43002"/>
    <w:rsid w:val="00A433A3"/>
    <w:rsid w:val="00A43FB5"/>
    <w:rsid w:val="00A44BC8"/>
    <w:rsid w:val="00A44DAA"/>
    <w:rsid w:val="00A4523C"/>
    <w:rsid w:val="00A4551E"/>
    <w:rsid w:val="00A45B45"/>
    <w:rsid w:val="00A45FBA"/>
    <w:rsid w:val="00A4783D"/>
    <w:rsid w:val="00A52898"/>
    <w:rsid w:val="00A52E70"/>
    <w:rsid w:val="00A532A2"/>
    <w:rsid w:val="00A5352D"/>
    <w:rsid w:val="00A5428F"/>
    <w:rsid w:val="00A542A3"/>
    <w:rsid w:val="00A54377"/>
    <w:rsid w:val="00A54E5C"/>
    <w:rsid w:val="00A55B7B"/>
    <w:rsid w:val="00A55F87"/>
    <w:rsid w:val="00A560CC"/>
    <w:rsid w:val="00A5783E"/>
    <w:rsid w:val="00A605D2"/>
    <w:rsid w:val="00A61182"/>
    <w:rsid w:val="00A6185B"/>
    <w:rsid w:val="00A61C21"/>
    <w:rsid w:val="00A61CB6"/>
    <w:rsid w:val="00A627B6"/>
    <w:rsid w:val="00A63084"/>
    <w:rsid w:val="00A63616"/>
    <w:rsid w:val="00A64812"/>
    <w:rsid w:val="00A65618"/>
    <w:rsid w:val="00A65B6E"/>
    <w:rsid w:val="00A65F9C"/>
    <w:rsid w:val="00A6651D"/>
    <w:rsid w:val="00A67704"/>
    <w:rsid w:val="00A67F18"/>
    <w:rsid w:val="00A70297"/>
    <w:rsid w:val="00A704A9"/>
    <w:rsid w:val="00A70557"/>
    <w:rsid w:val="00A7066B"/>
    <w:rsid w:val="00A7098B"/>
    <w:rsid w:val="00A717F0"/>
    <w:rsid w:val="00A71E8F"/>
    <w:rsid w:val="00A729AF"/>
    <w:rsid w:val="00A72A3E"/>
    <w:rsid w:val="00A7398C"/>
    <w:rsid w:val="00A739B7"/>
    <w:rsid w:val="00A73A9A"/>
    <w:rsid w:val="00A73AFF"/>
    <w:rsid w:val="00A74508"/>
    <w:rsid w:val="00A75CCF"/>
    <w:rsid w:val="00A76061"/>
    <w:rsid w:val="00A7661C"/>
    <w:rsid w:val="00A7699A"/>
    <w:rsid w:val="00A76A4F"/>
    <w:rsid w:val="00A76F4F"/>
    <w:rsid w:val="00A774BC"/>
    <w:rsid w:val="00A778FF"/>
    <w:rsid w:val="00A80EAF"/>
    <w:rsid w:val="00A81A6E"/>
    <w:rsid w:val="00A823AE"/>
    <w:rsid w:val="00A826FD"/>
    <w:rsid w:val="00A828ED"/>
    <w:rsid w:val="00A83A08"/>
    <w:rsid w:val="00A83D31"/>
    <w:rsid w:val="00A84E18"/>
    <w:rsid w:val="00A8529D"/>
    <w:rsid w:val="00A868FD"/>
    <w:rsid w:val="00A87ED0"/>
    <w:rsid w:val="00A87FD4"/>
    <w:rsid w:val="00A91244"/>
    <w:rsid w:val="00A917EB"/>
    <w:rsid w:val="00A9190A"/>
    <w:rsid w:val="00A91AF4"/>
    <w:rsid w:val="00A9349C"/>
    <w:rsid w:val="00A93D13"/>
    <w:rsid w:val="00A93F46"/>
    <w:rsid w:val="00A93FD3"/>
    <w:rsid w:val="00A943DA"/>
    <w:rsid w:val="00A94621"/>
    <w:rsid w:val="00A952F3"/>
    <w:rsid w:val="00A95807"/>
    <w:rsid w:val="00A96395"/>
    <w:rsid w:val="00A96693"/>
    <w:rsid w:val="00A970A8"/>
    <w:rsid w:val="00AA0656"/>
    <w:rsid w:val="00AA18A2"/>
    <w:rsid w:val="00AA19BE"/>
    <w:rsid w:val="00AA2245"/>
    <w:rsid w:val="00AA3730"/>
    <w:rsid w:val="00AA3A8A"/>
    <w:rsid w:val="00AA3E62"/>
    <w:rsid w:val="00AA44D2"/>
    <w:rsid w:val="00AA4A22"/>
    <w:rsid w:val="00AA5B6A"/>
    <w:rsid w:val="00AA6057"/>
    <w:rsid w:val="00AA6899"/>
    <w:rsid w:val="00AA6C14"/>
    <w:rsid w:val="00AB141C"/>
    <w:rsid w:val="00AB1B3E"/>
    <w:rsid w:val="00AB1FEE"/>
    <w:rsid w:val="00AB243C"/>
    <w:rsid w:val="00AB245F"/>
    <w:rsid w:val="00AB2FF5"/>
    <w:rsid w:val="00AB30EB"/>
    <w:rsid w:val="00AB3924"/>
    <w:rsid w:val="00AB3C6A"/>
    <w:rsid w:val="00AB7282"/>
    <w:rsid w:val="00AB7D44"/>
    <w:rsid w:val="00AC0044"/>
    <w:rsid w:val="00AC0945"/>
    <w:rsid w:val="00AC0B82"/>
    <w:rsid w:val="00AC17AF"/>
    <w:rsid w:val="00AC2159"/>
    <w:rsid w:val="00AC296A"/>
    <w:rsid w:val="00AC4831"/>
    <w:rsid w:val="00AC4B90"/>
    <w:rsid w:val="00AC651B"/>
    <w:rsid w:val="00AC6658"/>
    <w:rsid w:val="00AC6F45"/>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1225"/>
    <w:rsid w:val="00AE24E6"/>
    <w:rsid w:val="00AE4CB0"/>
    <w:rsid w:val="00AE6298"/>
    <w:rsid w:val="00AE631D"/>
    <w:rsid w:val="00AE6DA6"/>
    <w:rsid w:val="00AE7134"/>
    <w:rsid w:val="00AE74CE"/>
    <w:rsid w:val="00AF023C"/>
    <w:rsid w:val="00AF0C76"/>
    <w:rsid w:val="00AF0D0C"/>
    <w:rsid w:val="00AF1574"/>
    <w:rsid w:val="00AF2948"/>
    <w:rsid w:val="00AF41A2"/>
    <w:rsid w:val="00AF49D0"/>
    <w:rsid w:val="00AF4EF0"/>
    <w:rsid w:val="00AF5167"/>
    <w:rsid w:val="00AF6167"/>
    <w:rsid w:val="00AF67BC"/>
    <w:rsid w:val="00AF6CB5"/>
    <w:rsid w:val="00AF71FF"/>
    <w:rsid w:val="00AF7227"/>
    <w:rsid w:val="00B01BA2"/>
    <w:rsid w:val="00B01BD6"/>
    <w:rsid w:val="00B01CD0"/>
    <w:rsid w:val="00B02D8A"/>
    <w:rsid w:val="00B03A5D"/>
    <w:rsid w:val="00B0423F"/>
    <w:rsid w:val="00B0424B"/>
    <w:rsid w:val="00B0431D"/>
    <w:rsid w:val="00B04536"/>
    <w:rsid w:val="00B04E09"/>
    <w:rsid w:val="00B0556E"/>
    <w:rsid w:val="00B0587F"/>
    <w:rsid w:val="00B068E6"/>
    <w:rsid w:val="00B0766E"/>
    <w:rsid w:val="00B0798C"/>
    <w:rsid w:val="00B10AA6"/>
    <w:rsid w:val="00B10F0E"/>
    <w:rsid w:val="00B114BA"/>
    <w:rsid w:val="00B11845"/>
    <w:rsid w:val="00B11C98"/>
    <w:rsid w:val="00B13141"/>
    <w:rsid w:val="00B1389F"/>
    <w:rsid w:val="00B14656"/>
    <w:rsid w:val="00B147A6"/>
    <w:rsid w:val="00B15F52"/>
    <w:rsid w:val="00B161A9"/>
    <w:rsid w:val="00B166FD"/>
    <w:rsid w:val="00B16F17"/>
    <w:rsid w:val="00B17425"/>
    <w:rsid w:val="00B17817"/>
    <w:rsid w:val="00B17B5E"/>
    <w:rsid w:val="00B2040D"/>
    <w:rsid w:val="00B20491"/>
    <w:rsid w:val="00B220B5"/>
    <w:rsid w:val="00B2223C"/>
    <w:rsid w:val="00B226CF"/>
    <w:rsid w:val="00B241FD"/>
    <w:rsid w:val="00B242A3"/>
    <w:rsid w:val="00B24A68"/>
    <w:rsid w:val="00B24D7A"/>
    <w:rsid w:val="00B25F07"/>
    <w:rsid w:val="00B273A2"/>
    <w:rsid w:val="00B27D3C"/>
    <w:rsid w:val="00B30923"/>
    <w:rsid w:val="00B325A3"/>
    <w:rsid w:val="00B338A0"/>
    <w:rsid w:val="00B33DF4"/>
    <w:rsid w:val="00B33F0A"/>
    <w:rsid w:val="00B355DA"/>
    <w:rsid w:val="00B366ED"/>
    <w:rsid w:val="00B36B2D"/>
    <w:rsid w:val="00B3791F"/>
    <w:rsid w:val="00B4029E"/>
    <w:rsid w:val="00B40438"/>
    <w:rsid w:val="00B40C7D"/>
    <w:rsid w:val="00B4158A"/>
    <w:rsid w:val="00B41E70"/>
    <w:rsid w:val="00B43827"/>
    <w:rsid w:val="00B43FC8"/>
    <w:rsid w:val="00B4546D"/>
    <w:rsid w:val="00B456E8"/>
    <w:rsid w:val="00B464CF"/>
    <w:rsid w:val="00B46A56"/>
    <w:rsid w:val="00B46C39"/>
    <w:rsid w:val="00B508F9"/>
    <w:rsid w:val="00B512FC"/>
    <w:rsid w:val="00B51F2E"/>
    <w:rsid w:val="00B52321"/>
    <w:rsid w:val="00B53930"/>
    <w:rsid w:val="00B5434B"/>
    <w:rsid w:val="00B54C7D"/>
    <w:rsid w:val="00B552A7"/>
    <w:rsid w:val="00B55ABC"/>
    <w:rsid w:val="00B564E6"/>
    <w:rsid w:val="00B57DA5"/>
    <w:rsid w:val="00B617CF"/>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2131"/>
    <w:rsid w:val="00B825CF"/>
    <w:rsid w:val="00B82ED5"/>
    <w:rsid w:val="00B83088"/>
    <w:rsid w:val="00B83535"/>
    <w:rsid w:val="00B836A7"/>
    <w:rsid w:val="00B8451B"/>
    <w:rsid w:val="00B85556"/>
    <w:rsid w:val="00B85C47"/>
    <w:rsid w:val="00B86910"/>
    <w:rsid w:val="00B86C2C"/>
    <w:rsid w:val="00B875C0"/>
    <w:rsid w:val="00B877EB"/>
    <w:rsid w:val="00B87E35"/>
    <w:rsid w:val="00B905EE"/>
    <w:rsid w:val="00B90FC2"/>
    <w:rsid w:val="00B915C7"/>
    <w:rsid w:val="00B916ED"/>
    <w:rsid w:val="00B91E50"/>
    <w:rsid w:val="00B923A7"/>
    <w:rsid w:val="00B93C0D"/>
    <w:rsid w:val="00B93DFE"/>
    <w:rsid w:val="00B9446C"/>
    <w:rsid w:val="00B94D9A"/>
    <w:rsid w:val="00B953FF"/>
    <w:rsid w:val="00B95AF6"/>
    <w:rsid w:val="00B95E59"/>
    <w:rsid w:val="00B96DDE"/>
    <w:rsid w:val="00B9731A"/>
    <w:rsid w:val="00B977F7"/>
    <w:rsid w:val="00B97FD0"/>
    <w:rsid w:val="00BA03E2"/>
    <w:rsid w:val="00BA0E6F"/>
    <w:rsid w:val="00BA14BA"/>
    <w:rsid w:val="00BA2E93"/>
    <w:rsid w:val="00BA36FC"/>
    <w:rsid w:val="00BA39FE"/>
    <w:rsid w:val="00BA3FAE"/>
    <w:rsid w:val="00BA4601"/>
    <w:rsid w:val="00BA47B3"/>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4F"/>
    <w:rsid w:val="00BC0CFC"/>
    <w:rsid w:val="00BC0E8B"/>
    <w:rsid w:val="00BC1395"/>
    <w:rsid w:val="00BC1972"/>
    <w:rsid w:val="00BC1F44"/>
    <w:rsid w:val="00BC2907"/>
    <w:rsid w:val="00BC2AA2"/>
    <w:rsid w:val="00BC2ABD"/>
    <w:rsid w:val="00BC39BA"/>
    <w:rsid w:val="00BC698D"/>
    <w:rsid w:val="00BC72C6"/>
    <w:rsid w:val="00BC7508"/>
    <w:rsid w:val="00BC793E"/>
    <w:rsid w:val="00BC7B26"/>
    <w:rsid w:val="00BD0CEA"/>
    <w:rsid w:val="00BD0DBF"/>
    <w:rsid w:val="00BD224F"/>
    <w:rsid w:val="00BD22B7"/>
    <w:rsid w:val="00BD3AB6"/>
    <w:rsid w:val="00BD3AE9"/>
    <w:rsid w:val="00BD5176"/>
    <w:rsid w:val="00BD551B"/>
    <w:rsid w:val="00BD60FF"/>
    <w:rsid w:val="00BD75B3"/>
    <w:rsid w:val="00BE1894"/>
    <w:rsid w:val="00BE1A5B"/>
    <w:rsid w:val="00BE1CDE"/>
    <w:rsid w:val="00BE2F01"/>
    <w:rsid w:val="00BE37EC"/>
    <w:rsid w:val="00BE5DD4"/>
    <w:rsid w:val="00BE6491"/>
    <w:rsid w:val="00BE7A0F"/>
    <w:rsid w:val="00BF0523"/>
    <w:rsid w:val="00BF0BC8"/>
    <w:rsid w:val="00BF1424"/>
    <w:rsid w:val="00BF145F"/>
    <w:rsid w:val="00BF23EF"/>
    <w:rsid w:val="00BF273A"/>
    <w:rsid w:val="00BF3424"/>
    <w:rsid w:val="00BF44A8"/>
    <w:rsid w:val="00BF59E7"/>
    <w:rsid w:val="00BF5EC6"/>
    <w:rsid w:val="00BF6BDE"/>
    <w:rsid w:val="00BF74B7"/>
    <w:rsid w:val="00BF7D0E"/>
    <w:rsid w:val="00BF7DEC"/>
    <w:rsid w:val="00BF7E78"/>
    <w:rsid w:val="00C00500"/>
    <w:rsid w:val="00C011D4"/>
    <w:rsid w:val="00C02B98"/>
    <w:rsid w:val="00C05101"/>
    <w:rsid w:val="00C05376"/>
    <w:rsid w:val="00C05E57"/>
    <w:rsid w:val="00C065DD"/>
    <w:rsid w:val="00C06932"/>
    <w:rsid w:val="00C06FA5"/>
    <w:rsid w:val="00C07BAD"/>
    <w:rsid w:val="00C07CCA"/>
    <w:rsid w:val="00C1036A"/>
    <w:rsid w:val="00C10663"/>
    <w:rsid w:val="00C11378"/>
    <w:rsid w:val="00C11396"/>
    <w:rsid w:val="00C11866"/>
    <w:rsid w:val="00C13E72"/>
    <w:rsid w:val="00C1483F"/>
    <w:rsid w:val="00C15A13"/>
    <w:rsid w:val="00C16370"/>
    <w:rsid w:val="00C163DC"/>
    <w:rsid w:val="00C16A03"/>
    <w:rsid w:val="00C16B6D"/>
    <w:rsid w:val="00C16C19"/>
    <w:rsid w:val="00C16D18"/>
    <w:rsid w:val="00C17059"/>
    <w:rsid w:val="00C17262"/>
    <w:rsid w:val="00C1733B"/>
    <w:rsid w:val="00C17ABB"/>
    <w:rsid w:val="00C200AA"/>
    <w:rsid w:val="00C200CA"/>
    <w:rsid w:val="00C206BD"/>
    <w:rsid w:val="00C209EA"/>
    <w:rsid w:val="00C20C09"/>
    <w:rsid w:val="00C21551"/>
    <w:rsid w:val="00C2360C"/>
    <w:rsid w:val="00C23F69"/>
    <w:rsid w:val="00C24095"/>
    <w:rsid w:val="00C24A23"/>
    <w:rsid w:val="00C24C03"/>
    <w:rsid w:val="00C2569A"/>
    <w:rsid w:val="00C25D09"/>
    <w:rsid w:val="00C30902"/>
    <w:rsid w:val="00C31116"/>
    <w:rsid w:val="00C34305"/>
    <w:rsid w:val="00C35649"/>
    <w:rsid w:val="00C35A16"/>
    <w:rsid w:val="00C35D86"/>
    <w:rsid w:val="00C402DE"/>
    <w:rsid w:val="00C40451"/>
    <w:rsid w:val="00C4088D"/>
    <w:rsid w:val="00C40936"/>
    <w:rsid w:val="00C40AF5"/>
    <w:rsid w:val="00C41375"/>
    <w:rsid w:val="00C41A2B"/>
    <w:rsid w:val="00C41B5D"/>
    <w:rsid w:val="00C41B73"/>
    <w:rsid w:val="00C423D7"/>
    <w:rsid w:val="00C424D3"/>
    <w:rsid w:val="00C424DE"/>
    <w:rsid w:val="00C4362E"/>
    <w:rsid w:val="00C44248"/>
    <w:rsid w:val="00C4469C"/>
    <w:rsid w:val="00C44ACB"/>
    <w:rsid w:val="00C44D23"/>
    <w:rsid w:val="00C44EAB"/>
    <w:rsid w:val="00C459CE"/>
    <w:rsid w:val="00C46C04"/>
    <w:rsid w:val="00C46DE0"/>
    <w:rsid w:val="00C46E79"/>
    <w:rsid w:val="00C47091"/>
    <w:rsid w:val="00C51706"/>
    <w:rsid w:val="00C51C28"/>
    <w:rsid w:val="00C52D7A"/>
    <w:rsid w:val="00C53C75"/>
    <w:rsid w:val="00C5454F"/>
    <w:rsid w:val="00C55C3C"/>
    <w:rsid w:val="00C55CB5"/>
    <w:rsid w:val="00C56D48"/>
    <w:rsid w:val="00C573CA"/>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217B"/>
    <w:rsid w:val="00C72180"/>
    <w:rsid w:val="00C748F8"/>
    <w:rsid w:val="00C748FD"/>
    <w:rsid w:val="00C7675B"/>
    <w:rsid w:val="00C80349"/>
    <w:rsid w:val="00C8049A"/>
    <w:rsid w:val="00C814C7"/>
    <w:rsid w:val="00C81E5A"/>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9726F"/>
    <w:rsid w:val="00CA01F5"/>
    <w:rsid w:val="00CA1B9E"/>
    <w:rsid w:val="00CA1DF3"/>
    <w:rsid w:val="00CA26F5"/>
    <w:rsid w:val="00CA2B15"/>
    <w:rsid w:val="00CA2C33"/>
    <w:rsid w:val="00CA3067"/>
    <w:rsid w:val="00CA3624"/>
    <w:rsid w:val="00CA3EDC"/>
    <w:rsid w:val="00CA487E"/>
    <w:rsid w:val="00CA601A"/>
    <w:rsid w:val="00CA67BF"/>
    <w:rsid w:val="00CA6E26"/>
    <w:rsid w:val="00CB0A29"/>
    <w:rsid w:val="00CB0CEE"/>
    <w:rsid w:val="00CB2F71"/>
    <w:rsid w:val="00CB3CE5"/>
    <w:rsid w:val="00CB3FEA"/>
    <w:rsid w:val="00CB46A6"/>
    <w:rsid w:val="00CB47CC"/>
    <w:rsid w:val="00CB5EA1"/>
    <w:rsid w:val="00CB601C"/>
    <w:rsid w:val="00CB6869"/>
    <w:rsid w:val="00CB70F2"/>
    <w:rsid w:val="00CB7354"/>
    <w:rsid w:val="00CB756B"/>
    <w:rsid w:val="00CC0922"/>
    <w:rsid w:val="00CC0E59"/>
    <w:rsid w:val="00CC17B5"/>
    <w:rsid w:val="00CC1901"/>
    <w:rsid w:val="00CC2450"/>
    <w:rsid w:val="00CC2D6D"/>
    <w:rsid w:val="00CC55CC"/>
    <w:rsid w:val="00CC5754"/>
    <w:rsid w:val="00CC580F"/>
    <w:rsid w:val="00CC5B7D"/>
    <w:rsid w:val="00CC6A38"/>
    <w:rsid w:val="00CC7814"/>
    <w:rsid w:val="00CD009E"/>
    <w:rsid w:val="00CD0380"/>
    <w:rsid w:val="00CD060F"/>
    <w:rsid w:val="00CD063B"/>
    <w:rsid w:val="00CD0F10"/>
    <w:rsid w:val="00CD15A0"/>
    <w:rsid w:val="00CD1675"/>
    <w:rsid w:val="00CD2285"/>
    <w:rsid w:val="00CD256C"/>
    <w:rsid w:val="00CD3649"/>
    <w:rsid w:val="00CD3C33"/>
    <w:rsid w:val="00CD3E89"/>
    <w:rsid w:val="00CD44D9"/>
    <w:rsid w:val="00CD556D"/>
    <w:rsid w:val="00CD5E39"/>
    <w:rsid w:val="00CD678A"/>
    <w:rsid w:val="00CD7B80"/>
    <w:rsid w:val="00CD7D63"/>
    <w:rsid w:val="00CE04FD"/>
    <w:rsid w:val="00CE1073"/>
    <w:rsid w:val="00CE13E8"/>
    <w:rsid w:val="00CE1B3B"/>
    <w:rsid w:val="00CE1F4B"/>
    <w:rsid w:val="00CE246A"/>
    <w:rsid w:val="00CE2617"/>
    <w:rsid w:val="00CE2C57"/>
    <w:rsid w:val="00CE2D2F"/>
    <w:rsid w:val="00CE3D39"/>
    <w:rsid w:val="00CE45A5"/>
    <w:rsid w:val="00CE49EA"/>
    <w:rsid w:val="00CE5997"/>
    <w:rsid w:val="00CE673C"/>
    <w:rsid w:val="00CE6752"/>
    <w:rsid w:val="00CE6859"/>
    <w:rsid w:val="00CE68F0"/>
    <w:rsid w:val="00CE70C8"/>
    <w:rsid w:val="00CE7243"/>
    <w:rsid w:val="00CE7FE8"/>
    <w:rsid w:val="00CF05AB"/>
    <w:rsid w:val="00CF132A"/>
    <w:rsid w:val="00CF1547"/>
    <w:rsid w:val="00CF1599"/>
    <w:rsid w:val="00CF168B"/>
    <w:rsid w:val="00CF1EA8"/>
    <w:rsid w:val="00CF29CF"/>
    <w:rsid w:val="00CF3602"/>
    <w:rsid w:val="00CF37F3"/>
    <w:rsid w:val="00CF479B"/>
    <w:rsid w:val="00CF562A"/>
    <w:rsid w:val="00CF5834"/>
    <w:rsid w:val="00CF5D17"/>
    <w:rsid w:val="00D0188B"/>
    <w:rsid w:val="00D024F9"/>
    <w:rsid w:val="00D02BCE"/>
    <w:rsid w:val="00D02C19"/>
    <w:rsid w:val="00D039CD"/>
    <w:rsid w:val="00D03F91"/>
    <w:rsid w:val="00D05AF3"/>
    <w:rsid w:val="00D0618A"/>
    <w:rsid w:val="00D06350"/>
    <w:rsid w:val="00D0682E"/>
    <w:rsid w:val="00D07798"/>
    <w:rsid w:val="00D102D6"/>
    <w:rsid w:val="00D12B8C"/>
    <w:rsid w:val="00D12C0B"/>
    <w:rsid w:val="00D13501"/>
    <w:rsid w:val="00D13BBD"/>
    <w:rsid w:val="00D13FA4"/>
    <w:rsid w:val="00D14615"/>
    <w:rsid w:val="00D1492D"/>
    <w:rsid w:val="00D161CE"/>
    <w:rsid w:val="00D1666A"/>
    <w:rsid w:val="00D167B2"/>
    <w:rsid w:val="00D16801"/>
    <w:rsid w:val="00D17753"/>
    <w:rsid w:val="00D17D50"/>
    <w:rsid w:val="00D20539"/>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35AFF"/>
    <w:rsid w:val="00D4012C"/>
    <w:rsid w:val="00D40203"/>
    <w:rsid w:val="00D40D7C"/>
    <w:rsid w:val="00D41833"/>
    <w:rsid w:val="00D42C77"/>
    <w:rsid w:val="00D437F1"/>
    <w:rsid w:val="00D439AE"/>
    <w:rsid w:val="00D43BB8"/>
    <w:rsid w:val="00D44B92"/>
    <w:rsid w:val="00D468DD"/>
    <w:rsid w:val="00D47493"/>
    <w:rsid w:val="00D479D1"/>
    <w:rsid w:val="00D479F0"/>
    <w:rsid w:val="00D50BB5"/>
    <w:rsid w:val="00D50C65"/>
    <w:rsid w:val="00D50DED"/>
    <w:rsid w:val="00D511E3"/>
    <w:rsid w:val="00D52743"/>
    <w:rsid w:val="00D535A8"/>
    <w:rsid w:val="00D53ADD"/>
    <w:rsid w:val="00D53C30"/>
    <w:rsid w:val="00D547DA"/>
    <w:rsid w:val="00D54F2D"/>
    <w:rsid w:val="00D551BC"/>
    <w:rsid w:val="00D5766C"/>
    <w:rsid w:val="00D576E9"/>
    <w:rsid w:val="00D577AD"/>
    <w:rsid w:val="00D5795A"/>
    <w:rsid w:val="00D60379"/>
    <w:rsid w:val="00D60812"/>
    <w:rsid w:val="00D610E6"/>
    <w:rsid w:val="00D6187C"/>
    <w:rsid w:val="00D61CD7"/>
    <w:rsid w:val="00D62110"/>
    <w:rsid w:val="00D62D90"/>
    <w:rsid w:val="00D630EF"/>
    <w:rsid w:val="00D643BB"/>
    <w:rsid w:val="00D643F6"/>
    <w:rsid w:val="00D66C33"/>
    <w:rsid w:val="00D66F0E"/>
    <w:rsid w:val="00D67103"/>
    <w:rsid w:val="00D67D96"/>
    <w:rsid w:val="00D7119E"/>
    <w:rsid w:val="00D72256"/>
    <w:rsid w:val="00D72857"/>
    <w:rsid w:val="00D7341F"/>
    <w:rsid w:val="00D73C27"/>
    <w:rsid w:val="00D75BB1"/>
    <w:rsid w:val="00D76560"/>
    <w:rsid w:val="00D76FC9"/>
    <w:rsid w:val="00D773BD"/>
    <w:rsid w:val="00D774E2"/>
    <w:rsid w:val="00D779FC"/>
    <w:rsid w:val="00D80247"/>
    <w:rsid w:val="00D8041E"/>
    <w:rsid w:val="00D81C64"/>
    <w:rsid w:val="00D81EBF"/>
    <w:rsid w:val="00D82D93"/>
    <w:rsid w:val="00D8514E"/>
    <w:rsid w:val="00D858DA"/>
    <w:rsid w:val="00D85A42"/>
    <w:rsid w:val="00D85F3D"/>
    <w:rsid w:val="00D8652F"/>
    <w:rsid w:val="00D8680A"/>
    <w:rsid w:val="00D86FDF"/>
    <w:rsid w:val="00D876D0"/>
    <w:rsid w:val="00D918B7"/>
    <w:rsid w:val="00D93958"/>
    <w:rsid w:val="00D94957"/>
    <w:rsid w:val="00D94D7E"/>
    <w:rsid w:val="00D958BA"/>
    <w:rsid w:val="00D9596D"/>
    <w:rsid w:val="00D95C18"/>
    <w:rsid w:val="00D9706F"/>
    <w:rsid w:val="00D97177"/>
    <w:rsid w:val="00D971B8"/>
    <w:rsid w:val="00D97ECD"/>
    <w:rsid w:val="00DA06EB"/>
    <w:rsid w:val="00DA1379"/>
    <w:rsid w:val="00DA391F"/>
    <w:rsid w:val="00DA4DE8"/>
    <w:rsid w:val="00DA59DE"/>
    <w:rsid w:val="00DA6A61"/>
    <w:rsid w:val="00DA78BF"/>
    <w:rsid w:val="00DB0C17"/>
    <w:rsid w:val="00DB23FD"/>
    <w:rsid w:val="00DB3669"/>
    <w:rsid w:val="00DB4519"/>
    <w:rsid w:val="00DB6DCE"/>
    <w:rsid w:val="00DC01D5"/>
    <w:rsid w:val="00DC135E"/>
    <w:rsid w:val="00DC25AE"/>
    <w:rsid w:val="00DC26A2"/>
    <w:rsid w:val="00DC307F"/>
    <w:rsid w:val="00DC393B"/>
    <w:rsid w:val="00DC3DA7"/>
    <w:rsid w:val="00DC4BD3"/>
    <w:rsid w:val="00DC4D61"/>
    <w:rsid w:val="00DC6411"/>
    <w:rsid w:val="00DC69A6"/>
    <w:rsid w:val="00DC7048"/>
    <w:rsid w:val="00DC7211"/>
    <w:rsid w:val="00DC72E0"/>
    <w:rsid w:val="00DC7ECE"/>
    <w:rsid w:val="00DD0277"/>
    <w:rsid w:val="00DD1D74"/>
    <w:rsid w:val="00DD2444"/>
    <w:rsid w:val="00DD2E0A"/>
    <w:rsid w:val="00DD3051"/>
    <w:rsid w:val="00DD3216"/>
    <w:rsid w:val="00DD322B"/>
    <w:rsid w:val="00DD3FD8"/>
    <w:rsid w:val="00DD5278"/>
    <w:rsid w:val="00DD5B09"/>
    <w:rsid w:val="00DD619C"/>
    <w:rsid w:val="00DD61AB"/>
    <w:rsid w:val="00DD6B4A"/>
    <w:rsid w:val="00DD7BC2"/>
    <w:rsid w:val="00DE0530"/>
    <w:rsid w:val="00DE128E"/>
    <w:rsid w:val="00DE236C"/>
    <w:rsid w:val="00DE29AA"/>
    <w:rsid w:val="00DE2E3E"/>
    <w:rsid w:val="00DE3C1D"/>
    <w:rsid w:val="00DE538E"/>
    <w:rsid w:val="00DE541B"/>
    <w:rsid w:val="00DE5439"/>
    <w:rsid w:val="00DE5EA2"/>
    <w:rsid w:val="00DE65B2"/>
    <w:rsid w:val="00DE6948"/>
    <w:rsid w:val="00DE6BAA"/>
    <w:rsid w:val="00DE7351"/>
    <w:rsid w:val="00DF00BD"/>
    <w:rsid w:val="00DF014A"/>
    <w:rsid w:val="00DF01C2"/>
    <w:rsid w:val="00DF084F"/>
    <w:rsid w:val="00DF0C4E"/>
    <w:rsid w:val="00DF1D05"/>
    <w:rsid w:val="00DF2151"/>
    <w:rsid w:val="00DF22D3"/>
    <w:rsid w:val="00DF2B56"/>
    <w:rsid w:val="00DF300B"/>
    <w:rsid w:val="00DF3023"/>
    <w:rsid w:val="00DF454C"/>
    <w:rsid w:val="00DF5EA3"/>
    <w:rsid w:val="00DF6078"/>
    <w:rsid w:val="00DF6300"/>
    <w:rsid w:val="00DF6F33"/>
    <w:rsid w:val="00E003CF"/>
    <w:rsid w:val="00E00B0B"/>
    <w:rsid w:val="00E02CBF"/>
    <w:rsid w:val="00E03D35"/>
    <w:rsid w:val="00E040DC"/>
    <w:rsid w:val="00E041D9"/>
    <w:rsid w:val="00E04FAF"/>
    <w:rsid w:val="00E050CD"/>
    <w:rsid w:val="00E062DE"/>
    <w:rsid w:val="00E06F84"/>
    <w:rsid w:val="00E128DD"/>
    <w:rsid w:val="00E13A1C"/>
    <w:rsid w:val="00E13CC6"/>
    <w:rsid w:val="00E13F1A"/>
    <w:rsid w:val="00E17386"/>
    <w:rsid w:val="00E173B4"/>
    <w:rsid w:val="00E178CF"/>
    <w:rsid w:val="00E17DA9"/>
    <w:rsid w:val="00E207EB"/>
    <w:rsid w:val="00E214A2"/>
    <w:rsid w:val="00E214C6"/>
    <w:rsid w:val="00E21D9C"/>
    <w:rsid w:val="00E22DAA"/>
    <w:rsid w:val="00E22F27"/>
    <w:rsid w:val="00E2435E"/>
    <w:rsid w:val="00E24955"/>
    <w:rsid w:val="00E25659"/>
    <w:rsid w:val="00E25ECF"/>
    <w:rsid w:val="00E26546"/>
    <w:rsid w:val="00E269D2"/>
    <w:rsid w:val="00E27B8C"/>
    <w:rsid w:val="00E304BD"/>
    <w:rsid w:val="00E30B81"/>
    <w:rsid w:val="00E314F8"/>
    <w:rsid w:val="00E316DA"/>
    <w:rsid w:val="00E3212C"/>
    <w:rsid w:val="00E34A2F"/>
    <w:rsid w:val="00E34CA2"/>
    <w:rsid w:val="00E35739"/>
    <w:rsid w:val="00E35872"/>
    <w:rsid w:val="00E40143"/>
    <w:rsid w:val="00E40910"/>
    <w:rsid w:val="00E40A16"/>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3165"/>
    <w:rsid w:val="00E53698"/>
    <w:rsid w:val="00E53D3B"/>
    <w:rsid w:val="00E54628"/>
    <w:rsid w:val="00E547CD"/>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56F"/>
    <w:rsid w:val="00E66711"/>
    <w:rsid w:val="00E67187"/>
    <w:rsid w:val="00E672FF"/>
    <w:rsid w:val="00E70A91"/>
    <w:rsid w:val="00E72607"/>
    <w:rsid w:val="00E72C33"/>
    <w:rsid w:val="00E73C29"/>
    <w:rsid w:val="00E745DD"/>
    <w:rsid w:val="00E74995"/>
    <w:rsid w:val="00E74D87"/>
    <w:rsid w:val="00E7565B"/>
    <w:rsid w:val="00E76959"/>
    <w:rsid w:val="00E76F7E"/>
    <w:rsid w:val="00E81687"/>
    <w:rsid w:val="00E81DAA"/>
    <w:rsid w:val="00E82655"/>
    <w:rsid w:val="00E8349A"/>
    <w:rsid w:val="00E834D5"/>
    <w:rsid w:val="00E85942"/>
    <w:rsid w:val="00E85EF8"/>
    <w:rsid w:val="00E86D4E"/>
    <w:rsid w:val="00E8721F"/>
    <w:rsid w:val="00E878A2"/>
    <w:rsid w:val="00E87B2C"/>
    <w:rsid w:val="00E902CC"/>
    <w:rsid w:val="00E90587"/>
    <w:rsid w:val="00E905A1"/>
    <w:rsid w:val="00E9073B"/>
    <w:rsid w:val="00E90D7F"/>
    <w:rsid w:val="00E919C9"/>
    <w:rsid w:val="00E92125"/>
    <w:rsid w:val="00E92688"/>
    <w:rsid w:val="00E93284"/>
    <w:rsid w:val="00E94854"/>
    <w:rsid w:val="00E95F2A"/>
    <w:rsid w:val="00E96154"/>
    <w:rsid w:val="00E96794"/>
    <w:rsid w:val="00E97DE6"/>
    <w:rsid w:val="00E97E19"/>
    <w:rsid w:val="00EA291F"/>
    <w:rsid w:val="00EA414E"/>
    <w:rsid w:val="00EA46E1"/>
    <w:rsid w:val="00EA4A1D"/>
    <w:rsid w:val="00EA4EC6"/>
    <w:rsid w:val="00EA4F37"/>
    <w:rsid w:val="00EA56F1"/>
    <w:rsid w:val="00EA594D"/>
    <w:rsid w:val="00EA59B1"/>
    <w:rsid w:val="00EA5D55"/>
    <w:rsid w:val="00EA655C"/>
    <w:rsid w:val="00EA7386"/>
    <w:rsid w:val="00EA775F"/>
    <w:rsid w:val="00EA7896"/>
    <w:rsid w:val="00EA7D2D"/>
    <w:rsid w:val="00EB0B3E"/>
    <w:rsid w:val="00EB15DA"/>
    <w:rsid w:val="00EB24F2"/>
    <w:rsid w:val="00EB27E9"/>
    <w:rsid w:val="00EB2DEE"/>
    <w:rsid w:val="00EB4CA3"/>
    <w:rsid w:val="00EB5922"/>
    <w:rsid w:val="00EB5C51"/>
    <w:rsid w:val="00EB65FD"/>
    <w:rsid w:val="00EB6796"/>
    <w:rsid w:val="00EB6E5F"/>
    <w:rsid w:val="00EB7998"/>
    <w:rsid w:val="00EC07E7"/>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3931"/>
    <w:rsid w:val="00ED4265"/>
    <w:rsid w:val="00ED48FF"/>
    <w:rsid w:val="00ED4F1D"/>
    <w:rsid w:val="00ED50BF"/>
    <w:rsid w:val="00ED64F0"/>
    <w:rsid w:val="00ED65E0"/>
    <w:rsid w:val="00ED6B8E"/>
    <w:rsid w:val="00ED6B9E"/>
    <w:rsid w:val="00ED6D95"/>
    <w:rsid w:val="00ED6F02"/>
    <w:rsid w:val="00ED72C1"/>
    <w:rsid w:val="00EE1C1D"/>
    <w:rsid w:val="00EE2395"/>
    <w:rsid w:val="00EE2DE7"/>
    <w:rsid w:val="00EE3A3C"/>
    <w:rsid w:val="00EE3DC2"/>
    <w:rsid w:val="00EE3E01"/>
    <w:rsid w:val="00EE4DCA"/>
    <w:rsid w:val="00EE5189"/>
    <w:rsid w:val="00EE545E"/>
    <w:rsid w:val="00EE59E7"/>
    <w:rsid w:val="00EE5CB3"/>
    <w:rsid w:val="00EE6D33"/>
    <w:rsid w:val="00EE7350"/>
    <w:rsid w:val="00EE766B"/>
    <w:rsid w:val="00EE77CD"/>
    <w:rsid w:val="00EE7C36"/>
    <w:rsid w:val="00EF02C4"/>
    <w:rsid w:val="00EF0E64"/>
    <w:rsid w:val="00EF193B"/>
    <w:rsid w:val="00EF1ECE"/>
    <w:rsid w:val="00EF201E"/>
    <w:rsid w:val="00EF2419"/>
    <w:rsid w:val="00EF610A"/>
    <w:rsid w:val="00EF68EE"/>
    <w:rsid w:val="00EF77AD"/>
    <w:rsid w:val="00F01400"/>
    <w:rsid w:val="00F0192F"/>
    <w:rsid w:val="00F027B2"/>
    <w:rsid w:val="00F03239"/>
    <w:rsid w:val="00F0355B"/>
    <w:rsid w:val="00F04080"/>
    <w:rsid w:val="00F053D3"/>
    <w:rsid w:val="00F05AA4"/>
    <w:rsid w:val="00F05DE3"/>
    <w:rsid w:val="00F06512"/>
    <w:rsid w:val="00F07935"/>
    <w:rsid w:val="00F10108"/>
    <w:rsid w:val="00F105BD"/>
    <w:rsid w:val="00F14B47"/>
    <w:rsid w:val="00F154E9"/>
    <w:rsid w:val="00F165C5"/>
    <w:rsid w:val="00F175F1"/>
    <w:rsid w:val="00F17D24"/>
    <w:rsid w:val="00F17E45"/>
    <w:rsid w:val="00F21327"/>
    <w:rsid w:val="00F23814"/>
    <w:rsid w:val="00F23AC8"/>
    <w:rsid w:val="00F2598E"/>
    <w:rsid w:val="00F26372"/>
    <w:rsid w:val="00F26462"/>
    <w:rsid w:val="00F26E93"/>
    <w:rsid w:val="00F27298"/>
    <w:rsid w:val="00F27530"/>
    <w:rsid w:val="00F3061D"/>
    <w:rsid w:val="00F32065"/>
    <w:rsid w:val="00F32E36"/>
    <w:rsid w:val="00F35186"/>
    <w:rsid w:val="00F36F25"/>
    <w:rsid w:val="00F37217"/>
    <w:rsid w:val="00F3742E"/>
    <w:rsid w:val="00F40CD7"/>
    <w:rsid w:val="00F40D52"/>
    <w:rsid w:val="00F40D6D"/>
    <w:rsid w:val="00F41BB6"/>
    <w:rsid w:val="00F420A4"/>
    <w:rsid w:val="00F42173"/>
    <w:rsid w:val="00F42F39"/>
    <w:rsid w:val="00F43948"/>
    <w:rsid w:val="00F43B2E"/>
    <w:rsid w:val="00F44458"/>
    <w:rsid w:val="00F44BDA"/>
    <w:rsid w:val="00F45F98"/>
    <w:rsid w:val="00F46B51"/>
    <w:rsid w:val="00F46E5F"/>
    <w:rsid w:val="00F47E44"/>
    <w:rsid w:val="00F506C7"/>
    <w:rsid w:val="00F50BB2"/>
    <w:rsid w:val="00F50ECD"/>
    <w:rsid w:val="00F51399"/>
    <w:rsid w:val="00F52E21"/>
    <w:rsid w:val="00F53455"/>
    <w:rsid w:val="00F537A6"/>
    <w:rsid w:val="00F544E4"/>
    <w:rsid w:val="00F548BB"/>
    <w:rsid w:val="00F54FCD"/>
    <w:rsid w:val="00F559EF"/>
    <w:rsid w:val="00F561B7"/>
    <w:rsid w:val="00F565E1"/>
    <w:rsid w:val="00F56AE7"/>
    <w:rsid w:val="00F577FF"/>
    <w:rsid w:val="00F60A3C"/>
    <w:rsid w:val="00F60C61"/>
    <w:rsid w:val="00F61C7C"/>
    <w:rsid w:val="00F6237C"/>
    <w:rsid w:val="00F62D4C"/>
    <w:rsid w:val="00F62E24"/>
    <w:rsid w:val="00F652DB"/>
    <w:rsid w:val="00F65A0C"/>
    <w:rsid w:val="00F6622B"/>
    <w:rsid w:val="00F66E4D"/>
    <w:rsid w:val="00F671B4"/>
    <w:rsid w:val="00F7114A"/>
    <w:rsid w:val="00F7116F"/>
    <w:rsid w:val="00F7120A"/>
    <w:rsid w:val="00F71ABF"/>
    <w:rsid w:val="00F71B38"/>
    <w:rsid w:val="00F722B4"/>
    <w:rsid w:val="00F72364"/>
    <w:rsid w:val="00F734AA"/>
    <w:rsid w:val="00F7391E"/>
    <w:rsid w:val="00F73C63"/>
    <w:rsid w:val="00F749CF"/>
    <w:rsid w:val="00F75541"/>
    <w:rsid w:val="00F7564C"/>
    <w:rsid w:val="00F75E56"/>
    <w:rsid w:val="00F761CA"/>
    <w:rsid w:val="00F772CE"/>
    <w:rsid w:val="00F772D4"/>
    <w:rsid w:val="00F775AA"/>
    <w:rsid w:val="00F7779D"/>
    <w:rsid w:val="00F80D22"/>
    <w:rsid w:val="00F81771"/>
    <w:rsid w:val="00F81E67"/>
    <w:rsid w:val="00F82959"/>
    <w:rsid w:val="00F8331E"/>
    <w:rsid w:val="00F839CD"/>
    <w:rsid w:val="00F83CCF"/>
    <w:rsid w:val="00F83D62"/>
    <w:rsid w:val="00F8449A"/>
    <w:rsid w:val="00F84581"/>
    <w:rsid w:val="00F85552"/>
    <w:rsid w:val="00F856F0"/>
    <w:rsid w:val="00F86BE9"/>
    <w:rsid w:val="00F8728D"/>
    <w:rsid w:val="00F87CF3"/>
    <w:rsid w:val="00F917BF"/>
    <w:rsid w:val="00F91B79"/>
    <w:rsid w:val="00F92FF8"/>
    <w:rsid w:val="00F93242"/>
    <w:rsid w:val="00F93728"/>
    <w:rsid w:val="00F93BE0"/>
    <w:rsid w:val="00F93D21"/>
    <w:rsid w:val="00F95783"/>
    <w:rsid w:val="00F96DFD"/>
    <w:rsid w:val="00F97913"/>
    <w:rsid w:val="00F97AC4"/>
    <w:rsid w:val="00F97EC8"/>
    <w:rsid w:val="00FA24E0"/>
    <w:rsid w:val="00FA2BAB"/>
    <w:rsid w:val="00FA32B7"/>
    <w:rsid w:val="00FA40A1"/>
    <w:rsid w:val="00FA5348"/>
    <w:rsid w:val="00FA6C1C"/>
    <w:rsid w:val="00FA6D29"/>
    <w:rsid w:val="00FA7038"/>
    <w:rsid w:val="00FA7BC4"/>
    <w:rsid w:val="00FB0D2E"/>
    <w:rsid w:val="00FB1206"/>
    <w:rsid w:val="00FB150C"/>
    <w:rsid w:val="00FB1AF0"/>
    <w:rsid w:val="00FB2168"/>
    <w:rsid w:val="00FB2399"/>
    <w:rsid w:val="00FB281B"/>
    <w:rsid w:val="00FB3B79"/>
    <w:rsid w:val="00FB55A6"/>
    <w:rsid w:val="00FB58A2"/>
    <w:rsid w:val="00FB685E"/>
    <w:rsid w:val="00FB6AD2"/>
    <w:rsid w:val="00FB75E4"/>
    <w:rsid w:val="00FB7616"/>
    <w:rsid w:val="00FB79C0"/>
    <w:rsid w:val="00FC1388"/>
    <w:rsid w:val="00FC28CD"/>
    <w:rsid w:val="00FC2900"/>
    <w:rsid w:val="00FC2E48"/>
    <w:rsid w:val="00FC30BF"/>
    <w:rsid w:val="00FC3144"/>
    <w:rsid w:val="00FC3EE0"/>
    <w:rsid w:val="00FC4003"/>
    <w:rsid w:val="00FC4006"/>
    <w:rsid w:val="00FC4F13"/>
    <w:rsid w:val="00FC57BC"/>
    <w:rsid w:val="00FC5A03"/>
    <w:rsid w:val="00FC6B73"/>
    <w:rsid w:val="00FC7EF2"/>
    <w:rsid w:val="00FD0DF1"/>
    <w:rsid w:val="00FD346C"/>
    <w:rsid w:val="00FD3B47"/>
    <w:rsid w:val="00FD3FF5"/>
    <w:rsid w:val="00FD50AD"/>
    <w:rsid w:val="00FD57B4"/>
    <w:rsid w:val="00FD5A2F"/>
    <w:rsid w:val="00FD65F5"/>
    <w:rsid w:val="00FE0482"/>
    <w:rsid w:val="00FE0998"/>
    <w:rsid w:val="00FE0E4B"/>
    <w:rsid w:val="00FE102B"/>
    <w:rsid w:val="00FE1325"/>
    <w:rsid w:val="00FE1986"/>
    <w:rsid w:val="00FE20A0"/>
    <w:rsid w:val="00FE25A3"/>
    <w:rsid w:val="00FE278F"/>
    <w:rsid w:val="00FE2879"/>
    <w:rsid w:val="00FE2A9A"/>
    <w:rsid w:val="00FE378D"/>
    <w:rsid w:val="00FE37FA"/>
    <w:rsid w:val="00FE3F90"/>
    <w:rsid w:val="00FE68EE"/>
    <w:rsid w:val="00FE77E7"/>
    <w:rsid w:val="00FF079F"/>
    <w:rsid w:val="00FF1039"/>
    <w:rsid w:val="00FF17BE"/>
    <w:rsid w:val="00FF1B7C"/>
    <w:rsid w:val="00FF1DF3"/>
    <w:rsid w:val="00FF2437"/>
    <w:rsid w:val="00FF2BC6"/>
    <w:rsid w:val="00FF37BE"/>
    <w:rsid w:val="00FF466B"/>
    <w:rsid w:val="00FF5425"/>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54722"/>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35609-E26E-4832-8401-D1EF955F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10</Pages>
  <Words>4370</Words>
  <Characters>23448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27763</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90</cp:revision>
  <cp:lastPrinted>2015-01-09T11:18:00Z</cp:lastPrinted>
  <dcterms:created xsi:type="dcterms:W3CDTF">2018-12-12T17:24:00Z</dcterms:created>
  <dcterms:modified xsi:type="dcterms:W3CDTF">2018-12-13T18:43:00Z</dcterms:modified>
</cp:coreProperties>
</file>