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ind w:right="-522" w:hanging="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ind w:right="-522" w:hanging="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Nota nº 38-2022/CGPOP/DAEP/SPA/MAPA</w:t>
      </w:r>
    </w:p>
    <w:p>
      <w:pPr>
        <w:pStyle w:val="Normal1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jc w:val="right"/>
        <w:rPr>
          <w:rFonts w:ascii="Calibri" w:hAnsi="Calibri" w:eastAsia="Calibri" w:cs="Calibri"/>
        </w:rPr>
      </w:pPr>
      <w:bookmarkStart w:id="0" w:name="_gjdgxs"/>
      <w:bookmarkEnd w:id="0"/>
      <w:r>
        <w:rPr>
          <w:rFonts w:eastAsia="Calibri" w:cs="Calibri" w:ascii="Calibri" w:hAnsi="Calibri"/>
        </w:rPr>
        <w:t>Brasília, 16 de novembro de 2022.</w:t>
      </w:r>
    </w:p>
    <w:p>
      <w:pPr>
        <w:pStyle w:val="Normal1"/>
        <w:spacing w:lineRule="auto" w:line="240" w:before="0" w:after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Assunto: Valor da Produção Agropecuária de 2022 está previsto em R$ 1,179 trilhão</w:t>
      </w:r>
    </w:p>
    <w:p>
      <w:pPr>
        <w:pStyle w:val="Normal1"/>
        <w:spacing w:lineRule="auto" w:line="240" w:before="0" w:after="240"/>
        <w:ind w:firstLine="709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O Valor Bruto da Produção Agropecuária (VBP) de 2022, calculado com base nas informações de outubro, está estimado em R$ 1,179 (um trilhão e cento e setenta e nove bilhões). Pouco abaixo do obtido em 2021, que foi de R$ 1,188 trilhão. As lavouras tiveram um aumento do VBP de 0,4%, e a pecuária redução de 3,4%. O faturamento das lavouras é de R$ 812,8 bilhões e o da pecuária, R$ 366,4 bilhões. Dois principais fatores interviram nos resultados do VBP deste ano, grande retração da produção de soja no Sul do País devido a problemas de secas, e a retração dos preços internos da Pecuária. Apesar dos problemas havidos com a soja, havendo uma retração real 11,7% no seu VBP, e representou uma perda de R$ 44,8 bilhões.</w:t>
      </w:r>
    </w:p>
    <w:p>
      <w:pPr>
        <w:pStyle w:val="Normal1"/>
        <w:spacing w:lineRule="auto" w:line="240" w:before="0" w:after="240"/>
        <w:ind w:firstLine="709"/>
        <w:jc w:val="both"/>
        <w:rPr>
          <w:rFonts w:ascii="Calibri" w:hAnsi="Calibri" w:eastAsia="Calibri" w:cs="Calibri"/>
        </w:rPr>
      </w:pPr>
      <w:r>
        <w:rPr/>
        <w:drawing>
          <wp:inline distT="0" distB="0" distL="0" distR="0">
            <wp:extent cx="4218305" cy="2565400"/>
            <wp:effectExtent l="0" t="0" r="0" b="0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40" w:before="0" w:after="240"/>
        <w:ind w:firstLine="709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40" w:before="0" w:after="240"/>
        <w:ind w:firstLine="709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Este ano de 2022 mostra-se um ano quase excepcional onde tantos produtos melhoraram o seu VBP. Numa relação dos que mais contribuíram para os resultados destacam-se algodão com aumento real do VBP de 23,6%; amendoim 11,7%; banana 17,2%; batata inglesa 13,1%; café 29,5%; cana-de-açúcar 4,5%; feijão 8,2%; mandioca 13,9%; milho 13,35; tomate 22,0% e trigo 36,4%.</w:t>
      </w:r>
    </w:p>
    <w:p>
      <w:pPr>
        <w:pStyle w:val="Normal1"/>
        <w:spacing w:lineRule="auto" w:line="240" w:before="0" w:after="240"/>
        <w:ind w:firstLine="709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Na pecuária houve retração de carne bovina, carne suína, e carne de frango. Por outro lado, bom desempenho em leite e ovos. Isso resultou numa queda do VBP do setor de 3,4% real. </w:t>
      </w:r>
    </w:p>
    <w:p>
      <w:pPr>
        <w:pStyle w:val="Normal1"/>
        <w:spacing w:lineRule="auto" w:line="240" w:before="0" w:after="240"/>
        <w:ind w:firstLine="709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Pior desempenho, portanto, ocorre na pecuária devido à retração dos preços internos, fortes retrações de valor na soja, -11,7% e no arroz -20,8%. Apesar dessas quedas de preços nas carnes, pode-se considerar 2022 como ano de bons preços agrícolas.</w:t>
      </w:r>
    </w:p>
    <w:p>
      <w:pPr>
        <w:pStyle w:val="Normal1"/>
        <w:spacing w:lineRule="auto" w:line="240" w:before="0" w:after="240"/>
        <w:ind w:firstLine="709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Ainda são muito preliminares as informações para 2023, mas é importante notar que há boa previsão de chuvas para o ano, e o VBP estimado em R$ 1,237 trilhão situa-se 4,9% acima do estimado para este ano de 2022. Identificada expansão de áreas pela CONAB, sendo que a soja expande-se em parte sobre áreas de pastagens degradadas. A soja deve apresentar boa recuperação no ano de 2023.</w:t>
      </w:r>
    </w:p>
    <w:p>
      <w:pPr>
        <w:pStyle w:val="Normal1"/>
        <w:spacing w:lineRule="auto" w:line="240" w:before="0" w:after="240"/>
        <w:ind w:firstLine="709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O VBP regional mostra a liderança de Mato Grosso, seguido por Paraná, São Paulo, Minas Gerais e Goiás. As perdas ocorridas com a soja no Sul, trouxeram o Sudeste para o segundo lugar do ranking das regiões, antes ocupado pelo Sul.</w:t>
      </w:r>
    </w:p>
    <w:p>
      <w:pPr>
        <w:pStyle w:val="Normal1"/>
        <w:spacing w:lineRule="auto" w:line="240" w:before="0" w:after="240"/>
        <w:ind w:hanging="0"/>
        <w:jc w:val="center"/>
        <w:rPr>
          <w:rFonts w:ascii="Calibri" w:hAnsi="Calibri" w:eastAsia="Calibri" w:cs="Calibri"/>
          <w:b/>
          <w:b/>
          <w:color w:val="000000"/>
          <w:sz w:val="16"/>
          <w:szCs w:val="16"/>
        </w:rPr>
      </w:pPr>
      <w:r>
        <w:rPr/>
        <w:drawing>
          <wp:inline distT="0" distB="0" distL="0" distR="0">
            <wp:extent cx="5478780" cy="6158230"/>
            <wp:effectExtent l="0" t="0" r="0" b="0"/>
            <wp:docPr id="2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615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4"/>
      <w:headerReference w:type="first" r:id="rId5"/>
      <w:footerReference w:type="default" r:id="rId6"/>
      <w:type w:val="nextPage"/>
      <w:pgSz w:w="11906" w:h="16838"/>
      <w:pgMar w:left="1134" w:right="1134" w:gutter="0" w:header="567" w:top="1701" w:footer="567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>
        <w:sz w:val="10"/>
        <w:szCs w:val="10"/>
      </w:rPr>
    </w:pPr>
    <w:r>
      <w:rPr>
        <w:sz w:val="10"/>
        <w:szCs w:val="10"/>
      </w:rPr>
    </w:r>
  </w:p>
  <w:p>
    <w:pPr>
      <w:pStyle w:val="Normal1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Esplanada dos Ministérios, Bloco D, Edifício Sede, 5º andar, Brasília/DF</w:t>
    </w:r>
  </w:p>
  <w:p>
    <w:pPr>
      <w:pStyle w:val="Normal1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spa@agricultura.gov.br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AGRICULTURA, PECUÁRIA E ABASTECIMENTO</w:t>
    </w:r>
  </w:p>
  <w:p>
    <w:pPr>
      <w:pStyle w:val="Normal1"/>
      <w:jc w:val="center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  <w:t>Secretaria de Política Agrícola - SPA</w:t>
    </w:r>
  </w:p>
  <w:p>
    <w:pPr>
      <w:pStyle w:val="Normal1"/>
      <w:jc w:val="center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  <w:t>Departamento de Análise Econômica e Políticas Públicas – DAEP</w:t>
    </w:r>
  </w:p>
  <w:p>
    <w:pPr>
      <w:pStyle w:val="Normal1"/>
      <w:jc w:val="center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  <w:t>Coordenação-Geral de Políticas Públicas - CGPOP</w:t>
    </w:r>
  </w:p>
  <w:p>
    <w:pPr>
      <w:pStyle w:val="Normal1"/>
      <w:jc w:val="center"/>
      <w:rPr>
        <w:rFonts w:ascii="Arial" w:hAnsi="Arial" w:eastAsia="Arial" w:cs="Arial"/>
      </w:rPr>
    </w:pPr>
    <w:r>
      <w:rPr>
        <w:rFonts w:eastAsia="Arial" w:cs="Arial" w:ascii="Arial" w:hAnsi="Arial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>
        <w:sz w:val="20"/>
        <w:szCs w:val="20"/>
      </w:rPr>
    </w:pPr>
    <w:r>
      <w:rPr>
        <w:sz w:val="20"/>
        <w:szCs w:val="2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2438400</wp:posOffset>
          </wp:positionH>
          <wp:positionV relativeFrom="paragraph">
            <wp:posOffset>58420</wp:posOffset>
          </wp:positionV>
          <wp:extent cx="933450" cy="933450"/>
          <wp:effectExtent l="0" t="0" r="0" b="0"/>
          <wp:wrapNone/>
          <wp:docPr id="3" name="image1.png" descr="LOGO_147_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LOGO_147_MEM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Normal1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Normal1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Normal1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Normal1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Normal1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Normal1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AGRICULTURA, PECUÁRIA E ABASTECIMENTO</w:t>
    </w:r>
  </w:p>
  <w:p>
    <w:pPr>
      <w:pStyle w:val="Normal1"/>
      <w:jc w:val="center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  <w:t>Secretaria de Política Agrícola - SPA</w:t>
    </w:r>
  </w:p>
  <w:p>
    <w:pPr>
      <w:pStyle w:val="Normal1"/>
      <w:jc w:val="center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  <w:t>Departamento de Análise Econômica e Políticas Públicas – DAEP</w:t>
    </w:r>
  </w:p>
  <w:p>
    <w:pPr>
      <w:pStyle w:val="Normal1"/>
      <w:jc w:val="center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  <w:t>Coordenação-Geral de Políticas Públicas - CGPOP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LibreOffice/7.3.5.2$Windows_X86_64 LibreOffice_project/184fe81b8c8c30d8b5082578aee2fed2ea847c01</Application>
  <AppVersion>15.0000</AppVersion>
  <Pages>2</Pages>
  <Words>450</Words>
  <Characters>2319</Characters>
  <CharactersWithSpaces>2753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