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83" w:rsidRPr="00803680" w:rsidRDefault="00162283" w:rsidP="00162283">
      <w:pPr>
        <w:ind w:right="-522"/>
        <w:outlineLvl w:val="0"/>
        <w:rPr>
          <w:rFonts w:ascii="Arial" w:hAnsi="Arial" w:cs="Arial"/>
          <w:b/>
        </w:rPr>
      </w:pPr>
    </w:p>
    <w:p w:rsidR="00162283" w:rsidRPr="00417F80" w:rsidRDefault="00162283" w:rsidP="00162283">
      <w:pPr>
        <w:ind w:right="-522"/>
        <w:outlineLvl w:val="0"/>
        <w:rPr>
          <w:rFonts w:ascii="Arial" w:hAnsi="Arial" w:cs="Arial"/>
          <w:b/>
        </w:rPr>
      </w:pPr>
      <w:r w:rsidRPr="00417F80">
        <w:rPr>
          <w:rFonts w:ascii="Arial" w:hAnsi="Arial" w:cs="Arial"/>
          <w:b/>
        </w:rPr>
        <w:t xml:space="preserve">Nota nº </w:t>
      </w:r>
      <w:r w:rsidR="00417F80" w:rsidRPr="00417F80">
        <w:rPr>
          <w:rFonts w:ascii="Arial" w:hAnsi="Arial" w:cs="Arial"/>
          <w:b/>
        </w:rPr>
        <w:t>2</w:t>
      </w:r>
      <w:r w:rsidR="003923C4">
        <w:rPr>
          <w:rFonts w:ascii="Arial" w:hAnsi="Arial" w:cs="Arial"/>
          <w:b/>
        </w:rPr>
        <w:t>8</w:t>
      </w:r>
      <w:r w:rsidRPr="00417F80">
        <w:rPr>
          <w:rFonts w:ascii="Arial" w:hAnsi="Arial" w:cs="Arial"/>
          <w:b/>
        </w:rPr>
        <w:t>-202</w:t>
      </w:r>
      <w:r w:rsidR="007573C4" w:rsidRPr="00417F80">
        <w:rPr>
          <w:rFonts w:ascii="Arial" w:hAnsi="Arial" w:cs="Arial"/>
          <w:b/>
        </w:rPr>
        <w:t>2</w:t>
      </w:r>
      <w:r w:rsidRPr="00417F80">
        <w:rPr>
          <w:rFonts w:ascii="Arial" w:hAnsi="Arial" w:cs="Arial"/>
          <w:b/>
        </w:rPr>
        <w:t>/CG</w:t>
      </w:r>
      <w:r w:rsidR="00803680" w:rsidRPr="00417F80">
        <w:rPr>
          <w:rFonts w:ascii="Arial" w:hAnsi="Arial" w:cs="Arial"/>
          <w:b/>
        </w:rPr>
        <w:t>PLAC</w:t>
      </w:r>
      <w:r w:rsidRPr="00417F80">
        <w:rPr>
          <w:rFonts w:ascii="Arial" w:hAnsi="Arial" w:cs="Arial"/>
          <w:b/>
        </w:rPr>
        <w:t>/D</w:t>
      </w:r>
      <w:r w:rsidR="00803680" w:rsidRPr="00417F80">
        <w:rPr>
          <w:rFonts w:ascii="Arial" w:hAnsi="Arial" w:cs="Arial"/>
          <w:b/>
        </w:rPr>
        <w:t>AEP</w:t>
      </w:r>
      <w:r w:rsidRPr="00417F80">
        <w:rPr>
          <w:rFonts w:ascii="Arial" w:hAnsi="Arial" w:cs="Arial"/>
          <w:b/>
        </w:rPr>
        <w:t>/SPA/MAPA</w:t>
      </w:r>
    </w:p>
    <w:p w:rsidR="00162283" w:rsidRPr="00417F80" w:rsidRDefault="00162283" w:rsidP="00162283">
      <w:pPr>
        <w:rPr>
          <w:rFonts w:ascii="Arial" w:hAnsi="Arial" w:cs="Arial"/>
          <w:b/>
        </w:rPr>
      </w:pPr>
    </w:p>
    <w:p w:rsidR="00162283" w:rsidRPr="00417F80" w:rsidRDefault="00162283" w:rsidP="00162283">
      <w:pPr>
        <w:jc w:val="right"/>
        <w:outlineLvl w:val="0"/>
        <w:rPr>
          <w:rFonts w:ascii="Arial" w:hAnsi="Arial" w:cs="Arial"/>
        </w:rPr>
      </w:pPr>
      <w:r w:rsidRPr="00417F80">
        <w:rPr>
          <w:rFonts w:ascii="Arial" w:hAnsi="Arial" w:cs="Arial"/>
        </w:rPr>
        <w:t xml:space="preserve">Brasília, </w:t>
      </w:r>
      <w:r w:rsidR="003923C4">
        <w:rPr>
          <w:rFonts w:ascii="Arial" w:hAnsi="Arial" w:cs="Arial"/>
        </w:rPr>
        <w:t>09 de junho</w:t>
      </w:r>
      <w:r w:rsidRPr="00417F80">
        <w:rPr>
          <w:rFonts w:ascii="Arial" w:hAnsi="Arial" w:cs="Arial"/>
        </w:rPr>
        <w:t xml:space="preserve"> de 202</w:t>
      </w:r>
      <w:r w:rsidR="007573C4" w:rsidRPr="00417F80">
        <w:rPr>
          <w:rFonts w:ascii="Arial" w:hAnsi="Arial" w:cs="Arial"/>
        </w:rPr>
        <w:t>2</w:t>
      </w:r>
      <w:r w:rsidRPr="00417F80">
        <w:rPr>
          <w:rFonts w:ascii="Arial" w:hAnsi="Arial" w:cs="Arial"/>
        </w:rPr>
        <w:t>.</w:t>
      </w:r>
    </w:p>
    <w:p w:rsidR="00162283" w:rsidRPr="00417F80" w:rsidRDefault="00162283" w:rsidP="00162283">
      <w:pPr>
        <w:jc w:val="right"/>
        <w:rPr>
          <w:rFonts w:ascii="Arial" w:hAnsi="Arial" w:cs="Arial"/>
        </w:rPr>
      </w:pPr>
    </w:p>
    <w:p w:rsidR="008B273E" w:rsidRPr="00417F80" w:rsidRDefault="00803680" w:rsidP="00DE69D0">
      <w:pPr>
        <w:jc w:val="center"/>
        <w:rPr>
          <w:rFonts w:ascii="Arial" w:hAnsi="Arial" w:cs="Arial"/>
          <w:b/>
          <w:bCs/>
        </w:rPr>
      </w:pPr>
      <w:r w:rsidRPr="00417F80">
        <w:rPr>
          <w:rFonts w:ascii="Arial" w:hAnsi="Arial" w:cs="Arial"/>
          <w:b/>
          <w:bCs/>
        </w:rPr>
        <w:t xml:space="preserve">Assunto: </w:t>
      </w:r>
      <w:r w:rsidR="00DE69D0" w:rsidRPr="00DE69D0">
        <w:rPr>
          <w:rFonts w:ascii="Arial" w:hAnsi="Arial" w:cs="Arial"/>
          <w:b/>
          <w:bCs/>
        </w:rPr>
        <w:t>Valor Bruto da Produção Agropecuária é de R$ 1,243 trilhão</w:t>
      </w:r>
    </w:p>
    <w:p w:rsidR="004E73F5" w:rsidRDefault="004E73F5" w:rsidP="00417F80">
      <w:pPr>
        <w:spacing w:after="240"/>
        <w:ind w:firstLine="709"/>
        <w:jc w:val="both"/>
        <w:rPr>
          <w:rFonts w:ascii="Arial" w:hAnsi="Arial" w:cs="Arial"/>
        </w:rPr>
      </w:pPr>
    </w:p>
    <w:p w:rsidR="00417F80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>O Valor bruto da produção agropecuária (VBP), que inclui as principais lavouras e a pecuária está estimado em R</w:t>
      </w:r>
      <w:r w:rsidR="00454CDA">
        <w:rPr>
          <w:rFonts w:ascii="Arial" w:hAnsi="Arial" w:cs="Arial"/>
        </w:rPr>
        <w:t>$</w:t>
      </w:r>
      <w:r w:rsidRPr="00DE69D0">
        <w:rPr>
          <w:rFonts w:ascii="Arial" w:hAnsi="Arial" w:cs="Arial"/>
        </w:rPr>
        <w:t xml:space="preserve"> 1,243 trilhão, 2,4%, acima do obtido em 2021 que foi de R$ 1,214 trilhão. As lavouras com faturamento estimado em R$ 880,37 bilhões, são responsáveis pela maior parte do valor estimado, e têm crescimento real de 6,56%. A pecuária, que inclui os principais produtos da atividade animal, tem um VBP de R$ 362,64 bilhões, 6,4% menor que no ano passado.</w:t>
      </w:r>
    </w:p>
    <w:p w:rsidR="00DE69D0" w:rsidRDefault="00DE69D0" w:rsidP="00DE69D0">
      <w:pPr>
        <w:spacing w:after="24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B3442C6" wp14:editId="6EF2525C">
            <wp:extent cx="4095750" cy="2486025"/>
            <wp:effectExtent l="0" t="0" r="0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F5D27AF4-3C21-416E-9AEA-F96C12FC84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69D0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 xml:space="preserve">A maior parte dos produtos considerados neste trabalho tem desempenho melhor do que em 2021. Numa relação de 11 produtos que tiveram desempenho positivo, destacam-se o algodão, com aumento real de 45,0% no VBP, banana 14,2%, batata-inglesa 26,7%, </w:t>
      </w:r>
      <w:r w:rsidR="00C71E5F">
        <w:rPr>
          <w:rFonts w:ascii="Arial" w:hAnsi="Arial" w:cs="Arial"/>
        </w:rPr>
        <w:t>c</w:t>
      </w:r>
      <w:r w:rsidRPr="00DE69D0">
        <w:rPr>
          <w:rFonts w:ascii="Arial" w:hAnsi="Arial" w:cs="Arial"/>
        </w:rPr>
        <w:t>afé 37,8%, cana de açúcar 28,1</w:t>
      </w:r>
      <w:r w:rsidR="00C71E5F">
        <w:rPr>
          <w:rFonts w:ascii="Arial" w:hAnsi="Arial" w:cs="Arial"/>
        </w:rPr>
        <w:t>%</w:t>
      </w:r>
      <w:r w:rsidRPr="00DE69D0">
        <w:rPr>
          <w:rFonts w:ascii="Arial" w:hAnsi="Arial" w:cs="Arial"/>
        </w:rPr>
        <w:t>, feijão, 13,9%, milho 20,4%, tomate 40,3%, e trigo, 22</w:t>
      </w:r>
      <w:r w:rsidR="00C71E5F">
        <w:rPr>
          <w:rFonts w:ascii="Arial" w:hAnsi="Arial" w:cs="Arial"/>
        </w:rPr>
        <w:t>,</w:t>
      </w:r>
      <w:r w:rsidRPr="00DE69D0">
        <w:rPr>
          <w:rFonts w:ascii="Arial" w:hAnsi="Arial" w:cs="Arial"/>
        </w:rPr>
        <w:t xml:space="preserve">1%. Pior desempenho tem sido observado em poucos produtos, são eles: arroz cacau, laranja, soja e uva. Lembramos o leitor que as secas ocorridas neste ano safra, afetaram alguns destes produtos, em especial a soja, milho e feijão no Rio Grande do Sul, </w:t>
      </w:r>
      <w:r w:rsidR="00C71E5F">
        <w:rPr>
          <w:rFonts w:ascii="Arial" w:hAnsi="Arial" w:cs="Arial"/>
        </w:rPr>
        <w:t xml:space="preserve">e </w:t>
      </w:r>
      <w:r w:rsidRPr="00DE69D0">
        <w:rPr>
          <w:rFonts w:ascii="Arial" w:hAnsi="Arial" w:cs="Arial"/>
        </w:rPr>
        <w:t xml:space="preserve">o </w:t>
      </w:r>
      <w:r w:rsidR="00C71E5F">
        <w:rPr>
          <w:rFonts w:ascii="Arial" w:hAnsi="Arial" w:cs="Arial"/>
        </w:rPr>
        <w:t>m</w:t>
      </w:r>
      <w:r w:rsidRPr="00DE69D0">
        <w:rPr>
          <w:rFonts w:ascii="Arial" w:hAnsi="Arial" w:cs="Arial"/>
        </w:rPr>
        <w:t xml:space="preserve">ilho, com menor intensidade </w:t>
      </w:r>
      <w:r w:rsidR="00C71E5F">
        <w:rPr>
          <w:rFonts w:ascii="Arial" w:hAnsi="Arial" w:cs="Arial"/>
        </w:rPr>
        <w:t>n</w:t>
      </w:r>
      <w:r w:rsidRPr="00DE69D0">
        <w:rPr>
          <w:rFonts w:ascii="Arial" w:hAnsi="Arial" w:cs="Arial"/>
        </w:rPr>
        <w:t xml:space="preserve">o Paraná e </w:t>
      </w:r>
      <w:r w:rsidR="00C71E5F">
        <w:rPr>
          <w:rFonts w:ascii="Arial" w:hAnsi="Arial" w:cs="Arial"/>
        </w:rPr>
        <w:t xml:space="preserve">em </w:t>
      </w:r>
      <w:bookmarkStart w:id="0" w:name="_GoBack"/>
      <w:bookmarkEnd w:id="0"/>
      <w:r w:rsidRPr="00DE69D0">
        <w:rPr>
          <w:rFonts w:ascii="Arial" w:hAnsi="Arial" w:cs="Arial"/>
        </w:rPr>
        <w:t>Mato Grosso do Sul.</w:t>
      </w:r>
    </w:p>
    <w:p w:rsidR="00131F47" w:rsidRPr="00DE69D0" w:rsidRDefault="00131F47" w:rsidP="00131F47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>Os produtos em melhor posição são soja, milho, cana de açúcar, café e algodão. Representam 59,7% do VBP de 2022.</w:t>
      </w:r>
    </w:p>
    <w:p w:rsidR="00DE69D0" w:rsidRPr="00DE69D0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lastRenderedPageBreak/>
        <w:t xml:space="preserve">Os resultados da pecuária não se mostram favoráveis neste ano, afetados principalmente pela retração dos preços de bovinos, suínos e frango. Mas os indicadores da atividade são positivos. O IBGE registra o melhor resultado do abate de suínos para o primeiro trimestre desde 1997, quando iniciou a série histórica. Note-se ainda na pecuária, que o Mato Grosso lidera o abate de bovinos, com 16,1% da participação nacional, seguido por Mato Grosso do Sul 11,3%, e São Paulo 11,0%. </w:t>
      </w:r>
    </w:p>
    <w:p w:rsidR="00131F47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 xml:space="preserve">Em geral os preços recebidos pelos produtores têm sido superiores aos do ano passado. As maiores altas são observadas em algodão 21,5%, batata-inglesa 33,6%, café arábica 28,4%, e banana 12,4%. </w:t>
      </w:r>
    </w:p>
    <w:p w:rsidR="00131F47" w:rsidRDefault="00DE69D0" w:rsidP="00131F47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>As informações regionais mostram que Mato Grosso, São Paulo, Paraná, Minas Gerais e Goiás lideram o valor total do VBP, e respondem por 63,2% deste. Estes resultados têm enorme impacto nas áreas de produção, e em todas as regiões afetadas por estas.</w:t>
      </w:r>
      <w:r w:rsidR="00131F47">
        <w:rPr>
          <w:rFonts w:ascii="Arial" w:hAnsi="Arial" w:cs="Arial"/>
        </w:rPr>
        <w:t xml:space="preserve"> </w:t>
      </w:r>
    </w:p>
    <w:p w:rsidR="00DE69D0" w:rsidRDefault="00A2649F" w:rsidP="00131F47">
      <w:pPr>
        <w:spacing w:after="240"/>
        <w:jc w:val="center"/>
        <w:rPr>
          <w:rFonts w:ascii="Arial" w:hAnsi="Arial" w:cs="Arial"/>
        </w:rPr>
      </w:pPr>
      <w:r w:rsidRPr="00A2649F">
        <w:rPr>
          <w:noProof/>
        </w:rPr>
        <w:drawing>
          <wp:inline distT="0" distB="0" distL="0" distR="0">
            <wp:extent cx="5486400" cy="584562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62" cy="584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9D0" w:rsidSect="00474CA3"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F19" w:rsidRDefault="00033F19">
      <w:r>
        <w:separator/>
      </w:r>
    </w:p>
  </w:endnote>
  <w:endnote w:type="continuationSeparator" w:id="0">
    <w:p w:rsidR="00033F19" w:rsidRDefault="0003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D5" w:rsidRPr="003D33D5" w:rsidRDefault="003D33D5" w:rsidP="00011011">
    <w:pPr>
      <w:jc w:val="center"/>
      <w:rPr>
        <w:sz w:val="10"/>
        <w:szCs w:val="10"/>
      </w:rPr>
    </w:pPr>
  </w:p>
  <w:p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F19" w:rsidRDefault="00033F19">
      <w:r>
        <w:separator/>
      </w:r>
    </w:p>
  </w:footnote>
  <w:footnote w:type="continuationSeparator" w:id="0">
    <w:p w:rsidR="00033F19" w:rsidRDefault="0003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1530ED" w:rsidRPr="003D747F" w:rsidRDefault="001530ED" w:rsidP="001530ED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1530ED" w:rsidRDefault="001530ED" w:rsidP="001530ED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:rsidR="00BF2C12" w:rsidRDefault="001530ED" w:rsidP="001530ED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:rsidR="0056612E" w:rsidRPr="003D747F" w:rsidRDefault="0056612E" w:rsidP="0056612E">
    <w:pPr>
      <w:jc w:val="center"/>
      <w:rPr>
        <w:rFonts w:ascii="Arial" w:hAnsi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3D92934A" wp14:editId="49A75945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2" name="Imagem 2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803680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:rsidR="00B87F71" w:rsidRPr="003D747F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D4"/>
    <w:rsid w:val="00000476"/>
    <w:rsid w:val="00002B61"/>
    <w:rsid w:val="00007450"/>
    <w:rsid w:val="00011011"/>
    <w:rsid w:val="00012291"/>
    <w:rsid w:val="00015B1E"/>
    <w:rsid w:val="0002055B"/>
    <w:rsid w:val="00024D22"/>
    <w:rsid w:val="000265EC"/>
    <w:rsid w:val="0003104C"/>
    <w:rsid w:val="00033F19"/>
    <w:rsid w:val="0004005A"/>
    <w:rsid w:val="0006103B"/>
    <w:rsid w:val="00081376"/>
    <w:rsid w:val="00082FC0"/>
    <w:rsid w:val="000A5DF0"/>
    <w:rsid w:val="000C2DD0"/>
    <w:rsid w:val="000C63B4"/>
    <w:rsid w:val="000C6526"/>
    <w:rsid w:val="000D163C"/>
    <w:rsid w:val="000E16D6"/>
    <w:rsid w:val="000E1CDB"/>
    <w:rsid w:val="000E5751"/>
    <w:rsid w:val="000F1613"/>
    <w:rsid w:val="000F776B"/>
    <w:rsid w:val="00131F47"/>
    <w:rsid w:val="00133DF2"/>
    <w:rsid w:val="001361D2"/>
    <w:rsid w:val="00142399"/>
    <w:rsid w:val="001530ED"/>
    <w:rsid w:val="00154DB0"/>
    <w:rsid w:val="00162283"/>
    <w:rsid w:val="00175A5B"/>
    <w:rsid w:val="00180DDA"/>
    <w:rsid w:val="00185E31"/>
    <w:rsid w:val="00192101"/>
    <w:rsid w:val="00195EB7"/>
    <w:rsid w:val="001966B1"/>
    <w:rsid w:val="001A04ED"/>
    <w:rsid w:val="001A3F0B"/>
    <w:rsid w:val="001A705E"/>
    <w:rsid w:val="001B7005"/>
    <w:rsid w:val="001B7F16"/>
    <w:rsid w:val="001C0B21"/>
    <w:rsid w:val="001D0386"/>
    <w:rsid w:val="001D1182"/>
    <w:rsid w:val="001E6275"/>
    <w:rsid w:val="001E6E8E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76EC7"/>
    <w:rsid w:val="00280ADC"/>
    <w:rsid w:val="00292910"/>
    <w:rsid w:val="002932FB"/>
    <w:rsid w:val="002956E9"/>
    <w:rsid w:val="00295D72"/>
    <w:rsid w:val="002A4190"/>
    <w:rsid w:val="002B5338"/>
    <w:rsid w:val="002C0100"/>
    <w:rsid w:val="002C0885"/>
    <w:rsid w:val="002C3171"/>
    <w:rsid w:val="002C38D7"/>
    <w:rsid w:val="002D2864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20C4"/>
    <w:rsid w:val="00336EC9"/>
    <w:rsid w:val="003401E3"/>
    <w:rsid w:val="00346199"/>
    <w:rsid w:val="00372C35"/>
    <w:rsid w:val="003915C8"/>
    <w:rsid w:val="003923C4"/>
    <w:rsid w:val="003A3722"/>
    <w:rsid w:val="003B3D5F"/>
    <w:rsid w:val="003B602F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17F80"/>
    <w:rsid w:val="00427B0F"/>
    <w:rsid w:val="0043294D"/>
    <w:rsid w:val="00441C68"/>
    <w:rsid w:val="00442D8C"/>
    <w:rsid w:val="004454FD"/>
    <w:rsid w:val="00454CDA"/>
    <w:rsid w:val="00463812"/>
    <w:rsid w:val="00467DB2"/>
    <w:rsid w:val="00474004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D11B7"/>
    <w:rsid w:val="004D549E"/>
    <w:rsid w:val="004E10AB"/>
    <w:rsid w:val="004E24AF"/>
    <w:rsid w:val="004E4B65"/>
    <w:rsid w:val="004E65F0"/>
    <w:rsid w:val="004E6FE8"/>
    <w:rsid w:val="004E73F5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5044E"/>
    <w:rsid w:val="0056612E"/>
    <w:rsid w:val="0056622D"/>
    <w:rsid w:val="005801A7"/>
    <w:rsid w:val="005870DC"/>
    <w:rsid w:val="005870F8"/>
    <w:rsid w:val="00594136"/>
    <w:rsid w:val="00597F17"/>
    <w:rsid w:val="005A26EC"/>
    <w:rsid w:val="005C59D5"/>
    <w:rsid w:val="005D1987"/>
    <w:rsid w:val="005D6FAD"/>
    <w:rsid w:val="00603393"/>
    <w:rsid w:val="006042E2"/>
    <w:rsid w:val="00615B17"/>
    <w:rsid w:val="006173A9"/>
    <w:rsid w:val="0062337E"/>
    <w:rsid w:val="00625C4C"/>
    <w:rsid w:val="00640E4B"/>
    <w:rsid w:val="0064156F"/>
    <w:rsid w:val="006451F3"/>
    <w:rsid w:val="006457DD"/>
    <w:rsid w:val="00661A49"/>
    <w:rsid w:val="006646CB"/>
    <w:rsid w:val="00676C2E"/>
    <w:rsid w:val="00687C2F"/>
    <w:rsid w:val="006A6261"/>
    <w:rsid w:val="006B2B73"/>
    <w:rsid w:val="006C0AE6"/>
    <w:rsid w:val="006C75F4"/>
    <w:rsid w:val="006E5948"/>
    <w:rsid w:val="006F31C8"/>
    <w:rsid w:val="006F668B"/>
    <w:rsid w:val="007032A8"/>
    <w:rsid w:val="00707576"/>
    <w:rsid w:val="00713D04"/>
    <w:rsid w:val="0072466D"/>
    <w:rsid w:val="00734879"/>
    <w:rsid w:val="007377E6"/>
    <w:rsid w:val="00737AF9"/>
    <w:rsid w:val="007573C4"/>
    <w:rsid w:val="007637ED"/>
    <w:rsid w:val="00766F7D"/>
    <w:rsid w:val="00770E7B"/>
    <w:rsid w:val="0077292D"/>
    <w:rsid w:val="00774E09"/>
    <w:rsid w:val="00787C48"/>
    <w:rsid w:val="00797D36"/>
    <w:rsid w:val="007A4DFC"/>
    <w:rsid w:val="007C281E"/>
    <w:rsid w:val="007C30DD"/>
    <w:rsid w:val="007D4CA6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3680"/>
    <w:rsid w:val="00806898"/>
    <w:rsid w:val="00814978"/>
    <w:rsid w:val="00831119"/>
    <w:rsid w:val="00853EA6"/>
    <w:rsid w:val="008665B0"/>
    <w:rsid w:val="00876E61"/>
    <w:rsid w:val="00885176"/>
    <w:rsid w:val="00885B0C"/>
    <w:rsid w:val="00893F00"/>
    <w:rsid w:val="008A1C03"/>
    <w:rsid w:val="008B273E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40644"/>
    <w:rsid w:val="00953355"/>
    <w:rsid w:val="0096613B"/>
    <w:rsid w:val="00975EDD"/>
    <w:rsid w:val="00976C15"/>
    <w:rsid w:val="009828FB"/>
    <w:rsid w:val="00994A1F"/>
    <w:rsid w:val="009A5F57"/>
    <w:rsid w:val="009B6CBE"/>
    <w:rsid w:val="009C1797"/>
    <w:rsid w:val="009C1CFC"/>
    <w:rsid w:val="009C6022"/>
    <w:rsid w:val="009D38E0"/>
    <w:rsid w:val="009F1350"/>
    <w:rsid w:val="00A000D2"/>
    <w:rsid w:val="00A24DB7"/>
    <w:rsid w:val="00A2649F"/>
    <w:rsid w:val="00A27E22"/>
    <w:rsid w:val="00A41434"/>
    <w:rsid w:val="00A627AD"/>
    <w:rsid w:val="00A7049A"/>
    <w:rsid w:val="00A75E79"/>
    <w:rsid w:val="00A87F88"/>
    <w:rsid w:val="00A90C72"/>
    <w:rsid w:val="00AA3833"/>
    <w:rsid w:val="00AB429E"/>
    <w:rsid w:val="00AB7023"/>
    <w:rsid w:val="00AC0536"/>
    <w:rsid w:val="00AC1F68"/>
    <w:rsid w:val="00AD103D"/>
    <w:rsid w:val="00AD2BDC"/>
    <w:rsid w:val="00AD7F54"/>
    <w:rsid w:val="00AE7855"/>
    <w:rsid w:val="00B063CA"/>
    <w:rsid w:val="00B077D7"/>
    <w:rsid w:val="00B26893"/>
    <w:rsid w:val="00B420F2"/>
    <w:rsid w:val="00B422A5"/>
    <w:rsid w:val="00B475D4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939"/>
    <w:rsid w:val="00C65BF1"/>
    <w:rsid w:val="00C71E5F"/>
    <w:rsid w:val="00C93607"/>
    <w:rsid w:val="00CA212E"/>
    <w:rsid w:val="00CA7843"/>
    <w:rsid w:val="00CB351A"/>
    <w:rsid w:val="00CB5957"/>
    <w:rsid w:val="00CB737D"/>
    <w:rsid w:val="00CE1F31"/>
    <w:rsid w:val="00D030A0"/>
    <w:rsid w:val="00D17C12"/>
    <w:rsid w:val="00D21E5C"/>
    <w:rsid w:val="00D331B4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6160"/>
    <w:rsid w:val="00DA2122"/>
    <w:rsid w:val="00DB182C"/>
    <w:rsid w:val="00DB6371"/>
    <w:rsid w:val="00DC5F12"/>
    <w:rsid w:val="00DE0BE4"/>
    <w:rsid w:val="00DE69D0"/>
    <w:rsid w:val="00DF05FF"/>
    <w:rsid w:val="00DF19FA"/>
    <w:rsid w:val="00DF2CE0"/>
    <w:rsid w:val="00DF480F"/>
    <w:rsid w:val="00DF72A5"/>
    <w:rsid w:val="00E0144F"/>
    <w:rsid w:val="00E03A2D"/>
    <w:rsid w:val="00E13664"/>
    <w:rsid w:val="00E1427D"/>
    <w:rsid w:val="00E2092B"/>
    <w:rsid w:val="00E3136D"/>
    <w:rsid w:val="00E36EFA"/>
    <w:rsid w:val="00E40D5C"/>
    <w:rsid w:val="00E4437C"/>
    <w:rsid w:val="00E44DF0"/>
    <w:rsid w:val="00E6418A"/>
    <w:rsid w:val="00E67377"/>
    <w:rsid w:val="00E8358C"/>
    <w:rsid w:val="00E876A2"/>
    <w:rsid w:val="00E87E37"/>
    <w:rsid w:val="00E93746"/>
    <w:rsid w:val="00E95F67"/>
    <w:rsid w:val="00E965CC"/>
    <w:rsid w:val="00EA2ABC"/>
    <w:rsid w:val="00EA360C"/>
    <w:rsid w:val="00EB3AB0"/>
    <w:rsid w:val="00EB476C"/>
    <w:rsid w:val="00EB5C4B"/>
    <w:rsid w:val="00EC3062"/>
    <w:rsid w:val="00EE46B1"/>
    <w:rsid w:val="00EE5410"/>
    <w:rsid w:val="00EF33C2"/>
    <w:rsid w:val="00EF4263"/>
    <w:rsid w:val="00EF43A4"/>
    <w:rsid w:val="00EF4798"/>
    <w:rsid w:val="00F16AE3"/>
    <w:rsid w:val="00F20984"/>
    <w:rsid w:val="00F438B9"/>
    <w:rsid w:val="00F615DA"/>
    <w:rsid w:val="00F6189E"/>
    <w:rsid w:val="00F6368C"/>
    <w:rsid w:val="00F64E6A"/>
    <w:rsid w:val="00F72965"/>
    <w:rsid w:val="00F73E09"/>
    <w:rsid w:val="00F833B8"/>
    <w:rsid w:val="00FA04D6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87741"/>
  <w15:chartTrackingRefBased/>
  <w15:docId w15:val="{395FD313-27DB-4F08-816E-A080E972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MODELO%20Nota%20CGPLAC%202022-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VBP%20%202022%2005%20VBP%20INTERNO%20BRASIL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pt-BR" b="1"/>
              <a:t>VBP AGROPECUÁRIA - BRASIL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4.6991259120132918E-2"/>
          <c:y val="0.40760129696822994"/>
          <c:w val="0.92411254785812325"/>
          <c:h val="0.448540119714059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'VBP completo'!$AH$3</c:f>
              <c:strCache>
                <c:ptCount val="1"/>
                <c:pt idx="0">
                  <c:v>2021</c:v>
                </c:pt>
              </c:strCache>
            </c:strRef>
          </c:tx>
          <c:spPr>
            <a:pattFill prst="dkDnDiag">
              <a:fgClr>
                <a:srgbClr val="00B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CE-4841-8D34-2C94227DD993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('VBP completo'!$A$27,'VBP completo'!$A$33:$A$34)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completo'!$AH$27,'VBP completo'!$AH$33:$AH$34)</c:f>
              <c:numCache>
                <c:formatCode>#,##0.00</c:formatCode>
                <c:ptCount val="3"/>
                <c:pt idx="0">
                  <c:v>826.7323955378065</c:v>
                </c:pt>
                <c:pt idx="1">
                  <c:v>387.45951879407045</c:v>
                </c:pt>
                <c:pt idx="2">
                  <c:v>1214.1919143318769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CE-4841-8D34-2C94227DD993}"/>
            </c:ext>
          </c:extLst>
        </c:ser>
        <c:ser>
          <c:idx val="1"/>
          <c:order val="1"/>
          <c:tx>
            <c:strRef>
              <c:f>'VBP completo'!$AI$3</c:f>
              <c:strCache>
                <c:ptCount val="1"/>
                <c:pt idx="0">
                  <c:v>2022**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CE-4841-8D34-2C94227DD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('VBP completo'!$A$27,'VBP completo'!$A$33:$A$34)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completo'!$AI$27,'VBP completo'!$AI$33:$AI$34)</c:f>
              <c:numCache>
                <c:formatCode>#,##0.00</c:formatCode>
                <c:ptCount val="3"/>
                <c:pt idx="0">
                  <c:v>880.37174042840343</c:v>
                </c:pt>
                <c:pt idx="1">
                  <c:v>362.63675139731248</c:v>
                </c:pt>
                <c:pt idx="2">
                  <c:v>1243.008491825716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CE-4841-8D34-2C94227DD9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737294008"/>
        <c:axId val="737293680"/>
      </c:barChart>
      <c:lineChart>
        <c:grouping val="standard"/>
        <c:varyColors val="0"/>
        <c:ser>
          <c:idx val="2"/>
          <c:order val="2"/>
          <c:tx>
            <c:strRef>
              <c:f>'VBP completo'!$AK$3</c:f>
              <c:strCache>
                <c:ptCount val="1"/>
                <c:pt idx="0">
                  <c:v>% 2022/2021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1303424281267166E-2"/>
                  <c:y val="-0.44585150994056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CE-4841-8D34-2C94227DD993}"/>
                </c:ext>
              </c:extLst>
            </c:dLbl>
            <c:dLbl>
              <c:idx val="1"/>
              <c:layout>
                <c:manualLayout>
                  <c:x val="-7.4401025453213698E-2"/>
                  <c:y val="-0.299670759545861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CE-4841-8D34-2C94227DD993}"/>
                </c:ext>
              </c:extLst>
            </c:dLbl>
            <c:dLbl>
              <c:idx val="2"/>
              <c:layout>
                <c:manualLayout>
                  <c:x val="-5.8899591039492272E-2"/>
                  <c:y val="-0.54163131907362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CE-4841-8D34-2C94227DD993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50800" dist="50800" dir="5400000" algn="ctr" rotWithShape="0">
                  <a:schemeClr val="bg1"/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('VBP completo'!$A$27,'VBP completo'!$A$33:$A$34)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completo'!$AK$27,'VBP completo'!$AK$33:$AK$34)</c:f>
              <c:numCache>
                <c:formatCode>0.0%</c:formatCode>
                <c:ptCount val="3"/>
                <c:pt idx="0">
                  <c:v>6.4881145555816033E-2</c:v>
                </c:pt>
                <c:pt idx="1">
                  <c:v>-6.406544733761188E-2</c:v>
                </c:pt>
                <c:pt idx="2">
                  <c:v>2.373313242634767E-2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CCE-4841-8D34-2C94227DD9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7294008"/>
        <c:axId val="737293680"/>
      </c:lineChart>
      <c:catAx>
        <c:axId val="737294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r>
                  <a:rPr lang="en-US" sz="1000" b="0" i="0" u="none" strike="noStrike" baseline="0">
                    <a:effectLst/>
                  </a:rPr>
                  <a:t>Fonte: </a:t>
                </a:r>
                <a:r>
                  <a:rPr lang="pt-BR" sz="1000" b="0" i="0" u="none" strike="noStrike" baseline="0">
                    <a:effectLst/>
                  </a:rPr>
                  <a:t>: CGPLAC/DAEP/SPA/MAPA.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8.4768357443691628E-2"/>
              <c:y val="0.900245975000251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Segoe UI" panose="020B0502040204020203" pitchFamily="34" charset="0"/>
                  <a:ea typeface="+mn-ea"/>
                  <a:cs typeface="Segoe UI" panose="020B0502040204020203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pt-BR"/>
          </a:p>
        </c:txPr>
        <c:crossAx val="737293680"/>
        <c:crosses val="autoZero"/>
        <c:auto val="1"/>
        <c:lblAlgn val="ctr"/>
        <c:lblOffset val="100"/>
        <c:noMultiLvlLbl val="0"/>
      </c:catAx>
      <c:valAx>
        <c:axId val="737293680"/>
        <c:scaling>
          <c:orientation val="minMax"/>
          <c:max val="120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r>
                  <a:rPr lang="en-US"/>
                  <a:t>bilhões R$</a:t>
                </a:r>
              </a:p>
            </c:rich>
          </c:tx>
          <c:layout>
            <c:manualLayout>
              <c:xMode val="edge"/>
              <c:yMode val="edge"/>
              <c:x val="1.8604651162790697E-2"/>
              <c:y val="0.319866051226355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Segoe UI" panose="020B0502040204020203" pitchFamily="34" charset="0"/>
                  <a:ea typeface="+mn-ea"/>
                  <a:cs typeface="Segoe UI" panose="020B0502040204020203" pitchFamily="34" charset="0"/>
                </a:defRPr>
              </a:pPr>
              <a:endParaRPr lang="pt-BR"/>
            </a:p>
          </c:txPr>
        </c:title>
        <c:numFmt formatCode="#,##0.00" sourceLinked="1"/>
        <c:majorTickMark val="none"/>
        <c:minorTickMark val="none"/>
        <c:tickLblPos val="nextTo"/>
        <c:crossAx val="737294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517402185191967"/>
          <c:y val="0.14911957844349918"/>
          <c:w val="0.42536019044131107"/>
          <c:h val="9.1188946209310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Segoe UI" panose="020B0502040204020203" pitchFamily="34" charset="0"/>
          <a:cs typeface="Segoe UI" panose="020B0502040204020203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Nota CGPLAC 2022-</Template>
  <TotalTime>1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Carolina Moraes Pimentel Ricardi</cp:lastModifiedBy>
  <cp:revision>2</cp:revision>
  <cp:lastPrinted>2015-01-22T14:11:00Z</cp:lastPrinted>
  <dcterms:created xsi:type="dcterms:W3CDTF">2022-06-09T19:28:00Z</dcterms:created>
  <dcterms:modified xsi:type="dcterms:W3CDTF">2022-06-09T19:28:00Z</dcterms:modified>
</cp:coreProperties>
</file>