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87F39" w14:textId="77777777" w:rsidR="00162283" w:rsidRPr="00803680" w:rsidRDefault="00162283" w:rsidP="00162283">
      <w:pPr>
        <w:ind w:right="-522"/>
        <w:outlineLvl w:val="0"/>
        <w:rPr>
          <w:rFonts w:ascii="Arial" w:hAnsi="Arial" w:cs="Arial"/>
          <w:b/>
        </w:rPr>
      </w:pPr>
    </w:p>
    <w:p w14:paraId="71D568AC" w14:textId="77777777" w:rsidR="00162283" w:rsidRPr="00417F80" w:rsidRDefault="00162283" w:rsidP="00162283">
      <w:pPr>
        <w:ind w:right="-522"/>
        <w:outlineLvl w:val="0"/>
        <w:rPr>
          <w:rFonts w:ascii="Arial" w:hAnsi="Arial" w:cs="Arial"/>
          <w:b/>
        </w:rPr>
      </w:pPr>
      <w:r w:rsidRPr="00417F80">
        <w:rPr>
          <w:rFonts w:ascii="Arial" w:hAnsi="Arial" w:cs="Arial"/>
          <w:b/>
        </w:rPr>
        <w:t xml:space="preserve">Nota nº </w:t>
      </w:r>
      <w:r w:rsidR="00417F80" w:rsidRPr="00417F80">
        <w:rPr>
          <w:rFonts w:ascii="Arial" w:hAnsi="Arial" w:cs="Arial"/>
          <w:b/>
        </w:rPr>
        <w:t>25</w:t>
      </w:r>
      <w:r w:rsidRPr="00417F80">
        <w:rPr>
          <w:rFonts w:ascii="Arial" w:hAnsi="Arial" w:cs="Arial"/>
          <w:b/>
        </w:rPr>
        <w:t>-202</w:t>
      </w:r>
      <w:r w:rsidR="007573C4" w:rsidRPr="00417F80">
        <w:rPr>
          <w:rFonts w:ascii="Arial" w:hAnsi="Arial" w:cs="Arial"/>
          <w:b/>
        </w:rPr>
        <w:t>2</w:t>
      </w:r>
      <w:r w:rsidRPr="00417F80">
        <w:rPr>
          <w:rFonts w:ascii="Arial" w:hAnsi="Arial" w:cs="Arial"/>
          <w:b/>
        </w:rPr>
        <w:t>/CG</w:t>
      </w:r>
      <w:r w:rsidR="00803680" w:rsidRPr="00417F80">
        <w:rPr>
          <w:rFonts w:ascii="Arial" w:hAnsi="Arial" w:cs="Arial"/>
          <w:b/>
        </w:rPr>
        <w:t>PLAC</w:t>
      </w:r>
      <w:r w:rsidRPr="00417F80">
        <w:rPr>
          <w:rFonts w:ascii="Arial" w:hAnsi="Arial" w:cs="Arial"/>
          <w:b/>
        </w:rPr>
        <w:t>/D</w:t>
      </w:r>
      <w:r w:rsidR="00803680" w:rsidRPr="00417F80">
        <w:rPr>
          <w:rFonts w:ascii="Arial" w:hAnsi="Arial" w:cs="Arial"/>
          <w:b/>
        </w:rPr>
        <w:t>AEP</w:t>
      </w:r>
      <w:r w:rsidRPr="00417F80">
        <w:rPr>
          <w:rFonts w:ascii="Arial" w:hAnsi="Arial" w:cs="Arial"/>
          <w:b/>
        </w:rPr>
        <w:t>/SPA/MAPA</w:t>
      </w:r>
    </w:p>
    <w:p w14:paraId="231D8CD1" w14:textId="77777777" w:rsidR="00162283" w:rsidRPr="00417F80" w:rsidRDefault="00162283" w:rsidP="00162283">
      <w:pPr>
        <w:rPr>
          <w:rFonts w:ascii="Arial" w:hAnsi="Arial" w:cs="Arial"/>
          <w:b/>
        </w:rPr>
      </w:pPr>
    </w:p>
    <w:p w14:paraId="3FAFEAFE" w14:textId="77777777" w:rsidR="00162283" w:rsidRPr="00417F80" w:rsidRDefault="00162283" w:rsidP="00162283">
      <w:pPr>
        <w:jc w:val="right"/>
        <w:outlineLvl w:val="0"/>
        <w:rPr>
          <w:rFonts w:ascii="Arial" w:hAnsi="Arial" w:cs="Arial"/>
        </w:rPr>
      </w:pPr>
      <w:r w:rsidRPr="00417F80">
        <w:rPr>
          <w:rFonts w:ascii="Arial" w:hAnsi="Arial" w:cs="Arial"/>
        </w:rPr>
        <w:t xml:space="preserve">Brasília, </w:t>
      </w:r>
      <w:r w:rsidR="00417F80" w:rsidRPr="00417F80">
        <w:rPr>
          <w:rFonts w:ascii="Arial" w:hAnsi="Arial" w:cs="Arial"/>
        </w:rPr>
        <w:t>16</w:t>
      </w:r>
      <w:r w:rsidRPr="00417F80">
        <w:rPr>
          <w:rFonts w:ascii="Arial" w:hAnsi="Arial" w:cs="Arial"/>
        </w:rPr>
        <w:t xml:space="preserve"> de </w:t>
      </w:r>
      <w:r w:rsidR="00417F80" w:rsidRPr="00417F80">
        <w:rPr>
          <w:rFonts w:ascii="Arial" w:hAnsi="Arial" w:cs="Arial"/>
        </w:rPr>
        <w:t>maio</w:t>
      </w:r>
      <w:r w:rsidRPr="00417F80">
        <w:rPr>
          <w:rFonts w:ascii="Arial" w:hAnsi="Arial" w:cs="Arial"/>
        </w:rPr>
        <w:t xml:space="preserve"> de 202</w:t>
      </w:r>
      <w:r w:rsidR="007573C4" w:rsidRPr="00417F80">
        <w:rPr>
          <w:rFonts w:ascii="Arial" w:hAnsi="Arial" w:cs="Arial"/>
        </w:rPr>
        <w:t>2</w:t>
      </w:r>
      <w:r w:rsidRPr="00417F80">
        <w:rPr>
          <w:rFonts w:ascii="Arial" w:hAnsi="Arial" w:cs="Arial"/>
        </w:rPr>
        <w:t>.</w:t>
      </w:r>
    </w:p>
    <w:p w14:paraId="5AD6ED89" w14:textId="77777777" w:rsidR="00162283" w:rsidRPr="00417F80" w:rsidRDefault="00162283" w:rsidP="00162283">
      <w:pPr>
        <w:jc w:val="right"/>
        <w:rPr>
          <w:rFonts w:ascii="Arial" w:hAnsi="Arial" w:cs="Arial"/>
        </w:rPr>
      </w:pPr>
    </w:p>
    <w:p w14:paraId="026383C1" w14:textId="77777777" w:rsidR="00417F80" w:rsidRPr="00417F80" w:rsidRDefault="00803680" w:rsidP="00417F80">
      <w:pPr>
        <w:jc w:val="center"/>
        <w:rPr>
          <w:rFonts w:ascii="Arial" w:hAnsi="Arial" w:cs="Arial"/>
          <w:b/>
          <w:bCs/>
        </w:rPr>
      </w:pPr>
      <w:r w:rsidRPr="00417F80">
        <w:rPr>
          <w:rFonts w:ascii="Arial" w:hAnsi="Arial" w:cs="Arial"/>
          <w:b/>
          <w:bCs/>
        </w:rPr>
        <w:t xml:space="preserve">Assunto: </w:t>
      </w:r>
      <w:r w:rsidR="00417F80" w:rsidRPr="00417F80">
        <w:rPr>
          <w:rFonts w:ascii="Arial" w:hAnsi="Arial" w:cs="Arial"/>
          <w:b/>
          <w:bCs/>
        </w:rPr>
        <w:t>Valor Bruto da Produção Agropecuária é de R$ 1,236 trilhão</w:t>
      </w:r>
    </w:p>
    <w:p w14:paraId="3EC23491" w14:textId="77777777" w:rsidR="008B273E" w:rsidRPr="00417F80" w:rsidRDefault="00417F80" w:rsidP="00417F80">
      <w:pPr>
        <w:jc w:val="center"/>
        <w:rPr>
          <w:rFonts w:ascii="Arial" w:hAnsi="Arial" w:cs="Arial"/>
          <w:b/>
          <w:bCs/>
        </w:rPr>
      </w:pPr>
      <w:r w:rsidRPr="00417F80">
        <w:rPr>
          <w:rFonts w:ascii="Arial" w:hAnsi="Arial" w:cs="Arial"/>
          <w:b/>
          <w:bCs/>
        </w:rPr>
        <w:t>(Lavouras lideram o crescimento)</w:t>
      </w:r>
    </w:p>
    <w:p w14:paraId="3B677406" w14:textId="77777777" w:rsidR="004E73F5" w:rsidRDefault="004E73F5" w:rsidP="00417F80">
      <w:pPr>
        <w:spacing w:after="240"/>
        <w:ind w:firstLine="709"/>
        <w:jc w:val="both"/>
        <w:rPr>
          <w:rFonts w:ascii="Arial" w:hAnsi="Arial" w:cs="Arial"/>
        </w:rPr>
      </w:pPr>
    </w:p>
    <w:p w14:paraId="0ADAD064" w14:textId="1C3D92DB" w:rsidR="00417F80" w:rsidRPr="00417F80" w:rsidRDefault="00417F80" w:rsidP="00417F80">
      <w:pPr>
        <w:spacing w:after="240"/>
        <w:ind w:firstLine="709"/>
        <w:jc w:val="both"/>
        <w:rPr>
          <w:rFonts w:ascii="Arial" w:hAnsi="Arial" w:cs="Arial"/>
        </w:rPr>
      </w:pPr>
      <w:r w:rsidRPr="00417F80">
        <w:rPr>
          <w:rFonts w:ascii="Arial" w:hAnsi="Arial" w:cs="Arial"/>
        </w:rPr>
        <w:t xml:space="preserve">O Valor Bruto da Produção Agropecuária (VBP), estimado com base nas informações de safras do mês de abril está estimado em R$ 1,236 trilhão, 2,7% acima do obtido em 2021, que foi de R$ 1,204 trilhão. As lavouras tiveram um faturamento bruto de R$ 881,2 bilhões, e a pecuária R$ 355,7 bilhões. As lavouras, representadas por 17 atividades, cresceram 7,3% </w:t>
      </w:r>
      <w:bookmarkStart w:id="0" w:name="_GoBack"/>
      <w:bookmarkEnd w:id="0"/>
      <w:r w:rsidRPr="00417F80">
        <w:rPr>
          <w:rFonts w:ascii="Arial" w:hAnsi="Arial" w:cs="Arial"/>
        </w:rPr>
        <w:t>e a pecuária, retração de -7,2%.</w:t>
      </w:r>
    </w:p>
    <w:p w14:paraId="07794760" w14:textId="77777777" w:rsidR="00417F80" w:rsidRDefault="00417F80" w:rsidP="00417F80">
      <w:pPr>
        <w:spacing w:after="240"/>
        <w:ind w:firstLine="709"/>
        <w:jc w:val="both"/>
        <w:rPr>
          <w:rFonts w:ascii="Arial" w:hAnsi="Arial" w:cs="Arial"/>
        </w:rPr>
      </w:pPr>
      <w:r w:rsidRPr="00417F80">
        <w:rPr>
          <w:rFonts w:ascii="Arial" w:hAnsi="Arial" w:cs="Arial"/>
        </w:rPr>
        <w:t>Um conjunto de quatro produtos formado por café, cana-de-açúcar, algodão e milho, é o responsável pelo crescimento do VBP neste ano. No ano passado, estes representavam 36,8% do valor da produção total, e neste ano passaram a contribuir com 44,4 % do VBP. Os valores alcançados por esses quatro produtos são recordes numa série desde 1989.</w:t>
      </w:r>
    </w:p>
    <w:p w14:paraId="52B3E672" w14:textId="77777777" w:rsidR="00417F80" w:rsidRPr="00417F80" w:rsidRDefault="00417F80" w:rsidP="006646CB">
      <w:pPr>
        <w:ind w:firstLine="709"/>
        <w:jc w:val="center"/>
        <w:rPr>
          <w:rFonts w:ascii="Arial" w:hAnsi="Arial" w:cs="Arial"/>
        </w:rPr>
      </w:pPr>
      <w:r w:rsidRPr="00417F80">
        <w:rPr>
          <w:rFonts w:ascii="Arial" w:hAnsi="Arial" w:cs="Arial"/>
        </w:rPr>
        <w:t>Posição do Produto no Valor Bruto da Produção</w:t>
      </w:r>
    </w:p>
    <w:p w14:paraId="5A9C8292" w14:textId="77777777" w:rsidR="00417F80" w:rsidRDefault="00417F80" w:rsidP="006646CB">
      <w:pPr>
        <w:ind w:firstLine="709"/>
        <w:jc w:val="center"/>
        <w:rPr>
          <w:rFonts w:ascii="Arial" w:hAnsi="Arial" w:cs="Arial"/>
        </w:rPr>
      </w:pPr>
      <w:r w:rsidRPr="00417F80">
        <w:rPr>
          <w:rFonts w:ascii="Arial" w:hAnsi="Arial" w:cs="Arial"/>
        </w:rPr>
        <w:t>Valores em R$*</w:t>
      </w:r>
    </w:p>
    <w:p w14:paraId="414A0F1A" w14:textId="77777777" w:rsidR="004E73F5" w:rsidRDefault="004E73F5" w:rsidP="004E73F5">
      <w:pPr>
        <w:jc w:val="both"/>
        <w:rPr>
          <w:rFonts w:ascii="Arial" w:hAnsi="Arial" w:cs="Arial"/>
        </w:rPr>
      </w:pPr>
      <w:r w:rsidRPr="004E73F5">
        <w:rPr>
          <w:noProof/>
        </w:rPr>
        <w:drawing>
          <wp:inline distT="0" distB="0" distL="0" distR="0" wp14:anchorId="1466CB52" wp14:editId="4692CCAD">
            <wp:extent cx="5760720" cy="3023870"/>
            <wp:effectExtent l="0" t="0" r="0" b="508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023870"/>
                    </a:xfrm>
                    <a:prstGeom prst="rect">
                      <a:avLst/>
                    </a:prstGeom>
                    <a:noFill/>
                    <a:ln>
                      <a:noFill/>
                    </a:ln>
                  </pic:spPr>
                </pic:pic>
              </a:graphicData>
            </a:graphic>
          </wp:inline>
        </w:drawing>
      </w:r>
    </w:p>
    <w:p w14:paraId="51324025" w14:textId="77777777" w:rsidR="004E73F5" w:rsidRDefault="004E73F5" w:rsidP="004E73F5">
      <w:pPr>
        <w:ind w:firstLine="709"/>
        <w:jc w:val="both"/>
        <w:rPr>
          <w:rFonts w:ascii="Arial" w:hAnsi="Arial" w:cs="Arial"/>
        </w:rPr>
      </w:pPr>
    </w:p>
    <w:p w14:paraId="0FD3B445" w14:textId="77777777" w:rsidR="00417F80" w:rsidRPr="00417F80" w:rsidRDefault="00417F80" w:rsidP="00417F80">
      <w:pPr>
        <w:spacing w:after="240"/>
        <w:ind w:firstLine="709"/>
        <w:jc w:val="both"/>
        <w:rPr>
          <w:rFonts w:ascii="Arial" w:hAnsi="Arial" w:cs="Arial"/>
        </w:rPr>
      </w:pPr>
      <w:r w:rsidRPr="00417F80">
        <w:rPr>
          <w:rFonts w:ascii="Arial" w:hAnsi="Arial" w:cs="Arial"/>
        </w:rPr>
        <w:t xml:space="preserve">Aumentos de quantidades produzidas em relação ao ano passado, e também os preços mais elevados neste ano (exceto o milho) foram os estimuladores do crescimento. As perdas dos negócios da soja devido a problemas climáticos no Sul e </w:t>
      </w:r>
      <w:r w:rsidRPr="00417F80">
        <w:rPr>
          <w:rFonts w:ascii="Arial" w:hAnsi="Arial" w:cs="Arial"/>
        </w:rPr>
        <w:lastRenderedPageBreak/>
        <w:t>também a retração dos preços, tiveram forte impacto no VBP da soja. Contribuições negativas ocorrem em um número pequeno de produtos, onde são observados o arroz, cacau, uva e soja. Arroz e soja foram muito afetados pelas secas e daí resultaram as quedas de produção.</w:t>
      </w:r>
    </w:p>
    <w:p w14:paraId="47B772F6" w14:textId="77777777" w:rsidR="00417F80" w:rsidRPr="00417F80" w:rsidRDefault="00417F80" w:rsidP="00417F80">
      <w:pPr>
        <w:spacing w:after="240"/>
        <w:ind w:firstLine="709"/>
        <w:jc w:val="both"/>
        <w:rPr>
          <w:rFonts w:ascii="Arial" w:hAnsi="Arial" w:cs="Arial"/>
        </w:rPr>
      </w:pPr>
      <w:r w:rsidRPr="00417F80">
        <w:rPr>
          <w:rFonts w:ascii="Arial" w:hAnsi="Arial" w:cs="Arial"/>
        </w:rPr>
        <w:t>A forte queda do valor da pecuária, como visto, de -7,2%, ocorreu em todas as atividades desse grupo, exceto em ovos. Os preços mais baixos estimularam essa redução. As exportações, que são uma variável chave para esse setor, vêm apresentando bons resultados p</w:t>
      </w:r>
      <w:r w:rsidR="006646CB">
        <w:rPr>
          <w:rFonts w:ascii="Arial" w:hAnsi="Arial" w:cs="Arial"/>
        </w:rPr>
        <w:t>a</w:t>
      </w:r>
      <w:r w:rsidRPr="00417F80">
        <w:rPr>
          <w:rFonts w:ascii="Arial" w:hAnsi="Arial" w:cs="Arial"/>
        </w:rPr>
        <w:t>ra as carnes de frango e bovina. Estas têm obtido maior receita de exportações, e têm exportado quantidades superiores às do ano de 2021.</w:t>
      </w:r>
    </w:p>
    <w:p w14:paraId="63C23489" w14:textId="77777777" w:rsidR="00417F80" w:rsidRDefault="00417F80" w:rsidP="00417F80">
      <w:pPr>
        <w:spacing w:after="240"/>
        <w:ind w:firstLine="709"/>
        <w:jc w:val="both"/>
        <w:rPr>
          <w:rFonts w:ascii="Arial" w:hAnsi="Arial" w:cs="Arial"/>
        </w:rPr>
      </w:pPr>
      <w:r w:rsidRPr="00417F80">
        <w:rPr>
          <w:rFonts w:ascii="Arial" w:hAnsi="Arial" w:cs="Arial"/>
        </w:rPr>
        <w:t>Finalmente, os resultados regionais do VBP mostram a liderança do Mato Grosso (18,2%), seguido por São Paulo (12,7%), Paraná (11,7%) e Minas Gerais (11,6%). Estes quatro estados representam 54,3% do valor da produção.</w:t>
      </w:r>
    </w:p>
    <w:p w14:paraId="2C665E90" w14:textId="77777777" w:rsidR="004E73F5" w:rsidRPr="004E73F5" w:rsidRDefault="004E73F5" w:rsidP="006646CB">
      <w:pPr>
        <w:jc w:val="center"/>
        <w:rPr>
          <w:rFonts w:ascii="Arial" w:hAnsi="Arial" w:cs="Arial"/>
        </w:rPr>
      </w:pPr>
      <w:r w:rsidRPr="004E73F5">
        <w:rPr>
          <w:rFonts w:ascii="Arial" w:hAnsi="Arial" w:cs="Arial"/>
        </w:rPr>
        <w:t>VALOR BRUTO DA PRODUÇÃO AGROPECUÁRIA</w:t>
      </w:r>
    </w:p>
    <w:p w14:paraId="6E467847" w14:textId="77777777" w:rsidR="00417F80" w:rsidRDefault="004E73F5" w:rsidP="006646CB">
      <w:pPr>
        <w:jc w:val="center"/>
        <w:rPr>
          <w:rFonts w:ascii="Arial" w:hAnsi="Arial" w:cs="Arial"/>
        </w:rPr>
      </w:pPr>
      <w:r w:rsidRPr="004E73F5">
        <w:rPr>
          <w:rFonts w:ascii="Arial" w:hAnsi="Arial" w:cs="Arial"/>
        </w:rPr>
        <w:t>(valores em Reais*)</w:t>
      </w:r>
    </w:p>
    <w:p w14:paraId="20811DF4" w14:textId="77777777" w:rsidR="00417F80" w:rsidRDefault="004E73F5" w:rsidP="004E73F5">
      <w:pPr>
        <w:spacing w:after="240"/>
        <w:jc w:val="both"/>
        <w:rPr>
          <w:rFonts w:ascii="Arial" w:hAnsi="Arial" w:cs="Arial"/>
        </w:rPr>
      </w:pPr>
      <w:r w:rsidRPr="004E73F5">
        <w:rPr>
          <w:noProof/>
        </w:rPr>
        <w:drawing>
          <wp:inline distT="0" distB="0" distL="0" distR="0" wp14:anchorId="08C2D20E" wp14:editId="35012852">
            <wp:extent cx="5760720" cy="4565650"/>
            <wp:effectExtent l="0" t="0" r="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565650"/>
                    </a:xfrm>
                    <a:prstGeom prst="rect">
                      <a:avLst/>
                    </a:prstGeom>
                    <a:noFill/>
                    <a:ln>
                      <a:noFill/>
                    </a:ln>
                  </pic:spPr>
                </pic:pic>
              </a:graphicData>
            </a:graphic>
          </wp:inline>
        </w:drawing>
      </w:r>
    </w:p>
    <w:sectPr w:rsidR="00417F80" w:rsidSect="00474CA3">
      <w:headerReference w:type="default" r:id="rId9"/>
      <w:footerReference w:type="default" r:id="rId10"/>
      <w:headerReference w:type="first" r:id="rId11"/>
      <w:pgSz w:w="11907" w:h="16840" w:code="9"/>
      <w:pgMar w:top="1701"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3A1D3" w14:textId="77777777" w:rsidR="00AF4968" w:rsidRDefault="00AF4968">
      <w:r>
        <w:separator/>
      </w:r>
    </w:p>
  </w:endnote>
  <w:endnote w:type="continuationSeparator" w:id="0">
    <w:p w14:paraId="09E65410" w14:textId="77777777" w:rsidR="00AF4968" w:rsidRDefault="00AF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5AE5" w14:textId="77777777" w:rsidR="003D33D5" w:rsidRPr="003D33D5" w:rsidRDefault="003D33D5" w:rsidP="00011011">
    <w:pPr>
      <w:jc w:val="center"/>
      <w:rPr>
        <w:sz w:val="10"/>
        <w:szCs w:val="10"/>
      </w:rPr>
    </w:pPr>
  </w:p>
  <w:p w14:paraId="4754C880" w14:textId="77777777" w:rsidR="00BF2C12" w:rsidRPr="003D747F" w:rsidRDefault="00BF2C12" w:rsidP="00011011">
    <w:pPr>
      <w:jc w:val="center"/>
      <w:rPr>
        <w:rFonts w:ascii="Arial" w:hAnsi="Arial" w:cs="Arial"/>
        <w:sz w:val="20"/>
        <w:szCs w:val="20"/>
      </w:rPr>
    </w:pPr>
    <w:r w:rsidRPr="003D747F">
      <w:rPr>
        <w:rFonts w:ascii="Arial" w:hAnsi="Arial" w:cs="Arial"/>
        <w:sz w:val="20"/>
        <w:szCs w:val="20"/>
      </w:rPr>
      <w:t xml:space="preserve">Esplanada dos Ministérios, Bloco D, Edifício Sede, </w:t>
    </w:r>
    <w:r w:rsidR="003D747F" w:rsidRPr="003D747F">
      <w:rPr>
        <w:rFonts w:ascii="Arial" w:hAnsi="Arial" w:cs="Arial"/>
        <w:sz w:val="20"/>
        <w:szCs w:val="20"/>
      </w:rPr>
      <w:t>5</w:t>
    </w:r>
    <w:r w:rsidRPr="003D747F">
      <w:rPr>
        <w:rFonts w:ascii="Arial" w:hAnsi="Arial" w:cs="Arial"/>
        <w:sz w:val="20"/>
        <w:szCs w:val="20"/>
      </w:rPr>
      <w:t xml:space="preserve">º andar, </w:t>
    </w:r>
    <w:r w:rsidR="003D747F" w:rsidRPr="003D747F">
      <w:rPr>
        <w:rFonts w:ascii="Arial" w:hAnsi="Arial" w:cs="Arial"/>
        <w:sz w:val="20"/>
        <w:szCs w:val="20"/>
      </w:rPr>
      <w:t>Brasília/DF</w:t>
    </w:r>
  </w:p>
  <w:p w14:paraId="1A9CB104" w14:textId="77777777" w:rsidR="00BF2C12" w:rsidRPr="003D747F" w:rsidRDefault="003D747F" w:rsidP="00011011">
    <w:pPr>
      <w:jc w:val="center"/>
      <w:rPr>
        <w:rFonts w:ascii="Arial" w:hAnsi="Arial" w:cs="Arial"/>
        <w:sz w:val="20"/>
        <w:szCs w:val="20"/>
      </w:rPr>
    </w:pPr>
    <w:r w:rsidRPr="003D747F">
      <w:rPr>
        <w:rFonts w:ascii="Arial" w:hAnsi="Arial" w:cs="Arial"/>
        <w:sz w:val="20"/>
        <w:szCs w:val="20"/>
      </w:rPr>
      <w:t>spa</w:t>
    </w:r>
    <w:r w:rsidR="00BF2C12" w:rsidRPr="003D747F">
      <w:rPr>
        <w:rFonts w:ascii="Arial" w:hAnsi="Arial" w:cs="Arial"/>
        <w:sz w:val="20"/>
        <w:szCs w:val="20"/>
      </w:rPr>
      <w:t>@agricultura.gov.br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EFF2A" w14:textId="77777777" w:rsidR="00AF4968" w:rsidRDefault="00AF4968">
      <w:r>
        <w:separator/>
      </w:r>
    </w:p>
  </w:footnote>
  <w:footnote w:type="continuationSeparator" w:id="0">
    <w:p w14:paraId="7D6C57F5" w14:textId="77777777" w:rsidR="00AF4968" w:rsidRDefault="00AF4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E6892" w14:textId="77777777" w:rsidR="00BF2C12" w:rsidRPr="003D747F" w:rsidRDefault="00BF2C12" w:rsidP="00326C85">
    <w:pPr>
      <w:jc w:val="center"/>
      <w:rPr>
        <w:rFonts w:ascii="Arial" w:hAnsi="Arial" w:cs="Arial"/>
        <w:sz w:val="20"/>
        <w:szCs w:val="20"/>
      </w:rPr>
    </w:pPr>
    <w:r w:rsidRPr="003D747F">
      <w:rPr>
        <w:rFonts w:ascii="Arial" w:hAnsi="Arial" w:cs="Arial"/>
        <w:sz w:val="20"/>
        <w:szCs w:val="20"/>
      </w:rPr>
      <w:t>MINISTÉRIO DA AGRICULTURA, PECUÁRIA E ABASTECIMENTO</w:t>
    </w:r>
  </w:p>
  <w:p w14:paraId="3D9E6282" w14:textId="77777777" w:rsidR="001530ED" w:rsidRPr="003D747F" w:rsidRDefault="001530ED" w:rsidP="001530ED">
    <w:pPr>
      <w:jc w:val="center"/>
      <w:rPr>
        <w:rFonts w:ascii="Arial" w:hAnsi="Arial" w:cs="Arial"/>
        <w:sz w:val="22"/>
        <w:szCs w:val="22"/>
      </w:rPr>
    </w:pPr>
    <w:r w:rsidRPr="003D747F">
      <w:rPr>
        <w:rFonts w:ascii="Arial" w:hAnsi="Arial" w:cs="Arial"/>
        <w:sz w:val="22"/>
        <w:szCs w:val="22"/>
      </w:rPr>
      <w:t>Secretaria de Política Agrícola - SPA</w:t>
    </w:r>
  </w:p>
  <w:p w14:paraId="0035FB48" w14:textId="77777777" w:rsidR="001530ED" w:rsidRDefault="001530ED" w:rsidP="001530ED">
    <w:pPr>
      <w:jc w:val="center"/>
      <w:rPr>
        <w:rFonts w:ascii="Arial" w:hAnsi="Arial" w:cs="Arial"/>
        <w:sz w:val="22"/>
        <w:szCs w:val="22"/>
      </w:rPr>
    </w:pPr>
    <w:r w:rsidRPr="00803680">
      <w:rPr>
        <w:rFonts w:ascii="Arial" w:hAnsi="Arial" w:cs="Arial"/>
        <w:sz w:val="22"/>
        <w:szCs w:val="22"/>
      </w:rPr>
      <w:t xml:space="preserve">Departamento de Análise Econômica e Políticas Públicas </w:t>
    </w:r>
    <w:r>
      <w:rPr>
        <w:rFonts w:ascii="Arial" w:hAnsi="Arial" w:cs="Arial"/>
        <w:sz w:val="22"/>
        <w:szCs w:val="22"/>
      </w:rPr>
      <w:t>–</w:t>
    </w:r>
    <w:r w:rsidRPr="00803680">
      <w:rPr>
        <w:rFonts w:ascii="Arial" w:hAnsi="Arial" w:cs="Arial"/>
        <w:sz w:val="22"/>
        <w:szCs w:val="22"/>
      </w:rPr>
      <w:t xml:space="preserve"> DAEP</w:t>
    </w:r>
  </w:p>
  <w:p w14:paraId="31F5BBC5" w14:textId="77777777" w:rsidR="00BF2C12" w:rsidRDefault="001530ED" w:rsidP="001530ED">
    <w:pPr>
      <w:jc w:val="center"/>
      <w:rPr>
        <w:rFonts w:ascii="Arial" w:hAnsi="Arial" w:cs="Arial"/>
        <w:sz w:val="22"/>
        <w:szCs w:val="22"/>
      </w:rPr>
    </w:pPr>
    <w:r w:rsidRPr="00803680">
      <w:rPr>
        <w:rFonts w:ascii="Arial" w:hAnsi="Arial" w:cs="Arial"/>
        <w:sz w:val="22"/>
        <w:szCs w:val="22"/>
      </w:rPr>
      <w:t>Coordenação-Geral de Planos e Cenários - CGPLAC</w:t>
    </w:r>
  </w:p>
  <w:p w14:paraId="3B313A67" w14:textId="77777777" w:rsidR="0056612E" w:rsidRPr="003D747F" w:rsidRDefault="0056612E" w:rsidP="0056612E">
    <w:pPr>
      <w:jc w:val="center"/>
      <w:rPr>
        <w:rFonts w:ascii="Arial" w:hAnsi="Arial" w:cs="Arial"/>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DF534" w14:textId="77777777" w:rsidR="00B87F71" w:rsidRDefault="00B87F71" w:rsidP="00B87F71">
    <w:pPr>
      <w:jc w:val="center"/>
      <w:rPr>
        <w:sz w:val="20"/>
        <w:szCs w:val="20"/>
      </w:rPr>
    </w:pPr>
    <w:r>
      <w:rPr>
        <w:noProof/>
        <w:sz w:val="20"/>
        <w:szCs w:val="20"/>
      </w:rPr>
      <w:drawing>
        <wp:anchor distT="0" distB="0" distL="114300" distR="114300" simplePos="0" relativeHeight="251659776" behindDoc="1" locked="0" layoutInCell="1" allowOverlap="1" wp14:anchorId="7ADFEC30" wp14:editId="7B74DE20">
          <wp:simplePos x="0" y="0"/>
          <wp:positionH relativeFrom="column">
            <wp:posOffset>2438400</wp:posOffset>
          </wp:positionH>
          <wp:positionV relativeFrom="paragraph">
            <wp:posOffset>58420</wp:posOffset>
          </wp:positionV>
          <wp:extent cx="933450" cy="933450"/>
          <wp:effectExtent l="0" t="0" r="0" b="0"/>
          <wp:wrapNone/>
          <wp:docPr id="1" name="Imagem 1" descr="LOGO_147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47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47720" w14:textId="77777777" w:rsidR="00B87F71" w:rsidRDefault="00B87F71" w:rsidP="00B87F71">
    <w:pPr>
      <w:jc w:val="center"/>
      <w:rPr>
        <w:sz w:val="20"/>
        <w:szCs w:val="20"/>
      </w:rPr>
    </w:pPr>
  </w:p>
  <w:p w14:paraId="7F3AD90B" w14:textId="77777777" w:rsidR="00B87F71" w:rsidRDefault="00B87F71" w:rsidP="00B87F71">
    <w:pPr>
      <w:jc w:val="center"/>
      <w:rPr>
        <w:sz w:val="20"/>
        <w:szCs w:val="20"/>
      </w:rPr>
    </w:pPr>
  </w:p>
  <w:p w14:paraId="0FA573B5" w14:textId="77777777" w:rsidR="00B87F71" w:rsidRDefault="00B87F71" w:rsidP="00B87F71">
    <w:pPr>
      <w:jc w:val="center"/>
      <w:rPr>
        <w:sz w:val="20"/>
        <w:szCs w:val="20"/>
      </w:rPr>
    </w:pPr>
  </w:p>
  <w:p w14:paraId="5954B235" w14:textId="77777777" w:rsidR="00B87F71" w:rsidRDefault="00B87F71" w:rsidP="00B87F71">
    <w:pPr>
      <w:jc w:val="center"/>
      <w:rPr>
        <w:sz w:val="20"/>
        <w:szCs w:val="20"/>
      </w:rPr>
    </w:pPr>
  </w:p>
  <w:p w14:paraId="214571B9" w14:textId="77777777" w:rsidR="00B87F71" w:rsidRDefault="00B87F71" w:rsidP="00B87F71">
    <w:pPr>
      <w:jc w:val="center"/>
      <w:rPr>
        <w:sz w:val="20"/>
        <w:szCs w:val="20"/>
      </w:rPr>
    </w:pPr>
  </w:p>
  <w:p w14:paraId="00289137" w14:textId="77777777" w:rsidR="00B87F71" w:rsidRDefault="00B87F71" w:rsidP="00B87F71">
    <w:pPr>
      <w:jc w:val="center"/>
      <w:rPr>
        <w:sz w:val="20"/>
        <w:szCs w:val="20"/>
      </w:rPr>
    </w:pPr>
  </w:p>
  <w:p w14:paraId="2F5797A4" w14:textId="77777777" w:rsidR="00B87F71" w:rsidRPr="003D747F" w:rsidRDefault="00B87F71" w:rsidP="00B87F71">
    <w:pPr>
      <w:jc w:val="center"/>
      <w:rPr>
        <w:rFonts w:ascii="Arial" w:hAnsi="Arial" w:cs="Arial"/>
        <w:sz w:val="20"/>
        <w:szCs w:val="20"/>
      </w:rPr>
    </w:pPr>
    <w:r w:rsidRPr="003D747F">
      <w:rPr>
        <w:rFonts w:ascii="Arial" w:hAnsi="Arial" w:cs="Arial"/>
        <w:sz w:val="20"/>
        <w:szCs w:val="20"/>
      </w:rPr>
      <w:t>MINISTÉRIO DA AGRICULTURA, PECUÁRIA E ABASTECIMENTO</w:t>
    </w:r>
  </w:p>
  <w:p w14:paraId="4E612BF2" w14:textId="77777777" w:rsidR="00B87F71" w:rsidRPr="003D747F" w:rsidRDefault="00B87F71" w:rsidP="00B87F71">
    <w:pPr>
      <w:jc w:val="center"/>
      <w:rPr>
        <w:rFonts w:ascii="Arial" w:hAnsi="Arial" w:cs="Arial"/>
        <w:sz w:val="22"/>
        <w:szCs w:val="22"/>
      </w:rPr>
    </w:pPr>
    <w:r w:rsidRPr="003D747F">
      <w:rPr>
        <w:rFonts w:ascii="Arial" w:hAnsi="Arial" w:cs="Arial"/>
        <w:sz w:val="22"/>
        <w:szCs w:val="22"/>
      </w:rPr>
      <w:t>Secretaria de Política Agrícola - SPA</w:t>
    </w:r>
  </w:p>
  <w:p w14:paraId="00DFC214" w14:textId="77777777" w:rsidR="00803680" w:rsidRDefault="00803680" w:rsidP="00B87F71">
    <w:pPr>
      <w:jc w:val="center"/>
      <w:rPr>
        <w:rFonts w:ascii="Arial" w:hAnsi="Arial" w:cs="Arial"/>
        <w:sz w:val="22"/>
        <w:szCs w:val="22"/>
      </w:rPr>
    </w:pPr>
    <w:r w:rsidRPr="00803680">
      <w:rPr>
        <w:rFonts w:ascii="Arial" w:hAnsi="Arial" w:cs="Arial"/>
        <w:sz w:val="22"/>
        <w:szCs w:val="22"/>
      </w:rPr>
      <w:t xml:space="preserve">Departamento de Análise Econômica e Políticas Públicas </w:t>
    </w:r>
    <w:r>
      <w:rPr>
        <w:rFonts w:ascii="Arial" w:hAnsi="Arial" w:cs="Arial"/>
        <w:sz w:val="22"/>
        <w:szCs w:val="22"/>
      </w:rPr>
      <w:t>–</w:t>
    </w:r>
    <w:r w:rsidRPr="00803680">
      <w:rPr>
        <w:rFonts w:ascii="Arial" w:hAnsi="Arial" w:cs="Arial"/>
        <w:sz w:val="22"/>
        <w:szCs w:val="22"/>
      </w:rPr>
      <w:t xml:space="preserve"> DAEP</w:t>
    </w:r>
  </w:p>
  <w:p w14:paraId="2325209B" w14:textId="77777777" w:rsidR="00B87F71" w:rsidRPr="003D747F" w:rsidRDefault="00803680" w:rsidP="00B87F71">
    <w:pPr>
      <w:jc w:val="center"/>
      <w:rPr>
        <w:rFonts w:ascii="Arial" w:hAnsi="Arial" w:cs="Arial"/>
        <w:sz w:val="22"/>
        <w:szCs w:val="22"/>
      </w:rPr>
    </w:pPr>
    <w:r w:rsidRPr="00803680">
      <w:rPr>
        <w:rFonts w:ascii="Arial" w:hAnsi="Arial" w:cs="Arial"/>
        <w:sz w:val="22"/>
        <w:szCs w:val="22"/>
      </w:rPr>
      <w:t>Coordenação-Geral de Planos e Cenários - CGPLAC</w:t>
    </w:r>
  </w:p>
  <w:p w14:paraId="62609BA5" w14:textId="77777777" w:rsidR="00B87F71" w:rsidRDefault="00B87F7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7187"/>
    <w:multiLevelType w:val="hybridMultilevel"/>
    <w:tmpl w:val="1172C62C"/>
    <w:lvl w:ilvl="0" w:tplc="0416000F">
      <w:start w:val="1"/>
      <w:numFmt w:val="decimal"/>
      <w:lvlText w:val="%1."/>
      <w:lvlJc w:val="left"/>
      <w:pPr>
        <w:ind w:left="2846" w:hanging="360"/>
      </w:pPr>
    </w:lvl>
    <w:lvl w:ilvl="1" w:tplc="04160019" w:tentative="1">
      <w:start w:val="1"/>
      <w:numFmt w:val="lowerLetter"/>
      <w:lvlText w:val="%2."/>
      <w:lvlJc w:val="left"/>
      <w:pPr>
        <w:ind w:left="3566" w:hanging="360"/>
      </w:pPr>
    </w:lvl>
    <w:lvl w:ilvl="2" w:tplc="0416001B" w:tentative="1">
      <w:start w:val="1"/>
      <w:numFmt w:val="lowerRoman"/>
      <w:lvlText w:val="%3."/>
      <w:lvlJc w:val="right"/>
      <w:pPr>
        <w:ind w:left="4286" w:hanging="180"/>
      </w:pPr>
    </w:lvl>
    <w:lvl w:ilvl="3" w:tplc="0416000F" w:tentative="1">
      <w:start w:val="1"/>
      <w:numFmt w:val="decimal"/>
      <w:lvlText w:val="%4."/>
      <w:lvlJc w:val="left"/>
      <w:pPr>
        <w:ind w:left="5006" w:hanging="360"/>
      </w:pPr>
    </w:lvl>
    <w:lvl w:ilvl="4" w:tplc="04160019" w:tentative="1">
      <w:start w:val="1"/>
      <w:numFmt w:val="lowerLetter"/>
      <w:lvlText w:val="%5."/>
      <w:lvlJc w:val="left"/>
      <w:pPr>
        <w:ind w:left="5726" w:hanging="360"/>
      </w:pPr>
    </w:lvl>
    <w:lvl w:ilvl="5" w:tplc="0416001B" w:tentative="1">
      <w:start w:val="1"/>
      <w:numFmt w:val="lowerRoman"/>
      <w:lvlText w:val="%6."/>
      <w:lvlJc w:val="right"/>
      <w:pPr>
        <w:ind w:left="6446" w:hanging="180"/>
      </w:pPr>
    </w:lvl>
    <w:lvl w:ilvl="6" w:tplc="0416000F" w:tentative="1">
      <w:start w:val="1"/>
      <w:numFmt w:val="decimal"/>
      <w:lvlText w:val="%7."/>
      <w:lvlJc w:val="left"/>
      <w:pPr>
        <w:ind w:left="7166" w:hanging="360"/>
      </w:pPr>
    </w:lvl>
    <w:lvl w:ilvl="7" w:tplc="04160019" w:tentative="1">
      <w:start w:val="1"/>
      <w:numFmt w:val="lowerLetter"/>
      <w:lvlText w:val="%8."/>
      <w:lvlJc w:val="left"/>
      <w:pPr>
        <w:ind w:left="7886" w:hanging="360"/>
      </w:pPr>
    </w:lvl>
    <w:lvl w:ilvl="8" w:tplc="0416001B" w:tentative="1">
      <w:start w:val="1"/>
      <w:numFmt w:val="lowerRoman"/>
      <w:lvlText w:val="%9."/>
      <w:lvlJc w:val="right"/>
      <w:pPr>
        <w:ind w:left="8606" w:hanging="180"/>
      </w:pPr>
    </w:lvl>
  </w:abstractNum>
  <w:abstractNum w:abstractNumId="1" w15:restartNumberingAfterBreak="0">
    <w:nsid w:val="08A4324E"/>
    <w:multiLevelType w:val="hybridMultilevel"/>
    <w:tmpl w:val="2B9C473A"/>
    <w:lvl w:ilvl="0" w:tplc="0416000F">
      <w:start w:val="1"/>
      <w:numFmt w:val="decimal"/>
      <w:lvlText w:val="%1."/>
      <w:lvlJc w:val="left"/>
      <w:pPr>
        <w:tabs>
          <w:tab w:val="num" w:pos="1440"/>
        </w:tabs>
        <w:ind w:left="1440" w:hanging="360"/>
      </w:p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 w15:restartNumberingAfterBreak="0">
    <w:nsid w:val="352D4C52"/>
    <w:multiLevelType w:val="hybridMultilevel"/>
    <w:tmpl w:val="396A24FA"/>
    <w:lvl w:ilvl="0" w:tplc="0416000F">
      <w:start w:val="1"/>
      <w:numFmt w:val="decimal"/>
      <w:lvlText w:val="%1."/>
      <w:lvlJc w:val="left"/>
      <w:pPr>
        <w:ind w:left="3554" w:hanging="360"/>
      </w:pPr>
    </w:lvl>
    <w:lvl w:ilvl="1" w:tplc="04160019" w:tentative="1">
      <w:start w:val="1"/>
      <w:numFmt w:val="lowerLetter"/>
      <w:lvlText w:val="%2."/>
      <w:lvlJc w:val="left"/>
      <w:pPr>
        <w:ind w:left="4274" w:hanging="360"/>
      </w:pPr>
    </w:lvl>
    <w:lvl w:ilvl="2" w:tplc="0416001B" w:tentative="1">
      <w:start w:val="1"/>
      <w:numFmt w:val="lowerRoman"/>
      <w:lvlText w:val="%3."/>
      <w:lvlJc w:val="right"/>
      <w:pPr>
        <w:ind w:left="4994" w:hanging="180"/>
      </w:pPr>
    </w:lvl>
    <w:lvl w:ilvl="3" w:tplc="0416000F" w:tentative="1">
      <w:start w:val="1"/>
      <w:numFmt w:val="decimal"/>
      <w:lvlText w:val="%4."/>
      <w:lvlJc w:val="left"/>
      <w:pPr>
        <w:ind w:left="5714" w:hanging="360"/>
      </w:pPr>
    </w:lvl>
    <w:lvl w:ilvl="4" w:tplc="04160019" w:tentative="1">
      <w:start w:val="1"/>
      <w:numFmt w:val="lowerLetter"/>
      <w:lvlText w:val="%5."/>
      <w:lvlJc w:val="left"/>
      <w:pPr>
        <w:ind w:left="6434" w:hanging="360"/>
      </w:pPr>
    </w:lvl>
    <w:lvl w:ilvl="5" w:tplc="0416001B" w:tentative="1">
      <w:start w:val="1"/>
      <w:numFmt w:val="lowerRoman"/>
      <w:lvlText w:val="%6."/>
      <w:lvlJc w:val="right"/>
      <w:pPr>
        <w:ind w:left="7154" w:hanging="180"/>
      </w:pPr>
    </w:lvl>
    <w:lvl w:ilvl="6" w:tplc="0416000F" w:tentative="1">
      <w:start w:val="1"/>
      <w:numFmt w:val="decimal"/>
      <w:lvlText w:val="%7."/>
      <w:lvlJc w:val="left"/>
      <w:pPr>
        <w:ind w:left="7874" w:hanging="360"/>
      </w:pPr>
    </w:lvl>
    <w:lvl w:ilvl="7" w:tplc="04160019" w:tentative="1">
      <w:start w:val="1"/>
      <w:numFmt w:val="lowerLetter"/>
      <w:lvlText w:val="%8."/>
      <w:lvlJc w:val="left"/>
      <w:pPr>
        <w:ind w:left="8594" w:hanging="360"/>
      </w:pPr>
    </w:lvl>
    <w:lvl w:ilvl="8" w:tplc="0416001B" w:tentative="1">
      <w:start w:val="1"/>
      <w:numFmt w:val="lowerRoman"/>
      <w:lvlText w:val="%9."/>
      <w:lvlJc w:val="right"/>
      <w:pPr>
        <w:ind w:left="9314" w:hanging="180"/>
      </w:pPr>
    </w:lvl>
  </w:abstractNum>
  <w:abstractNum w:abstractNumId="3" w15:restartNumberingAfterBreak="0">
    <w:nsid w:val="38A133F9"/>
    <w:multiLevelType w:val="hybridMultilevel"/>
    <w:tmpl w:val="398AC14C"/>
    <w:lvl w:ilvl="0" w:tplc="04160001">
      <w:start w:val="1"/>
      <w:numFmt w:val="bullet"/>
      <w:lvlText w:val=""/>
      <w:lvlJc w:val="left"/>
      <w:pPr>
        <w:ind w:left="2563" w:hanging="360"/>
      </w:pPr>
      <w:rPr>
        <w:rFonts w:ascii="Symbol" w:hAnsi="Symbol" w:hint="default"/>
      </w:rPr>
    </w:lvl>
    <w:lvl w:ilvl="1" w:tplc="04160003" w:tentative="1">
      <w:start w:val="1"/>
      <w:numFmt w:val="bullet"/>
      <w:lvlText w:val="o"/>
      <w:lvlJc w:val="left"/>
      <w:pPr>
        <w:ind w:left="3283" w:hanging="360"/>
      </w:pPr>
      <w:rPr>
        <w:rFonts w:ascii="Courier New" w:hAnsi="Courier New" w:cs="Courier New" w:hint="default"/>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cs="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cs="Courier New" w:hint="default"/>
      </w:rPr>
    </w:lvl>
    <w:lvl w:ilvl="8" w:tplc="04160005" w:tentative="1">
      <w:start w:val="1"/>
      <w:numFmt w:val="bullet"/>
      <w:lvlText w:val=""/>
      <w:lvlJc w:val="left"/>
      <w:pPr>
        <w:ind w:left="8323"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D4"/>
    <w:rsid w:val="00000476"/>
    <w:rsid w:val="00002B61"/>
    <w:rsid w:val="00007450"/>
    <w:rsid w:val="00011011"/>
    <w:rsid w:val="00012291"/>
    <w:rsid w:val="00015B1E"/>
    <w:rsid w:val="0002055B"/>
    <w:rsid w:val="00024D22"/>
    <w:rsid w:val="000265EC"/>
    <w:rsid w:val="0003104C"/>
    <w:rsid w:val="0004005A"/>
    <w:rsid w:val="0006103B"/>
    <w:rsid w:val="00081376"/>
    <w:rsid w:val="00082FC0"/>
    <w:rsid w:val="000A5DF0"/>
    <w:rsid w:val="000C2DD0"/>
    <w:rsid w:val="000C63B4"/>
    <w:rsid w:val="000C6526"/>
    <w:rsid w:val="000D163C"/>
    <w:rsid w:val="000E16D6"/>
    <w:rsid w:val="000E1CDB"/>
    <w:rsid w:val="000E5751"/>
    <w:rsid w:val="000F1613"/>
    <w:rsid w:val="000F776B"/>
    <w:rsid w:val="00133DF2"/>
    <w:rsid w:val="001361D2"/>
    <w:rsid w:val="00142399"/>
    <w:rsid w:val="001530ED"/>
    <w:rsid w:val="00154DB0"/>
    <w:rsid w:val="00162283"/>
    <w:rsid w:val="00175A5B"/>
    <w:rsid w:val="00180DDA"/>
    <w:rsid w:val="00185E31"/>
    <w:rsid w:val="00192101"/>
    <w:rsid w:val="00195EB7"/>
    <w:rsid w:val="001966B1"/>
    <w:rsid w:val="001A04ED"/>
    <w:rsid w:val="001A3F0B"/>
    <w:rsid w:val="001A705E"/>
    <w:rsid w:val="001B7005"/>
    <w:rsid w:val="001B7F16"/>
    <w:rsid w:val="001C0B21"/>
    <w:rsid w:val="001D0386"/>
    <w:rsid w:val="001D1182"/>
    <w:rsid w:val="001E6275"/>
    <w:rsid w:val="001E6E8E"/>
    <w:rsid w:val="0020309E"/>
    <w:rsid w:val="00204DD3"/>
    <w:rsid w:val="00207F60"/>
    <w:rsid w:val="00217539"/>
    <w:rsid w:val="00223A12"/>
    <w:rsid w:val="00223A27"/>
    <w:rsid w:val="00225545"/>
    <w:rsid w:val="002357EB"/>
    <w:rsid w:val="002365D9"/>
    <w:rsid w:val="002427F1"/>
    <w:rsid w:val="00244395"/>
    <w:rsid w:val="00246581"/>
    <w:rsid w:val="0025198E"/>
    <w:rsid w:val="00262853"/>
    <w:rsid w:val="00266344"/>
    <w:rsid w:val="00276EC7"/>
    <w:rsid w:val="00280ADC"/>
    <w:rsid w:val="00292910"/>
    <w:rsid w:val="002932FB"/>
    <w:rsid w:val="002956E9"/>
    <w:rsid w:val="00295D72"/>
    <w:rsid w:val="002A4190"/>
    <w:rsid w:val="002B5338"/>
    <w:rsid w:val="002C0100"/>
    <w:rsid w:val="002C0885"/>
    <w:rsid w:val="002C3171"/>
    <w:rsid w:val="002C38D7"/>
    <w:rsid w:val="002D2864"/>
    <w:rsid w:val="002D755A"/>
    <w:rsid w:val="002F1D03"/>
    <w:rsid w:val="002F52CD"/>
    <w:rsid w:val="002F6BFC"/>
    <w:rsid w:val="002F79A7"/>
    <w:rsid w:val="003006E5"/>
    <w:rsid w:val="003039BE"/>
    <w:rsid w:val="003163AF"/>
    <w:rsid w:val="00326C85"/>
    <w:rsid w:val="003320C4"/>
    <w:rsid w:val="00336EC9"/>
    <w:rsid w:val="003401E3"/>
    <w:rsid w:val="00346199"/>
    <w:rsid w:val="00372C35"/>
    <w:rsid w:val="003915C8"/>
    <w:rsid w:val="003A3722"/>
    <w:rsid w:val="003B3D5F"/>
    <w:rsid w:val="003B602F"/>
    <w:rsid w:val="003D33D5"/>
    <w:rsid w:val="003D747F"/>
    <w:rsid w:val="003E0AE1"/>
    <w:rsid w:val="003E2DBC"/>
    <w:rsid w:val="003E56D4"/>
    <w:rsid w:val="003E5AF9"/>
    <w:rsid w:val="003F7EFF"/>
    <w:rsid w:val="00403BB3"/>
    <w:rsid w:val="0040501B"/>
    <w:rsid w:val="00417F80"/>
    <w:rsid w:val="00427B0F"/>
    <w:rsid w:val="0043294D"/>
    <w:rsid w:val="00441C68"/>
    <w:rsid w:val="00442D8C"/>
    <w:rsid w:val="004454FD"/>
    <w:rsid w:val="00452485"/>
    <w:rsid w:val="00463812"/>
    <w:rsid w:val="00467DB2"/>
    <w:rsid w:val="00474004"/>
    <w:rsid w:val="00474CA3"/>
    <w:rsid w:val="004752ED"/>
    <w:rsid w:val="00485034"/>
    <w:rsid w:val="00486464"/>
    <w:rsid w:val="004A2DB8"/>
    <w:rsid w:val="004A4ACC"/>
    <w:rsid w:val="004A681A"/>
    <w:rsid w:val="004B3690"/>
    <w:rsid w:val="004B43A1"/>
    <w:rsid w:val="004C22F7"/>
    <w:rsid w:val="004D11B7"/>
    <w:rsid w:val="004D549E"/>
    <w:rsid w:val="004E10AB"/>
    <w:rsid w:val="004E24AF"/>
    <w:rsid w:val="004E4B65"/>
    <w:rsid w:val="004E65F0"/>
    <w:rsid w:val="004E6FE8"/>
    <w:rsid w:val="004E73F5"/>
    <w:rsid w:val="004F0582"/>
    <w:rsid w:val="004F5AED"/>
    <w:rsid w:val="004F6F8F"/>
    <w:rsid w:val="00506F06"/>
    <w:rsid w:val="00525330"/>
    <w:rsid w:val="00527330"/>
    <w:rsid w:val="00530468"/>
    <w:rsid w:val="005370AA"/>
    <w:rsid w:val="005405E7"/>
    <w:rsid w:val="0056612E"/>
    <w:rsid w:val="0056622D"/>
    <w:rsid w:val="005801A7"/>
    <w:rsid w:val="005870DC"/>
    <w:rsid w:val="005870F8"/>
    <w:rsid w:val="00594136"/>
    <w:rsid w:val="00597F17"/>
    <w:rsid w:val="005A26EC"/>
    <w:rsid w:val="005C59D5"/>
    <w:rsid w:val="005D1987"/>
    <w:rsid w:val="005D6FAD"/>
    <w:rsid w:val="00603393"/>
    <w:rsid w:val="006042E2"/>
    <w:rsid w:val="00615B17"/>
    <w:rsid w:val="006173A9"/>
    <w:rsid w:val="0062337E"/>
    <w:rsid w:val="00625C4C"/>
    <w:rsid w:val="00640E4B"/>
    <w:rsid w:val="0064156F"/>
    <w:rsid w:val="006451F3"/>
    <w:rsid w:val="006457DD"/>
    <w:rsid w:val="00661A49"/>
    <w:rsid w:val="006646CB"/>
    <w:rsid w:val="00676C2E"/>
    <w:rsid w:val="00687C2F"/>
    <w:rsid w:val="006A6261"/>
    <w:rsid w:val="006B2B73"/>
    <w:rsid w:val="006C0AE6"/>
    <w:rsid w:val="006C75F4"/>
    <w:rsid w:val="006E5948"/>
    <w:rsid w:val="006F31C8"/>
    <w:rsid w:val="006F668B"/>
    <w:rsid w:val="007032A8"/>
    <w:rsid w:val="00707576"/>
    <w:rsid w:val="0072466D"/>
    <w:rsid w:val="00734879"/>
    <w:rsid w:val="007377E6"/>
    <w:rsid w:val="00737AF9"/>
    <w:rsid w:val="007573C4"/>
    <w:rsid w:val="007637ED"/>
    <w:rsid w:val="00766F7D"/>
    <w:rsid w:val="00770E7B"/>
    <w:rsid w:val="0077292D"/>
    <w:rsid w:val="00774E09"/>
    <w:rsid w:val="00787C48"/>
    <w:rsid w:val="00797D36"/>
    <w:rsid w:val="007A4DFC"/>
    <w:rsid w:val="007C281E"/>
    <w:rsid w:val="007C30DD"/>
    <w:rsid w:val="007D4CA6"/>
    <w:rsid w:val="007E0310"/>
    <w:rsid w:val="007E606B"/>
    <w:rsid w:val="007E6C75"/>
    <w:rsid w:val="007E72CE"/>
    <w:rsid w:val="007F13D5"/>
    <w:rsid w:val="007F4378"/>
    <w:rsid w:val="007F615A"/>
    <w:rsid w:val="00800FDE"/>
    <w:rsid w:val="008018AA"/>
    <w:rsid w:val="00803680"/>
    <w:rsid w:val="00806898"/>
    <w:rsid w:val="00814978"/>
    <w:rsid w:val="00831119"/>
    <w:rsid w:val="00853EA6"/>
    <w:rsid w:val="008665B0"/>
    <w:rsid w:val="00876E61"/>
    <w:rsid w:val="00885176"/>
    <w:rsid w:val="00885B0C"/>
    <w:rsid w:val="00893F00"/>
    <w:rsid w:val="008A1C03"/>
    <w:rsid w:val="008B273E"/>
    <w:rsid w:val="008B38C7"/>
    <w:rsid w:val="008B64D1"/>
    <w:rsid w:val="008B7B91"/>
    <w:rsid w:val="008C5EF3"/>
    <w:rsid w:val="008D6700"/>
    <w:rsid w:val="008E71EC"/>
    <w:rsid w:val="008F63C4"/>
    <w:rsid w:val="0091306A"/>
    <w:rsid w:val="00931881"/>
    <w:rsid w:val="0093234C"/>
    <w:rsid w:val="00934CAA"/>
    <w:rsid w:val="00940644"/>
    <w:rsid w:val="00953355"/>
    <w:rsid w:val="0096613B"/>
    <w:rsid w:val="00975EDD"/>
    <w:rsid w:val="00976C15"/>
    <w:rsid w:val="009828FB"/>
    <w:rsid w:val="00994A1F"/>
    <w:rsid w:val="009A5F57"/>
    <w:rsid w:val="009B6CBE"/>
    <w:rsid w:val="009C1797"/>
    <w:rsid w:val="009C1CFC"/>
    <w:rsid w:val="009C6022"/>
    <w:rsid w:val="009D38E0"/>
    <w:rsid w:val="009F1350"/>
    <w:rsid w:val="00A000D2"/>
    <w:rsid w:val="00A2209A"/>
    <w:rsid w:val="00A24DB7"/>
    <w:rsid w:val="00A27E22"/>
    <w:rsid w:val="00A41434"/>
    <w:rsid w:val="00A627AD"/>
    <w:rsid w:val="00A7049A"/>
    <w:rsid w:val="00A75E79"/>
    <w:rsid w:val="00A87F88"/>
    <w:rsid w:val="00A90C72"/>
    <w:rsid w:val="00AA3833"/>
    <w:rsid w:val="00AB429E"/>
    <w:rsid w:val="00AB7023"/>
    <w:rsid w:val="00AC0536"/>
    <w:rsid w:val="00AC1F68"/>
    <w:rsid w:val="00AD103D"/>
    <w:rsid w:val="00AD2BDC"/>
    <w:rsid w:val="00AD7F54"/>
    <w:rsid w:val="00AE31F0"/>
    <w:rsid w:val="00AE7855"/>
    <w:rsid w:val="00AF4968"/>
    <w:rsid w:val="00B077D7"/>
    <w:rsid w:val="00B25A76"/>
    <w:rsid w:val="00B26893"/>
    <w:rsid w:val="00B420F2"/>
    <w:rsid w:val="00B422A5"/>
    <w:rsid w:val="00B475D4"/>
    <w:rsid w:val="00B567EC"/>
    <w:rsid w:val="00B57DFE"/>
    <w:rsid w:val="00B741C3"/>
    <w:rsid w:val="00B7719A"/>
    <w:rsid w:val="00B81B66"/>
    <w:rsid w:val="00B84AE7"/>
    <w:rsid w:val="00B87F71"/>
    <w:rsid w:val="00B964BB"/>
    <w:rsid w:val="00BA2E53"/>
    <w:rsid w:val="00BB454C"/>
    <w:rsid w:val="00BB4A02"/>
    <w:rsid w:val="00BB5F0E"/>
    <w:rsid w:val="00BC5DB8"/>
    <w:rsid w:val="00BC7EEA"/>
    <w:rsid w:val="00BD1FD4"/>
    <w:rsid w:val="00BD64D4"/>
    <w:rsid w:val="00BE3F5A"/>
    <w:rsid w:val="00BE5BAD"/>
    <w:rsid w:val="00BF2C12"/>
    <w:rsid w:val="00C0317A"/>
    <w:rsid w:val="00C07076"/>
    <w:rsid w:val="00C22594"/>
    <w:rsid w:val="00C23FF3"/>
    <w:rsid w:val="00C346BE"/>
    <w:rsid w:val="00C41238"/>
    <w:rsid w:val="00C41421"/>
    <w:rsid w:val="00C518FF"/>
    <w:rsid w:val="00C5542C"/>
    <w:rsid w:val="00C606D5"/>
    <w:rsid w:val="00C65BF1"/>
    <w:rsid w:val="00C93607"/>
    <w:rsid w:val="00CA212E"/>
    <w:rsid w:val="00CA7843"/>
    <w:rsid w:val="00CB351A"/>
    <w:rsid w:val="00CB5957"/>
    <w:rsid w:val="00CB737D"/>
    <w:rsid w:val="00CE1F31"/>
    <w:rsid w:val="00D030A0"/>
    <w:rsid w:val="00D17C12"/>
    <w:rsid w:val="00D21E5C"/>
    <w:rsid w:val="00D331B4"/>
    <w:rsid w:val="00D42683"/>
    <w:rsid w:val="00D46BA6"/>
    <w:rsid w:val="00D46C76"/>
    <w:rsid w:val="00D50C05"/>
    <w:rsid w:val="00D532CF"/>
    <w:rsid w:val="00D5693F"/>
    <w:rsid w:val="00D614D0"/>
    <w:rsid w:val="00D6441F"/>
    <w:rsid w:val="00D728EC"/>
    <w:rsid w:val="00D7732B"/>
    <w:rsid w:val="00D86160"/>
    <w:rsid w:val="00DA2122"/>
    <w:rsid w:val="00DB182C"/>
    <w:rsid w:val="00DB6371"/>
    <w:rsid w:val="00DC5F12"/>
    <w:rsid w:val="00DE0BE4"/>
    <w:rsid w:val="00DF05FF"/>
    <w:rsid w:val="00DF19FA"/>
    <w:rsid w:val="00DF2CE0"/>
    <w:rsid w:val="00DF480F"/>
    <w:rsid w:val="00DF72A5"/>
    <w:rsid w:val="00E0144F"/>
    <w:rsid w:val="00E03A2D"/>
    <w:rsid w:val="00E13664"/>
    <w:rsid w:val="00E1427D"/>
    <w:rsid w:val="00E2092B"/>
    <w:rsid w:val="00E3136D"/>
    <w:rsid w:val="00E36EFA"/>
    <w:rsid w:val="00E40D5C"/>
    <w:rsid w:val="00E4437C"/>
    <w:rsid w:val="00E6418A"/>
    <w:rsid w:val="00E67377"/>
    <w:rsid w:val="00E8358C"/>
    <w:rsid w:val="00E876A2"/>
    <w:rsid w:val="00E87E37"/>
    <w:rsid w:val="00E93746"/>
    <w:rsid w:val="00E95F67"/>
    <w:rsid w:val="00E965CC"/>
    <w:rsid w:val="00EA2ABC"/>
    <w:rsid w:val="00EA360C"/>
    <w:rsid w:val="00EB3AB0"/>
    <w:rsid w:val="00EB476C"/>
    <w:rsid w:val="00EB5C4B"/>
    <w:rsid w:val="00EC3062"/>
    <w:rsid w:val="00EE46B1"/>
    <w:rsid w:val="00EE5410"/>
    <w:rsid w:val="00EF33C2"/>
    <w:rsid w:val="00EF4263"/>
    <w:rsid w:val="00EF43A4"/>
    <w:rsid w:val="00EF4798"/>
    <w:rsid w:val="00F16AE3"/>
    <w:rsid w:val="00F20984"/>
    <w:rsid w:val="00F3587E"/>
    <w:rsid w:val="00F438B9"/>
    <w:rsid w:val="00F615DA"/>
    <w:rsid w:val="00F6189E"/>
    <w:rsid w:val="00F6368C"/>
    <w:rsid w:val="00F64E6A"/>
    <w:rsid w:val="00F72965"/>
    <w:rsid w:val="00F73E09"/>
    <w:rsid w:val="00F833B8"/>
    <w:rsid w:val="00FA04D6"/>
    <w:rsid w:val="00FA1EFF"/>
    <w:rsid w:val="00FB6B6E"/>
    <w:rsid w:val="00FC1290"/>
    <w:rsid w:val="00FE3E21"/>
    <w:rsid w:val="00FF1AC5"/>
    <w:rsid w:val="00FF5ACF"/>
    <w:rsid w:val="00FF6DAC"/>
    <w:rsid w:val="00FF6DCD"/>
    <w:rsid w:val="00FF74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19758"/>
  <w15:chartTrackingRefBased/>
  <w15:docId w15:val="{395FD313-27DB-4F08-816E-A080E972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F2C12"/>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326C85"/>
    <w:pPr>
      <w:ind w:firstLine="708"/>
      <w:jc w:val="both"/>
    </w:pPr>
    <w:rPr>
      <w:rFonts w:ascii="Arial" w:hAnsi="Arial" w:cs="Arial"/>
    </w:rPr>
  </w:style>
  <w:style w:type="paragraph" w:styleId="Cabealho">
    <w:name w:val="header"/>
    <w:basedOn w:val="Normal"/>
    <w:rsid w:val="00326C85"/>
    <w:pPr>
      <w:tabs>
        <w:tab w:val="center" w:pos="4252"/>
        <w:tab w:val="right" w:pos="8504"/>
      </w:tabs>
    </w:pPr>
  </w:style>
  <w:style w:type="paragraph" w:styleId="Rodap">
    <w:name w:val="footer"/>
    <w:basedOn w:val="Normal"/>
    <w:rsid w:val="00326C85"/>
    <w:pPr>
      <w:tabs>
        <w:tab w:val="center" w:pos="4252"/>
        <w:tab w:val="right" w:pos="8504"/>
      </w:tabs>
    </w:pPr>
  </w:style>
  <w:style w:type="table" w:styleId="Tabelacomgrade">
    <w:name w:val="Table Grid"/>
    <w:basedOn w:val="Tabelanormal"/>
    <w:rsid w:val="00800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476C"/>
    <w:rPr>
      <w:color w:val="0563C1"/>
      <w:u w:val="single"/>
    </w:rPr>
  </w:style>
  <w:style w:type="paragraph" w:styleId="Textodebalo">
    <w:name w:val="Balloon Text"/>
    <w:basedOn w:val="Normal"/>
    <w:link w:val="TextodebaloChar"/>
    <w:rsid w:val="0020309E"/>
    <w:rPr>
      <w:rFonts w:ascii="Segoe UI" w:hAnsi="Segoe UI" w:cs="Segoe UI"/>
      <w:sz w:val="18"/>
      <w:szCs w:val="18"/>
    </w:rPr>
  </w:style>
  <w:style w:type="character" w:customStyle="1" w:styleId="TextodebaloChar">
    <w:name w:val="Texto de balão Char"/>
    <w:link w:val="Textodebalo"/>
    <w:rsid w:val="0020309E"/>
    <w:rPr>
      <w:rFonts w:ascii="Segoe UI" w:hAnsi="Segoe UI" w:cs="Segoe UI"/>
      <w:sz w:val="18"/>
      <w:szCs w:val="18"/>
    </w:rPr>
  </w:style>
  <w:style w:type="paragraph" w:styleId="Textodenotaderodap">
    <w:name w:val="footnote text"/>
    <w:basedOn w:val="Normal"/>
    <w:semiHidden/>
    <w:rsid w:val="003D33D5"/>
    <w:rPr>
      <w:sz w:val="20"/>
      <w:szCs w:val="20"/>
    </w:rPr>
  </w:style>
  <w:style w:type="character" w:styleId="Refdenotaderodap">
    <w:name w:val="footnote reference"/>
    <w:basedOn w:val="Fontepargpadro"/>
    <w:semiHidden/>
    <w:rsid w:val="003D33D5"/>
    <w:rPr>
      <w:vertAlign w:val="superscript"/>
    </w:rPr>
  </w:style>
  <w:style w:type="paragraph" w:styleId="PargrafodaLista">
    <w:name w:val="List Paragraph"/>
    <w:basedOn w:val="Normal"/>
    <w:uiPriority w:val="34"/>
    <w:qFormat/>
    <w:rsid w:val="007D4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8360">
      <w:bodyDiv w:val="1"/>
      <w:marLeft w:val="0"/>
      <w:marRight w:val="0"/>
      <w:marTop w:val="0"/>
      <w:marBottom w:val="0"/>
      <w:divBdr>
        <w:top w:val="none" w:sz="0" w:space="0" w:color="auto"/>
        <w:left w:val="none" w:sz="0" w:space="0" w:color="auto"/>
        <w:bottom w:val="none" w:sz="0" w:space="0" w:color="auto"/>
        <w:right w:val="none" w:sz="0" w:space="0" w:color="auto"/>
      </w:divBdr>
    </w:div>
    <w:div w:id="159546512">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256445374">
      <w:bodyDiv w:val="1"/>
      <w:marLeft w:val="0"/>
      <w:marRight w:val="0"/>
      <w:marTop w:val="0"/>
      <w:marBottom w:val="0"/>
      <w:divBdr>
        <w:top w:val="none" w:sz="0" w:space="0" w:color="auto"/>
        <w:left w:val="none" w:sz="0" w:space="0" w:color="auto"/>
        <w:bottom w:val="none" w:sz="0" w:space="0" w:color="auto"/>
        <w:right w:val="none" w:sz="0" w:space="0" w:color="auto"/>
      </w:divBdr>
    </w:div>
    <w:div w:id="488441582">
      <w:bodyDiv w:val="1"/>
      <w:marLeft w:val="0"/>
      <w:marRight w:val="0"/>
      <w:marTop w:val="0"/>
      <w:marBottom w:val="0"/>
      <w:divBdr>
        <w:top w:val="none" w:sz="0" w:space="0" w:color="auto"/>
        <w:left w:val="none" w:sz="0" w:space="0" w:color="auto"/>
        <w:bottom w:val="none" w:sz="0" w:space="0" w:color="auto"/>
        <w:right w:val="none" w:sz="0" w:space="0" w:color="auto"/>
      </w:divBdr>
    </w:div>
    <w:div w:id="626552092">
      <w:bodyDiv w:val="1"/>
      <w:marLeft w:val="0"/>
      <w:marRight w:val="0"/>
      <w:marTop w:val="0"/>
      <w:marBottom w:val="0"/>
      <w:divBdr>
        <w:top w:val="none" w:sz="0" w:space="0" w:color="auto"/>
        <w:left w:val="none" w:sz="0" w:space="0" w:color="auto"/>
        <w:bottom w:val="none" w:sz="0" w:space="0" w:color="auto"/>
        <w:right w:val="none" w:sz="0" w:space="0" w:color="auto"/>
      </w:divBdr>
    </w:div>
    <w:div w:id="721439234">
      <w:bodyDiv w:val="1"/>
      <w:marLeft w:val="0"/>
      <w:marRight w:val="0"/>
      <w:marTop w:val="0"/>
      <w:marBottom w:val="0"/>
      <w:divBdr>
        <w:top w:val="none" w:sz="0" w:space="0" w:color="auto"/>
        <w:left w:val="none" w:sz="0" w:space="0" w:color="auto"/>
        <w:bottom w:val="none" w:sz="0" w:space="0" w:color="auto"/>
        <w:right w:val="none" w:sz="0" w:space="0" w:color="auto"/>
      </w:divBdr>
    </w:div>
    <w:div w:id="1007631159">
      <w:bodyDiv w:val="1"/>
      <w:marLeft w:val="0"/>
      <w:marRight w:val="0"/>
      <w:marTop w:val="0"/>
      <w:marBottom w:val="0"/>
      <w:divBdr>
        <w:top w:val="none" w:sz="0" w:space="0" w:color="auto"/>
        <w:left w:val="none" w:sz="0" w:space="0" w:color="auto"/>
        <w:bottom w:val="none" w:sz="0" w:space="0" w:color="auto"/>
        <w:right w:val="none" w:sz="0" w:space="0" w:color="auto"/>
      </w:divBdr>
    </w:div>
    <w:div w:id="1071075391">
      <w:bodyDiv w:val="1"/>
      <w:marLeft w:val="0"/>
      <w:marRight w:val="0"/>
      <w:marTop w:val="0"/>
      <w:marBottom w:val="0"/>
      <w:divBdr>
        <w:top w:val="none" w:sz="0" w:space="0" w:color="auto"/>
        <w:left w:val="none" w:sz="0" w:space="0" w:color="auto"/>
        <w:bottom w:val="none" w:sz="0" w:space="0" w:color="auto"/>
        <w:right w:val="none" w:sz="0" w:space="0" w:color="auto"/>
      </w:divBdr>
    </w:div>
    <w:div w:id="1088162349">
      <w:bodyDiv w:val="1"/>
      <w:marLeft w:val="0"/>
      <w:marRight w:val="0"/>
      <w:marTop w:val="0"/>
      <w:marBottom w:val="0"/>
      <w:divBdr>
        <w:top w:val="none" w:sz="0" w:space="0" w:color="auto"/>
        <w:left w:val="none" w:sz="0" w:space="0" w:color="auto"/>
        <w:bottom w:val="none" w:sz="0" w:space="0" w:color="auto"/>
        <w:right w:val="none" w:sz="0" w:space="0" w:color="auto"/>
      </w:divBdr>
    </w:div>
    <w:div w:id="1245265788">
      <w:bodyDiv w:val="1"/>
      <w:marLeft w:val="0"/>
      <w:marRight w:val="0"/>
      <w:marTop w:val="0"/>
      <w:marBottom w:val="0"/>
      <w:divBdr>
        <w:top w:val="none" w:sz="0" w:space="0" w:color="auto"/>
        <w:left w:val="none" w:sz="0" w:space="0" w:color="auto"/>
        <w:bottom w:val="none" w:sz="0" w:space="0" w:color="auto"/>
        <w:right w:val="none" w:sz="0" w:space="0" w:color="auto"/>
      </w:divBdr>
    </w:div>
    <w:div w:id="1324507684">
      <w:bodyDiv w:val="1"/>
      <w:marLeft w:val="0"/>
      <w:marRight w:val="0"/>
      <w:marTop w:val="0"/>
      <w:marBottom w:val="0"/>
      <w:divBdr>
        <w:top w:val="none" w:sz="0" w:space="0" w:color="auto"/>
        <w:left w:val="none" w:sz="0" w:space="0" w:color="auto"/>
        <w:bottom w:val="none" w:sz="0" w:space="0" w:color="auto"/>
        <w:right w:val="none" w:sz="0" w:space="0" w:color="auto"/>
      </w:divBdr>
    </w:div>
    <w:div w:id="1372152880">
      <w:bodyDiv w:val="1"/>
      <w:marLeft w:val="0"/>
      <w:marRight w:val="0"/>
      <w:marTop w:val="0"/>
      <w:marBottom w:val="0"/>
      <w:divBdr>
        <w:top w:val="none" w:sz="0" w:space="0" w:color="auto"/>
        <w:left w:val="none" w:sz="0" w:space="0" w:color="auto"/>
        <w:bottom w:val="none" w:sz="0" w:space="0" w:color="auto"/>
        <w:right w:val="none" w:sz="0" w:space="0" w:color="auto"/>
      </w:divBdr>
    </w:div>
    <w:div w:id="1388722255">
      <w:bodyDiv w:val="1"/>
      <w:marLeft w:val="0"/>
      <w:marRight w:val="0"/>
      <w:marTop w:val="0"/>
      <w:marBottom w:val="0"/>
      <w:divBdr>
        <w:top w:val="none" w:sz="0" w:space="0" w:color="auto"/>
        <w:left w:val="none" w:sz="0" w:space="0" w:color="auto"/>
        <w:bottom w:val="none" w:sz="0" w:space="0" w:color="auto"/>
        <w:right w:val="none" w:sz="0" w:space="0" w:color="auto"/>
      </w:divBdr>
    </w:div>
    <w:div w:id="1542942424">
      <w:bodyDiv w:val="1"/>
      <w:marLeft w:val="0"/>
      <w:marRight w:val="0"/>
      <w:marTop w:val="0"/>
      <w:marBottom w:val="0"/>
      <w:divBdr>
        <w:top w:val="none" w:sz="0" w:space="0" w:color="auto"/>
        <w:left w:val="none" w:sz="0" w:space="0" w:color="auto"/>
        <w:bottom w:val="none" w:sz="0" w:space="0" w:color="auto"/>
        <w:right w:val="none" w:sz="0" w:space="0" w:color="auto"/>
      </w:divBdr>
    </w:div>
    <w:div w:id="1787505850">
      <w:bodyDiv w:val="1"/>
      <w:marLeft w:val="0"/>
      <w:marRight w:val="0"/>
      <w:marTop w:val="0"/>
      <w:marBottom w:val="0"/>
      <w:divBdr>
        <w:top w:val="none" w:sz="0" w:space="0" w:color="auto"/>
        <w:left w:val="none" w:sz="0" w:space="0" w:color="auto"/>
        <w:bottom w:val="none" w:sz="0" w:space="0" w:color="auto"/>
        <w:right w:val="none" w:sz="0" w:space="0" w:color="auto"/>
      </w:divBdr>
    </w:div>
    <w:div w:id="1850606792">
      <w:bodyDiv w:val="1"/>
      <w:marLeft w:val="0"/>
      <w:marRight w:val="0"/>
      <w:marTop w:val="0"/>
      <w:marBottom w:val="0"/>
      <w:divBdr>
        <w:top w:val="none" w:sz="0" w:space="0" w:color="auto"/>
        <w:left w:val="none" w:sz="0" w:space="0" w:color="auto"/>
        <w:bottom w:val="none" w:sz="0" w:space="0" w:color="auto"/>
        <w:right w:val="none" w:sz="0" w:space="0" w:color="auto"/>
      </w:divBdr>
    </w:div>
    <w:div w:id="1881432046">
      <w:bodyDiv w:val="1"/>
      <w:marLeft w:val="0"/>
      <w:marRight w:val="0"/>
      <w:marTop w:val="0"/>
      <w:marBottom w:val="0"/>
      <w:divBdr>
        <w:top w:val="none" w:sz="0" w:space="0" w:color="auto"/>
        <w:left w:val="none" w:sz="0" w:space="0" w:color="auto"/>
        <w:bottom w:val="none" w:sz="0" w:space="0" w:color="auto"/>
        <w:right w:val="none" w:sz="0" w:space="0" w:color="auto"/>
      </w:divBdr>
    </w:div>
    <w:div w:id="194826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ana.bastos\Documents\Modelos%20Personalizados%20do%20Office\MODELO%20Nota%20CGPLAC%202022-.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 Nota CGPLAC 2022-</Template>
  <TotalTime>1</TotalTime>
  <Pages>2</Pages>
  <Words>334</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MEMO/COSIS/CGTI/SPOA/SE/MAPA – Nº         /2011</vt:lpstr>
    </vt:vector>
  </TitlesOfParts>
  <Company>MAPA</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MEMO/COSIS/CGTI/SPOA/SE/MAPA – Nº         /2011</dc:title>
  <dc:subject/>
  <dc:creator>Eliana Teles Bastos</dc:creator>
  <cp:keywords/>
  <cp:lastModifiedBy>Carolina Moraes Pimentel Ricardi</cp:lastModifiedBy>
  <cp:revision>2</cp:revision>
  <cp:lastPrinted>2015-01-22T14:11:00Z</cp:lastPrinted>
  <dcterms:created xsi:type="dcterms:W3CDTF">2022-05-16T15:30:00Z</dcterms:created>
  <dcterms:modified xsi:type="dcterms:W3CDTF">2022-05-16T15:30:00Z</dcterms:modified>
</cp:coreProperties>
</file>