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MINISTÉRIO DA AGRICULTURA, PECUÁRIA E ABASTECIMENTO</w:t>
      </w:r>
    </w:p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Secretaria de Relações Internacionais do Agronegócio</w:t>
      </w:r>
    </w:p>
    <w:p w:rsidR="00C87B02" w:rsidRPr="003C54E1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r w:rsidR="00094EAB">
        <w:rPr>
          <w:rFonts w:ascii="Arial" w:hAnsi="Arial" w:cs="Arial"/>
          <w:sz w:val="20"/>
          <w:szCs w:val="20"/>
        </w:rPr>
        <w:t>Maio</w:t>
      </w:r>
      <w:r w:rsidR="004215B4">
        <w:rPr>
          <w:rFonts w:ascii="Arial" w:hAnsi="Arial" w:cs="Arial"/>
          <w:sz w:val="20"/>
          <w:szCs w:val="20"/>
        </w:rPr>
        <w:t>/2017</w:t>
      </w:r>
    </w:p>
    <w:p w:rsidR="008035E6" w:rsidRDefault="008035E6" w:rsidP="008035E6"/>
    <w:p w:rsidR="008035E6" w:rsidRDefault="00094EAB" w:rsidP="008035E6">
      <w:r w:rsidRPr="00094EAB">
        <w:rPr>
          <w:noProof/>
        </w:rPr>
        <w:drawing>
          <wp:inline distT="0" distB="0" distL="0" distR="0" wp14:anchorId="55310B8E" wp14:editId="1FC6C4AD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02" w:rsidRPr="003C54E1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 w:rsidR="001D51EE"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 w:rsidR="004215B4">
        <w:rPr>
          <w:rFonts w:ascii="Arial" w:hAnsi="Arial" w:cs="Arial"/>
          <w:sz w:val="20"/>
          <w:szCs w:val="20"/>
        </w:rPr>
        <w:t xml:space="preserve"> (comparativo </w:t>
      </w:r>
      <w:r w:rsidR="00094EAB">
        <w:rPr>
          <w:rFonts w:ascii="Arial" w:hAnsi="Arial" w:cs="Arial"/>
          <w:sz w:val="20"/>
          <w:szCs w:val="20"/>
        </w:rPr>
        <w:t>Maio</w:t>
      </w:r>
      <w:r w:rsidR="004215B4">
        <w:rPr>
          <w:rFonts w:ascii="Arial" w:hAnsi="Arial" w:cs="Arial"/>
          <w:sz w:val="20"/>
          <w:szCs w:val="20"/>
        </w:rPr>
        <w:t>/2017</w:t>
      </w:r>
      <w:r w:rsidR="00D50BB5">
        <w:rPr>
          <w:rFonts w:ascii="Arial" w:hAnsi="Arial" w:cs="Arial"/>
          <w:sz w:val="20"/>
          <w:szCs w:val="20"/>
        </w:rPr>
        <w:t xml:space="preserve"> – </w:t>
      </w:r>
      <w:r w:rsidR="00094EAB">
        <w:rPr>
          <w:rFonts w:ascii="Arial" w:hAnsi="Arial" w:cs="Arial"/>
          <w:sz w:val="20"/>
          <w:szCs w:val="20"/>
        </w:rPr>
        <w:t>Maio</w:t>
      </w:r>
      <w:r w:rsidR="004215B4">
        <w:rPr>
          <w:rFonts w:ascii="Arial" w:hAnsi="Arial" w:cs="Arial"/>
          <w:sz w:val="20"/>
          <w:szCs w:val="20"/>
        </w:rPr>
        <w:t>/2016</w:t>
      </w:r>
      <w:r w:rsidR="001D51EE">
        <w:rPr>
          <w:rFonts w:ascii="Arial" w:hAnsi="Arial" w:cs="Arial"/>
          <w:sz w:val="20"/>
          <w:szCs w:val="20"/>
        </w:rPr>
        <w:t>)</w:t>
      </w:r>
    </w:p>
    <w:p w:rsidR="00A16A28" w:rsidRDefault="00A16A28" w:rsidP="00A16A28"/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>Em maio de 2017, as exportações brasileiras do agronegócio atingiram US$ 9,68 bilhões, superando em 12,8% o valor registrado em igual mês do ano anterior. Do lado da importação, apontou-se crescimento de 30,0% nas compras, passando para US$ 1,30 bilhão em maio deste ano. Diante desses resultados, neste período comparativo, o superávit comercial do agronegócio brasileiro elevou-se de US$ 7,59 bilhões para US$ 8,38 bilhões, sendo o terceiro maior superávit da série histórica para meses de maio, abaixo apenas dos valores de 2012 e 2013.</w:t>
      </w:r>
    </w:p>
    <w:p w:rsidR="00A16A28" w:rsidRPr="00A16A28" w:rsidRDefault="00A16A28" w:rsidP="00A16A28"/>
    <w:p w:rsidR="00AB2FF5" w:rsidRDefault="00AB2FF5" w:rsidP="00AB2FF5"/>
    <w:p w:rsidR="00E207EB" w:rsidRDefault="00E207EB" w:rsidP="00E207EB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E207EB" w:rsidRDefault="00E207EB" w:rsidP="00E207EB"/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>A pauta exportadora do agronegócio em maio de 2017 foi liderada pelo complexo soja, cujas vendas atingiram US$ 4,72 bilhões, significando acréscimo de 7,5% sobre o valor registrado em maio de 2016 e representando 48,8% do total das exportações do agronegócio. Esse desempenho foi puxado pelos embarques de soja em grão, que totalizaram 10,96 milhões de toneladas, equivalendo à receita de US$ 4,06 bilhões, o que correspondeu ao aumento de 2,1% no preço médio. Vale ressaltar que o volume embarcado de soja em maio deste ano foi recorde em relação a todos os meses da série histórica e é também o segundo mês consecutivo em que o volume ultrapassa os dez milhões de toneladas.</w:t>
      </w: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 xml:space="preserve">O setor de carnes foi o segundo mais relevante do mês, com exportações de US$ 1,22 bilhão. Contudo, em relação a igual mês de 2016, anotou-se recuo de 4,1% no valor exportado. Com exceção de carnes, miudezas e preparações, cujas exportações aumentaram 15,9% (equivalendo a acréscimo de US$ 4,05 milhões), todos os demais itens do setor assinalaram quedas nas vendas. As exportações de carne de peru caíram 49,1% (-US$ 14,48 milhões), as de carne bovina recuaram 5,1% (-US$ 25,24 milhões) e as de carne de frango retroagiram 2,5% (-US$ 15,12 milhões). </w:t>
      </w: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>O complexo sucroalcooleiro aparece na sequência, cujas exportações atingiram US$ 1,08 bilhão em maio de 2017, mostrando expansão de 49,2% sobre igual período do ano anterior. As vendas de açúcar em bruto puxaram o desempenho do setor, alcançando US$ 824,22 milhões (1,99 milhão de toneladas) e ficando 53,0% acima do registrado em maio/2016. Neste ano, no mês de maio, os embarques de açúcar em bruto ao exterior representaram recordes em valor e quantidade exportada para meses de maio de toda a série histórica. As exportações de açúcar refinado contribuíram para o resultado do setor, com expansão de 60,4%, passando para US$ 212,0 milhões.</w:t>
      </w: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>Em seguida, destaca-se o setor de produtos florestais, em que as exportações tiveram expansão 24,4%, alcançando montante de US$ 972,66 milhões em maio de 2017. A celulose sobressaiu-se com vendas de US$ 527,72 milhões, implicando acréscimo de 35,1% sobre igual mês do ano anterior. O volume embarcado de celulose foi de 1,19 milhão de toneladas, representando quantidade recorde para meses de maio da série histórica iniciada a partir de 1997. Merecem destaque, ainda, as exportações de madeira, cuja cifra chegou a US$ 278,48 milhões (+22,2% sobre maio/2016), e de papel, com vendas de US$ 166,46 milhões (+2,7%).</w:t>
      </w: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>O quinto setor da pauta foi café, cujas vendas totalizaram US$ 442,52 milhões em maio/2017, revelando incremento de 22,4% sobre maio/2016. Destacou-se o aumento de 22,8% nas vendas de café verde, atingindo US$ 386,25 milhões em maio/2017.</w:t>
      </w: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>Juntos, os cinco principais setores da pauta do agronegócio somaram exportações de US$ 8,44 bilhões, representando 87,2% do total das exportações registradas em maio de 2017. Em igual mês do ano anterior, esses setores representaram participação conjunta de 87,8%.</w:t>
      </w: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C93955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>Relativamente às importações em maio/2017, foram destaques as aquisições de cereais, farinhas e preparações (US$ 230,89 milhões; acréscimo de 38,4%), produtos florestais (US$ 133,14 milhões; +14,3%); pescados (US$ 105,35 milhões; +50,5%), produtos oleaginosos – exclusive soja (US$ 74,81 milhões; +32,6%) e lácteos (US$ 60,74 milhões; -3,9%). O adicional nas compras de pescados (+US$ 35,33 milhões) foi o que mais contribuiu para o aumento das importações totais do agronegócio.</w:t>
      </w:r>
    </w:p>
    <w:p w:rsidR="00B659AA" w:rsidRDefault="00B659AA" w:rsidP="004215B4"/>
    <w:p w:rsidR="001D51EE" w:rsidRDefault="00094EAB" w:rsidP="00A16A28">
      <w:r w:rsidRPr="00094EAB">
        <w:rPr>
          <w:noProof/>
        </w:rPr>
        <w:drawing>
          <wp:inline distT="0" distB="0" distL="0" distR="0" wp14:anchorId="7B567EAC" wp14:editId="52439D67">
            <wp:extent cx="6480175" cy="385508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A28" w:rsidRPr="00A16A28" w:rsidRDefault="00A16A28" w:rsidP="00A16A28"/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C46E79" w:rsidRDefault="00C46E79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 xml:space="preserve">Em relação às exportações do agronegócio por blocos econômicos e regiões geográficas em maio de 2017, a Ásia permaneceu como o principal destino dos produtos brasileiros, com a soma de US$ 5,15 bilhões. A expansão de 15,0% em relação a maio de 2016 foi causada pelo incremento nas vendas de soja em grãos (+US$ 544,13 milhões), açúcar (+US$ 87,76 milhões) e celulose (+US$ 62,49 milhões). Com isso, a participação asiática nas vendas externas de produtos agropecuários brasileiros apresentou crescimento, de 52,2% para 53,2%. </w:t>
      </w:r>
    </w:p>
    <w:p w:rsid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 xml:space="preserve">Já o segundo principal destino das exportações brasileiras, a União Europeia, teve a sua participação diminuída de 21,0% para 17,4%, em virtude da queda de 6,6% nas vendas do agronegócio brasileiro para o bloco econômico (de US$ 1,81 bilhão em 2016 para US$ 1,69 bilhão em 2017). Os produtos que mais influenciaram nessa diminuição foram: farelo de soja (-US$ 108,25 milhões), soja em grãos (-US$ 61,04 milhões) e carnes (-US$ 32,94 milhões). Além dos dois principais destinos, destaca-se na Tabela 2: aumento de 202,3% nas vendas para os demais países da América, que alcançaram o montante de US$ 24,90 milhões; África (+38,1% e US$ 571,07 milhões); Oriente Médio (+31,6% e US$ 689,33 milhões); e NAFTA (+25,0% e US$ 700,27 milhões). </w:t>
      </w:r>
    </w:p>
    <w:p w:rsidR="00AB2FF5" w:rsidRDefault="00AB2FF5" w:rsidP="00A16A28">
      <w:pPr>
        <w:jc w:val="both"/>
        <w:rPr>
          <w:rFonts w:ascii="Arial" w:hAnsi="Arial" w:cs="Arial"/>
          <w:sz w:val="20"/>
          <w:szCs w:val="20"/>
        </w:rPr>
      </w:pPr>
    </w:p>
    <w:p w:rsidR="00AB2FF5" w:rsidRPr="00515548" w:rsidRDefault="00AB2FF5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1D51EE" w:rsidRDefault="00094EAB" w:rsidP="00E207EB">
      <w:pPr>
        <w:jc w:val="both"/>
        <w:rPr>
          <w:rFonts w:ascii="Arial" w:hAnsi="Arial" w:cs="Arial"/>
          <w:sz w:val="20"/>
          <w:szCs w:val="20"/>
        </w:rPr>
      </w:pPr>
      <w:r w:rsidRPr="00094EAB">
        <w:rPr>
          <w:noProof/>
        </w:rPr>
        <w:drawing>
          <wp:inline distT="0" distB="0" distL="0" distR="0" wp14:anchorId="6AB716DF" wp14:editId="0FC8B060">
            <wp:extent cx="6480175" cy="234823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EB" w:rsidRDefault="00E207EB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B2FF5" w:rsidRDefault="00AB2FF5" w:rsidP="00AB2FF5"/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 xml:space="preserve">No que se refere às vendas externas sob a ótica dos países, a China continuou figurando como o principal destino das exportações do agronegócio brasileiro em maio, com a cifra de US$ 3,54 bilhões. Em relação aos US$ 3,18 bilhões exportados em 2016, verificou-se crescimento de 11,3%. Quanto à participação chinesa, houve decréscimo de 0,5 ponto percentual no período, saindo de 37,0% para 36,5%. Os principais produtos negociados com esse parceiro asiático foram: soja em grãos (US$ 3,07 bilhões e 8,31 milhões de toneladas embarcadas); celulose (US$ 207,09 milhões); carne bovina (US$ 61,74 milhões); carne de frango (US$ 61,61 milhões); e couros e peles de bovinos ou equídeos (US$ 53,19 milhões). </w:t>
      </w: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16A28">
        <w:rPr>
          <w:rFonts w:ascii="Arial" w:hAnsi="Arial" w:cs="Arial"/>
          <w:sz w:val="20"/>
          <w:szCs w:val="20"/>
        </w:rPr>
        <w:t>O segundo principal destino das exportações agropecuárias brasileiras em maio de 2017 foram os Estados Unidos, com US$ 547,15 milhões, o que representou aumento de 26,0% em comparação aos US$ 434,10 milhões negociados no mesmo mês do ano anterior. Tal expansão foi causada principalmente pelo incremento das vendas de: celulose (+US$ 27,26 milhões); madeira e suas obras (+US$ 24,78 milhões); café (+US$ 18,66 milhões); suco de laranja (+US$ 14,35 milhões); e carne bovina (+US$ 14,29 milhões).  Com isso, a participação desse parceiro comercial subiu de 5,1% para 5,7%.</w:t>
      </w:r>
    </w:p>
    <w:p w:rsidR="00AB2FF5" w:rsidRPr="00AB2FF5" w:rsidRDefault="00AB2FF5" w:rsidP="00AB2FF5"/>
    <w:p w:rsidR="00E207EB" w:rsidRDefault="00E207EB" w:rsidP="00E207EB"/>
    <w:p w:rsidR="00917C96" w:rsidRDefault="00094EAB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94EAB">
        <w:rPr>
          <w:noProof/>
        </w:rPr>
        <w:drawing>
          <wp:inline distT="0" distB="0" distL="0" distR="0" wp14:anchorId="43E02114" wp14:editId="5D406DD5">
            <wp:extent cx="6480175" cy="3879215"/>
            <wp:effectExtent l="0" t="0" r="0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A2F" w:rsidRPr="00E34A2F" w:rsidRDefault="00E34A2F" w:rsidP="00E34A2F"/>
    <w:p w:rsidR="00E207EB" w:rsidRDefault="00E207EB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bookmarkStart w:id="0" w:name="OLE_LINK1"/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Resultados </w:t>
      </w:r>
      <w:r w:rsidR="00EE77CD">
        <w:rPr>
          <w:rFonts w:ascii="Arial" w:hAnsi="Arial" w:cs="Arial"/>
          <w:b/>
          <w:sz w:val="20"/>
          <w:szCs w:val="20"/>
        </w:rPr>
        <w:t>de Janeiro-Maio/2017 (sobre igual período de 2016)</w:t>
      </w: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917C96" w:rsidRDefault="00917C96" w:rsidP="00917C96"/>
    <w:p w:rsidR="00697D83" w:rsidRDefault="00BE1894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do agronegócio cresceram 5,9% nos cinco primeiros meses de 2017, passando de US$ 36,69 bilhões entre janeiro e maio de 2016 para US$ 38,86 bilhões entre janeiro e maio de 2017. A</w:t>
      </w:r>
      <w:r w:rsidR="00EE77C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importações também aumentaram, subindo de US$ 5,00 bilhões para US$ 6,14 </w:t>
      </w:r>
      <w:r w:rsidR="00EE77CD">
        <w:rPr>
          <w:rFonts w:ascii="Arial" w:hAnsi="Arial" w:cs="Arial"/>
          <w:sz w:val="20"/>
          <w:szCs w:val="20"/>
        </w:rPr>
        <w:t xml:space="preserve">bilhões </w:t>
      </w:r>
      <w:r>
        <w:rPr>
          <w:rFonts w:ascii="Arial" w:hAnsi="Arial" w:cs="Arial"/>
          <w:sz w:val="20"/>
          <w:szCs w:val="20"/>
        </w:rPr>
        <w:t>no mesmo período de análise</w:t>
      </w:r>
      <w:r w:rsidR="007051B7">
        <w:rPr>
          <w:rFonts w:ascii="Arial" w:hAnsi="Arial" w:cs="Arial"/>
          <w:sz w:val="20"/>
          <w:szCs w:val="20"/>
        </w:rPr>
        <w:t xml:space="preserve"> (+22,8%)</w:t>
      </w:r>
      <w:r>
        <w:rPr>
          <w:rFonts w:ascii="Arial" w:hAnsi="Arial" w:cs="Arial"/>
          <w:sz w:val="20"/>
          <w:szCs w:val="20"/>
        </w:rPr>
        <w:t xml:space="preserve">. </w:t>
      </w:r>
      <w:r w:rsidR="0021787B">
        <w:rPr>
          <w:rFonts w:ascii="Arial" w:hAnsi="Arial" w:cs="Arial"/>
          <w:sz w:val="20"/>
          <w:szCs w:val="20"/>
        </w:rPr>
        <w:t xml:space="preserve">Como resultado, o superávit comercial do agronegócio subiu para US$ 32,72 bilhões. </w:t>
      </w:r>
    </w:p>
    <w:p w:rsidR="0021787B" w:rsidRDefault="0021787B" w:rsidP="004D17C2">
      <w:pPr>
        <w:jc w:val="both"/>
        <w:rPr>
          <w:rFonts w:ascii="Arial" w:hAnsi="Arial" w:cs="Arial"/>
          <w:sz w:val="20"/>
          <w:szCs w:val="20"/>
        </w:rPr>
      </w:pPr>
    </w:p>
    <w:p w:rsidR="00A943DA" w:rsidRDefault="0021787B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principal setor exportador do agronegócio brasileiro é o complexo soja. Nesses cinco primeiros meses de 2017, as exportaçõ</w:t>
      </w:r>
      <w:r w:rsidR="00A943DA">
        <w:rPr>
          <w:rFonts w:ascii="Arial" w:hAnsi="Arial" w:cs="Arial"/>
          <w:sz w:val="20"/>
          <w:szCs w:val="20"/>
        </w:rPr>
        <w:t xml:space="preserve">es do setor atingiram US$ 16,00 bilhões, o que significou um incremento de 18,0% em relação ao mesmo período de 2016. </w:t>
      </w:r>
      <w:r w:rsidR="001654D4">
        <w:rPr>
          <w:rFonts w:ascii="Arial" w:hAnsi="Arial" w:cs="Arial"/>
          <w:sz w:val="20"/>
          <w:szCs w:val="20"/>
        </w:rPr>
        <w:t>A</w:t>
      </w:r>
      <w:r w:rsidR="0070000E">
        <w:rPr>
          <w:rFonts w:ascii="Arial" w:hAnsi="Arial" w:cs="Arial"/>
          <w:sz w:val="20"/>
          <w:szCs w:val="20"/>
        </w:rPr>
        <w:t xml:space="preserve"> participaç</w:t>
      </w:r>
      <w:r w:rsidR="001654D4">
        <w:rPr>
          <w:rFonts w:ascii="Arial" w:hAnsi="Arial" w:cs="Arial"/>
          <w:sz w:val="20"/>
          <w:szCs w:val="20"/>
        </w:rPr>
        <w:t xml:space="preserve">ão do complexo soja </w:t>
      </w:r>
      <w:r w:rsidR="0070000E">
        <w:rPr>
          <w:rFonts w:ascii="Arial" w:hAnsi="Arial" w:cs="Arial"/>
          <w:sz w:val="20"/>
          <w:szCs w:val="20"/>
        </w:rPr>
        <w:t>nas exportações do agroneg</w:t>
      </w:r>
      <w:r w:rsidR="001654D4">
        <w:rPr>
          <w:rFonts w:ascii="Arial" w:hAnsi="Arial" w:cs="Arial"/>
          <w:sz w:val="20"/>
          <w:szCs w:val="20"/>
        </w:rPr>
        <w:t>ócio aumentou ao longo dos últimos anos</w:t>
      </w:r>
      <w:r w:rsidR="0070000E">
        <w:rPr>
          <w:rFonts w:ascii="Arial" w:hAnsi="Arial" w:cs="Arial"/>
          <w:sz w:val="20"/>
          <w:szCs w:val="20"/>
        </w:rPr>
        <w:t xml:space="preserve">, mas nunca havia ultrapassado 40% do total exportado pelo Brasil </w:t>
      </w:r>
      <w:r w:rsidR="001654D4">
        <w:rPr>
          <w:rFonts w:ascii="Arial" w:hAnsi="Arial" w:cs="Arial"/>
          <w:sz w:val="20"/>
          <w:szCs w:val="20"/>
        </w:rPr>
        <w:t xml:space="preserve">em produtos do agronegócio. Nos cinco primeiros meses de 2017, as exportações do complexo soja chegaram a 41,2% do valor total exportado pelo Brasil em produtos do agronegócio.  </w:t>
      </w:r>
    </w:p>
    <w:p w:rsidR="00A943DA" w:rsidRDefault="00A943DA" w:rsidP="004D17C2">
      <w:pPr>
        <w:jc w:val="both"/>
        <w:rPr>
          <w:rFonts w:ascii="Arial" w:hAnsi="Arial" w:cs="Arial"/>
          <w:sz w:val="20"/>
          <w:szCs w:val="20"/>
        </w:rPr>
      </w:pPr>
    </w:p>
    <w:p w:rsidR="0021787B" w:rsidRDefault="001654D4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 dos motivos do crescimento de participação complexo soja é a safra recorde de soja que o Brasil colhe </w:t>
      </w:r>
      <w:r w:rsidR="00DD322B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 xml:space="preserve">2017. </w:t>
      </w:r>
      <w:r w:rsidR="00A943DA">
        <w:rPr>
          <w:rFonts w:ascii="Arial" w:hAnsi="Arial" w:cs="Arial"/>
          <w:sz w:val="20"/>
          <w:szCs w:val="20"/>
        </w:rPr>
        <w:t>A safra brasileira de soja em grão chegar</w:t>
      </w:r>
      <w:r w:rsidR="00CD3E89">
        <w:rPr>
          <w:rFonts w:ascii="Arial" w:hAnsi="Arial" w:cs="Arial"/>
          <w:sz w:val="20"/>
          <w:szCs w:val="20"/>
        </w:rPr>
        <w:t>á ao montante recorde de</w:t>
      </w:r>
      <w:r w:rsidR="00A943DA">
        <w:rPr>
          <w:rFonts w:ascii="Arial" w:hAnsi="Arial" w:cs="Arial"/>
          <w:sz w:val="20"/>
          <w:szCs w:val="20"/>
        </w:rPr>
        <w:t xml:space="preserve"> 113,9 milhões de toneladas, segundo o nono levantamento de safra 2016/2017 </w:t>
      </w:r>
      <w:r w:rsidR="00CD3E89">
        <w:rPr>
          <w:rFonts w:ascii="Arial" w:hAnsi="Arial" w:cs="Arial"/>
          <w:sz w:val="20"/>
          <w:szCs w:val="20"/>
        </w:rPr>
        <w:t>da CONAB.</w:t>
      </w:r>
      <w:r w:rsidR="00935227">
        <w:rPr>
          <w:rFonts w:ascii="Arial" w:hAnsi="Arial" w:cs="Arial"/>
          <w:sz w:val="20"/>
          <w:szCs w:val="20"/>
        </w:rPr>
        <w:t xml:space="preserve"> A título de comparação, é uma safra de soja muito pr</w:t>
      </w:r>
      <w:r w:rsidR="00877CD3">
        <w:rPr>
          <w:rFonts w:ascii="Arial" w:hAnsi="Arial" w:cs="Arial"/>
          <w:sz w:val="20"/>
          <w:szCs w:val="20"/>
        </w:rPr>
        <w:t>óxima à</w:t>
      </w:r>
      <w:r w:rsidR="00935227">
        <w:rPr>
          <w:rFonts w:ascii="Arial" w:hAnsi="Arial" w:cs="Arial"/>
          <w:sz w:val="20"/>
          <w:szCs w:val="20"/>
        </w:rPr>
        <w:t xml:space="preserve"> norte-americana, estimada em 117,2 milhões de toneladas.</w:t>
      </w:r>
      <w:r w:rsidR="00CD3E89">
        <w:rPr>
          <w:rFonts w:ascii="Arial" w:hAnsi="Arial" w:cs="Arial"/>
          <w:sz w:val="20"/>
          <w:szCs w:val="20"/>
        </w:rPr>
        <w:t xml:space="preserve"> Dessa produção</w:t>
      </w:r>
      <w:r w:rsidR="00935227">
        <w:rPr>
          <w:rFonts w:ascii="Arial" w:hAnsi="Arial" w:cs="Arial"/>
          <w:sz w:val="20"/>
          <w:szCs w:val="20"/>
        </w:rPr>
        <w:t xml:space="preserve"> brasileira</w:t>
      </w:r>
      <w:r w:rsidR="00CD3E89">
        <w:rPr>
          <w:rFonts w:ascii="Arial" w:hAnsi="Arial" w:cs="Arial"/>
          <w:sz w:val="20"/>
          <w:szCs w:val="20"/>
        </w:rPr>
        <w:t>, at</w:t>
      </w:r>
      <w:r w:rsidR="0070000E">
        <w:rPr>
          <w:rFonts w:ascii="Arial" w:hAnsi="Arial" w:cs="Arial"/>
          <w:sz w:val="20"/>
          <w:szCs w:val="20"/>
        </w:rPr>
        <w:t xml:space="preserve">é maio, </w:t>
      </w:r>
      <w:r w:rsidR="00CD3E89">
        <w:rPr>
          <w:rFonts w:ascii="Arial" w:hAnsi="Arial" w:cs="Arial"/>
          <w:sz w:val="20"/>
          <w:szCs w:val="20"/>
        </w:rPr>
        <w:t>o Brasil j</w:t>
      </w:r>
      <w:r w:rsidR="007051B7">
        <w:rPr>
          <w:rFonts w:ascii="Arial" w:hAnsi="Arial" w:cs="Arial"/>
          <w:sz w:val="20"/>
          <w:szCs w:val="20"/>
        </w:rPr>
        <w:t>á exportou 34,8</w:t>
      </w:r>
      <w:r w:rsidR="00CD3E89">
        <w:rPr>
          <w:rFonts w:ascii="Arial" w:hAnsi="Arial" w:cs="Arial"/>
          <w:sz w:val="20"/>
          <w:szCs w:val="20"/>
        </w:rPr>
        <w:t xml:space="preserve"> milh</w:t>
      </w:r>
      <w:r w:rsidR="00877CD3">
        <w:rPr>
          <w:rFonts w:ascii="Arial" w:hAnsi="Arial" w:cs="Arial"/>
          <w:sz w:val="20"/>
          <w:szCs w:val="20"/>
        </w:rPr>
        <w:t xml:space="preserve">ões de toneladas </w:t>
      </w:r>
      <w:r>
        <w:rPr>
          <w:rFonts w:ascii="Arial" w:hAnsi="Arial" w:cs="Arial"/>
          <w:sz w:val="20"/>
          <w:szCs w:val="20"/>
        </w:rPr>
        <w:t>(+12,9</w:t>
      </w:r>
      <w:r w:rsidR="00EE77CD">
        <w:rPr>
          <w:rFonts w:ascii="Arial" w:hAnsi="Arial" w:cs="Arial"/>
          <w:sz w:val="20"/>
          <w:szCs w:val="20"/>
        </w:rPr>
        <w:t>%</w:t>
      </w:r>
      <w:r>
        <w:rPr>
          <w:rFonts w:ascii="Arial" w:hAnsi="Arial" w:cs="Arial"/>
          <w:sz w:val="20"/>
          <w:szCs w:val="20"/>
        </w:rPr>
        <w:t>)</w:t>
      </w:r>
      <w:r w:rsidR="0070000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Ressalta-se o fato que o Brasil incrementou sua produção de soja em grão em 18,5 milhões de toneladas</w:t>
      </w:r>
      <w:r w:rsidR="00C96292">
        <w:rPr>
          <w:rFonts w:ascii="Arial" w:hAnsi="Arial" w:cs="Arial"/>
          <w:sz w:val="20"/>
          <w:szCs w:val="20"/>
        </w:rPr>
        <w:t xml:space="preserve"> na última safra e </w:t>
      </w:r>
      <w:r>
        <w:rPr>
          <w:rFonts w:ascii="Arial" w:hAnsi="Arial" w:cs="Arial"/>
          <w:sz w:val="20"/>
          <w:szCs w:val="20"/>
        </w:rPr>
        <w:t xml:space="preserve">ampliou suas exportações em quase 4 milhões de toneladas, </w:t>
      </w:r>
      <w:r w:rsidR="007051B7">
        <w:rPr>
          <w:rFonts w:ascii="Arial" w:hAnsi="Arial" w:cs="Arial"/>
          <w:sz w:val="20"/>
          <w:szCs w:val="20"/>
        </w:rPr>
        <w:t xml:space="preserve">passando </w:t>
      </w:r>
      <w:r>
        <w:rPr>
          <w:rFonts w:ascii="Arial" w:hAnsi="Arial" w:cs="Arial"/>
          <w:sz w:val="20"/>
          <w:szCs w:val="20"/>
        </w:rPr>
        <w:t xml:space="preserve">de 30,8 milhões de toneladas </w:t>
      </w:r>
      <w:r w:rsidR="007051B7">
        <w:rPr>
          <w:rFonts w:ascii="Arial" w:hAnsi="Arial" w:cs="Arial"/>
          <w:sz w:val="20"/>
          <w:szCs w:val="20"/>
        </w:rPr>
        <w:t>exportadas entre</w:t>
      </w:r>
      <w:r>
        <w:rPr>
          <w:rFonts w:ascii="Arial" w:hAnsi="Arial" w:cs="Arial"/>
          <w:sz w:val="20"/>
          <w:szCs w:val="20"/>
        </w:rPr>
        <w:t xml:space="preserve"> janeiro e maio de 2016 para 34,8 milhões de toneladas</w:t>
      </w:r>
      <w:r w:rsidR="007051B7">
        <w:rPr>
          <w:rFonts w:ascii="Arial" w:hAnsi="Arial" w:cs="Arial"/>
          <w:sz w:val="20"/>
          <w:szCs w:val="20"/>
        </w:rPr>
        <w:t xml:space="preserve"> exportadas</w:t>
      </w:r>
      <w:r>
        <w:rPr>
          <w:rFonts w:ascii="Arial" w:hAnsi="Arial" w:cs="Arial"/>
          <w:sz w:val="20"/>
          <w:szCs w:val="20"/>
        </w:rPr>
        <w:t xml:space="preserve"> entre janeiro e maio de 2017.</w:t>
      </w:r>
      <w:r w:rsidR="00935227">
        <w:rPr>
          <w:rFonts w:ascii="Arial" w:hAnsi="Arial" w:cs="Arial"/>
          <w:sz w:val="20"/>
          <w:szCs w:val="20"/>
        </w:rPr>
        <w:t xml:space="preserve"> Caso a expansão das exportações chegue a cinco milhões de toneladas</w:t>
      </w:r>
      <w:r w:rsidR="00877CD3">
        <w:rPr>
          <w:rFonts w:ascii="Arial" w:hAnsi="Arial" w:cs="Arial"/>
          <w:sz w:val="20"/>
          <w:szCs w:val="20"/>
        </w:rPr>
        <w:t xml:space="preserve"> no ano</w:t>
      </w:r>
      <w:r w:rsidR="00935227">
        <w:rPr>
          <w:rFonts w:ascii="Arial" w:hAnsi="Arial" w:cs="Arial"/>
          <w:sz w:val="20"/>
          <w:szCs w:val="20"/>
        </w:rPr>
        <w:t>, o Brasil exportará mais de 56 milhões de toneladas de soja</w:t>
      </w:r>
      <w:r w:rsidR="00DA59DE">
        <w:rPr>
          <w:rFonts w:ascii="Arial" w:hAnsi="Arial" w:cs="Arial"/>
          <w:sz w:val="20"/>
          <w:szCs w:val="20"/>
        </w:rPr>
        <w:t xml:space="preserve"> neste ano de 2017</w:t>
      </w:r>
      <w:r w:rsidR="00935227">
        <w:rPr>
          <w:rFonts w:ascii="Arial" w:hAnsi="Arial" w:cs="Arial"/>
          <w:sz w:val="20"/>
          <w:szCs w:val="20"/>
        </w:rPr>
        <w:t xml:space="preserve">, ultrapassando as exportações norte-americanas do produto, projetadas em 55,8 </w:t>
      </w:r>
      <w:r w:rsidR="00EE77CD">
        <w:rPr>
          <w:rFonts w:ascii="Arial" w:hAnsi="Arial" w:cs="Arial"/>
          <w:sz w:val="20"/>
          <w:szCs w:val="20"/>
        </w:rPr>
        <w:t>milhões de toneladas pelo USDA.</w:t>
      </w:r>
    </w:p>
    <w:p w:rsidR="00313A73" w:rsidRDefault="00313A73" w:rsidP="004D17C2">
      <w:pPr>
        <w:jc w:val="both"/>
        <w:rPr>
          <w:rFonts w:ascii="Arial" w:hAnsi="Arial" w:cs="Arial"/>
          <w:sz w:val="20"/>
          <w:szCs w:val="20"/>
        </w:rPr>
      </w:pPr>
    </w:p>
    <w:p w:rsidR="00211702" w:rsidRDefault="00C96292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de farelo de soja, por outro lado, diminuíram de 6,9 milhões de toneladas para 6,2 milhões de toneladas (-9,6%) nesses cinco primeiros meses de 2017. Tal </w:t>
      </w:r>
      <w:r w:rsidR="00211702">
        <w:rPr>
          <w:rFonts w:ascii="Arial" w:hAnsi="Arial" w:cs="Arial"/>
          <w:sz w:val="20"/>
          <w:szCs w:val="20"/>
        </w:rPr>
        <w:t>redução</w:t>
      </w:r>
      <w:r>
        <w:rPr>
          <w:rFonts w:ascii="Arial" w:hAnsi="Arial" w:cs="Arial"/>
          <w:sz w:val="20"/>
          <w:szCs w:val="20"/>
        </w:rPr>
        <w:t xml:space="preserve"> de volume exportado foi compensada, em parte, pelo aumento de 8,8% no preço médio de exportação</w:t>
      </w:r>
      <w:r w:rsidR="00211702">
        <w:rPr>
          <w:rFonts w:ascii="Arial" w:hAnsi="Arial" w:cs="Arial"/>
          <w:sz w:val="20"/>
          <w:szCs w:val="20"/>
        </w:rPr>
        <w:t xml:space="preserve">, o que possibilitou uma redução mais branda no valor de exportações do farelo de soja (-1,7%). As exportações de óleo de soja subiram de US$ 358,65 milhões nos cinco primeiros meses de 2016 para US$ 569,70 milhões nos cinco primeiros meses de 2017 (+22,3%), com aumento da quantidade exportada (+9,6%) e do preço médio de exportação (+11,6%). </w:t>
      </w:r>
    </w:p>
    <w:p w:rsidR="00DA59DE" w:rsidRDefault="00DA59DE" w:rsidP="004D17C2">
      <w:pPr>
        <w:jc w:val="both"/>
        <w:rPr>
          <w:rFonts w:ascii="Arial" w:hAnsi="Arial" w:cs="Arial"/>
          <w:sz w:val="20"/>
          <w:szCs w:val="20"/>
        </w:rPr>
      </w:pPr>
    </w:p>
    <w:p w:rsidR="00C656DC" w:rsidRDefault="00C656DC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de carnes foram de US$ 5,99 bilhões entre janeiro e maio de 2017 (+5,4%). O incremento do valor exportado ocorreu em função do aumento de 12,3% no preço médio de exportação, enquanto a quantidade exportada declinou 6,1%. </w:t>
      </w:r>
      <w:r w:rsidR="009324AF">
        <w:rPr>
          <w:rFonts w:ascii="Arial" w:hAnsi="Arial" w:cs="Arial"/>
          <w:sz w:val="20"/>
          <w:szCs w:val="20"/>
        </w:rPr>
        <w:t xml:space="preserve">Todos os tipos de carnes exportadas apresentaram </w:t>
      </w:r>
      <w:r>
        <w:rPr>
          <w:rFonts w:ascii="Arial" w:hAnsi="Arial" w:cs="Arial"/>
          <w:sz w:val="20"/>
          <w:szCs w:val="20"/>
        </w:rPr>
        <w:t xml:space="preserve">queda </w:t>
      </w:r>
      <w:r w:rsidR="009324AF">
        <w:rPr>
          <w:rFonts w:ascii="Arial" w:hAnsi="Arial" w:cs="Arial"/>
          <w:sz w:val="20"/>
          <w:szCs w:val="20"/>
        </w:rPr>
        <w:t>da quantidade exportada</w:t>
      </w:r>
      <w:r>
        <w:rPr>
          <w:rFonts w:ascii="Arial" w:hAnsi="Arial" w:cs="Arial"/>
          <w:sz w:val="20"/>
          <w:szCs w:val="20"/>
        </w:rPr>
        <w:t>, enquanto</w:t>
      </w:r>
      <w:r w:rsidR="009324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preços médios de exportação su</w:t>
      </w:r>
      <w:r w:rsidR="009324AF">
        <w:rPr>
          <w:rFonts w:ascii="Arial" w:hAnsi="Arial" w:cs="Arial"/>
          <w:sz w:val="20"/>
          <w:szCs w:val="20"/>
        </w:rPr>
        <w:t>biram para quase todas</w:t>
      </w:r>
      <w:r>
        <w:rPr>
          <w:rFonts w:ascii="Arial" w:hAnsi="Arial" w:cs="Arial"/>
          <w:sz w:val="20"/>
          <w:szCs w:val="20"/>
        </w:rPr>
        <w:t xml:space="preserve">. </w:t>
      </w:r>
      <w:r w:rsidR="009324AF">
        <w:rPr>
          <w:rFonts w:ascii="Arial" w:hAnsi="Arial" w:cs="Arial"/>
          <w:sz w:val="20"/>
          <w:szCs w:val="20"/>
        </w:rPr>
        <w:t>A principal carne exportada foi a carne de frango, com US$ 2,93 bilhões ou</w:t>
      </w:r>
      <w:r>
        <w:rPr>
          <w:rFonts w:ascii="Arial" w:hAnsi="Arial" w:cs="Arial"/>
          <w:sz w:val="20"/>
          <w:szCs w:val="20"/>
        </w:rPr>
        <w:t xml:space="preserve"> 8,9%</w:t>
      </w:r>
      <w:r w:rsidR="009324AF">
        <w:rPr>
          <w:rFonts w:ascii="Arial" w:hAnsi="Arial" w:cs="Arial"/>
          <w:sz w:val="20"/>
          <w:szCs w:val="20"/>
        </w:rPr>
        <w:t xml:space="preserve"> de aumento no valor exportado. J</w:t>
      </w:r>
      <w:r>
        <w:rPr>
          <w:rFonts w:ascii="Arial" w:hAnsi="Arial" w:cs="Arial"/>
          <w:sz w:val="20"/>
          <w:szCs w:val="20"/>
        </w:rPr>
        <w:t>á a</w:t>
      </w:r>
      <w:r w:rsidR="00725BD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carne</w:t>
      </w:r>
      <w:r w:rsidR="00725BD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suína e de peru subiram 29,1% e 18,0%, respectivamente. A carne bovina, por sua vez, teve queda de -5,8% no valor exportado</w:t>
      </w:r>
      <w:r w:rsidR="009324AF">
        <w:rPr>
          <w:rFonts w:ascii="Arial" w:hAnsi="Arial" w:cs="Arial"/>
          <w:sz w:val="20"/>
          <w:szCs w:val="20"/>
        </w:rPr>
        <w:t>, que foi de US$ 2,12 bilhões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C656DC" w:rsidRDefault="00C656DC" w:rsidP="004D17C2">
      <w:pPr>
        <w:jc w:val="both"/>
        <w:rPr>
          <w:rFonts w:ascii="Arial" w:hAnsi="Arial" w:cs="Arial"/>
          <w:sz w:val="20"/>
          <w:szCs w:val="20"/>
        </w:rPr>
      </w:pPr>
    </w:p>
    <w:p w:rsidR="00DA59DE" w:rsidRDefault="009324AF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vendas externas do complexo sucroalcooleiro foram de US$ 4,52 bilhões entre janeiro e maio de 2017 (+31,7%). O principal produto exportado do setor </w:t>
      </w:r>
      <w:r w:rsidR="00C9339A">
        <w:rPr>
          <w:rFonts w:ascii="Arial" w:hAnsi="Arial" w:cs="Arial"/>
          <w:sz w:val="20"/>
          <w:szCs w:val="20"/>
        </w:rPr>
        <w:t>é o açúcar, que foi responsável por praticamente 94% do valor total exportado pelo setor. As exportações de açúcar foram de US$ 4,24 bilhões</w:t>
      </w:r>
      <w:r w:rsidR="00561C8B">
        <w:rPr>
          <w:rFonts w:ascii="Arial" w:hAnsi="Arial" w:cs="Arial"/>
          <w:sz w:val="20"/>
          <w:szCs w:val="20"/>
        </w:rPr>
        <w:t xml:space="preserve"> (</w:t>
      </w:r>
      <w:r w:rsidR="00725BD7">
        <w:rPr>
          <w:rFonts w:ascii="Arial" w:hAnsi="Arial" w:cs="Arial"/>
          <w:sz w:val="20"/>
          <w:szCs w:val="20"/>
        </w:rPr>
        <w:t>+</w:t>
      </w:r>
      <w:r w:rsidR="00561C8B">
        <w:rPr>
          <w:rFonts w:ascii="Arial" w:hAnsi="Arial" w:cs="Arial"/>
          <w:sz w:val="20"/>
          <w:szCs w:val="20"/>
        </w:rPr>
        <w:t xml:space="preserve">40,5%), expansão obtida em função do aumento </w:t>
      </w:r>
      <w:r w:rsidR="00725BD7">
        <w:rPr>
          <w:rFonts w:ascii="Arial" w:hAnsi="Arial" w:cs="Arial"/>
          <w:sz w:val="20"/>
          <w:szCs w:val="20"/>
        </w:rPr>
        <w:t xml:space="preserve">do preço </w:t>
      </w:r>
      <w:r w:rsidR="00561C8B">
        <w:rPr>
          <w:rFonts w:ascii="Arial" w:hAnsi="Arial" w:cs="Arial"/>
          <w:sz w:val="20"/>
          <w:szCs w:val="20"/>
        </w:rPr>
        <w:t xml:space="preserve">internacional do produto, que foi de 42,3%. As exportações de álcool, por sua vez, caíram 33,2%, com redução de 48,0% na quantidade exportada. </w:t>
      </w:r>
    </w:p>
    <w:p w:rsidR="00561C8B" w:rsidRDefault="00561C8B" w:rsidP="004D17C2">
      <w:pPr>
        <w:jc w:val="both"/>
        <w:rPr>
          <w:rFonts w:ascii="Arial" w:hAnsi="Arial" w:cs="Arial"/>
          <w:sz w:val="20"/>
          <w:szCs w:val="20"/>
        </w:rPr>
      </w:pPr>
    </w:p>
    <w:p w:rsidR="0011143D" w:rsidRDefault="008C1D6E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quarto principal setor exportador do agronegócio foi o de produtos florestais. As vendas externas do</w:t>
      </w:r>
      <w:r w:rsidR="00B4029E">
        <w:rPr>
          <w:rFonts w:ascii="Arial" w:hAnsi="Arial" w:cs="Arial"/>
          <w:sz w:val="20"/>
          <w:szCs w:val="20"/>
        </w:rPr>
        <w:t xml:space="preserve"> setor subiram 5,8% chegando</w:t>
      </w:r>
      <w:r>
        <w:rPr>
          <w:rFonts w:ascii="Arial" w:hAnsi="Arial" w:cs="Arial"/>
          <w:sz w:val="20"/>
          <w:szCs w:val="20"/>
        </w:rPr>
        <w:t xml:space="preserve"> </w:t>
      </w:r>
      <w:r w:rsidR="00B4029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o montante</w:t>
      </w:r>
      <w:r w:rsidR="00B4029E">
        <w:rPr>
          <w:rFonts w:ascii="Arial" w:hAnsi="Arial" w:cs="Arial"/>
          <w:sz w:val="20"/>
          <w:szCs w:val="20"/>
        </w:rPr>
        <w:t xml:space="preserve"> recorde</w:t>
      </w:r>
      <w:r>
        <w:rPr>
          <w:rFonts w:ascii="Arial" w:hAnsi="Arial" w:cs="Arial"/>
          <w:sz w:val="20"/>
          <w:szCs w:val="20"/>
        </w:rPr>
        <w:t xml:space="preserve"> de US$ 4,41 bilhões</w:t>
      </w:r>
      <w:r w:rsidR="00B4029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4029E">
        <w:rPr>
          <w:rFonts w:ascii="Arial" w:hAnsi="Arial" w:cs="Arial"/>
          <w:sz w:val="20"/>
          <w:szCs w:val="20"/>
        </w:rPr>
        <w:t xml:space="preserve">A celulose é o principal produto exportado do </w:t>
      </w:r>
      <w:r w:rsidR="00B70E95">
        <w:rPr>
          <w:rFonts w:ascii="Arial" w:hAnsi="Arial" w:cs="Arial"/>
          <w:sz w:val="20"/>
          <w:szCs w:val="20"/>
        </w:rPr>
        <w:t xml:space="preserve">setor, com vendas externas </w:t>
      </w:r>
      <w:r w:rsidR="001C75BF">
        <w:rPr>
          <w:rFonts w:ascii="Arial" w:hAnsi="Arial" w:cs="Arial"/>
          <w:sz w:val="20"/>
          <w:szCs w:val="20"/>
        </w:rPr>
        <w:t xml:space="preserve">recordes para o período </w:t>
      </w:r>
      <w:r w:rsidR="00B70E95">
        <w:rPr>
          <w:rFonts w:ascii="Arial" w:hAnsi="Arial" w:cs="Arial"/>
          <w:sz w:val="20"/>
          <w:szCs w:val="20"/>
        </w:rPr>
        <w:t>de US$ 2,39 bilhões</w:t>
      </w:r>
      <w:r w:rsidR="001C75BF">
        <w:rPr>
          <w:rFonts w:ascii="Arial" w:hAnsi="Arial" w:cs="Arial"/>
          <w:sz w:val="20"/>
          <w:szCs w:val="20"/>
        </w:rPr>
        <w:t xml:space="preserve"> (+4,0%)</w:t>
      </w:r>
      <w:r w:rsidR="00B70E95">
        <w:rPr>
          <w:rFonts w:ascii="Arial" w:hAnsi="Arial" w:cs="Arial"/>
          <w:sz w:val="20"/>
          <w:szCs w:val="20"/>
        </w:rPr>
        <w:t>.</w:t>
      </w:r>
      <w:r w:rsidR="001C75BF">
        <w:rPr>
          <w:rFonts w:ascii="Arial" w:hAnsi="Arial" w:cs="Arial"/>
          <w:sz w:val="20"/>
          <w:szCs w:val="20"/>
        </w:rPr>
        <w:t xml:space="preserve"> A quantidade exportada do produto também foi recorde, 5,74 milh</w:t>
      </w:r>
      <w:r w:rsidR="00F6237C">
        <w:rPr>
          <w:rFonts w:ascii="Arial" w:hAnsi="Arial" w:cs="Arial"/>
          <w:sz w:val="20"/>
          <w:szCs w:val="20"/>
        </w:rPr>
        <w:t>ões de toneladas entre janeiro e maio de 2017. Além da celulose, foram exportados US$ 1,24 bilhão de madeiras e suas obras (</w:t>
      </w:r>
      <w:r w:rsidR="00725BD7">
        <w:rPr>
          <w:rFonts w:ascii="Arial" w:hAnsi="Arial" w:cs="Arial"/>
          <w:sz w:val="20"/>
          <w:szCs w:val="20"/>
        </w:rPr>
        <w:t>+14,9</w:t>
      </w:r>
      <w:r w:rsidR="00F6237C">
        <w:rPr>
          <w:rFonts w:ascii="Arial" w:hAnsi="Arial" w:cs="Arial"/>
          <w:sz w:val="20"/>
          <w:szCs w:val="20"/>
        </w:rPr>
        <w:t xml:space="preserve">%) e US$ 770,94 </w:t>
      </w:r>
      <w:r w:rsidR="00725BD7">
        <w:rPr>
          <w:rFonts w:ascii="Arial" w:hAnsi="Arial" w:cs="Arial"/>
          <w:sz w:val="20"/>
          <w:szCs w:val="20"/>
        </w:rPr>
        <w:t xml:space="preserve">milhões </w:t>
      </w:r>
      <w:r w:rsidR="00F6237C">
        <w:rPr>
          <w:rFonts w:ascii="Arial" w:hAnsi="Arial" w:cs="Arial"/>
          <w:sz w:val="20"/>
          <w:szCs w:val="20"/>
        </w:rPr>
        <w:t xml:space="preserve">de papel (-1,7%). </w:t>
      </w:r>
    </w:p>
    <w:p w:rsidR="0011143D" w:rsidRDefault="0011143D" w:rsidP="004D17C2">
      <w:pPr>
        <w:jc w:val="both"/>
        <w:rPr>
          <w:rFonts w:ascii="Arial" w:hAnsi="Arial" w:cs="Arial"/>
          <w:sz w:val="20"/>
          <w:szCs w:val="20"/>
        </w:rPr>
      </w:pPr>
    </w:p>
    <w:p w:rsidR="00561C8B" w:rsidRDefault="0011143D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café foi o quinto principal setor exportador do agronegócio</w:t>
      </w:r>
      <w:r w:rsidR="00026C30">
        <w:rPr>
          <w:rFonts w:ascii="Arial" w:hAnsi="Arial" w:cs="Arial"/>
          <w:sz w:val="20"/>
          <w:szCs w:val="20"/>
        </w:rPr>
        <w:t xml:space="preserve"> entre janeiro e maio de 2017, com US$ 2,26 bilhões em exportações (+10,8%). As exportações de café verde foram de US$ 1,99 bilhão</w:t>
      </w:r>
      <w:r w:rsidR="004A68FB">
        <w:rPr>
          <w:rFonts w:ascii="Arial" w:hAnsi="Arial" w:cs="Arial"/>
          <w:sz w:val="20"/>
          <w:szCs w:val="20"/>
        </w:rPr>
        <w:t xml:space="preserve"> (+10,2%)</w:t>
      </w:r>
      <w:r w:rsidR="00026C30">
        <w:rPr>
          <w:rFonts w:ascii="Arial" w:hAnsi="Arial" w:cs="Arial"/>
          <w:sz w:val="20"/>
          <w:szCs w:val="20"/>
        </w:rPr>
        <w:t xml:space="preserve"> enquanto as exportações de café solúvel foram de US$ 239,99 milhões (+13,6%). A quantidade exportada de ambos os produtos diminuiu, -6,8% e -6,7% respectivamente. Essa queda na quantidade exportada foi compensada pela elevação do preço médio de exportação.</w:t>
      </w:r>
    </w:p>
    <w:p w:rsidR="00026C30" w:rsidRDefault="00026C30" w:rsidP="004D17C2">
      <w:pPr>
        <w:jc w:val="both"/>
        <w:rPr>
          <w:rFonts w:ascii="Arial" w:hAnsi="Arial" w:cs="Arial"/>
          <w:sz w:val="20"/>
          <w:szCs w:val="20"/>
        </w:rPr>
      </w:pPr>
    </w:p>
    <w:p w:rsidR="00CB6869" w:rsidRDefault="00CB6869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cinco principais setores exportadores do agronegócio, acima mencionados, foram responsáveis por 85,4% das exportações brasileiras do agronegócio entre janeiro e maio de 2017. No mesmo período de 2016, os mesmos setores foram responsáveis por 78,7% das vendas externas do agronegócio. Ou seja, houve uma concentração das exportações</w:t>
      </w:r>
      <w:r w:rsidR="00272B5F">
        <w:rPr>
          <w:rFonts w:ascii="Arial" w:hAnsi="Arial" w:cs="Arial"/>
          <w:sz w:val="20"/>
          <w:szCs w:val="20"/>
        </w:rPr>
        <w:t xml:space="preserve"> do agronegócio nos cinco principais setores exportadores, com elevação de 6,65 pontos percentuais </w:t>
      </w:r>
      <w:r w:rsidR="005F7682">
        <w:rPr>
          <w:rFonts w:ascii="Arial" w:hAnsi="Arial" w:cs="Arial"/>
          <w:sz w:val="20"/>
          <w:szCs w:val="20"/>
        </w:rPr>
        <w:t xml:space="preserve">entre um ano e outro. Os vinte demais setores exportadores </w:t>
      </w:r>
      <w:r w:rsidR="00112CB5">
        <w:rPr>
          <w:rFonts w:ascii="Arial" w:hAnsi="Arial" w:cs="Arial"/>
          <w:sz w:val="20"/>
          <w:szCs w:val="20"/>
        </w:rPr>
        <w:t>foram responsáveis por 14,6% das exportações do agronegócio em 2017. Esses vinte setores exportaram US$ 7,81 bilhões entre janeiro e maio de 2016, passando a exportar US$ 5,69 bilhões entre janeiro e maio de 2017 (-27,2%).</w:t>
      </w:r>
    </w:p>
    <w:p w:rsidR="00112CB5" w:rsidRDefault="00112CB5" w:rsidP="004D17C2">
      <w:pPr>
        <w:jc w:val="both"/>
        <w:rPr>
          <w:rFonts w:ascii="Arial" w:hAnsi="Arial" w:cs="Arial"/>
          <w:sz w:val="20"/>
          <w:szCs w:val="20"/>
        </w:rPr>
      </w:pPr>
    </w:p>
    <w:p w:rsidR="00112CB5" w:rsidRDefault="00112CB5" w:rsidP="004D17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importações </w:t>
      </w:r>
      <w:r w:rsidR="00102FA0">
        <w:rPr>
          <w:rFonts w:ascii="Arial" w:hAnsi="Arial" w:cs="Arial"/>
          <w:sz w:val="20"/>
          <w:szCs w:val="20"/>
        </w:rPr>
        <w:t>brasileiras de produtos do agroneg</w:t>
      </w:r>
      <w:r w:rsidR="00847F55">
        <w:rPr>
          <w:rFonts w:ascii="Arial" w:hAnsi="Arial" w:cs="Arial"/>
          <w:sz w:val="20"/>
          <w:szCs w:val="20"/>
        </w:rPr>
        <w:t xml:space="preserve">ócio cresceram de US$ 5,00 bilhões entre janeiro e maio de 2016 para US$ 6,14 </w:t>
      </w:r>
      <w:r w:rsidR="004A68FB">
        <w:rPr>
          <w:rFonts w:ascii="Arial" w:hAnsi="Arial" w:cs="Arial"/>
          <w:sz w:val="20"/>
          <w:szCs w:val="20"/>
        </w:rPr>
        <w:t xml:space="preserve">bilhões </w:t>
      </w:r>
      <w:r w:rsidR="00847F55">
        <w:rPr>
          <w:rFonts w:ascii="Arial" w:hAnsi="Arial" w:cs="Arial"/>
          <w:sz w:val="20"/>
          <w:szCs w:val="20"/>
        </w:rPr>
        <w:t>entre janeiro e maio de 2017 (+22,8%). Os dez principais produtos importados foram: álcool etílico (US$ 542,68 milhões; +378,3%); trigo (US$ 478,42 milhões; +10,3%); papel (US$ 318,17 milhões; +8,7%); salmões (US$ 229,77 milhões; +49,4%); vestuário e outros produtos têxteis (US$ 199,03 milhões; -8,7%); leite em pó (US$ 175,64 milhões; +33,9%); fil</w:t>
      </w:r>
      <w:r w:rsidR="004A68FB">
        <w:rPr>
          <w:rFonts w:ascii="Arial" w:hAnsi="Arial" w:cs="Arial"/>
          <w:sz w:val="20"/>
          <w:szCs w:val="20"/>
        </w:rPr>
        <w:t>é</w:t>
      </w:r>
      <w:r w:rsidR="00847F55">
        <w:rPr>
          <w:rFonts w:ascii="Arial" w:hAnsi="Arial" w:cs="Arial"/>
          <w:sz w:val="20"/>
          <w:szCs w:val="20"/>
        </w:rPr>
        <w:t xml:space="preserve">s de peixe, congelados (US$ 168,93 milhões; +22,1%); óleo de palma (US$ 168,12 milhões; +61,1%); borracha natural (US$ 164,44 milhões; +43,7%); e arroz (US$ 158,97 milhões; +155,6%). </w:t>
      </w:r>
    </w:p>
    <w:p w:rsidR="007051B7" w:rsidRDefault="007051B7" w:rsidP="004D17C2">
      <w:pPr>
        <w:jc w:val="both"/>
        <w:rPr>
          <w:rFonts w:ascii="Arial" w:hAnsi="Arial" w:cs="Arial"/>
          <w:sz w:val="20"/>
          <w:szCs w:val="20"/>
        </w:rPr>
      </w:pPr>
    </w:p>
    <w:p w:rsidR="007051B7" w:rsidRDefault="007051B7" w:rsidP="004D17C2">
      <w:pPr>
        <w:jc w:val="both"/>
        <w:rPr>
          <w:rFonts w:ascii="Arial" w:hAnsi="Arial" w:cs="Arial"/>
          <w:sz w:val="20"/>
          <w:szCs w:val="20"/>
        </w:rPr>
      </w:pPr>
    </w:p>
    <w:p w:rsidR="001654D4" w:rsidRDefault="001654D4" w:rsidP="004D17C2">
      <w:pPr>
        <w:jc w:val="both"/>
        <w:rPr>
          <w:rFonts w:ascii="Arial" w:hAnsi="Arial" w:cs="Arial"/>
          <w:sz w:val="20"/>
          <w:szCs w:val="20"/>
        </w:rPr>
      </w:pPr>
    </w:p>
    <w:p w:rsidR="0021787B" w:rsidRDefault="0021787B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Pr="004D17C2" w:rsidRDefault="00094EAB" w:rsidP="004D17C2">
      <w:pPr>
        <w:jc w:val="both"/>
        <w:rPr>
          <w:rFonts w:ascii="Arial" w:hAnsi="Arial" w:cs="Arial"/>
          <w:sz w:val="20"/>
          <w:szCs w:val="20"/>
        </w:rPr>
      </w:pPr>
      <w:r w:rsidRPr="00094EAB">
        <w:rPr>
          <w:noProof/>
        </w:rPr>
        <w:drawing>
          <wp:inline distT="0" distB="0" distL="0" distR="0" wp14:anchorId="5F05B12C" wp14:editId="10D75046">
            <wp:extent cx="6480175" cy="385508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Pr="007C78C4" w:rsidRDefault="00917C96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Default="00917C96" w:rsidP="004D17C2">
      <w:pPr>
        <w:jc w:val="both"/>
        <w:rPr>
          <w:rFonts w:ascii="Arial" w:hAnsi="Arial" w:cs="Arial"/>
          <w:sz w:val="20"/>
          <w:szCs w:val="20"/>
        </w:rPr>
      </w:pPr>
    </w:p>
    <w:p w:rsidR="00917C96" w:rsidRDefault="00917C96" w:rsidP="004D17C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4D17C2">
        <w:rPr>
          <w:rFonts w:ascii="Arial" w:hAnsi="Arial" w:cs="Arial"/>
          <w:sz w:val="20"/>
          <w:szCs w:val="20"/>
        </w:rPr>
        <w:t>II.b</w:t>
      </w:r>
      <w:proofErr w:type="spellEnd"/>
      <w:r w:rsidRPr="004D17C2"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2765C2" w:rsidRDefault="002765C2" w:rsidP="002765C2"/>
    <w:p w:rsidR="002765C2" w:rsidRPr="002765C2" w:rsidRDefault="002765C2" w:rsidP="002765C2">
      <w:pPr>
        <w:jc w:val="both"/>
        <w:rPr>
          <w:rFonts w:ascii="Arial" w:hAnsi="Arial" w:cs="Arial"/>
          <w:sz w:val="20"/>
          <w:szCs w:val="20"/>
        </w:rPr>
      </w:pPr>
      <w:r w:rsidRPr="002765C2">
        <w:rPr>
          <w:rFonts w:ascii="Arial" w:hAnsi="Arial" w:cs="Arial"/>
          <w:sz w:val="20"/>
          <w:szCs w:val="20"/>
        </w:rPr>
        <w:t xml:space="preserve">Em relação às exportações do agronegócio por blocos econômicos e regiões geográficas, no período de janeiro a maio de 2017, a Ásia continuou como o principal destino dos produtos brasileiros, com a soma de US$ 19,24 bilhões. O crescimento de 8,6% em relação ao mesmo </w:t>
      </w:r>
      <w:r w:rsidR="00716332">
        <w:rPr>
          <w:rFonts w:ascii="Arial" w:hAnsi="Arial" w:cs="Arial"/>
          <w:sz w:val="20"/>
          <w:szCs w:val="20"/>
        </w:rPr>
        <w:t>intervalo</w:t>
      </w:r>
      <w:r w:rsidRPr="002765C2">
        <w:rPr>
          <w:rFonts w:ascii="Arial" w:hAnsi="Arial" w:cs="Arial"/>
          <w:sz w:val="20"/>
          <w:szCs w:val="20"/>
        </w:rPr>
        <w:t xml:space="preserve"> de 2016 foi causado, principalmente, pelo incremento das vendas de soja em grãos (+US$ 2,31 bilhões), açúcar (+US$ 409,58 milhões) e celulose (+US$ 208,88 milhões). </w:t>
      </w:r>
      <w:r w:rsidR="00716332">
        <w:rPr>
          <w:rFonts w:ascii="Arial" w:hAnsi="Arial" w:cs="Arial"/>
          <w:sz w:val="20"/>
          <w:szCs w:val="20"/>
        </w:rPr>
        <w:t>Com a</w:t>
      </w:r>
      <w:r w:rsidRPr="002765C2">
        <w:rPr>
          <w:rFonts w:ascii="Arial" w:hAnsi="Arial" w:cs="Arial"/>
          <w:sz w:val="20"/>
          <w:szCs w:val="20"/>
        </w:rPr>
        <w:t xml:space="preserve"> expansão em valor, a participação asiática nas vendas externas de produtos agropecuários brasileiros subiu de 48,3% para 49,5%. </w:t>
      </w:r>
    </w:p>
    <w:p w:rsidR="002765C2" w:rsidRPr="002765C2" w:rsidRDefault="002765C2" w:rsidP="002765C2">
      <w:pPr>
        <w:jc w:val="both"/>
        <w:rPr>
          <w:rFonts w:ascii="Arial" w:hAnsi="Arial" w:cs="Arial"/>
          <w:sz w:val="20"/>
          <w:szCs w:val="20"/>
        </w:rPr>
      </w:pPr>
    </w:p>
    <w:p w:rsidR="002765C2" w:rsidRPr="00B831F4" w:rsidRDefault="002765C2" w:rsidP="002765C2">
      <w:pPr>
        <w:jc w:val="both"/>
        <w:rPr>
          <w:rFonts w:ascii="Arial" w:hAnsi="Arial" w:cs="Arial"/>
          <w:sz w:val="20"/>
          <w:szCs w:val="20"/>
        </w:rPr>
      </w:pPr>
      <w:r w:rsidRPr="002765C2">
        <w:rPr>
          <w:rFonts w:ascii="Arial" w:hAnsi="Arial" w:cs="Arial"/>
          <w:sz w:val="20"/>
          <w:szCs w:val="20"/>
        </w:rPr>
        <w:t>Já o segundo principal destino das exportações brasileiras, a União Europeia, diminuiu a sua participação de 19,4% para 17,3%, em virtude da queda das vendas de produtos brasileiros para o bloco (-5,8%, atingindo US$ 6,72 bilhões). Além dos dois principais destinos, destaca-se na Tabela 5, o aumento de US$ 446,83 milhões nas vendas para o Oriente Médio (+15,1%), alcançando o montante de US$ 3,41 bilhões e participação de 8,8% nas exportações do agronegócio brasileiro no período.</w:t>
      </w:r>
    </w:p>
    <w:p w:rsidR="002765C2" w:rsidRPr="002765C2" w:rsidRDefault="002765C2" w:rsidP="002765C2"/>
    <w:p w:rsidR="00067C72" w:rsidRDefault="00067C72" w:rsidP="00067C72"/>
    <w:p w:rsidR="003A47B8" w:rsidRPr="004D17C2" w:rsidRDefault="00094EAB" w:rsidP="004D17C2">
      <w:pPr>
        <w:jc w:val="both"/>
        <w:rPr>
          <w:rFonts w:ascii="Arial" w:hAnsi="Arial" w:cs="Arial"/>
          <w:sz w:val="20"/>
          <w:szCs w:val="20"/>
        </w:rPr>
      </w:pPr>
      <w:r w:rsidRPr="00094EAB">
        <w:rPr>
          <w:noProof/>
        </w:rPr>
        <w:drawing>
          <wp:inline distT="0" distB="0" distL="0" distR="0" wp14:anchorId="61553047" wp14:editId="0FB907CD">
            <wp:extent cx="6480175" cy="234823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5EE" w:rsidRDefault="001715EE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224F9" w:rsidRDefault="00A224F9" w:rsidP="0022533F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A224F9" w:rsidRDefault="00A224F9" w:rsidP="0022533F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917C96" w:rsidRDefault="001F03E4" w:rsidP="0022533F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A224F9" w:rsidRDefault="00917C96" w:rsidP="00A224F9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224F9" w:rsidRDefault="00A224F9" w:rsidP="00A224F9"/>
    <w:p w:rsidR="002765C2" w:rsidRPr="002765C2" w:rsidRDefault="002765C2" w:rsidP="002765C2">
      <w:pPr>
        <w:jc w:val="both"/>
        <w:rPr>
          <w:rFonts w:ascii="Arial" w:hAnsi="Arial" w:cs="Arial"/>
          <w:sz w:val="20"/>
          <w:szCs w:val="20"/>
        </w:rPr>
      </w:pPr>
      <w:r w:rsidRPr="002765C2">
        <w:rPr>
          <w:rFonts w:ascii="Arial" w:hAnsi="Arial" w:cs="Arial"/>
          <w:sz w:val="20"/>
          <w:szCs w:val="20"/>
        </w:rPr>
        <w:t>No que tange aos países, a China permanece como o principal destino das exportações do agronegócio brasileiro, com a cifra de US$ 12,95 bilhões. Em relação a janeiro/maio de 2016, verificou-se crescimento de 21,1% no valor exportado e incremento da participação chinesa de 29,2% para 33,3%. O principal produto negociado com esse parceiro asiático foi a soja em grãos (US$ 10,52 bilhões), um aumento de US$ 2,13 bilhões em relação aos valores do mesmo período do ano anterior. Em quantidade, nos cinco primeiros meses de 2017, foram embarcadas mais de 27 milhões de toneladas do produto para a China, quase 4,0 milhões de toneladas a mais que o embarcado entre janeiro e maio de 2016. A celulose também se destacou no período, com aumento do valor exportado de US$ 224,</w:t>
      </w:r>
      <w:r w:rsidR="00AE74CE">
        <w:rPr>
          <w:rFonts w:ascii="Arial" w:hAnsi="Arial" w:cs="Arial"/>
          <w:sz w:val="20"/>
          <w:szCs w:val="20"/>
        </w:rPr>
        <w:t>7</w:t>
      </w:r>
      <w:r w:rsidRPr="002765C2">
        <w:rPr>
          <w:rFonts w:ascii="Arial" w:hAnsi="Arial" w:cs="Arial"/>
          <w:sz w:val="20"/>
          <w:szCs w:val="20"/>
        </w:rPr>
        <w:t>7 milhões, totalizando US$ 1,03 bilhão em 2017.</w:t>
      </w:r>
    </w:p>
    <w:p w:rsidR="002765C2" w:rsidRPr="002765C2" w:rsidRDefault="002765C2" w:rsidP="002765C2">
      <w:pPr>
        <w:jc w:val="both"/>
        <w:rPr>
          <w:rFonts w:ascii="Arial" w:hAnsi="Arial" w:cs="Arial"/>
          <w:sz w:val="20"/>
          <w:szCs w:val="20"/>
        </w:rPr>
      </w:pPr>
    </w:p>
    <w:p w:rsidR="002765C2" w:rsidRPr="002765C2" w:rsidRDefault="002765C2" w:rsidP="002765C2">
      <w:pPr>
        <w:jc w:val="both"/>
        <w:rPr>
          <w:rFonts w:ascii="Arial" w:hAnsi="Arial" w:cs="Arial"/>
          <w:sz w:val="20"/>
          <w:szCs w:val="20"/>
        </w:rPr>
      </w:pPr>
      <w:r w:rsidRPr="002765C2">
        <w:rPr>
          <w:rFonts w:ascii="Arial" w:hAnsi="Arial" w:cs="Arial"/>
          <w:sz w:val="20"/>
          <w:szCs w:val="20"/>
        </w:rPr>
        <w:t>As exportações para os Estados Unidos, segundo principal destino até maio de 2017, subiram de US$ 2,37 bilhões para US$ 2,52 bilhões (+6,3%) em razão da intensificação do comércio de madeiras e suas obras (+US$ 87,24 milhões), café (+US$ 52,49 milhões), álcool etílico (+US$</w:t>
      </w:r>
      <w:r w:rsidR="00AE74CE">
        <w:rPr>
          <w:rFonts w:ascii="Arial" w:hAnsi="Arial" w:cs="Arial"/>
          <w:sz w:val="20"/>
          <w:szCs w:val="20"/>
        </w:rPr>
        <w:t xml:space="preserve"> </w:t>
      </w:r>
      <w:r w:rsidRPr="002765C2">
        <w:rPr>
          <w:rFonts w:ascii="Arial" w:hAnsi="Arial" w:cs="Arial"/>
          <w:sz w:val="20"/>
          <w:szCs w:val="20"/>
        </w:rPr>
        <w:t>37,34 milhões) e couros e peles de bovinos e equídeos (+US$ 35,21 milhões). Com isso, a participação norte americana nas exportações brasileiras cresceu 0,1 ponto percentual, atingindo 6,5%.</w:t>
      </w:r>
    </w:p>
    <w:p w:rsidR="002765C2" w:rsidRPr="002765C2" w:rsidRDefault="002765C2" w:rsidP="002765C2">
      <w:pPr>
        <w:jc w:val="both"/>
        <w:rPr>
          <w:rFonts w:ascii="Arial" w:hAnsi="Arial" w:cs="Arial"/>
          <w:sz w:val="20"/>
          <w:szCs w:val="20"/>
        </w:rPr>
      </w:pPr>
    </w:p>
    <w:p w:rsidR="002765C2" w:rsidRPr="002765C2" w:rsidRDefault="002765C2" w:rsidP="002765C2">
      <w:pPr>
        <w:jc w:val="both"/>
        <w:rPr>
          <w:rFonts w:ascii="Arial" w:hAnsi="Arial" w:cs="Arial"/>
          <w:sz w:val="20"/>
          <w:szCs w:val="20"/>
        </w:rPr>
      </w:pPr>
      <w:r w:rsidRPr="002765C2">
        <w:rPr>
          <w:rFonts w:ascii="Arial" w:hAnsi="Arial" w:cs="Arial"/>
          <w:sz w:val="20"/>
          <w:szCs w:val="20"/>
        </w:rPr>
        <w:t>O terceiro principal destino das exportações agropecuárias brasileiras de janeiro a maio foram os Países Baixos, com US$ 1,76 bilhão, o que representou decréscimo de 9,2%. Tal retração foi causada principalmente pela diminuição das vendas de celulose (-US$ 98,23 milhões) e de suco de laranja (-US$ 83,43 milhões). Dessa forma, a participação desse parceiro comercial caiu de 5,3% para 4,5%.</w:t>
      </w:r>
    </w:p>
    <w:p w:rsidR="002765C2" w:rsidRPr="002765C2" w:rsidRDefault="002765C2" w:rsidP="002765C2">
      <w:pPr>
        <w:jc w:val="both"/>
        <w:rPr>
          <w:rFonts w:ascii="Arial" w:hAnsi="Arial" w:cs="Arial"/>
          <w:sz w:val="20"/>
          <w:szCs w:val="20"/>
        </w:rPr>
      </w:pPr>
    </w:p>
    <w:p w:rsidR="002765C2" w:rsidRPr="004446F3" w:rsidRDefault="002765C2" w:rsidP="002765C2">
      <w:pPr>
        <w:jc w:val="both"/>
        <w:rPr>
          <w:rFonts w:ascii="Arial" w:hAnsi="Arial" w:cs="Arial"/>
          <w:sz w:val="20"/>
          <w:szCs w:val="20"/>
        </w:rPr>
      </w:pPr>
      <w:r w:rsidRPr="002765C2">
        <w:rPr>
          <w:rFonts w:ascii="Arial" w:hAnsi="Arial" w:cs="Arial"/>
          <w:sz w:val="20"/>
          <w:szCs w:val="20"/>
        </w:rPr>
        <w:t>Em relação ao dinamismo das exportações, os principais destaques do período foram: Argélia (US$ 508,87 milhões e +31,3%); Índia (US$ 560,99 e +30,1%); Irã (US$ 964,27 milhões e +29,2%); Bangladesh (US$ 490,65 milhões e +27,4%); e Espanha (US$ 777,24 milhões e +21,0%).</w:t>
      </w:r>
    </w:p>
    <w:p w:rsidR="002765C2" w:rsidRDefault="002765C2" w:rsidP="00A224F9"/>
    <w:p w:rsidR="00A7699A" w:rsidRPr="00561A9B" w:rsidRDefault="00A7699A" w:rsidP="00561A9B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22533F" w:rsidRPr="0022533F" w:rsidRDefault="00094EAB" w:rsidP="0022533F">
      <w:r w:rsidRPr="00094EAB">
        <w:rPr>
          <w:noProof/>
        </w:rPr>
        <w:drawing>
          <wp:inline distT="0" distB="0" distL="0" distR="0" wp14:anchorId="157F6A82" wp14:editId="4F39642A">
            <wp:extent cx="6480175" cy="3879215"/>
            <wp:effectExtent l="0" t="0" r="0" b="698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7C96" w:rsidRDefault="00917C96" w:rsidP="00917C96"/>
    <w:p w:rsidR="007321B4" w:rsidRDefault="007321B4" w:rsidP="00917C96"/>
    <w:p w:rsidR="00917C96" w:rsidRDefault="00917C96" w:rsidP="00C748FD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bookmarkEnd w:id="0"/>
    <w:p w:rsidR="00CA1DF3" w:rsidRDefault="00CA1DF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C87B02" w:rsidRDefault="00CE04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094EAB">
        <w:rPr>
          <w:rFonts w:ascii="Arial" w:hAnsi="Arial" w:cs="Arial"/>
          <w:b/>
          <w:sz w:val="20"/>
          <w:szCs w:val="20"/>
        </w:rPr>
        <w:t>I – Resultados de Junho</w:t>
      </w:r>
      <w:r w:rsidR="004215B4">
        <w:rPr>
          <w:rFonts w:ascii="Arial" w:hAnsi="Arial" w:cs="Arial"/>
          <w:b/>
          <w:sz w:val="20"/>
          <w:szCs w:val="20"/>
        </w:rPr>
        <w:t xml:space="preserve"> de 2016</w:t>
      </w:r>
      <w:r w:rsidR="00C87B02" w:rsidRPr="005211A7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094EAB">
        <w:rPr>
          <w:rFonts w:ascii="Arial" w:hAnsi="Arial" w:cs="Arial"/>
          <w:b/>
          <w:sz w:val="20"/>
          <w:szCs w:val="20"/>
        </w:rPr>
        <w:t>Maio</w:t>
      </w:r>
      <w:proofErr w:type="gramEnd"/>
      <w:r w:rsidR="004215B4">
        <w:rPr>
          <w:rFonts w:ascii="Arial" w:hAnsi="Arial" w:cs="Arial"/>
          <w:b/>
          <w:sz w:val="20"/>
          <w:szCs w:val="20"/>
        </w:rPr>
        <w:t xml:space="preserve"> de 2017</w:t>
      </w:r>
      <w:r w:rsidR="006843BB">
        <w:rPr>
          <w:rFonts w:ascii="Arial" w:hAnsi="Arial" w:cs="Arial"/>
          <w:b/>
          <w:sz w:val="20"/>
          <w:szCs w:val="20"/>
        </w:rPr>
        <w:t xml:space="preserve"> (Acumulado 12 meses)</w:t>
      </w:r>
    </w:p>
    <w:p w:rsidR="001E649C" w:rsidRDefault="001E649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16A28" w:rsidRDefault="00A16A2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16A28" w:rsidRDefault="00A16A28" w:rsidP="00A16A2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A16A28" w:rsidRDefault="00A16A2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16A28" w:rsidRPr="00654429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654429">
        <w:rPr>
          <w:rFonts w:ascii="Arial" w:hAnsi="Arial" w:cs="Arial"/>
          <w:sz w:val="20"/>
          <w:szCs w:val="20"/>
        </w:rPr>
        <w:t>Entre junho de 2016 e maio de 2017 as exportações brasileiras do agronegócio somaram US$ 87,11 b</w:t>
      </w:r>
      <w:r>
        <w:rPr>
          <w:rFonts w:ascii="Arial" w:hAnsi="Arial" w:cs="Arial"/>
          <w:sz w:val="20"/>
          <w:szCs w:val="20"/>
        </w:rPr>
        <w:t xml:space="preserve">ilhões, o que correspondeu a uma queda </w:t>
      </w:r>
      <w:r w:rsidRPr="00654429">
        <w:rPr>
          <w:rFonts w:ascii="Arial" w:hAnsi="Arial" w:cs="Arial"/>
          <w:sz w:val="20"/>
          <w:szCs w:val="20"/>
        </w:rPr>
        <w:t>de 4,1% em relação ao mesmo período anterior. As importações, por sua vez, somaram US$ 14,77 bilhões, isto é, 22,3% superiores aos doze meses anteriores. Como resultado, o saldo da balança do agronegócio foi superavitário em US$ 72,34 bilhões.</w:t>
      </w:r>
    </w:p>
    <w:p w:rsidR="00A16A28" w:rsidRPr="00654429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C1094E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C1094E">
        <w:rPr>
          <w:rFonts w:ascii="Arial" w:hAnsi="Arial" w:cs="Arial"/>
          <w:sz w:val="20"/>
          <w:szCs w:val="20"/>
        </w:rPr>
        <w:t xml:space="preserve">Em relação ao </w:t>
      </w:r>
      <w:r w:rsidRPr="00A16A28">
        <w:rPr>
          <w:rFonts w:ascii="Arial" w:hAnsi="Arial" w:cs="Arial"/>
          <w:sz w:val="20"/>
          <w:szCs w:val="20"/>
        </w:rPr>
        <w:t>ranking</w:t>
      </w:r>
      <w:r w:rsidRPr="00C1094E">
        <w:rPr>
          <w:rFonts w:ascii="Arial" w:hAnsi="Arial" w:cs="Arial"/>
          <w:sz w:val="20"/>
          <w:szCs w:val="20"/>
        </w:rPr>
        <w:t xml:space="preserve"> de setores, por valor, a primeira posição foi ocupada pelo complexo soja, com um montante de US$ 27,86 bilhões, dos quais 77,1% foi representado pela soja em grãos. Quando comparado ao desempenho anterior, as exportações do grão sofreram redução de 6,2% em valor, apesar do aumento no preço médio +5,8</w:t>
      </w:r>
      <w:r>
        <w:rPr>
          <w:rFonts w:ascii="Arial" w:hAnsi="Arial" w:cs="Arial"/>
          <w:sz w:val="20"/>
          <w:szCs w:val="20"/>
        </w:rPr>
        <w:t>%</w:t>
      </w:r>
      <w:r w:rsidRPr="00C1094E">
        <w:rPr>
          <w:rFonts w:ascii="Arial" w:hAnsi="Arial" w:cs="Arial"/>
          <w:sz w:val="20"/>
          <w:szCs w:val="20"/>
        </w:rPr>
        <w:t xml:space="preserve">, que não compensou a retração no </w:t>
      </w:r>
      <w:r w:rsidRPr="00A16A28">
        <w:rPr>
          <w:rFonts w:ascii="Arial" w:hAnsi="Arial" w:cs="Arial"/>
          <w:sz w:val="20"/>
          <w:szCs w:val="20"/>
        </w:rPr>
        <w:t>quantum</w:t>
      </w:r>
      <w:r w:rsidRPr="00C1094E">
        <w:rPr>
          <w:rFonts w:ascii="Arial" w:hAnsi="Arial" w:cs="Arial"/>
          <w:sz w:val="20"/>
          <w:szCs w:val="20"/>
        </w:rPr>
        <w:t xml:space="preserve"> em 11,4%. O mesmo desempenho foi observado nas exportações do farelo de soja, que apresentou retração em valor (-10,4%) e quantidade (-13,8%) e crescimento no preço (+4%). As vendas do óleo de soja, por sua vez, sofreram queda de 12,7% em valor, com retrações também em quantidade embarcada (-21,2%) e crescimento do preço (+10,8%).</w:t>
      </w:r>
    </w:p>
    <w:p w:rsidR="00A16A28" w:rsidRPr="00C1094E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A4DA1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B63984">
        <w:rPr>
          <w:rFonts w:ascii="Arial" w:hAnsi="Arial" w:cs="Arial"/>
          <w:sz w:val="20"/>
          <w:szCs w:val="20"/>
        </w:rPr>
        <w:t xml:space="preserve">Em seguida destaca-se o setor de carnes, com U$S 14,52 bilhões em vendas externas. </w:t>
      </w:r>
      <w:r w:rsidRPr="00AA4DA1">
        <w:rPr>
          <w:rFonts w:ascii="Arial" w:hAnsi="Arial" w:cs="Arial"/>
          <w:sz w:val="20"/>
          <w:szCs w:val="20"/>
        </w:rPr>
        <w:t xml:space="preserve">Desse montante, quase metade (47,7%) foi representado pelas exportações de carne de frango, 39,4% pela carne bovina, 9,1% pela carne suína e 1,9% pela carne de peru. Em relação aos doze meses precedentes apenas a carne suína e a de peru apresentaram crescimento em valor (+20,4% e +26,5%, respectivamente). Em quantidade também houve crescimento somente nessas duas (8,4% na carne suína e 4,4% na carne de peru). </w:t>
      </w:r>
    </w:p>
    <w:p w:rsidR="00A16A28" w:rsidRPr="00550BCF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550BCF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550BCF">
        <w:rPr>
          <w:rFonts w:ascii="Arial" w:hAnsi="Arial" w:cs="Arial"/>
          <w:sz w:val="20"/>
          <w:szCs w:val="20"/>
        </w:rPr>
        <w:t xml:space="preserve">O complexo sucroalcooleiro ocupou a terceira posição no </w:t>
      </w:r>
      <w:r w:rsidRPr="00A16A28">
        <w:rPr>
          <w:rFonts w:ascii="Arial" w:hAnsi="Arial" w:cs="Arial"/>
          <w:sz w:val="20"/>
          <w:szCs w:val="20"/>
        </w:rPr>
        <w:t>ranking</w:t>
      </w:r>
      <w:r w:rsidRPr="00550BCF">
        <w:rPr>
          <w:rFonts w:ascii="Arial" w:hAnsi="Arial" w:cs="Arial"/>
          <w:sz w:val="20"/>
          <w:szCs w:val="20"/>
        </w:rPr>
        <w:t xml:space="preserve"> de setores, somando US$ 12,43 bilhões. Cerca de 88% desse montante se deve às exportações e açúcar, que registraram crescimento de 50,4% em valor (de US$ 7,76 bilhões para US$ 11,66 bilhões). A quantidade embarcada do produto também foi acima do que o acumulado anteriormente, passando de 25,5 para 28,81 milhões de toneladas (13%)</w:t>
      </w:r>
      <w:r>
        <w:rPr>
          <w:rFonts w:ascii="Arial" w:hAnsi="Arial" w:cs="Arial"/>
          <w:sz w:val="20"/>
          <w:szCs w:val="20"/>
        </w:rPr>
        <w:t xml:space="preserve"> e o preço subiu 33,1% (de US$ 304,02 para US$ 404,71 por tonelada)</w:t>
      </w:r>
      <w:r w:rsidRPr="00550BCF">
        <w:rPr>
          <w:rFonts w:ascii="Arial" w:hAnsi="Arial" w:cs="Arial"/>
          <w:sz w:val="20"/>
          <w:szCs w:val="20"/>
        </w:rPr>
        <w:t>. Entretanto, as vendas de álcool sofreram redução no período, tanto em valor (US$ 1,04 bilhão para US$ 761,27 milhões, ou -26,7%), quanto em quantidade embarcada (1,79 milhão de toneladas para 1,12 milhão de toneladas, ou -37,5%).</w:t>
      </w:r>
    </w:p>
    <w:p w:rsidR="00A16A28" w:rsidRPr="00550BCF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D87510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D87510">
        <w:rPr>
          <w:rFonts w:ascii="Arial" w:hAnsi="Arial" w:cs="Arial"/>
          <w:sz w:val="20"/>
          <w:szCs w:val="20"/>
        </w:rPr>
        <w:t>As exportações de produtos florestais alcançaram a cifra de US$ 10,48 bilhões (+0,5% ante o período anterior). A celulose, principal produto do setor, somou US$ 5,67 bilhões em exportações, o que representou retração de 2,3% em relação ao ano anterior. Já as vendas de madeiras e suas obras e de papel foram de US$ 2,95 bilhões e US$ 1,86 bilhão, respectivamente. Em relação às quantidades, somente o papel apresentou queda (-1,3%) enquanto os demais registraram expansão: 7,5% para celulose e 20,2% para madeiras e suas obras.</w:t>
      </w:r>
    </w:p>
    <w:p w:rsidR="00A16A28" w:rsidRPr="00D87510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ED0593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ED0593">
        <w:rPr>
          <w:rFonts w:ascii="Arial" w:hAnsi="Arial" w:cs="Arial"/>
          <w:sz w:val="20"/>
          <w:szCs w:val="20"/>
        </w:rPr>
        <w:t>Por fim, destacaram-se as vendas de café, que foram de US$ 5,69 bilhões, que cresceram 3,8% ante o período precedente. As exportações de café verde foram de US$ 5,03 bilhões, o que significou ampliação de 2,6%, enquanto o café solúvel registrou aumento de 11,9% em valor (US$ 538,78 milhões para US$ 603,08 milhões). Por outro lado, em termos de quantidade, as exportações de café verde foram de 1,77 milhão de toneladas (-8,2%) e de café solúvel somaram 82,1 mil toneladas (+2,6%).</w:t>
      </w:r>
    </w:p>
    <w:p w:rsidR="00A16A28" w:rsidRPr="00ED0593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8F20E5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8F20E5">
        <w:rPr>
          <w:rFonts w:ascii="Arial" w:hAnsi="Arial" w:cs="Arial"/>
          <w:sz w:val="20"/>
          <w:szCs w:val="20"/>
        </w:rPr>
        <w:t>Em conjunto, os cinco setores acima destacados somaram US$ 70,98 bilhões em exportações, ou seja, 0,3% superiores ao que foi registrado entre junho/2015 a maio/2016. Dessa forma, a participação desses setores passou de 78% para 81,5%, o que representou aumento da concentração da pauta exportadora brasileira no período.</w:t>
      </w:r>
    </w:p>
    <w:p w:rsidR="00A16A28" w:rsidRPr="008F20E5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3D6EE2">
        <w:rPr>
          <w:rFonts w:ascii="Arial" w:hAnsi="Arial" w:cs="Arial"/>
          <w:sz w:val="20"/>
          <w:szCs w:val="20"/>
        </w:rPr>
        <w:t>Em relação às importações destacaram-se: trigo (US$ 1,38 bilhão; +22,3%); pescados (US$ 1,3 bilhão; 22,3%); papel (US$ 766,30 milhões; -2,8%) e lácteos (US$ 726,09 milhões; +62,7%). Além do valor houve crescimento na quantidade exportada de trigo, que passou de 5,34 para 7,27 milhões de toneladas (+36%).</w:t>
      </w:r>
    </w:p>
    <w:p w:rsidR="00696EFB" w:rsidRDefault="00696EFB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E649C" w:rsidRDefault="001E649C" w:rsidP="001E649C"/>
    <w:p w:rsidR="00D4012C" w:rsidRPr="007C78C4" w:rsidRDefault="00094EAB" w:rsidP="006843BB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094EAB">
        <w:rPr>
          <w:noProof/>
        </w:rPr>
        <w:drawing>
          <wp:inline distT="0" distB="0" distL="0" distR="0" wp14:anchorId="66CDF42A" wp14:editId="70AC0254">
            <wp:extent cx="6480175" cy="3855085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9C" w:rsidRDefault="001E649C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A16A28" w:rsidRDefault="00A16A28" w:rsidP="00A16A28"/>
    <w:p w:rsidR="00A16A28" w:rsidRPr="00AD67C9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D67C9">
        <w:rPr>
          <w:rFonts w:ascii="Arial" w:hAnsi="Arial" w:cs="Arial"/>
          <w:sz w:val="20"/>
          <w:szCs w:val="20"/>
        </w:rPr>
        <w:t>Em relação às exportações do agronegócio por blocos econômicos e regiões geográficas, a Ásia continuou como o principal destino dos produtos agrícolas brasileiros. As vendas para o continente asiático atingiram a marca de US$ 38,92 bilhões, o que significou queda de 5,1% em comparação aos valores registrados entre junho de 2015 e maio de 2016 (US$ 41,02 bilhões). Dessa forma, a participação da Ásia nas exportações de produtos do agronegócio brasileiro passou de 45,2% para 44,7%.</w:t>
      </w:r>
    </w:p>
    <w:p w:rsidR="00A16A28" w:rsidRPr="00AD67C9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16A28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AD67C9">
        <w:rPr>
          <w:rFonts w:ascii="Arial" w:hAnsi="Arial" w:cs="Arial"/>
          <w:sz w:val="20"/>
          <w:szCs w:val="20"/>
        </w:rPr>
        <w:t>O segundo principal bloco de destino das exportações agropecuárias brasileiras nos últimos doze meses, a União Europeia, apresentou retração de 9,5% nas aquisições de mercadorias brasileiras, alcançando a cifra de US$ 16,26 bilhões, ante um total de US$ 17,96 bilhões nos doze meses anteriores. Com essa queda em valor, a participação da UE nas exportações do agronegócio brasileiro caiu de 19,8% para 18,7%, a maior retração verificada entre os blocos econômicos e regiões geográficas selecionados na Tabela 2.</w:t>
      </w:r>
    </w:p>
    <w:p w:rsidR="001D51EE" w:rsidRDefault="001D51EE" w:rsidP="002F2AA2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E649C" w:rsidRPr="006029F1" w:rsidRDefault="00094EAB" w:rsidP="002F2AA2">
      <w:pPr>
        <w:pStyle w:val="Recuodecorpodetexto"/>
        <w:ind w:firstLine="0"/>
      </w:pPr>
      <w:r w:rsidRPr="00094EAB">
        <w:rPr>
          <w:noProof/>
        </w:rPr>
        <w:drawing>
          <wp:inline distT="0" distB="0" distL="0" distR="0" wp14:anchorId="15AE3A62" wp14:editId="1B60492E">
            <wp:extent cx="6480175" cy="234823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696EFB" w:rsidRDefault="00696EFB" w:rsidP="00696EFB"/>
    <w:p w:rsidR="00A16A28" w:rsidRPr="00F61C19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F61C19">
        <w:rPr>
          <w:rFonts w:ascii="Arial" w:hAnsi="Arial" w:cs="Arial"/>
          <w:sz w:val="20"/>
          <w:szCs w:val="20"/>
        </w:rPr>
        <w:t xml:space="preserve">No que se refere aos países, a China permaneceu como o principal destino das exportações do agronegócio brasileiro, com a cifra de US$ 23,09 bilhões. Em relação ao período anterior, verificou-se retração de 1,9% no valor exportado e crescimento da participação chinesa de 0,6 ponto percentual, chegando a 26,5% de </w:t>
      </w:r>
      <w:proofErr w:type="spellStart"/>
      <w:r w:rsidRPr="00A16A28">
        <w:rPr>
          <w:rFonts w:ascii="Arial" w:hAnsi="Arial" w:cs="Arial"/>
          <w:sz w:val="20"/>
          <w:szCs w:val="20"/>
        </w:rPr>
        <w:t>market</w:t>
      </w:r>
      <w:proofErr w:type="spellEnd"/>
      <w:r w:rsidRPr="00A16A2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16A28">
        <w:rPr>
          <w:rFonts w:ascii="Arial" w:hAnsi="Arial" w:cs="Arial"/>
          <w:sz w:val="20"/>
          <w:szCs w:val="20"/>
        </w:rPr>
        <w:t>share</w:t>
      </w:r>
      <w:proofErr w:type="spellEnd"/>
      <w:r w:rsidRPr="00F61C19">
        <w:rPr>
          <w:rFonts w:ascii="Arial" w:hAnsi="Arial" w:cs="Arial"/>
          <w:sz w:val="20"/>
          <w:szCs w:val="20"/>
        </w:rPr>
        <w:t xml:space="preserve">. </w:t>
      </w:r>
    </w:p>
    <w:p w:rsidR="00A16A28" w:rsidRPr="00F61C19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F61C19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F61C19">
        <w:rPr>
          <w:rFonts w:ascii="Arial" w:hAnsi="Arial" w:cs="Arial"/>
          <w:sz w:val="20"/>
          <w:szCs w:val="20"/>
        </w:rPr>
        <w:t xml:space="preserve">As exportações para os Estados Unidos, segundo principal destino no acumulado dos últimos doze meses, cresceram de US$ 6,24 bilhões para US$ 6,41 bilhões (+2,7%). Com esse incremento, a participação norte americana nas exportações brasileiras passou de 6,9% para 7,4%. </w:t>
      </w:r>
    </w:p>
    <w:p w:rsidR="00A16A28" w:rsidRPr="00F61C19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F61C19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F61C19">
        <w:rPr>
          <w:rFonts w:ascii="Arial" w:hAnsi="Arial" w:cs="Arial"/>
          <w:sz w:val="20"/>
          <w:szCs w:val="20"/>
        </w:rPr>
        <w:t>O terceiro principal destino das exportações agropecuárias brasileiras foram os Países Baixos, com US$ 4,34 bilhões, o que representou queda de 15,3% em comparação aos US$ 5,12 bilhões registrados entre junho de 2015 e maio de 2016. Com isso, a participação desse parceiro comercial caiu, atingindo 5,0%.</w:t>
      </w:r>
    </w:p>
    <w:p w:rsidR="00A16A28" w:rsidRPr="00F61C19" w:rsidRDefault="00A16A28" w:rsidP="00A16A28">
      <w:pPr>
        <w:jc w:val="both"/>
        <w:rPr>
          <w:rFonts w:ascii="Arial" w:hAnsi="Arial" w:cs="Arial"/>
          <w:sz w:val="20"/>
          <w:szCs w:val="20"/>
        </w:rPr>
      </w:pPr>
    </w:p>
    <w:p w:rsidR="00A16A28" w:rsidRPr="00A51316" w:rsidRDefault="00A16A28" w:rsidP="00A16A28">
      <w:pPr>
        <w:jc w:val="both"/>
        <w:rPr>
          <w:rFonts w:ascii="Arial" w:hAnsi="Arial" w:cs="Arial"/>
          <w:sz w:val="20"/>
          <w:szCs w:val="20"/>
        </w:rPr>
      </w:pPr>
      <w:r w:rsidRPr="00F61C19">
        <w:rPr>
          <w:rFonts w:ascii="Arial" w:hAnsi="Arial" w:cs="Arial"/>
          <w:sz w:val="20"/>
          <w:szCs w:val="20"/>
        </w:rPr>
        <w:t>Em relação ao dinamismo das exportações, os principais destaques do período foram: Irã (US$ 2,35 bilhões e +31,2%); Índia (US$ 1,62 bilhão e +19,9%); Emirados Árabes Unidos (US$ 1,44 bilhão e +14,6%); Indonésia (US$ 1,58 bilhão e +13,0%); e Hong Kong (US$ 2,05 bilhões e +8,2%).</w:t>
      </w:r>
    </w:p>
    <w:p w:rsidR="00696EFB" w:rsidRPr="00696EFB" w:rsidRDefault="00696EFB" w:rsidP="00696EFB"/>
    <w:p w:rsidR="001E649C" w:rsidRDefault="00094EAB" w:rsidP="001E649C">
      <w:r w:rsidRPr="00094EAB">
        <w:rPr>
          <w:noProof/>
        </w:rPr>
        <w:drawing>
          <wp:inline distT="0" distB="0" distL="0" distR="0" wp14:anchorId="214D06A2" wp14:editId="41C76204">
            <wp:extent cx="6480175" cy="3879215"/>
            <wp:effectExtent l="0" t="0" r="0" b="698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B4" w:rsidRDefault="004215B4" w:rsidP="007D7D4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215B4" w:rsidRDefault="004215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87B02" w:rsidRPr="003C54E1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C87B02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87B02" w:rsidRPr="003C54E1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3C54E1" w:rsidRDefault="00C87B02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MAPA/SRI/DPI</w:t>
      </w:r>
    </w:p>
    <w:p w:rsidR="00C87B02" w:rsidRPr="003C54E1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 w:rsidR="00A16A28">
        <w:rPr>
          <w:rFonts w:ascii="Arial" w:hAnsi="Arial" w:cs="Arial"/>
          <w:sz w:val="20"/>
          <w:szCs w:val="20"/>
        </w:rPr>
        <w:t>12/06</w:t>
      </w:r>
      <w:r w:rsidR="004215B4">
        <w:rPr>
          <w:rFonts w:ascii="Arial" w:hAnsi="Arial" w:cs="Arial"/>
          <w:sz w:val="20"/>
          <w:szCs w:val="20"/>
        </w:rPr>
        <w:t>/2017</w:t>
      </w:r>
    </w:p>
    <w:sectPr w:rsidR="00C87B02" w:rsidRPr="003C54E1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475" w:rsidRDefault="00E23475">
      <w:r>
        <w:separator/>
      </w:r>
    </w:p>
  </w:endnote>
  <w:endnote w:type="continuationSeparator" w:id="0">
    <w:p w:rsidR="00E23475" w:rsidRDefault="00E2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A16A28">
      <w:rPr>
        <w:rStyle w:val="Nmerodepgina"/>
        <w:rFonts w:ascii="Arial" w:hAnsi="Arial" w:cs="Arial"/>
        <w:noProof/>
        <w:sz w:val="16"/>
        <w:szCs w:val="16"/>
      </w:rPr>
      <w:t>10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475" w:rsidRDefault="00E23475">
      <w:r>
        <w:separator/>
      </w:r>
    </w:p>
  </w:footnote>
  <w:footnote w:type="continuationSeparator" w:id="0">
    <w:p w:rsidR="00E23475" w:rsidRDefault="00E23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903"/>
    <w:rsid w:val="00006103"/>
    <w:rsid w:val="00006262"/>
    <w:rsid w:val="00006ECB"/>
    <w:rsid w:val="00007083"/>
    <w:rsid w:val="00007D32"/>
    <w:rsid w:val="00010A70"/>
    <w:rsid w:val="00013C10"/>
    <w:rsid w:val="0001553F"/>
    <w:rsid w:val="000166CF"/>
    <w:rsid w:val="00017D67"/>
    <w:rsid w:val="00017F9E"/>
    <w:rsid w:val="00024620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A57"/>
    <w:rsid w:val="0003291F"/>
    <w:rsid w:val="000329DF"/>
    <w:rsid w:val="000348EF"/>
    <w:rsid w:val="00034D11"/>
    <w:rsid w:val="000354EE"/>
    <w:rsid w:val="00035920"/>
    <w:rsid w:val="00035927"/>
    <w:rsid w:val="000400E7"/>
    <w:rsid w:val="00040AAD"/>
    <w:rsid w:val="00040CEE"/>
    <w:rsid w:val="0004141A"/>
    <w:rsid w:val="0004188A"/>
    <w:rsid w:val="00041926"/>
    <w:rsid w:val="00041C47"/>
    <w:rsid w:val="000421AD"/>
    <w:rsid w:val="00042DA0"/>
    <w:rsid w:val="00043C91"/>
    <w:rsid w:val="00045520"/>
    <w:rsid w:val="00045689"/>
    <w:rsid w:val="000456E0"/>
    <w:rsid w:val="00047101"/>
    <w:rsid w:val="00047F65"/>
    <w:rsid w:val="00053736"/>
    <w:rsid w:val="000542D8"/>
    <w:rsid w:val="00057E53"/>
    <w:rsid w:val="00060DB6"/>
    <w:rsid w:val="00060E48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99F"/>
    <w:rsid w:val="000728BD"/>
    <w:rsid w:val="00072A5A"/>
    <w:rsid w:val="00072BF1"/>
    <w:rsid w:val="00073B00"/>
    <w:rsid w:val="0007448A"/>
    <w:rsid w:val="00074CFD"/>
    <w:rsid w:val="00074FEC"/>
    <w:rsid w:val="000754DD"/>
    <w:rsid w:val="00076763"/>
    <w:rsid w:val="000777E6"/>
    <w:rsid w:val="000838F3"/>
    <w:rsid w:val="0008675A"/>
    <w:rsid w:val="00086BE6"/>
    <w:rsid w:val="00087349"/>
    <w:rsid w:val="00091B89"/>
    <w:rsid w:val="000930DA"/>
    <w:rsid w:val="00093FC9"/>
    <w:rsid w:val="0009438C"/>
    <w:rsid w:val="00094CD8"/>
    <w:rsid w:val="00094EAB"/>
    <w:rsid w:val="000950D3"/>
    <w:rsid w:val="00096E13"/>
    <w:rsid w:val="000976B6"/>
    <w:rsid w:val="000978BB"/>
    <w:rsid w:val="00097AEB"/>
    <w:rsid w:val="000A0879"/>
    <w:rsid w:val="000A0E3C"/>
    <w:rsid w:val="000A14AC"/>
    <w:rsid w:val="000A16C5"/>
    <w:rsid w:val="000A3C7F"/>
    <w:rsid w:val="000A412F"/>
    <w:rsid w:val="000A58CA"/>
    <w:rsid w:val="000A6462"/>
    <w:rsid w:val="000A6B29"/>
    <w:rsid w:val="000B1245"/>
    <w:rsid w:val="000B2CCF"/>
    <w:rsid w:val="000B4CB7"/>
    <w:rsid w:val="000B617B"/>
    <w:rsid w:val="000B6F56"/>
    <w:rsid w:val="000B778B"/>
    <w:rsid w:val="000C0B2D"/>
    <w:rsid w:val="000C101E"/>
    <w:rsid w:val="000C1354"/>
    <w:rsid w:val="000C4CA1"/>
    <w:rsid w:val="000C4E0B"/>
    <w:rsid w:val="000C5899"/>
    <w:rsid w:val="000C5BC6"/>
    <w:rsid w:val="000C64AB"/>
    <w:rsid w:val="000C6B89"/>
    <w:rsid w:val="000D0A1C"/>
    <w:rsid w:val="000D0A49"/>
    <w:rsid w:val="000D26FA"/>
    <w:rsid w:val="000D279E"/>
    <w:rsid w:val="000D39E2"/>
    <w:rsid w:val="000D4068"/>
    <w:rsid w:val="000D5591"/>
    <w:rsid w:val="000D5BE5"/>
    <w:rsid w:val="000E03A7"/>
    <w:rsid w:val="000E1F98"/>
    <w:rsid w:val="000E33C3"/>
    <w:rsid w:val="000E398E"/>
    <w:rsid w:val="000E39A2"/>
    <w:rsid w:val="000E3FFC"/>
    <w:rsid w:val="000E4AF7"/>
    <w:rsid w:val="000E4D0B"/>
    <w:rsid w:val="000E7667"/>
    <w:rsid w:val="000E7821"/>
    <w:rsid w:val="000F20EC"/>
    <w:rsid w:val="000F3A73"/>
    <w:rsid w:val="000F4768"/>
    <w:rsid w:val="000F5D88"/>
    <w:rsid w:val="000F67E1"/>
    <w:rsid w:val="000F6FB8"/>
    <w:rsid w:val="000F7E4B"/>
    <w:rsid w:val="000F7E56"/>
    <w:rsid w:val="001002A5"/>
    <w:rsid w:val="001009DA"/>
    <w:rsid w:val="00102086"/>
    <w:rsid w:val="00102714"/>
    <w:rsid w:val="001028A9"/>
    <w:rsid w:val="00102FA0"/>
    <w:rsid w:val="00103608"/>
    <w:rsid w:val="00103A27"/>
    <w:rsid w:val="0010432D"/>
    <w:rsid w:val="00104345"/>
    <w:rsid w:val="00106AE7"/>
    <w:rsid w:val="0011004F"/>
    <w:rsid w:val="0011143D"/>
    <w:rsid w:val="001120A0"/>
    <w:rsid w:val="0011278C"/>
    <w:rsid w:val="00112CB5"/>
    <w:rsid w:val="0011359A"/>
    <w:rsid w:val="001145E1"/>
    <w:rsid w:val="001148DB"/>
    <w:rsid w:val="00116244"/>
    <w:rsid w:val="00116DF6"/>
    <w:rsid w:val="001172F2"/>
    <w:rsid w:val="00120C53"/>
    <w:rsid w:val="001214F0"/>
    <w:rsid w:val="00121674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5398"/>
    <w:rsid w:val="00135405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F1E"/>
    <w:rsid w:val="00143382"/>
    <w:rsid w:val="00144082"/>
    <w:rsid w:val="0014413D"/>
    <w:rsid w:val="00144D60"/>
    <w:rsid w:val="0014572B"/>
    <w:rsid w:val="0014658F"/>
    <w:rsid w:val="001479CC"/>
    <w:rsid w:val="0015012C"/>
    <w:rsid w:val="00150D5F"/>
    <w:rsid w:val="00151988"/>
    <w:rsid w:val="00153702"/>
    <w:rsid w:val="00155044"/>
    <w:rsid w:val="001553E1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7C36"/>
    <w:rsid w:val="00180987"/>
    <w:rsid w:val="00181959"/>
    <w:rsid w:val="00181A5E"/>
    <w:rsid w:val="00181F12"/>
    <w:rsid w:val="001845DB"/>
    <w:rsid w:val="001877D0"/>
    <w:rsid w:val="0019065E"/>
    <w:rsid w:val="00191D61"/>
    <w:rsid w:val="00192430"/>
    <w:rsid w:val="00193C52"/>
    <w:rsid w:val="00193F46"/>
    <w:rsid w:val="0019506D"/>
    <w:rsid w:val="001950E2"/>
    <w:rsid w:val="001965D0"/>
    <w:rsid w:val="001A002C"/>
    <w:rsid w:val="001A0A6C"/>
    <w:rsid w:val="001A29EA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F0E"/>
    <w:rsid w:val="001B7C51"/>
    <w:rsid w:val="001C10B3"/>
    <w:rsid w:val="001C2AFB"/>
    <w:rsid w:val="001C2BE2"/>
    <w:rsid w:val="001C3C0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6377"/>
    <w:rsid w:val="00200422"/>
    <w:rsid w:val="00200C1F"/>
    <w:rsid w:val="00201721"/>
    <w:rsid w:val="00201EB6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186C"/>
    <w:rsid w:val="00232DF4"/>
    <w:rsid w:val="00233BE6"/>
    <w:rsid w:val="0023409D"/>
    <w:rsid w:val="00234BDA"/>
    <w:rsid w:val="00235D98"/>
    <w:rsid w:val="002365E6"/>
    <w:rsid w:val="00236C8A"/>
    <w:rsid w:val="0023726D"/>
    <w:rsid w:val="00240914"/>
    <w:rsid w:val="00243565"/>
    <w:rsid w:val="00244DAD"/>
    <w:rsid w:val="00244FFD"/>
    <w:rsid w:val="00246FFB"/>
    <w:rsid w:val="0025029B"/>
    <w:rsid w:val="00253BAB"/>
    <w:rsid w:val="00253F6E"/>
    <w:rsid w:val="0025449A"/>
    <w:rsid w:val="00256A85"/>
    <w:rsid w:val="0025703A"/>
    <w:rsid w:val="00257972"/>
    <w:rsid w:val="00257CA9"/>
    <w:rsid w:val="00260952"/>
    <w:rsid w:val="00260A3D"/>
    <w:rsid w:val="00265916"/>
    <w:rsid w:val="00265B91"/>
    <w:rsid w:val="00266F5A"/>
    <w:rsid w:val="00267384"/>
    <w:rsid w:val="00270FB8"/>
    <w:rsid w:val="00272B5F"/>
    <w:rsid w:val="00273ED5"/>
    <w:rsid w:val="00274325"/>
    <w:rsid w:val="00275FD2"/>
    <w:rsid w:val="002765C2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BF8"/>
    <w:rsid w:val="002905B3"/>
    <w:rsid w:val="00292902"/>
    <w:rsid w:val="00292C37"/>
    <w:rsid w:val="00292F48"/>
    <w:rsid w:val="002954AE"/>
    <w:rsid w:val="0029641D"/>
    <w:rsid w:val="002A0A91"/>
    <w:rsid w:val="002A451B"/>
    <w:rsid w:val="002A4B0B"/>
    <w:rsid w:val="002A50D8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9C3"/>
    <w:rsid w:val="002B225F"/>
    <w:rsid w:val="002B3FF6"/>
    <w:rsid w:val="002B3FFA"/>
    <w:rsid w:val="002B4209"/>
    <w:rsid w:val="002B48DF"/>
    <w:rsid w:val="002B4BFF"/>
    <w:rsid w:val="002B5200"/>
    <w:rsid w:val="002B6586"/>
    <w:rsid w:val="002B728E"/>
    <w:rsid w:val="002B76D5"/>
    <w:rsid w:val="002C0364"/>
    <w:rsid w:val="002C0938"/>
    <w:rsid w:val="002C2E49"/>
    <w:rsid w:val="002C2EBD"/>
    <w:rsid w:val="002C5A64"/>
    <w:rsid w:val="002C61C3"/>
    <w:rsid w:val="002C71CF"/>
    <w:rsid w:val="002D057E"/>
    <w:rsid w:val="002D15C6"/>
    <w:rsid w:val="002D198F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0CA"/>
    <w:rsid w:val="002E5A8C"/>
    <w:rsid w:val="002E64B9"/>
    <w:rsid w:val="002E6B13"/>
    <w:rsid w:val="002E6CA1"/>
    <w:rsid w:val="002E7085"/>
    <w:rsid w:val="002E78F4"/>
    <w:rsid w:val="002F00B6"/>
    <w:rsid w:val="002F2AA2"/>
    <w:rsid w:val="002F37D6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974"/>
    <w:rsid w:val="00323A54"/>
    <w:rsid w:val="00324322"/>
    <w:rsid w:val="003243CC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CAD"/>
    <w:rsid w:val="00345AEE"/>
    <w:rsid w:val="00350F51"/>
    <w:rsid w:val="00352DE2"/>
    <w:rsid w:val="00353472"/>
    <w:rsid w:val="0035436D"/>
    <w:rsid w:val="00354FF6"/>
    <w:rsid w:val="00355FCD"/>
    <w:rsid w:val="00361C71"/>
    <w:rsid w:val="0036317F"/>
    <w:rsid w:val="00364842"/>
    <w:rsid w:val="00370C77"/>
    <w:rsid w:val="00370F4A"/>
    <w:rsid w:val="003734AA"/>
    <w:rsid w:val="003743B9"/>
    <w:rsid w:val="00374794"/>
    <w:rsid w:val="00374A21"/>
    <w:rsid w:val="003820BA"/>
    <w:rsid w:val="003823A1"/>
    <w:rsid w:val="00382526"/>
    <w:rsid w:val="00382C83"/>
    <w:rsid w:val="00383D01"/>
    <w:rsid w:val="00386C6D"/>
    <w:rsid w:val="003909E2"/>
    <w:rsid w:val="00392E0F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B049D"/>
    <w:rsid w:val="003B0ACC"/>
    <w:rsid w:val="003B0D74"/>
    <w:rsid w:val="003B1517"/>
    <w:rsid w:val="003B1EC6"/>
    <w:rsid w:val="003B2B76"/>
    <w:rsid w:val="003B3718"/>
    <w:rsid w:val="003B6186"/>
    <w:rsid w:val="003B6C9F"/>
    <w:rsid w:val="003B73D5"/>
    <w:rsid w:val="003B7B3B"/>
    <w:rsid w:val="003C13B7"/>
    <w:rsid w:val="003C1449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5703"/>
    <w:rsid w:val="003D62F6"/>
    <w:rsid w:val="003D7895"/>
    <w:rsid w:val="003E091B"/>
    <w:rsid w:val="003E146F"/>
    <w:rsid w:val="003E165E"/>
    <w:rsid w:val="003E2AF6"/>
    <w:rsid w:val="003E31CD"/>
    <w:rsid w:val="003E367B"/>
    <w:rsid w:val="003E53C5"/>
    <w:rsid w:val="003E56D8"/>
    <w:rsid w:val="003E7039"/>
    <w:rsid w:val="003F07E7"/>
    <w:rsid w:val="003F0A4D"/>
    <w:rsid w:val="003F1C93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130A6"/>
    <w:rsid w:val="0041356D"/>
    <w:rsid w:val="00413ADB"/>
    <w:rsid w:val="0041502E"/>
    <w:rsid w:val="00415075"/>
    <w:rsid w:val="004150FC"/>
    <w:rsid w:val="0041600B"/>
    <w:rsid w:val="004169FB"/>
    <w:rsid w:val="004215B4"/>
    <w:rsid w:val="00422301"/>
    <w:rsid w:val="00422C8B"/>
    <w:rsid w:val="004238B9"/>
    <w:rsid w:val="00426013"/>
    <w:rsid w:val="0042676A"/>
    <w:rsid w:val="00426779"/>
    <w:rsid w:val="00430556"/>
    <w:rsid w:val="00431374"/>
    <w:rsid w:val="0043165A"/>
    <w:rsid w:val="00431DFE"/>
    <w:rsid w:val="004320F4"/>
    <w:rsid w:val="00432541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3955"/>
    <w:rsid w:val="00445579"/>
    <w:rsid w:val="00446752"/>
    <w:rsid w:val="00446BC7"/>
    <w:rsid w:val="0044758F"/>
    <w:rsid w:val="004476F8"/>
    <w:rsid w:val="00447760"/>
    <w:rsid w:val="004515A0"/>
    <w:rsid w:val="00452B1D"/>
    <w:rsid w:val="00452EA9"/>
    <w:rsid w:val="004556F3"/>
    <w:rsid w:val="00457AA1"/>
    <w:rsid w:val="00457DB3"/>
    <w:rsid w:val="004645F5"/>
    <w:rsid w:val="0046493C"/>
    <w:rsid w:val="00465925"/>
    <w:rsid w:val="00466B47"/>
    <w:rsid w:val="004673C8"/>
    <w:rsid w:val="00470511"/>
    <w:rsid w:val="004717FE"/>
    <w:rsid w:val="004719DB"/>
    <w:rsid w:val="00473237"/>
    <w:rsid w:val="00473872"/>
    <w:rsid w:val="004742BC"/>
    <w:rsid w:val="0047504C"/>
    <w:rsid w:val="0047558D"/>
    <w:rsid w:val="00475ADE"/>
    <w:rsid w:val="004772A2"/>
    <w:rsid w:val="004776F1"/>
    <w:rsid w:val="00480BCC"/>
    <w:rsid w:val="00481D08"/>
    <w:rsid w:val="00482630"/>
    <w:rsid w:val="00482E82"/>
    <w:rsid w:val="004831BB"/>
    <w:rsid w:val="00484481"/>
    <w:rsid w:val="0048481F"/>
    <w:rsid w:val="00485744"/>
    <w:rsid w:val="00487FB1"/>
    <w:rsid w:val="0049292E"/>
    <w:rsid w:val="00492C73"/>
    <w:rsid w:val="004931C5"/>
    <w:rsid w:val="0049405D"/>
    <w:rsid w:val="0049568A"/>
    <w:rsid w:val="00496096"/>
    <w:rsid w:val="004A019B"/>
    <w:rsid w:val="004A0AD4"/>
    <w:rsid w:val="004A12EB"/>
    <w:rsid w:val="004A1E44"/>
    <w:rsid w:val="004A31C4"/>
    <w:rsid w:val="004A4252"/>
    <w:rsid w:val="004A5CAF"/>
    <w:rsid w:val="004A63D2"/>
    <w:rsid w:val="004A68FB"/>
    <w:rsid w:val="004A6A6F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28BB"/>
    <w:rsid w:val="004C30A8"/>
    <w:rsid w:val="004C3A69"/>
    <w:rsid w:val="004C41CC"/>
    <w:rsid w:val="004C4B68"/>
    <w:rsid w:val="004C5F79"/>
    <w:rsid w:val="004C6E0A"/>
    <w:rsid w:val="004C6EE3"/>
    <w:rsid w:val="004D12C0"/>
    <w:rsid w:val="004D17C2"/>
    <w:rsid w:val="004D46C1"/>
    <w:rsid w:val="004E065A"/>
    <w:rsid w:val="004E0700"/>
    <w:rsid w:val="004E10B6"/>
    <w:rsid w:val="004E3415"/>
    <w:rsid w:val="004E3776"/>
    <w:rsid w:val="004E51AB"/>
    <w:rsid w:val="004E60E3"/>
    <w:rsid w:val="004E71DB"/>
    <w:rsid w:val="004E74B2"/>
    <w:rsid w:val="004F0B9D"/>
    <w:rsid w:val="004F4B16"/>
    <w:rsid w:val="004F4C23"/>
    <w:rsid w:val="004F5D9D"/>
    <w:rsid w:val="004F68B1"/>
    <w:rsid w:val="004F70EC"/>
    <w:rsid w:val="004F710D"/>
    <w:rsid w:val="00500160"/>
    <w:rsid w:val="005002E2"/>
    <w:rsid w:val="00500EAF"/>
    <w:rsid w:val="0050139D"/>
    <w:rsid w:val="00501795"/>
    <w:rsid w:val="00501B3F"/>
    <w:rsid w:val="00502105"/>
    <w:rsid w:val="00503EF2"/>
    <w:rsid w:val="005052A2"/>
    <w:rsid w:val="0050583C"/>
    <w:rsid w:val="00506B9A"/>
    <w:rsid w:val="00506D6A"/>
    <w:rsid w:val="0050737E"/>
    <w:rsid w:val="00507E5C"/>
    <w:rsid w:val="005137DD"/>
    <w:rsid w:val="005153C5"/>
    <w:rsid w:val="00515548"/>
    <w:rsid w:val="00517835"/>
    <w:rsid w:val="00520C74"/>
    <w:rsid w:val="005211A7"/>
    <w:rsid w:val="00525E76"/>
    <w:rsid w:val="00526F60"/>
    <w:rsid w:val="00530B31"/>
    <w:rsid w:val="0053113E"/>
    <w:rsid w:val="00531DCE"/>
    <w:rsid w:val="005326B6"/>
    <w:rsid w:val="00532F6C"/>
    <w:rsid w:val="005334B2"/>
    <w:rsid w:val="00533766"/>
    <w:rsid w:val="0053494E"/>
    <w:rsid w:val="00534954"/>
    <w:rsid w:val="0053642E"/>
    <w:rsid w:val="00537060"/>
    <w:rsid w:val="005416D7"/>
    <w:rsid w:val="00542256"/>
    <w:rsid w:val="00543648"/>
    <w:rsid w:val="00543885"/>
    <w:rsid w:val="00544917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EC0"/>
    <w:rsid w:val="00563206"/>
    <w:rsid w:val="00563922"/>
    <w:rsid w:val="00563E31"/>
    <w:rsid w:val="00564C24"/>
    <w:rsid w:val="00564DCC"/>
    <w:rsid w:val="005656C2"/>
    <w:rsid w:val="0057119B"/>
    <w:rsid w:val="005729B2"/>
    <w:rsid w:val="0057461A"/>
    <w:rsid w:val="005747FB"/>
    <w:rsid w:val="00574C37"/>
    <w:rsid w:val="00575079"/>
    <w:rsid w:val="00575363"/>
    <w:rsid w:val="00575449"/>
    <w:rsid w:val="005757C4"/>
    <w:rsid w:val="005765A4"/>
    <w:rsid w:val="00576A24"/>
    <w:rsid w:val="00576B4D"/>
    <w:rsid w:val="00580A75"/>
    <w:rsid w:val="00583441"/>
    <w:rsid w:val="005842E1"/>
    <w:rsid w:val="005863B1"/>
    <w:rsid w:val="0058686F"/>
    <w:rsid w:val="00587010"/>
    <w:rsid w:val="0059163E"/>
    <w:rsid w:val="00592638"/>
    <w:rsid w:val="00592C77"/>
    <w:rsid w:val="00594D75"/>
    <w:rsid w:val="00595490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1238"/>
    <w:rsid w:val="005B173D"/>
    <w:rsid w:val="005B30F3"/>
    <w:rsid w:val="005B5B16"/>
    <w:rsid w:val="005B6B2A"/>
    <w:rsid w:val="005C1DBC"/>
    <w:rsid w:val="005C2FE7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94F"/>
    <w:rsid w:val="005D349E"/>
    <w:rsid w:val="005D3EDB"/>
    <w:rsid w:val="005D497D"/>
    <w:rsid w:val="005D4D9F"/>
    <w:rsid w:val="005D535C"/>
    <w:rsid w:val="005D581A"/>
    <w:rsid w:val="005D7673"/>
    <w:rsid w:val="005E00C1"/>
    <w:rsid w:val="005E387F"/>
    <w:rsid w:val="005E396F"/>
    <w:rsid w:val="005E4BC9"/>
    <w:rsid w:val="005E4C1C"/>
    <w:rsid w:val="005E67DD"/>
    <w:rsid w:val="005E726E"/>
    <w:rsid w:val="005E783E"/>
    <w:rsid w:val="005F216C"/>
    <w:rsid w:val="005F40B5"/>
    <w:rsid w:val="005F45DB"/>
    <w:rsid w:val="005F507B"/>
    <w:rsid w:val="005F5266"/>
    <w:rsid w:val="005F66A0"/>
    <w:rsid w:val="005F7682"/>
    <w:rsid w:val="006022F2"/>
    <w:rsid w:val="006029F1"/>
    <w:rsid w:val="00603A63"/>
    <w:rsid w:val="00603C16"/>
    <w:rsid w:val="0060433B"/>
    <w:rsid w:val="00604CE0"/>
    <w:rsid w:val="00604F97"/>
    <w:rsid w:val="006078EA"/>
    <w:rsid w:val="00607CBD"/>
    <w:rsid w:val="00610997"/>
    <w:rsid w:val="006115FE"/>
    <w:rsid w:val="00611A3B"/>
    <w:rsid w:val="00611DCE"/>
    <w:rsid w:val="00615182"/>
    <w:rsid w:val="00616501"/>
    <w:rsid w:val="00616C3F"/>
    <w:rsid w:val="00617839"/>
    <w:rsid w:val="006203F4"/>
    <w:rsid w:val="00623381"/>
    <w:rsid w:val="006237F7"/>
    <w:rsid w:val="006248BE"/>
    <w:rsid w:val="0063124C"/>
    <w:rsid w:val="0063325D"/>
    <w:rsid w:val="006337C9"/>
    <w:rsid w:val="00634E94"/>
    <w:rsid w:val="00634F64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9AF"/>
    <w:rsid w:val="00646F34"/>
    <w:rsid w:val="00647DA6"/>
    <w:rsid w:val="0065028B"/>
    <w:rsid w:val="006513EB"/>
    <w:rsid w:val="00653A3C"/>
    <w:rsid w:val="00653E16"/>
    <w:rsid w:val="00653EA3"/>
    <w:rsid w:val="00654F3D"/>
    <w:rsid w:val="00655FE1"/>
    <w:rsid w:val="0065655C"/>
    <w:rsid w:val="006568E2"/>
    <w:rsid w:val="00661356"/>
    <w:rsid w:val="006619F8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3DE8"/>
    <w:rsid w:val="006749F3"/>
    <w:rsid w:val="00674FDF"/>
    <w:rsid w:val="00682255"/>
    <w:rsid w:val="00683DAF"/>
    <w:rsid w:val="006843BB"/>
    <w:rsid w:val="00684A7F"/>
    <w:rsid w:val="00684DDA"/>
    <w:rsid w:val="00684DEC"/>
    <w:rsid w:val="00684FDD"/>
    <w:rsid w:val="00686CA6"/>
    <w:rsid w:val="006871A0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1D97"/>
    <w:rsid w:val="006A2369"/>
    <w:rsid w:val="006A38B2"/>
    <w:rsid w:val="006A5836"/>
    <w:rsid w:val="006A7B5D"/>
    <w:rsid w:val="006B018A"/>
    <w:rsid w:val="006B0E1E"/>
    <w:rsid w:val="006B2564"/>
    <w:rsid w:val="006B2DCE"/>
    <w:rsid w:val="006B3017"/>
    <w:rsid w:val="006B43BC"/>
    <w:rsid w:val="006B4D07"/>
    <w:rsid w:val="006B53BB"/>
    <w:rsid w:val="006B5BF9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B36"/>
    <w:rsid w:val="006D3D26"/>
    <w:rsid w:val="006D3DB2"/>
    <w:rsid w:val="006D43E1"/>
    <w:rsid w:val="006D50C1"/>
    <w:rsid w:val="006D6CC0"/>
    <w:rsid w:val="006D7072"/>
    <w:rsid w:val="006E0361"/>
    <w:rsid w:val="006E145A"/>
    <w:rsid w:val="006E15E3"/>
    <w:rsid w:val="006E2387"/>
    <w:rsid w:val="006E24AD"/>
    <w:rsid w:val="006E26A0"/>
    <w:rsid w:val="006E510D"/>
    <w:rsid w:val="006E5173"/>
    <w:rsid w:val="006E5200"/>
    <w:rsid w:val="006E672C"/>
    <w:rsid w:val="006E7BC3"/>
    <w:rsid w:val="006E7BFD"/>
    <w:rsid w:val="006F0571"/>
    <w:rsid w:val="006F182E"/>
    <w:rsid w:val="006F3AE3"/>
    <w:rsid w:val="006F5B00"/>
    <w:rsid w:val="006F7377"/>
    <w:rsid w:val="006F7D59"/>
    <w:rsid w:val="0070000E"/>
    <w:rsid w:val="00700F57"/>
    <w:rsid w:val="00702E28"/>
    <w:rsid w:val="00703EFC"/>
    <w:rsid w:val="0070415B"/>
    <w:rsid w:val="007043A6"/>
    <w:rsid w:val="0070444C"/>
    <w:rsid w:val="007051B7"/>
    <w:rsid w:val="00705217"/>
    <w:rsid w:val="007053D4"/>
    <w:rsid w:val="0070567E"/>
    <w:rsid w:val="00705A22"/>
    <w:rsid w:val="00706146"/>
    <w:rsid w:val="007122A8"/>
    <w:rsid w:val="00713508"/>
    <w:rsid w:val="00713608"/>
    <w:rsid w:val="00716027"/>
    <w:rsid w:val="007162FA"/>
    <w:rsid w:val="00716332"/>
    <w:rsid w:val="00717C33"/>
    <w:rsid w:val="00717EB6"/>
    <w:rsid w:val="007211C8"/>
    <w:rsid w:val="0072273E"/>
    <w:rsid w:val="00724D08"/>
    <w:rsid w:val="00725BD7"/>
    <w:rsid w:val="00727264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579E"/>
    <w:rsid w:val="00746225"/>
    <w:rsid w:val="00746768"/>
    <w:rsid w:val="00750B82"/>
    <w:rsid w:val="007511D9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405C"/>
    <w:rsid w:val="007A4626"/>
    <w:rsid w:val="007A59F1"/>
    <w:rsid w:val="007A5FD1"/>
    <w:rsid w:val="007A62ED"/>
    <w:rsid w:val="007A7222"/>
    <w:rsid w:val="007B075C"/>
    <w:rsid w:val="007B4B22"/>
    <w:rsid w:val="007B5E02"/>
    <w:rsid w:val="007B654B"/>
    <w:rsid w:val="007B719B"/>
    <w:rsid w:val="007B7637"/>
    <w:rsid w:val="007B7819"/>
    <w:rsid w:val="007C0915"/>
    <w:rsid w:val="007C1C13"/>
    <w:rsid w:val="007C225E"/>
    <w:rsid w:val="007C2E24"/>
    <w:rsid w:val="007C35FD"/>
    <w:rsid w:val="007C3DE5"/>
    <w:rsid w:val="007C4F7F"/>
    <w:rsid w:val="007C541E"/>
    <w:rsid w:val="007C6E1E"/>
    <w:rsid w:val="007C78C4"/>
    <w:rsid w:val="007C7A97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2AAD"/>
    <w:rsid w:val="007F4F2F"/>
    <w:rsid w:val="007F63F2"/>
    <w:rsid w:val="007F6FE3"/>
    <w:rsid w:val="00800357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F85"/>
    <w:rsid w:val="008229D4"/>
    <w:rsid w:val="008230E8"/>
    <w:rsid w:val="008232CA"/>
    <w:rsid w:val="00823ADA"/>
    <w:rsid w:val="00823B3E"/>
    <w:rsid w:val="00824E01"/>
    <w:rsid w:val="00825C2F"/>
    <w:rsid w:val="00826338"/>
    <w:rsid w:val="00826965"/>
    <w:rsid w:val="00827260"/>
    <w:rsid w:val="00830765"/>
    <w:rsid w:val="00830AA3"/>
    <w:rsid w:val="00831416"/>
    <w:rsid w:val="00833D8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1631"/>
    <w:rsid w:val="0085234F"/>
    <w:rsid w:val="00853282"/>
    <w:rsid w:val="008549FD"/>
    <w:rsid w:val="00855568"/>
    <w:rsid w:val="00855FFD"/>
    <w:rsid w:val="008560AA"/>
    <w:rsid w:val="00856101"/>
    <w:rsid w:val="00857CC3"/>
    <w:rsid w:val="008616E7"/>
    <w:rsid w:val="0086177F"/>
    <w:rsid w:val="0086620F"/>
    <w:rsid w:val="00866AF3"/>
    <w:rsid w:val="00866C82"/>
    <w:rsid w:val="008672E6"/>
    <w:rsid w:val="008677E5"/>
    <w:rsid w:val="00867C57"/>
    <w:rsid w:val="00874311"/>
    <w:rsid w:val="00874EC5"/>
    <w:rsid w:val="00875741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5016"/>
    <w:rsid w:val="00886823"/>
    <w:rsid w:val="00886BC0"/>
    <w:rsid w:val="0089075D"/>
    <w:rsid w:val="008913B9"/>
    <w:rsid w:val="008917A2"/>
    <w:rsid w:val="008938BD"/>
    <w:rsid w:val="008938D5"/>
    <w:rsid w:val="00894718"/>
    <w:rsid w:val="008964DA"/>
    <w:rsid w:val="0089703E"/>
    <w:rsid w:val="008A05B4"/>
    <w:rsid w:val="008A16AF"/>
    <w:rsid w:val="008A1A26"/>
    <w:rsid w:val="008A1D16"/>
    <w:rsid w:val="008A400D"/>
    <w:rsid w:val="008A48EB"/>
    <w:rsid w:val="008A600D"/>
    <w:rsid w:val="008A7119"/>
    <w:rsid w:val="008B07D3"/>
    <w:rsid w:val="008B131C"/>
    <w:rsid w:val="008B1E0A"/>
    <w:rsid w:val="008B1E53"/>
    <w:rsid w:val="008B22B6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7021"/>
    <w:rsid w:val="008E09E2"/>
    <w:rsid w:val="008E1610"/>
    <w:rsid w:val="008E1E4F"/>
    <w:rsid w:val="008E35C2"/>
    <w:rsid w:val="008E74FA"/>
    <w:rsid w:val="008E7876"/>
    <w:rsid w:val="008E7C8C"/>
    <w:rsid w:val="008E7F8D"/>
    <w:rsid w:val="008E7FB7"/>
    <w:rsid w:val="008F132E"/>
    <w:rsid w:val="008F13C2"/>
    <w:rsid w:val="008F2EF0"/>
    <w:rsid w:val="008F3F61"/>
    <w:rsid w:val="008F49A9"/>
    <w:rsid w:val="008F4F40"/>
    <w:rsid w:val="008F63CE"/>
    <w:rsid w:val="008F6657"/>
    <w:rsid w:val="008F7B0E"/>
    <w:rsid w:val="00901136"/>
    <w:rsid w:val="00902823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F68"/>
    <w:rsid w:val="009676F5"/>
    <w:rsid w:val="00967F78"/>
    <w:rsid w:val="00970F1D"/>
    <w:rsid w:val="0097115D"/>
    <w:rsid w:val="009713DE"/>
    <w:rsid w:val="00972FC0"/>
    <w:rsid w:val="00974CC4"/>
    <w:rsid w:val="0097555C"/>
    <w:rsid w:val="00975D71"/>
    <w:rsid w:val="00976A55"/>
    <w:rsid w:val="00980252"/>
    <w:rsid w:val="00980542"/>
    <w:rsid w:val="00980CD5"/>
    <w:rsid w:val="00981CE7"/>
    <w:rsid w:val="00982D21"/>
    <w:rsid w:val="00984915"/>
    <w:rsid w:val="00986F45"/>
    <w:rsid w:val="009872B2"/>
    <w:rsid w:val="00990A43"/>
    <w:rsid w:val="00990CD5"/>
    <w:rsid w:val="009919E7"/>
    <w:rsid w:val="0099219C"/>
    <w:rsid w:val="00992989"/>
    <w:rsid w:val="009929C8"/>
    <w:rsid w:val="00993241"/>
    <w:rsid w:val="00997281"/>
    <w:rsid w:val="009A08B6"/>
    <w:rsid w:val="009A17C8"/>
    <w:rsid w:val="009A1E68"/>
    <w:rsid w:val="009A3692"/>
    <w:rsid w:val="009A499C"/>
    <w:rsid w:val="009A5127"/>
    <w:rsid w:val="009A5547"/>
    <w:rsid w:val="009A688D"/>
    <w:rsid w:val="009A695F"/>
    <w:rsid w:val="009A7259"/>
    <w:rsid w:val="009A7CAB"/>
    <w:rsid w:val="009B020F"/>
    <w:rsid w:val="009B0584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A13"/>
    <w:rsid w:val="009C7F03"/>
    <w:rsid w:val="009D2063"/>
    <w:rsid w:val="009D255F"/>
    <w:rsid w:val="009D2FA2"/>
    <w:rsid w:val="009D3F28"/>
    <w:rsid w:val="009D66B5"/>
    <w:rsid w:val="009E048A"/>
    <w:rsid w:val="009E31B8"/>
    <w:rsid w:val="009E4AAC"/>
    <w:rsid w:val="009E526E"/>
    <w:rsid w:val="009E5282"/>
    <w:rsid w:val="009E61B6"/>
    <w:rsid w:val="009E70DC"/>
    <w:rsid w:val="009E7F5C"/>
    <w:rsid w:val="009F0115"/>
    <w:rsid w:val="009F17C4"/>
    <w:rsid w:val="009F1836"/>
    <w:rsid w:val="009F2CA1"/>
    <w:rsid w:val="009F3D33"/>
    <w:rsid w:val="009F4883"/>
    <w:rsid w:val="009F48D9"/>
    <w:rsid w:val="009F4BDE"/>
    <w:rsid w:val="009F5173"/>
    <w:rsid w:val="009F5563"/>
    <w:rsid w:val="009F5924"/>
    <w:rsid w:val="00A015D1"/>
    <w:rsid w:val="00A02588"/>
    <w:rsid w:val="00A02BB4"/>
    <w:rsid w:val="00A03186"/>
    <w:rsid w:val="00A054DF"/>
    <w:rsid w:val="00A0558C"/>
    <w:rsid w:val="00A0773C"/>
    <w:rsid w:val="00A114E6"/>
    <w:rsid w:val="00A13A5D"/>
    <w:rsid w:val="00A14063"/>
    <w:rsid w:val="00A15217"/>
    <w:rsid w:val="00A16A06"/>
    <w:rsid w:val="00A16A28"/>
    <w:rsid w:val="00A17AAD"/>
    <w:rsid w:val="00A17CA3"/>
    <w:rsid w:val="00A22329"/>
    <w:rsid w:val="00A224F9"/>
    <w:rsid w:val="00A235D0"/>
    <w:rsid w:val="00A23D17"/>
    <w:rsid w:val="00A250FE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632C"/>
    <w:rsid w:val="00A367CC"/>
    <w:rsid w:val="00A369A1"/>
    <w:rsid w:val="00A408D1"/>
    <w:rsid w:val="00A41354"/>
    <w:rsid w:val="00A43002"/>
    <w:rsid w:val="00A433A3"/>
    <w:rsid w:val="00A44BC8"/>
    <w:rsid w:val="00A44DAA"/>
    <w:rsid w:val="00A4523C"/>
    <w:rsid w:val="00A4551E"/>
    <w:rsid w:val="00A45B45"/>
    <w:rsid w:val="00A52898"/>
    <w:rsid w:val="00A532A2"/>
    <w:rsid w:val="00A542A3"/>
    <w:rsid w:val="00A54377"/>
    <w:rsid w:val="00A55F87"/>
    <w:rsid w:val="00A5783E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F18"/>
    <w:rsid w:val="00A70297"/>
    <w:rsid w:val="00A704A9"/>
    <w:rsid w:val="00A70557"/>
    <w:rsid w:val="00A7098B"/>
    <w:rsid w:val="00A717F0"/>
    <w:rsid w:val="00A71E8F"/>
    <w:rsid w:val="00A72A3E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4E18"/>
    <w:rsid w:val="00A8529D"/>
    <w:rsid w:val="00A868FD"/>
    <w:rsid w:val="00A87FD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A18A2"/>
    <w:rsid w:val="00AA2245"/>
    <w:rsid w:val="00AA3A8A"/>
    <w:rsid w:val="00AA44D2"/>
    <w:rsid w:val="00AA5B6A"/>
    <w:rsid w:val="00AA6899"/>
    <w:rsid w:val="00AB2FF5"/>
    <w:rsid w:val="00AB30EB"/>
    <w:rsid w:val="00AB3C6A"/>
    <w:rsid w:val="00AB7D44"/>
    <w:rsid w:val="00AC0044"/>
    <w:rsid w:val="00AC0945"/>
    <w:rsid w:val="00AC0B82"/>
    <w:rsid w:val="00AC296A"/>
    <w:rsid w:val="00AC4B90"/>
    <w:rsid w:val="00AC651B"/>
    <w:rsid w:val="00AC6658"/>
    <w:rsid w:val="00AD02AE"/>
    <w:rsid w:val="00AD06F8"/>
    <w:rsid w:val="00AD1BEF"/>
    <w:rsid w:val="00AD316A"/>
    <w:rsid w:val="00AD3B15"/>
    <w:rsid w:val="00AD3D96"/>
    <w:rsid w:val="00AD402A"/>
    <w:rsid w:val="00AD47F3"/>
    <w:rsid w:val="00AD7BDF"/>
    <w:rsid w:val="00AD7EB2"/>
    <w:rsid w:val="00AD7EEA"/>
    <w:rsid w:val="00AE4CB0"/>
    <w:rsid w:val="00AE631D"/>
    <w:rsid w:val="00AE7134"/>
    <w:rsid w:val="00AE74CE"/>
    <w:rsid w:val="00AF0C76"/>
    <w:rsid w:val="00AF0D0C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E09"/>
    <w:rsid w:val="00B068E6"/>
    <w:rsid w:val="00B0766E"/>
    <w:rsid w:val="00B10AA6"/>
    <w:rsid w:val="00B114BA"/>
    <w:rsid w:val="00B11845"/>
    <w:rsid w:val="00B11C98"/>
    <w:rsid w:val="00B13141"/>
    <w:rsid w:val="00B1389F"/>
    <w:rsid w:val="00B147A6"/>
    <w:rsid w:val="00B161A9"/>
    <w:rsid w:val="00B166FD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791F"/>
    <w:rsid w:val="00B4029E"/>
    <w:rsid w:val="00B40438"/>
    <w:rsid w:val="00B40C7D"/>
    <w:rsid w:val="00B41E70"/>
    <w:rsid w:val="00B43FC8"/>
    <w:rsid w:val="00B4546D"/>
    <w:rsid w:val="00B456E8"/>
    <w:rsid w:val="00B512FC"/>
    <w:rsid w:val="00B51F2E"/>
    <w:rsid w:val="00B52321"/>
    <w:rsid w:val="00B53930"/>
    <w:rsid w:val="00B5434B"/>
    <w:rsid w:val="00B552A7"/>
    <w:rsid w:val="00B55ABC"/>
    <w:rsid w:val="00B564E6"/>
    <w:rsid w:val="00B62EFA"/>
    <w:rsid w:val="00B63EED"/>
    <w:rsid w:val="00B659AA"/>
    <w:rsid w:val="00B67136"/>
    <w:rsid w:val="00B67968"/>
    <w:rsid w:val="00B70E95"/>
    <w:rsid w:val="00B71106"/>
    <w:rsid w:val="00B72D1A"/>
    <w:rsid w:val="00B732F4"/>
    <w:rsid w:val="00B74506"/>
    <w:rsid w:val="00B77A9C"/>
    <w:rsid w:val="00B80E9D"/>
    <w:rsid w:val="00B81B35"/>
    <w:rsid w:val="00B81E15"/>
    <w:rsid w:val="00B83088"/>
    <w:rsid w:val="00B836A7"/>
    <w:rsid w:val="00B85C47"/>
    <w:rsid w:val="00B86910"/>
    <w:rsid w:val="00B875C0"/>
    <w:rsid w:val="00B87E35"/>
    <w:rsid w:val="00B915C7"/>
    <w:rsid w:val="00B916ED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E6F"/>
    <w:rsid w:val="00BA14BA"/>
    <w:rsid w:val="00BA36FC"/>
    <w:rsid w:val="00BA3FAE"/>
    <w:rsid w:val="00BA4F13"/>
    <w:rsid w:val="00BA5D03"/>
    <w:rsid w:val="00BA5E67"/>
    <w:rsid w:val="00BA76A4"/>
    <w:rsid w:val="00BB1883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B26"/>
    <w:rsid w:val="00BD0DBF"/>
    <w:rsid w:val="00BD22B7"/>
    <w:rsid w:val="00BD3AB6"/>
    <w:rsid w:val="00BD5176"/>
    <w:rsid w:val="00BD60FF"/>
    <w:rsid w:val="00BE1894"/>
    <w:rsid w:val="00BE1A5B"/>
    <w:rsid w:val="00BE2F01"/>
    <w:rsid w:val="00BE37EC"/>
    <w:rsid w:val="00BE5DD4"/>
    <w:rsid w:val="00BE6491"/>
    <w:rsid w:val="00BE7A0F"/>
    <w:rsid w:val="00BF0523"/>
    <w:rsid w:val="00BF273A"/>
    <w:rsid w:val="00BF3424"/>
    <w:rsid w:val="00BF44A8"/>
    <w:rsid w:val="00BF59E7"/>
    <w:rsid w:val="00BF5EC6"/>
    <w:rsid w:val="00BF6BDE"/>
    <w:rsid w:val="00BF7D0E"/>
    <w:rsid w:val="00BF7E78"/>
    <w:rsid w:val="00C00500"/>
    <w:rsid w:val="00C02B98"/>
    <w:rsid w:val="00C05376"/>
    <w:rsid w:val="00C05E57"/>
    <w:rsid w:val="00C06FA5"/>
    <w:rsid w:val="00C07BAD"/>
    <w:rsid w:val="00C07CCA"/>
    <w:rsid w:val="00C1036A"/>
    <w:rsid w:val="00C11866"/>
    <w:rsid w:val="00C13E72"/>
    <w:rsid w:val="00C15A13"/>
    <w:rsid w:val="00C16370"/>
    <w:rsid w:val="00C16B6D"/>
    <w:rsid w:val="00C16C19"/>
    <w:rsid w:val="00C17059"/>
    <w:rsid w:val="00C17262"/>
    <w:rsid w:val="00C17ABB"/>
    <w:rsid w:val="00C200AA"/>
    <w:rsid w:val="00C200CA"/>
    <w:rsid w:val="00C20C09"/>
    <w:rsid w:val="00C2360C"/>
    <w:rsid w:val="00C24095"/>
    <w:rsid w:val="00C24C03"/>
    <w:rsid w:val="00C2569A"/>
    <w:rsid w:val="00C25D09"/>
    <w:rsid w:val="00C30902"/>
    <w:rsid w:val="00C31116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DAC"/>
    <w:rsid w:val="00C70734"/>
    <w:rsid w:val="00C70FFC"/>
    <w:rsid w:val="00C71BD8"/>
    <w:rsid w:val="00C748FD"/>
    <w:rsid w:val="00C8049A"/>
    <w:rsid w:val="00C814C7"/>
    <w:rsid w:val="00C82054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BD6"/>
    <w:rsid w:val="00C96290"/>
    <w:rsid w:val="00C96292"/>
    <w:rsid w:val="00C96BB8"/>
    <w:rsid w:val="00CA1B9E"/>
    <w:rsid w:val="00CA1DF3"/>
    <w:rsid w:val="00CA2B15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2450"/>
    <w:rsid w:val="00CC55CC"/>
    <w:rsid w:val="00CC5754"/>
    <w:rsid w:val="00CC5B7D"/>
    <w:rsid w:val="00CD0380"/>
    <w:rsid w:val="00CD063B"/>
    <w:rsid w:val="00CD0F10"/>
    <w:rsid w:val="00CD15A0"/>
    <w:rsid w:val="00CD1675"/>
    <w:rsid w:val="00CD2285"/>
    <w:rsid w:val="00CD3C33"/>
    <w:rsid w:val="00CD3E89"/>
    <w:rsid w:val="00CD44D9"/>
    <w:rsid w:val="00CD556D"/>
    <w:rsid w:val="00CE04FD"/>
    <w:rsid w:val="00CE1073"/>
    <w:rsid w:val="00CE13E8"/>
    <w:rsid w:val="00CE1B3B"/>
    <w:rsid w:val="00CE246A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FE8"/>
    <w:rsid w:val="00CF1547"/>
    <w:rsid w:val="00CF1599"/>
    <w:rsid w:val="00CF168B"/>
    <w:rsid w:val="00CF1EA8"/>
    <w:rsid w:val="00CF3602"/>
    <w:rsid w:val="00CF37F3"/>
    <w:rsid w:val="00CF562A"/>
    <w:rsid w:val="00CF5D17"/>
    <w:rsid w:val="00D02BCE"/>
    <w:rsid w:val="00D02C19"/>
    <w:rsid w:val="00D039CD"/>
    <w:rsid w:val="00D03F91"/>
    <w:rsid w:val="00D0618A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B2"/>
    <w:rsid w:val="00D16801"/>
    <w:rsid w:val="00D17753"/>
    <w:rsid w:val="00D17D50"/>
    <w:rsid w:val="00D20F23"/>
    <w:rsid w:val="00D21B83"/>
    <w:rsid w:val="00D256BD"/>
    <w:rsid w:val="00D26D23"/>
    <w:rsid w:val="00D27180"/>
    <w:rsid w:val="00D31267"/>
    <w:rsid w:val="00D31975"/>
    <w:rsid w:val="00D31E7C"/>
    <w:rsid w:val="00D324E9"/>
    <w:rsid w:val="00D34B67"/>
    <w:rsid w:val="00D4012C"/>
    <w:rsid w:val="00D40203"/>
    <w:rsid w:val="00D41833"/>
    <w:rsid w:val="00D42C77"/>
    <w:rsid w:val="00D437F1"/>
    <w:rsid w:val="00D439AE"/>
    <w:rsid w:val="00D47493"/>
    <w:rsid w:val="00D479D1"/>
    <w:rsid w:val="00D479F0"/>
    <w:rsid w:val="00D50BB5"/>
    <w:rsid w:val="00D50C65"/>
    <w:rsid w:val="00D50DED"/>
    <w:rsid w:val="00D53ADD"/>
    <w:rsid w:val="00D53C30"/>
    <w:rsid w:val="00D547DA"/>
    <w:rsid w:val="00D54F2D"/>
    <w:rsid w:val="00D551BC"/>
    <w:rsid w:val="00D5766C"/>
    <w:rsid w:val="00D577AD"/>
    <w:rsid w:val="00D5795A"/>
    <w:rsid w:val="00D60379"/>
    <w:rsid w:val="00D60812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5BB1"/>
    <w:rsid w:val="00D76560"/>
    <w:rsid w:val="00D773BD"/>
    <w:rsid w:val="00D774E2"/>
    <w:rsid w:val="00D779FC"/>
    <w:rsid w:val="00D80247"/>
    <w:rsid w:val="00D81C64"/>
    <w:rsid w:val="00D81EBF"/>
    <w:rsid w:val="00D8514E"/>
    <w:rsid w:val="00D85A42"/>
    <w:rsid w:val="00D8652F"/>
    <w:rsid w:val="00D8680A"/>
    <w:rsid w:val="00D86FDF"/>
    <w:rsid w:val="00D918B7"/>
    <w:rsid w:val="00D93958"/>
    <w:rsid w:val="00D958BA"/>
    <w:rsid w:val="00D95C18"/>
    <w:rsid w:val="00D97177"/>
    <w:rsid w:val="00D971B8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25AE"/>
    <w:rsid w:val="00DC26A2"/>
    <w:rsid w:val="00DC307F"/>
    <w:rsid w:val="00DC3DA7"/>
    <w:rsid w:val="00DC4BD3"/>
    <w:rsid w:val="00DC6411"/>
    <w:rsid w:val="00DC69A6"/>
    <w:rsid w:val="00DC7211"/>
    <w:rsid w:val="00DC72E0"/>
    <w:rsid w:val="00DD1D74"/>
    <w:rsid w:val="00DD2444"/>
    <w:rsid w:val="00DD3051"/>
    <w:rsid w:val="00DD3216"/>
    <w:rsid w:val="00DD322B"/>
    <w:rsid w:val="00DD5278"/>
    <w:rsid w:val="00DD5B09"/>
    <w:rsid w:val="00DD61AB"/>
    <w:rsid w:val="00DD6B4A"/>
    <w:rsid w:val="00DD7BC2"/>
    <w:rsid w:val="00DE0530"/>
    <w:rsid w:val="00DE128E"/>
    <w:rsid w:val="00DE29AA"/>
    <w:rsid w:val="00DE2E3E"/>
    <w:rsid w:val="00DE3C1D"/>
    <w:rsid w:val="00DE541B"/>
    <w:rsid w:val="00DE5439"/>
    <w:rsid w:val="00DE5EA2"/>
    <w:rsid w:val="00DE65B2"/>
    <w:rsid w:val="00DE6948"/>
    <w:rsid w:val="00DE7351"/>
    <w:rsid w:val="00DF00BD"/>
    <w:rsid w:val="00DF01C2"/>
    <w:rsid w:val="00DF0C4E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3475"/>
    <w:rsid w:val="00E2435E"/>
    <w:rsid w:val="00E24955"/>
    <w:rsid w:val="00E25659"/>
    <w:rsid w:val="00E26546"/>
    <w:rsid w:val="00E269D2"/>
    <w:rsid w:val="00E27B8C"/>
    <w:rsid w:val="00E304BD"/>
    <w:rsid w:val="00E30B81"/>
    <w:rsid w:val="00E316DA"/>
    <w:rsid w:val="00E34A2F"/>
    <w:rsid w:val="00E35739"/>
    <w:rsid w:val="00E35872"/>
    <w:rsid w:val="00E40143"/>
    <w:rsid w:val="00E40910"/>
    <w:rsid w:val="00E41D96"/>
    <w:rsid w:val="00E4250F"/>
    <w:rsid w:val="00E43C09"/>
    <w:rsid w:val="00E449B9"/>
    <w:rsid w:val="00E456A0"/>
    <w:rsid w:val="00E45A1C"/>
    <w:rsid w:val="00E4771A"/>
    <w:rsid w:val="00E50020"/>
    <w:rsid w:val="00E5135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AD0"/>
    <w:rsid w:val="00E634D7"/>
    <w:rsid w:val="00E647E3"/>
    <w:rsid w:val="00E647F8"/>
    <w:rsid w:val="00E6549E"/>
    <w:rsid w:val="00E65628"/>
    <w:rsid w:val="00E66230"/>
    <w:rsid w:val="00E66711"/>
    <w:rsid w:val="00E67187"/>
    <w:rsid w:val="00E70A91"/>
    <w:rsid w:val="00E73C29"/>
    <w:rsid w:val="00E745DD"/>
    <w:rsid w:val="00E76F7E"/>
    <w:rsid w:val="00E81687"/>
    <w:rsid w:val="00E81DAA"/>
    <w:rsid w:val="00E82655"/>
    <w:rsid w:val="00E834D5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A17"/>
    <w:rsid w:val="00EC6B62"/>
    <w:rsid w:val="00EC6E73"/>
    <w:rsid w:val="00EC74E4"/>
    <w:rsid w:val="00ED05D8"/>
    <w:rsid w:val="00ED0926"/>
    <w:rsid w:val="00ED10DD"/>
    <w:rsid w:val="00ED15FC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7350"/>
    <w:rsid w:val="00EE766B"/>
    <w:rsid w:val="00EE77CD"/>
    <w:rsid w:val="00EE7C36"/>
    <w:rsid w:val="00EF02C4"/>
    <w:rsid w:val="00EF1ECE"/>
    <w:rsid w:val="00EF201E"/>
    <w:rsid w:val="00EF610A"/>
    <w:rsid w:val="00EF68EE"/>
    <w:rsid w:val="00EF77AD"/>
    <w:rsid w:val="00F01400"/>
    <w:rsid w:val="00F0192F"/>
    <w:rsid w:val="00F05AA4"/>
    <w:rsid w:val="00F05DE3"/>
    <w:rsid w:val="00F06512"/>
    <w:rsid w:val="00F10108"/>
    <w:rsid w:val="00F14B47"/>
    <w:rsid w:val="00F154E9"/>
    <w:rsid w:val="00F165C5"/>
    <w:rsid w:val="00F17D24"/>
    <w:rsid w:val="00F23814"/>
    <w:rsid w:val="00F23AC8"/>
    <w:rsid w:val="00F2598E"/>
    <w:rsid w:val="00F26372"/>
    <w:rsid w:val="00F26462"/>
    <w:rsid w:val="00F3061D"/>
    <w:rsid w:val="00F32065"/>
    <w:rsid w:val="00F35186"/>
    <w:rsid w:val="00F37217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E4D"/>
    <w:rsid w:val="00F7114A"/>
    <w:rsid w:val="00F7116F"/>
    <w:rsid w:val="00F7120A"/>
    <w:rsid w:val="00F71B38"/>
    <w:rsid w:val="00F722B4"/>
    <w:rsid w:val="00F72364"/>
    <w:rsid w:val="00F734AA"/>
    <w:rsid w:val="00F7391E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D21"/>
    <w:rsid w:val="00F95783"/>
    <w:rsid w:val="00F96DFD"/>
    <w:rsid w:val="00F97AC4"/>
    <w:rsid w:val="00F97EC8"/>
    <w:rsid w:val="00FA32B7"/>
    <w:rsid w:val="00FA5348"/>
    <w:rsid w:val="00FA7038"/>
    <w:rsid w:val="00FB1206"/>
    <w:rsid w:val="00FB150C"/>
    <w:rsid w:val="00FB1AF0"/>
    <w:rsid w:val="00FB2168"/>
    <w:rsid w:val="00FB2399"/>
    <w:rsid w:val="00FB281B"/>
    <w:rsid w:val="00FB3B79"/>
    <w:rsid w:val="00FB685E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A03"/>
    <w:rsid w:val="00FC6B73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986"/>
    <w:rsid w:val="00FE25A3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466B"/>
    <w:rsid w:val="00FF5D96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1C08F-B90F-452C-A35F-5A0125DD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3667</Words>
  <Characters>19804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23425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Luiz Fernando Oliveira Wosch</cp:lastModifiedBy>
  <cp:revision>30</cp:revision>
  <cp:lastPrinted>2015-01-09T11:18:00Z</cp:lastPrinted>
  <dcterms:created xsi:type="dcterms:W3CDTF">2017-06-09T11:27:00Z</dcterms:created>
  <dcterms:modified xsi:type="dcterms:W3CDTF">2017-06-12T18:19:00Z</dcterms:modified>
</cp:coreProperties>
</file>