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2" w:rsidRPr="00AB3924" w:rsidRDefault="00C87B02">
      <w:pPr>
        <w:pStyle w:val="Cabealho"/>
        <w:tabs>
          <w:tab w:val="clear" w:pos="4419"/>
          <w:tab w:val="clear" w:pos="8838"/>
        </w:tabs>
        <w:rPr>
          <w:rFonts w:ascii="Arial" w:hAnsi="Arial" w:cs="Arial"/>
          <w:b/>
        </w:rPr>
      </w:pPr>
      <w:r w:rsidRPr="00AB3924">
        <w:rPr>
          <w:rFonts w:ascii="Arial" w:hAnsi="Arial" w:cs="Arial"/>
          <w:b/>
        </w:rPr>
        <w:t>MINISTÉRIO DA AGRICULTURA, PECUÁRIA E ABASTECIMENTO</w:t>
      </w:r>
    </w:p>
    <w:p w:rsidR="00C87B02" w:rsidRPr="00AB3924" w:rsidRDefault="00C87B02">
      <w:pPr>
        <w:pStyle w:val="Cabealho"/>
        <w:tabs>
          <w:tab w:val="clear" w:pos="4419"/>
          <w:tab w:val="clear" w:pos="8838"/>
        </w:tabs>
        <w:rPr>
          <w:rFonts w:ascii="Arial" w:hAnsi="Arial" w:cs="Arial"/>
          <w:b/>
        </w:rPr>
      </w:pPr>
      <w:r w:rsidRPr="00AB3924">
        <w:rPr>
          <w:rFonts w:ascii="Arial" w:hAnsi="Arial" w:cs="Arial"/>
          <w:b/>
        </w:rPr>
        <w:t>Secretaria de Relações Internacionais do Agronegócio</w:t>
      </w:r>
    </w:p>
    <w:p w:rsidR="00C87B02" w:rsidRPr="00AB3924" w:rsidRDefault="00C87B02">
      <w:pPr>
        <w:pStyle w:val="Ttulo1"/>
        <w:rPr>
          <w:rFonts w:ascii="Arial" w:hAnsi="Arial" w:cs="Arial"/>
          <w:sz w:val="20"/>
          <w:szCs w:val="20"/>
        </w:rPr>
      </w:pPr>
    </w:p>
    <w:p w:rsidR="00C87B02" w:rsidRPr="00AB3924" w:rsidRDefault="00C87B02">
      <w:pPr>
        <w:pStyle w:val="Ttulo1"/>
        <w:rPr>
          <w:rFonts w:ascii="Arial" w:hAnsi="Arial" w:cs="Arial"/>
          <w:sz w:val="20"/>
          <w:szCs w:val="20"/>
        </w:rPr>
      </w:pPr>
      <w:r w:rsidRPr="00AB3924">
        <w:rPr>
          <w:rFonts w:ascii="Arial" w:hAnsi="Arial" w:cs="Arial"/>
          <w:sz w:val="20"/>
          <w:szCs w:val="20"/>
        </w:rPr>
        <w:t xml:space="preserve">Balança Comercial do Agronegócio – </w:t>
      </w:r>
      <w:proofErr w:type="gramStart"/>
      <w:r w:rsidR="00651518" w:rsidRPr="00AB3924">
        <w:rPr>
          <w:rFonts w:ascii="Arial" w:hAnsi="Arial" w:cs="Arial"/>
          <w:sz w:val="20"/>
          <w:szCs w:val="20"/>
        </w:rPr>
        <w:t>Novembro</w:t>
      </w:r>
      <w:proofErr w:type="gramEnd"/>
      <w:r w:rsidR="004215B4" w:rsidRPr="00AB3924">
        <w:rPr>
          <w:rFonts w:ascii="Arial" w:hAnsi="Arial" w:cs="Arial"/>
          <w:sz w:val="20"/>
          <w:szCs w:val="20"/>
        </w:rPr>
        <w:t>/2017</w:t>
      </w:r>
    </w:p>
    <w:p w:rsidR="008035E6" w:rsidRPr="00AB3924" w:rsidRDefault="008035E6" w:rsidP="008035E6">
      <w:pPr>
        <w:rPr>
          <w:rFonts w:ascii="Arial" w:hAnsi="Arial" w:cs="Arial"/>
        </w:rPr>
      </w:pPr>
    </w:p>
    <w:p w:rsidR="008035E6" w:rsidRPr="00AB3924" w:rsidRDefault="00F36F25" w:rsidP="008035E6">
      <w:pPr>
        <w:rPr>
          <w:rFonts w:ascii="Arial" w:hAnsi="Arial" w:cs="Arial"/>
        </w:rPr>
      </w:pPr>
      <w:r w:rsidRPr="00AB3924">
        <w:rPr>
          <w:rFonts w:ascii="Arial" w:hAnsi="Arial" w:cs="Arial"/>
          <w:noProof/>
        </w:rPr>
        <w:drawing>
          <wp:inline distT="0" distB="0" distL="0" distR="0" wp14:anchorId="0481414A" wp14:editId="77D0CDA0">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AB3924" w:rsidRDefault="00C87B02">
      <w:pPr>
        <w:pStyle w:val="Ttulo5"/>
        <w:autoSpaceDE/>
        <w:autoSpaceDN/>
        <w:adjustRightInd/>
        <w:rPr>
          <w:rFonts w:ascii="Arial" w:hAnsi="Arial" w:cs="Arial"/>
          <w:sz w:val="20"/>
          <w:szCs w:val="20"/>
        </w:rPr>
      </w:pPr>
    </w:p>
    <w:p w:rsidR="00E04FAF" w:rsidRPr="00AB3924" w:rsidRDefault="00E04FAF">
      <w:pPr>
        <w:pStyle w:val="Ttulo5"/>
        <w:autoSpaceDE/>
        <w:autoSpaceDN/>
        <w:adjustRightInd/>
        <w:rPr>
          <w:rFonts w:ascii="Arial" w:hAnsi="Arial" w:cs="Arial"/>
          <w:sz w:val="20"/>
          <w:szCs w:val="20"/>
        </w:rPr>
      </w:pPr>
    </w:p>
    <w:p w:rsidR="00C87B02" w:rsidRPr="00AB3924" w:rsidRDefault="00C87B02">
      <w:pPr>
        <w:pStyle w:val="Ttulo5"/>
        <w:autoSpaceDE/>
        <w:autoSpaceDN/>
        <w:adjustRightInd/>
        <w:rPr>
          <w:rFonts w:ascii="Arial" w:hAnsi="Arial" w:cs="Arial"/>
          <w:sz w:val="20"/>
          <w:szCs w:val="20"/>
        </w:rPr>
      </w:pPr>
      <w:r w:rsidRPr="00AB3924">
        <w:rPr>
          <w:rFonts w:ascii="Arial" w:hAnsi="Arial" w:cs="Arial"/>
          <w:sz w:val="20"/>
          <w:szCs w:val="20"/>
        </w:rPr>
        <w:t xml:space="preserve">I </w:t>
      </w:r>
      <w:r w:rsidR="001D51EE" w:rsidRPr="00AB3924">
        <w:rPr>
          <w:rFonts w:ascii="Arial" w:hAnsi="Arial" w:cs="Arial"/>
          <w:sz w:val="20"/>
          <w:szCs w:val="20"/>
        </w:rPr>
        <w:t>–</w:t>
      </w:r>
      <w:r w:rsidRPr="00AB3924">
        <w:rPr>
          <w:rFonts w:ascii="Arial" w:hAnsi="Arial" w:cs="Arial"/>
          <w:sz w:val="20"/>
          <w:szCs w:val="20"/>
        </w:rPr>
        <w:t xml:space="preserve"> Resultados do mês</w:t>
      </w:r>
      <w:r w:rsidR="004215B4" w:rsidRPr="00AB3924">
        <w:rPr>
          <w:rFonts w:ascii="Arial" w:hAnsi="Arial" w:cs="Arial"/>
          <w:sz w:val="20"/>
          <w:szCs w:val="20"/>
        </w:rPr>
        <w:t xml:space="preserve"> (comparativo </w:t>
      </w:r>
      <w:r w:rsidR="00651518" w:rsidRPr="00AB3924">
        <w:rPr>
          <w:rFonts w:ascii="Arial" w:hAnsi="Arial" w:cs="Arial"/>
          <w:sz w:val="20"/>
          <w:szCs w:val="20"/>
        </w:rPr>
        <w:t>Novembro</w:t>
      </w:r>
      <w:r w:rsidR="004215B4" w:rsidRPr="00AB3924">
        <w:rPr>
          <w:rFonts w:ascii="Arial" w:hAnsi="Arial" w:cs="Arial"/>
          <w:sz w:val="20"/>
          <w:szCs w:val="20"/>
        </w:rPr>
        <w:t>/2017</w:t>
      </w:r>
      <w:r w:rsidR="00D50BB5" w:rsidRPr="00AB3924">
        <w:rPr>
          <w:rFonts w:ascii="Arial" w:hAnsi="Arial" w:cs="Arial"/>
          <w:sz w:val="20"/>
          <w:szCs w:val="20"/>
        </w:rPr>
        <w:t xml:space="preserve"> – </w:t>
      </w:r>
      <w:proofErr w:type="gramStart"/>
      <w:r w:rsidR="00651518" w:rsidRPr="00AB3924">
        <w:rPr>
          <w:rFonts w:ascii="Arial" w:hAnsi="Arial" w:cs="Arial"/>
          <w:sz w:val="20"/>
          <w:szCs w:val="20"/>
        </w:rPr>
        <w:t>Novembro</w:t>
      </w:r>
      <w:proofErr w:type="gramEnd"/>
      <w:r w:rsidR="00171A0D" w:rsidRPr="00AB3924">
        <w:rPr>
          <w:rFonts w:ascii="Arial" w:hAnsi="Arial" w:cs="Arial"/>
          <w:sz w:val="20"/>
          <w:szCs w:val="20"/>
        </w:rPr>
        <w:t>/</w:t>
      </w:r>
      <w:r w:rsidR="004215B4" w:rsidRPr="00AB3924">
        <w:rPr>
          <w:rFonts w:ascii="Arial" w:hAnsi="Arial" w:cs="Arial"/>
          <w:sz w:val="20"/>
          <w:szCs w:val="20"/>
        </w:rPr>
        <w:t>2016</w:t>
      </w:r>
      <w:r w:rsidR="001D51EE" w:rsidRPr="00AB3924">
        <w:rPr>
          <w:rFonts w:ascii="Arial" w:hAnsi="Arial" w:cs="Arial"/>
          <w:sz w:val="20"/>
          <w:szCs w:val="20"/>
        </w:rPr>
        <w:t>)</w:t>
      </w:r>
    </w:p>
    <w:p w:rsidR="00A16A28" w:rsidRPr="00AB3924" w:rsidRDefault="00A16A28" w:rsidP="00BA03E2">
      <w:pPr>
        <w:pStyle w:val="Recuodecorpodetexto"/>
        <w:rPr>
          <w:rFonts w:ascii="Arial" w:hAnsi="Arial" w:cs="Arial"/>
          <w:color w:val="000000" w:themeColor="text1"/>
          <w:sz w:val="20"/>
          <w:szCs w:val="20"/>
        </w:rPr>
      </w:pPr>
    </w:p>
    <w:p w:rsidR="006D5726" w:rsidRPr="00AB3924" w:rsidRDefault="00AA3E62" w:rsidP="00BA03E2">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Em novembro de 2017 </w:t>
      </w:r>
      <w:r w:rsidR="00384177" w:rsidRPr="00AB3924">
        <w:rPr>
          <w:rFonts w:ascii="Arial" w:hAnsi="Arial" w:cs="Arial"/>
          <w:color w:val="000000" w:themeColor="text1"/>
          <w:sz w:val="20"/>
          <w:szCs w:val="20"/>
        </w:rPr>
        <w:t xml:space="preserve">as exportações brasileiras do agronegócio somaram US$ </w:t>
      </w:r>
      <w:r w:rsidR="001765E5" w:rsidRPr="00AB3924">
        <w:rPr>
          <w:rFonts w:ascii="Arial" w:hAnsi="Arial" w:cs="Arial"/>
          <w:color w:val="000000" w:themeColor="text1"/>
          <w:sz w:val="20"/>
          <w:szCs w:val="20"/>
        </w:rPr>
        <w:t>7,08 bilhões, representando crescimento de 23,7% em relação ao mesmo mês do ano anterior. As importações, por sua vez, foram de US$ 1,15 bilhão, isto é, 9,7% inferiores ao resultado obtido em 2016. Dessa forma, a balança comercial do setor foi supe</w:t>
      </w:r>
      <w:r w:rsidR="00717443" w:rsidRPr="00AB3924">
        <w:rPr>
          <w:rFonts w:ascii="Arial" w:hAnsi="Arial" w:cs="Arial"/>
          <w:color w:val="000000" w:themeColor="text1"/>
          <w:sz w:val="20"/>
          <w:szCs w:val="20"/>
        </w:rPr>
        <w:t>ravitária em US$ 5,93 bilhões, superando os US$ 4,45 bilhões de saldo registrados no ano anterior.</w:t>
      </w:r>
      <w:r w:rsidR="001768DC" w:rsidRPr="00AB3924">
        <w:rPr>
          <w:rFonts w:ascii="Arial" w:hAnsi="Arial" w:cs="Arial"/>
          <w:color w:val="000000" w:themeColor="text1"/>
          <w:sz w:val="20"/>
          <w:szCs w:val="20"/>
        </w:rPr>
        <w:t xml:space="preserve"> </w:t>
      </w:r>
    </w:p>
    <w:p w:rsidR="00463C85" w:rsidRPr="00AB3924" w:rsidRDefault="00463C85" w:rsidP="00463C85">
      <w:pPr>
        <w:pStyle w:val="Recuodecorpodetexto"/>
        <w:rPr>
          <w:rFonts w:ascii="Arial" w:hAnsi="Arial" w:cs="Arial"/>
          <w:color w:val="000000" w:themeColor="text1"/>
          <w:sz w:val="20"/>
          <w:szCs w:val="20"/>
        </w:rPr>
      </w:pPr>
    </w:p>
    <w:p w:rsidR="005F69F8" w:rsidRPr="00AB3924" w:rsidRDefault="005F69F8" w:rsidP="00BA03E2">
      <w:pPr>
        <w:pStyle w:val="Recuodecorpodetexto"/>
        <w:rPr>
          <w:rFonts w:ascii="Arial" w:hAnsi="Arial" w:cs="Arial"/>
          <w:color w:val="000000" w:themeColor="text1"/>
          <w:sz w:val="20"/>
          <w:szCs w:val="20"/>
        </w:rPr>
      </w:pPr>
    </w:p>
    <w:p w:rsidR="005F69F8" w:rsidRPr="00AB3924" w:rsidRDefault="005F69F8" w:rsidP="005F69F8">
      <w:pPr>
        <w:pStyle w:val="Ttulo5"/>
        <w:autoSpaceDE/>
        <w:autoSpaceDN/>
        <w:adjustRightInd/>
        <w:rPr>
          <w:rFonts w:ascii="Arial" w:hAnsi="Arial" w:cs="Arial"/>
          <w:sz w:val="20"/>
          <w:szCs w:val="20"/>
        </w:rPr>
      </w:pPr>
      <w:proofErr w:type="spellStart"/>
      <w:r w:rsidRPr="00AB3924">
        <w:rPr>
          <w:rFonts w:ascii="Arial" w:hAnsi="Arial" w:cs="Arial"/>
          <w:sz w:val="20"/>
          <w:szCs w:val="20"/>
        </w:rPr>
        <w:t>I.a</w:t>
      </w:r>
      <w:proofErr w:type="spellEnd"/>
      <w:r w:rsidRPr="00AB3924">
        <w:rPr>
          <w:rFonts w:ascii="Arial" w:hAnsi="Arial" w:cs="Arial"/>
          <w:sz w:val="20"/>
          <w:szCs w:val="20"/>
        </w:rPr>
        <w:t xml:space="preserve"> – Setores do Agronegócio</w:t>
      </w:r>
    </w:p>
    <w:p w:rsidR="008F18DE" w:rsidRPr="00AB3924" w:rsidRDefault="008F18DE" w:rsidP="008F18DE">
      <w:pPr>
        <w:pStyle w:val="Recuodecorpodetexto"/>
        <w:rPr>
          <w:rFonts w:ascii="Arial" w:hAnsi="Arial" w:cs="Arial"/>
          <w:color w:val="000000" w:themeColor="text1"/>
          <w:sz w:val="20"/>
          <w:szCs w:val="20"/>
        </w:rPr>
      </w:pPr>
    </w:p>
    <w:p w:rsidR="001768DC" w:rsidRPr="00AB3924" w:rsidRDefault="001768DC" w:rsidP="00BA03E2">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Os produtos de origem vegetal foram os que mais contribuíram para o crescimento das vendas externas agropecuárias em novembro. Somente as exportações do complexo soja e de cereais, farinhas e preparações ultrapassaram US$ 1,16 bilhão em crescimento no mês.</w:t>
      </w:r>
      <w:r w:rsidR="00861D7A" w:rsidRPr="00AB3924">
        <w:rPr>
          <w:rFonts w:ascii="Arial" w:hAnsi="Arial" w:cs="Arial"/>
          <w:color w:val="000000" w:themeColor="text1"/>
          <w:sz w:val="20"/>
          <w:szCs w:val="20"/>
        </w:rPr>
        <w:t xml:space="preserve"> </w:t>
      </w:r>
    </w:p>
    <w:p w:rsidR="001768DC" w:rsidRPr="00AB3924" w:rsidRDefault="001768DC" w:rsidP="008F18DE">
      <w:pPr>
        <w:pStyle w:val="Recuodecorpodetexto"/>
        <w:rPr>
          <w:rFonts w:ascii="Arial" w:hAnsi="Arial" w:cs="Arial"/>
          <w:color w:val="000000" w:themeColor="text1"/>
          <w:sz w:val="20"/>
          <w:szCs w:val="20"/>
        </w:rPr>
      </w:pPr>
    </w:p>
    <w:p w:rsidR="008F18DE" w:rsidRPr="00AB3924" w:rsidRDefault="00457723" w:rsidP="00BA03E2">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No último mês de novembro o</w:t>
      </w:r>
      <w:r w:rsidR="008F18DE" w:rsidRPr="00AB3924">
        <w:rPr>
          <w:rFonts w:ascii="Arial" w:hAnsi="Arial" w:cs="Arial"/>
          <w:color w:val="000000" w:themeColor="text1"/>
          <w:sz w:val="20"/>
          <w:szCs w:val="20"/>
        </w:rPr>
        <w:t xml:space="preserve">s cinco principais setores exportadores do agronegócio </w:t>
      </w:r>
      <w:r w:rsidR="00861D7A" w:rsidRPr="00AB3924">
        <w:rPr>
          <w:rFonts w:ascii="Arial" w:hAnsi="Arial" w:cs="Arial"/>
          <w:color w:val="000000" w:themeColor="text1"/>
          <w:sz w:val="20"/>
          <w:szCs w:val="20"/>
        </w:rPr>
        <w:t xml:space="preserve">em valor </w:t>
      </w:r>
      <w:r w:rsidR="008F18DE" w:rsidRPr="00AB3924">
        <w:rPr>
          <w:rFonts w:ascii="Arial" w:hAnsi="Arial" w:cs="Arial"/>
          <w:color w:val="000000" w:themeColor="text1"/>
          <w:sz w:val="20"/>
          <w:szCs w:val="20"/>
        </w:rPr>
        <w:t>foram: carnes (</w:t>
      </w:r>
      <w:r w:rsidR="00861D7A" w:rsidRPr="00AB3924">
        <w:rPr>
          <w:rFonts w:ascii="Arial" w:hAnsi="Arial" w:cs="Arial"/>
          <w:color w:val="000000" w:themeColor="text1"/>
          <w:sz w:val="20"/>
          <w:szCs w:val="20"/>
        </w:rPr>
        <w:t>18,6</w:t>
      </w:r>
      <w:r w:rsidR="008F18DE" w:rsidRPr="00AB3924">
        <w:rPr>
          <w:rFonts w:ascii="Arial" w:hAnsi="Arial" w:cs="Arial"/>
          <w:color w:val="000000" w:themeColor="text1"/>
          <w:sz w:val="20"/>
          <w:szCs w:val="20"/>
        </w:rPr>
        <w:t>% do tot</w:t>
      </w:r>
      <w:r w:rsidR="00861D7A" w:rsidRPr="00AB3924">
        <w:rPr>
          <w:rFonts w:ascii="Arial" w:hAnsi="Arial" w:cs="Arial"/>
          <w:color w:val="000000" w:themeColor="text1"/>
          <w:sz w:val="20"/>
          <w:szCs w:val="20"/>
        </w:rPr>
        <w:t>al exportado</w:t>
      </w:r>
      <w:r w:rsidR="008F18DE" w:rsidRPr="00AB3924">
        <w:rPr>
          <w:rFonts w:ascii="Arial" w:hAnsi="Arial" w:cs="Arial"/>
          <w:color w:val="000000" w:themeColor="text1"/>
          <w:sz w:val="20"/>
          <w:szCs w:val="20"/>
        </w:rPr>
        <w:t xml:space="preserve">); </w:t>
      </w:r>
      <w:r w:rsidR="00861D7A" w:rsidRPr="00AB3924">
        <w:rPr>
          <w:rFonts w:ascii="Arial" w:hAnsi="Arial" w:cs="Arial"/>
          <w:color w:val="000000" w:themeColor="text1"/>
          <w:sz w:val="20"/>
          <w:szCs w:val="20"/>
        </w:rPr>
        <w:t xml:space="preserve">complexo soja (17,7%); produtos florestais (14,1%); </w:t>
      </w:r>
      <w:r w:rsidR="008F18DE" w:rsidRPr="00AB3924">
        <w:rPr>
          <w:rFonts w:ascii="Arial" w:hAnsi="Arial" w:cs="Arial"/>
          <w:color w:val="000000" w:themeColor="text1"/>
          <w:sz w:val="20"/>
          <w:szCs w:val="20"/>
        </w:rPr>
        <w:t>complexo sucroalcooleiro (</w:t>
      </w:r>
      <w:r w:rsidR="00861D7A" w:rsidRPr="00AB3924">
        <w:rPr>
          <w:rFonts w:ascii="Arial" w:hAnsi="Arial" w:cs="Arial"/>
          <w:color w:val="000000" w:themeColor="text1"/>
          <w:sz w:val="20"/>
          <w:szCs w:val="20"/>
        </w:rPr>
        <w:t>12,2</w:t>
      </w:r>
      <w:r w:rsidR="008F18DE" w:rsidRPr="00AB3924">
        <w:rPr>
          <w:rFonts w:ascii="Arial" w:hAnsi="Arial" w:cs="Arial"/>
          <w:color w:val="000000" w:themeColor="text1"/>
          <w:sz w:val="20"/>
          <w:szCs w:val="20"/>
        </w:rPr>
        <w:t xml:space="preserve">%); </w:t>
      </w:r>
      <w:r w:rsidRPr="00AB3924">
        <w:rPr>
          <w:rFonts w:ascii="Arial" w:hAnsi="Arial" w:cs="Arial"/>
          <w:color w:val="000000" w:themeColor="text1"/>
          <w:sz w:val="20"/>
          <w:szCs w:val="20"/>
        </w:rPr>
        <w:t>e cereais, farinhas e preparações (8,3%)</w:t>
      </w:r>
      <w:r w:rsidR="008F18DE" w:rsidRPr="00AB3924">
        <w:rPr>
          <w:rFonts w:ascii="Arial" w:hAnsi="Arial" w:cs="Arial"/>
          <w:color w:val="000000" w:themeColor="text1"/>
          <w:sz w:val="20"/>
          <w:szCs w:val="20"/>
        </w:rPr>
        <w:t xml:space="preserve">. </w:t>
      </w:r>
      <w:r w:rsidRPr="00AB3924">
        <w:rPr>
          <w:rFonts w:ascii="Arial" w:hAnsi="Arial" w:cs="Arial"/>
          <w:color w:val="000000" w:themeColor="text1"/>
          <w:sz w:val="20"/>
          <w:szCs w:val="20"/>
        </w:rPr>
        <w:t xml:space="preserve">Conjuntamente tais </w:t>
      </w:r>
      <w:r w:rsidR="008F18DE" w:rsidRPr="00AB3924">
        <w:rPr>
          <w:rFonts w:ascii="Arial" w:hAnsi="Arial" w:cs="Arial"/>
          <w:color w:val="000000" w:themeColor="text1"/>
          <w:sz w:val="20"/>
          <w:szCs w:val="20"/>
        </w:rPr>
        <w:t>setores foram responsáveis por 7</w:t>
      </w:r>
      <w:r w:rsidRPr="00AB3924">
        <w:rPr>
          <w:rFonts w:ascii="Arial" w:hAnsi="Arial" w:cs="Arial"/>
          <w:color w:val="000000" w:themeColor="text1"/>
          <w:sz w:val="20"/>
          <w:szCs w:val="20"/>
        </w:rPr>
        <w:t>1,0</w:t>
      </w:r>
      <w:r w:rsidR="008F18DE" w:rsidRPr="00AB3924">
        <w:rPr>
          <w:rFonts w:ascii="Arial" w:hAnsi="Arial" w:cs="Arial"/>
          <w:color w:val="000000" w:themeColor="text1"/>
          <w:sz w:val="20"/>
          <w:szCs w:val="20"/>
        </w:rPr>
        <w:t xml:space="preserve">% do total das exportações do agronegócio. </w:t>
      </w:r>
      <w:r w:rsidRPr="00AB3924">
        <w:rPr>
          <w:rFonts w:ascii="Arial" w:hAnsi="Arial" w:cs="Arial"/>
          <w:color w:val="000000" w:themeColor="text1"/>
          <w:sz w:val="20"/>
          <w:szCs w:val="20"/>
        </w:rPr>
        <w:t>No mesmo mês em 2016</w:t>
      </w:r>
      <w:r w:rsidR="008F18DE" w:rsidRPr="00AB3924">
        <w:rPr>
          <w:rFonts w:ascii="Arial" w:hAnsi="Arial" w:cs="Arial"/>
          <w:color w:val="000000" w:themeColor="text1"/>
          <w:sz w:val="20"/>
          <w:szCs w:val="20"/>
        </w:rPr>
        <w:t xml:space="preserve">, esses cinco principais setores foram responsáveis por </w:t>
      </w:r>
      <w:r w:rsidRPr="00AB3924">
        <w:rPr>
          <w:rFonts w:ascii="Arial" w:hAnsi="Arial" w:cs="Arial"/>
          <w:color w:val="000000" w:themeColor="text1"/>
          <w:sz w:val="20"/>
          <w:szCs w:val="20"/>
        </w:rPr>
        <w:t>73,6</w:t>
      </w:r>
      <w:r w:rsidR="008F18DE" w:rsidRPr="00AB3924">
        <w:rPr>
          <w:rFonts w:ascii="Arial" w:hAnsi="Arial" w:cs="Arial"/>
          <w:color w:val="000000" w:themeColor="text1"/>
          <w:sz w:val="20"/>
          <w:szCs w:val="20"/>
        </w:rPr>
        <w:t>% do total das</w:t>
      </w:r>
      <w:r w:rsidR="000246E5" w:rsidRPr="00AB3924">
        <w:rPr>
          <w:rFonts w:ascii="Arial" w:hAnsi="Arial" w:cs="Arial"/>
          <w:color w:val="000000" w:themeColor="text1"/>
          <w:sz w:val="20"/>
          <w:szCs w:val="20"/>
        </w:rPr>
        <w:t xml:space="preserve"> exportações do agronegócio. Como resultado</w:t>
      </w:r>
      <w:r w:rsidR="008F18DE" w:rsidRPr="00AB3924">
        <w:rPr>
          <w:rFonts w:ascii="Arial" w:hAnsi="Arial" w:cs="Arial"/>
          <w:color w:val="000000" w:themeColor="text1"/>
          <w:sz w:val="20"/>
          <w:szCs w:val="20"/>
        </w:rPr>
        <w:t xml:space="preserve">, houve </w:t>
      </w:r>
      <w:r w:rsidR="000246E5" w:rsidRPr="00AB3924">
        <w:rPr>
          <w:rFonts w:ascii="Arial" w:hAnsi="Arial" w:cs="Arial"/>
          <w:color w:val="000000" w:themeColor="text1"/>
          <w:sz w:val="20"/>
          <w:szCs w:val="20"/>
        </w:rPr>
        <w:t xml:space="preserve">redução da </w:t>
      </w:r>
      <w:r w:rsidR="008F18DE" w:rsidRPr="00AB3924">
        <w:rPr>
          <w:rFonts w:ascii="Arial" w:hAnsi="Arial" w:cs="Arial"/>
          <w:color w:val="000000" w:themeColor="text1"/>
          <w:sz w:val="20"/>
          <w:szCs w:val="20"/>
        </w:rPr>
        <w:t>concentração das exportações do período.</w:t>
      </w:r>
    </w:p>
    <w:p w:rsidR="005F69F8" w:rsidRPr="00AB3924" w:rsidRDefault="005F69F8" w:rsidP="00BA03E2">
      <w:pPr>
        <w:pStyle w:val="Recuodecorpodetexto"/>
        <w:rPr>
          <w:rFonts w:ascii="Arial" w:hAnsi="Arial" w:cs="Arial"/>
          <w:color w:val="000000" w:themeColor="text1"/>
          <w:sz w:val="20"/>
          <w:szCs w:val="20"/>
        </w:rPr>
      </w:pPr>
    </w:p>
    <w:p w:rsidR="008F18DE" w:rsidRPr="00AB3924" w:rsidRDefault="008F18DE" w:rsidP="008F18DE">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As carnes </w:t>
      </w:r>
      <w:r w:rsidR="00F027B2" w:rsidRPr="00AB3924">
        <w:rPr>
          <w:rFonts w:ascii="Arial" w:hAnsi="Arial" w:cs="Arial"/>
          <w:color w:val="000000" w:themeColor="text1"/>
          <w:sz w:val="20"/>
          <w:szCs w:val="20"/>
        </w:rPr>
        <w:t>ocuparam</w:t>
      </w:r>
      <w:r w:rsidRPr="00AB3924">
        <w:rPr>
          <w:rFonts w:ascii="Arial" w:hAnsi="Arial" w:cs="Arial"/>
          <w:color w:val="000000" w:themeColor="text1"/>
          <w:sz w:val="20"/>
          <w:szCs w:val="20"/>
        </w:rPr>
        <w:t xml:space="preserve"> a primeira posição </w:t>
      </w:r>
      <w:r w:rsidR="00232F99" w:rsidRPr="00AB3924">
        <w:rPr>
          <w:rFonts w:ascii="Arial" w:hAnsi="Arial" w:cs="Arial"/>
          <w:color w:val="000000" w:themeColor="text1"/>
          <w:sz w:val="20"/>
          <w:szCs w:val="20"/>
        </w:rPr>
        <w:t xml:space="preserve">no </w:t>
      </w:r>
      <w:r w:rsidR="00232F99" w:rsidRPr="00AB3924">
        <w:rPr>
          <w:rFonts w:ascii="Arial" w:hAnsi="Arial" w:cs="Arial"/>
          <w:i/>
          <w:color w:val="000000" w:themeColor="text1"/>
          <w:sz w:val="20"/>
          <w:szCs w:val="20"/>
        </w:rPr>
        <w:t>ranking</w:t>
      </w:r>
      <w:r w:rsidR="00232F99" w:rsidRPr="00AB3924">
        <w:rPr>
          <w:rFonts w:ascii="Arial" w:hAnsi="Arial" w:cs="Arial"/>
          <w:color w:val="000000" w:themeColor="text1"/>
          <w:sz w:val="20"/>
          <w:szCs w:val="20"/>
        </w:rPr>
        <w:t xml:space="preserve"> dos </w:t>
      </w:r>
      <w:r w:rsidRPr="00AB3924">
        <w:rPr>
          <w:rFonts w:ascii="Arial" w:hAnsi="Arial" w:cs="Arial"/>
          <w:color w:val="000000" w:themeColor="text1"/>
          <w:sz w:val="20"/>
          <w:szCs w:val="20"/>
        </w:rPr>
        <w:t xml:space="preserve">setores exportadores. </w:t>
      </w:r>
      <w:r w:rsidR="00232F99" w:rsidRPr="00AB3924">
        <w:rPr>
          <w:rFonts w:ascii="Arial" w:hAnsi="Arial" w:cs="Arial"/>
          <w:color w:val="000000" w:themeColor="text1"/>
          <w:sz w:val="20"/>
          <w:szCs w:val="20"/>
        </w:rPr>
        <w:t xml:space="preserve">As vendas aumentaram de US$ 1,15 bilhão em novembro de 2016 </w:t>
      </w:r>
      <w:r w:rsidRPr="00AB3924">
        <w:rPr>
          <w:rFonts w:ascii="Arial" w:hAnsi="Arial" w:cs="Arial"/>
          <w:color w:val="000000" w:themeColor="text1"/>
          <w:sz w:val="20"/>
          <w:szCs w:val="20"/>
        </w:rPr>
        <w:t>para US$ 1,</w:t>
      </w:r>
      <w:r w:rsidR="00232F99" w:rsidRPr="00AB3924">
        <w:rPr>
          <w:rFonts w:ascii="Arial" w:hAnsi="Arial" w:cs="Arial"/>
          <w:color w:val="000000" w:themeColor="text1"/>
          <w:sz w:val="20"/>
          <w:szCs w:val="20"/>
        </w:rPr>
        <w:t>32</w:t>
      </w:r>
      <w:r w:rsidRPr="00AB3924">
        <w:rPr>
          <w:rFonts w:ascii="Arial" w:hAnsi="Arial" w:cs="Arial"/>
          <w:color w:val="000000" w:themeColor="text1"/>
          <w:sz w:val="20"/>
          <w:szCs w:val="20"/>
        </w:rPr>
        <w:t xml:space="preserve"> bilhão em novem</w:t>
      </w:r>
      <w:r w:rsidR="00232F99" w:rsidRPr="00AB3924">
        <w:rPr>
          <w:rFonts w:ascii="Arial" w:hAnsi="Arial" w:cs="Arial"/>
          <w:color w:val="000000" w:themeColor="text1"/>
          <w:sz w:val="20"/>
          <w:szCs w:val="20"/>
        </w:rPr>
        <w:t>bro de 2017</w:t>
      </w:r>
      <w:r w:rsidRPr="00AB3924">
        <w:rPr>
          <w:rFonts w:ascii="Arial" w:hAnsi="Arial" w:cs="Arial"/>
          <w:color w:val="000000" w:themeColor="text1"/>
          <w:sz w:val="20"/>
          <w:szCs w:val="20"/>
        </w:rPr>
        <w:t xml:space="preserve"> (</w:t>
      </w:r>
      <w:r w:rsidR="00232F99" w:rsidRPr="00AB3924">
        <w:rPr>
          <w:rFonts w:ascii="Arial" w:hAnsi="Arial" w:cs="Arial"/>
          <w:color w:val="000000" w:themeColor="text1"/>
          <w:sz w:val="20"/>
          <w:szCs w:val="20"/>
        </w:rPr>
        <w:t>+14,3</w:t>
      </w:r>
      <w:r w:rsidRPr="00AB3924">
        <w:rPr>
          <w:rFonts w:ascii="Arial" w:hAnsi="Arial" w:cs="Arial"/>
          <w:color w:val="000000" w:themeColor="text1"/>
          <w:sz w:val="20"/>
          <w:szCs w:val="20"/>
        </w:rPr>
        <w:t xml:space="preserve">%). </w:t>
      </w:r>
      <w:r w:rsidR="0090272A" w:rsidRPr="00AB3924">
        <w:rPr>
          <w:rFonts w:ascii="Arial" w:hAnsi="Arial" w:cs="Arial"/>
          <w:color w:val="000000" w:themeColor="text1"/>
          <w:sz w:val="20"/>
          <w:szCs w:val="20"/>
        </w:rPr>
        <w:t xml:space="preserve">A expansão </w:t>
      </w:r>
      <w:r w:rsidR="00232F99" w:rsidRPr="00AB3924">
        <w:rPr>
          <w:rFonts w:ascii="Arial" w:hAnsi="Arial" w:cs="Arial"/>
          <w:color w:val="000000" w:themeColor="text1"/>
          <w:sz w:val="20"/>
          <w:szCs w:val="20"/>
        </w:rPr>
        <w:t xml:space="preserve">se deu </w:t>
      </w:r>
      <w:r w:rsidR="0090272A" w:rsidRPr="00AB3924">
        <w:rPr>
          <w:rFonts w:ascii="Arial" w:hAnsi="Arial" w:cs="Arial"/>
          <w:color w:val="000000" w:themeColor="text1"/>
          <w:sz w:val="20"/>
          <w:szCs w:val="20"/>
        </w:rPr>
        <w:t xml:space="preserve">tanto </w:t>
      </w:r>
      <w:r w:rsidR="00232F99" w:rsidRPr="00AB3924">
        <w:rPr>
          <w:rFonts w:ascii="Arial" w:hAnsi="Arial" w:cs="Arial"/>
          <w:color w:val="000000" w:themeColor="text1"/>
          <w:sz w:val="20"/>
          <w:szCs w:val="20"/>
        </w:rPr>
        <w:t xml:space="preserve">em </w:t>
      </w:r>
      <w:r w:rsidRPr="00AB3924">
        <w:rPr>
          <w:rFonts w:ascii="Arial" w:hAnsi="Arial" w:cs="Arial"/>
          <w:color w:val="000000" w:themeColor="text1"/>
          <w:sz w:val="20"/>
          <w:szCs w:val="20"/>
        </w:rPr>
        <w:t xml:space="preserve">função da </w:t>
      </w:r>
      <w:r w:rsidR="00232F99" w:rsidRPr="00AB3924">
        <w:rPr>
          <w:rFonts w:ascii="Arial" w:hAnsi="Arial" w:cs="Arial"/>
          <w:color w:val="000000" w:themeColor="text1"/>
          <w:sz w:val="20"/>
          <w:szCs w:val="20"/>
        </w:rPr>
        <w:t xml:space="preserve">ampliação </w:t>
      </w:r>
      <w:r w:rsidRPr="00AB3924">
        <w:rPr>
          <w:rFonts w:ascii="Arial" w:hAnsi="Arial" w:cs="Arial"/>
          <w:color w:val="000000" w:themeColor="text1"/>
          <w:sz w:val="20"/>
          <w:szCs w:val="20"/>
        </w:rPr>
        <w:t xml:space="preserve">da quantidade </w:t>
      </w:r>
      <w:r w:rsidR="00232F99" w:rsidRPr="00AB3924">
        <w:rPr>
          <w:rFonts w:ascii="Arial" w:hAnsi="Arial" w:cs="Arial"/>
          <w:color w:val="000000" w:themeColor="text1"/>
          <w:sz w:val="20"/>
          <w:szCs w:val="20"/>
        </w:rPr>
        <w:t xml:space="preserve">embarcada </w:t>
      </w:r>
      <w:r w:rsidRPr="00AB3924">
        <w:rPr>
          <w:rFonts w:ascii="Arial" w:hAnsi="Arial" w:cs="Arial"/>
          <w:color w:val="000000" w:themeColor="text1"/>
          <w:sz w:val="20"/>
          <w:szCs w:val="20"/>
        </w:rPr>
        <w:t xml:space="preserve">de carne </w:t>
      </w:r>
      <w:r w:rsidR="00232F99" w:rsidRPr="00AB3924">
        <w:rPr>
          <w:rFonts w:ascii="Arial" w:hAnsi="Arial" w:cs="Arial"/>
          <w:color w:val="000000" w:themeColor="text1"/>
          <w:sz w:val="20"/>
          <w:szCs w:val="20"/>
        </w:rPr>
        <w:t xml:space="preserve">bovina </w:t>
      </w:r>
      <w:r w:rsidRPr="00AB3924">
        <w:rPr>
          <w:rFonts w:ascii="Arial" w:hAnsi="Arial" w:cs="Arial"/>
          <w:color w:val="000000" w:themeColor="text1"/>
          <w:sz w:val="20"/>
          <w:szCs w:val="20"/>
        </w:rPr>
        <w:t>(</w:t>
      </w:r>
      <w:r w:rsidR="00232F99" w:rsidRPr="00AB3924">
        <w:rPr>
          <w:rFonts w:ascii="Arial" w:hAnsi="Arial" w:cs="Arial"/>
          <w:color w:val="000000" w:themeColor="text1"/>
          <w:sz w:val="20"/>
          <w:szCs w:val="20"/>
        </w:rPr>
        <w:t>+48,5</w:t>
      </w:r>
      <w:r w:rsidRPr="00AB3924">
        <w:rPr>
          <w:rFonts w:ascii="Arial" w:hAnsi="Arial" w:cs="Arial"/>
          <w:color w:val="000000" w:themeColor="text1"/>
          <w:sz w:val="20"/>
          <w:szCs w:val="20"/>
        </w:rPr>
        <w:t xml:space="preserve">%) </w:t>
      </w:r>
      <w:r w:rsidR="0090272A" w:rsidRPr="00AB3924">
        <w:rPr>
          <w:rFonts w:ascii="Arial" w:hAnsi="Arial" w:cs="Arial"/>
          <w:color w:val="000000" w:themeColor="text1"/>
          <w:sz w:val="20"/>
          <w:szCs w:val="20"/>
        </w:rPr>
        <w:t>quanto</w:t>
      </w:r>
      <w:r w:rsidRPr="00AB3924">
        <w:rPr>
          <w:rFonts w:ascii="Arial" w:hAnsi="Arial" w:cs="Arial"/>
          <w:color w:val="000000" w:themeColor="text1"/>
          <w:sz w:val="20"/>
          <w:szCs w:val="20"/>
        </w:rPr>
        <w:t xml:space="preserve"> </w:t>
      </w:r>
      <w:r w:rsidR="00232F99" w:rsidRPr="00AB3924">
        <w:rPr>
          <w:rFonts w:ascii="Arial" w:hAnsi="Arial" w:cs="Arial"/>
          <w:color w:val="000000" w:themeColor="text1"/>
          <w:sz w:val="20"/>
          <w:szCs w:val="20"/>
        </w:rPr>
        <w:t xml:space="preserve">do </w:t>
      </w:r>
      <w:r w:rsidR="0090272A" w:rsidRPr="00AB3924">
        <w:rPr>
          <w:rFonts w:ascii="Arial" w:hAnsi="Arial" w:cs="Arial"/>
          <w:color w:val="000000" w:themeColor="text1"/>
          <w:sz w:val="20"/>
          <w:szCs w:val="20"/>
        </w:rPr>
        <w:t xml:space="preserve">aumento do </w:t>
      </w:r>
      <w:r w:rsidR="00232F99" w:rsidRPr="00AB3924">
        <w:rPr>
          <w:rFonts w:ascii="Arial" w:hAnsi="Arial" w:cs="Arial"/>
          <w:color w:val="000000" w:themeColor="text1"/>
          <w:sz w:val="20"/>
          <w:szCs w:val="20"/>
        </w:rPr>
        <w:t xml:space="preserve">preço da carne de frango (+6,7%), que mesmo com a redução do </w:t>
      </w:r>
      <w:r w:rsidR="00232F99" w:rsidRPr="00AB3924">
        <w:rPr>
          <w:rFonts w:ascii="Arial" w:hAnsi="Arial" w:cs="Arial"/>
          <w:i/>
          <w:color w:val="000000" w:themeColor="text1"/>
          <w:sz w:val="20"/>
          <w:szCs w:val="20"/>
        </w:rPr>
        <w:t>quantum</w:t>
      </w:r>
      <w:r w:rsidR="00232F99" w:rsidRPr="00AB3924">
        <w:rPr>
          <w:rFonts w:ascii="Arial" w:hAnsi="Arial" w:cs="Arial"/>
          <w:color w:val="000000" w:themeColor="text1"/>
          <w:sz w:val="20"/>
          <w:szCs w:val="20"/>
        </w:rPr>
        <w:t xml:space="preserve"> </w:t>
      </w:r>
      <w:r w:rsidR="00D25FCA" w:rsidRPr="00AB3924">
        <w:rPr>
          <w:rFonts w:ascii="Arial" w:hAnsi="Arial" w:cs="Arial"/>
          <w:color w:val="000000" w:themeColor="text1"/>
          <w:sz w:val="20"/>
          <w:szCs w:val="20"/>
        </w:rPr>
        <w:t xml:space="preserve">(-1,0%) </w:t>
      </w:r>
      <w:r w:rsidR="00232F99" w:rsidRPr="00AB3924">
        <w:rPr>
          <w:rFonts w:ascii="Arial" w:hAnsi="Arial" w:cs="Arial"/>
          <w:color w:val="000000" w:themeColor="text1"/>
          <w:sz w:val="20"/>
          <w:szCs w:val="20"/>
        </w:rPr>
        <w:t xml:space="preserve">apresentou </w:t>
      </w:r>
      <w:r w:rsidR="0090272A" w:rsidRPr="00AB3924">
        <w:rPr>
          <w:rFonts w:ascii="Arial" w:hAnsi="Arial" w:cs="Arial"/>
          <w:color w:val="000000" w:themeColor="text1"/>
          <w:sz w:val="20"/>
          <w:szCs w:val="20"/>
        </w:rPr>
        <w:t>crescimento</w:t>
      </w:r>
      <w:r w:rsidR="00232F99" w:rsidRPr="00AB3924">
        <w:rPr>
          <w:rFonts w:ascii="Arial" w:hAnsi="Arial" w:cs="Arial"/>
          <w:color w:val="000000" w:themeColor="text1"/>
          <w:sz w:val="20"/>
          <w:szCs w:val="20"/>
        </w:rPr>
        <w:t xml:space="preserve"> de 5,6% em valor. </w:t>
      </w:r>
      <w:r w:rsidR="00BB1BDA" w:rsidRPr="00AB3924">
        <w:rPr>
          <w:rFonts w:ascii="Arial" w:hAnsi="Arial" w:cs="Arial"/>
          <w:color w:val="000000" w:themeColor="text1"/>
          <w:sz w:val="20"/>
          <w:szCs w:val="20"/>
        </w:rPr>
        <w:t xml:space="preserve">Foram exportados US$ </w:t>
      </w:r>
      <w:r w:rsidR="00D25FCA" w:rsidRPr="00AB3924">
        <w:rPr>
          <w:rFonts w:ascii="Arial" w:hAnsi="Arial" w:cs="Arial"/>
          <w:color w:val="000000" w:themeColor="text1"/>
          <w:sz w:val="20"/>
          <w:szCs w:val="20"/>
        </w:rPr>
        <w:t xml:space="preserve">495,38 milhões em carne bovina </w:t>
      </w:r>
      <w:r w:rsidR="00D25FCA" w:rsidRPr="00AB3924">
        <w:rPr>
          <w:rFonts w:ascii="Arial" w:hAnsi="Arial" w:cs="Arial"/>
          <w:i/>
          <w:color w:val="000000" w:themeColor="text1"/>
          <w:sz w:val="20"/>
          <w:szCs w:val="20"/>
        </w:rPr>
        <w:t xml:space="preserve">in natura </w:t>
      </w:r>
      <w:r w:rsidR="00D25FCA" w:rsidRPr="00AB3924">
        <w:rPr>
          <w:rFonts w:ascii="Arial" w:hAnsi="Arial" w:cs="Arial"/>
          <w:color w:val="000000" w:themeColor="text1"/>
          <w:sz w:val="20"/>
          <w:szCs w:val="20"/>
        </w:rPr>
        <w:t xml:space="preserve">no período, o que representou recorde histórico para meses de novembro. </w:t>
      </w:r>
      <w:r w:rsidRPr="00AB3924">
        <w:rPr>
          <w:rFonts w:ascii="Arial" w:hAnsi="Arial" w:cs="Arial"/>
          <w:color w:val="000000" w:themeColor="text1"/>
          <w:sz w:val="20"/>
          <w:szCs w:val="20"/>
        </w:rPr>
        <w:t xml:space="preserve">Já as vendas externas de carne suína </w:t>
      </w:r>
      <w:r w:rsidR="00FE278F" w:rsidRPr="00AB3924">
        <w:rPr>
          <w:rFonts w:ascii="Arial" w:hAnsi="Arial" w:cs="Arial"/>
          <w:color w:val="000000" w:themeColor="text1"/>
          <w:sz w:val="20"/>
          <w:szCs w:val="20"/>
        </w:rPr>
        <w:t>tiveram queda de</w:t>
      </w:r>
      <w:r w:rsidRPr="00AB3924">
        <w:rPr>
          <w:rFonts w:ascii="Arial" w:hAnsi="Arial" w:cs="Arial"/>
          <w:color w:val="000000" w:themeColor="text1"/>
          <w:sz w:val="20"/>
          <w:szCs w:val="20"/>
        </w:rPr>
        <w:t xml:space="preserve"> </w:t>
      </w:r>
      <w:r w:rsidR="00FE278F" w:rsidRPr="00AB3924">
        <w:rPr>
          <w:rFonts w:ascii="Arial" w:hAnsi="Arial" w:cs="Arial"/>
          <w:color w:val="000000" w:themeColor="text1"/>
          <w:sz w:val="20"/>
          <w:szCs w:val="20"/>
        </w:rPr>
        <w:t>24,7</w:t>
      </w:r>
      <w:r w:rsidRPr="00AB3924">
        <w:rPr>
          <w:rFonts w:ascii="Arial" w:hAnsi="Arial" w:cs="Arial"/>
          <w:color w:val="000000" w:themeColor="text1"/>
          <w:sz w:val="20"/>
          <w:szCs w:val="20"/>
        </w:rPr>
        <w:t xml:space="preserve">%, </w:t>
      </w:r>
      <w:r w:rsidR="00EA4F37" w:rsidRPr="00AB3924">
        <w:rPr>
          <w:rFonts w:ascii="Arial" w:hAnsi="Arial" w:cs="Arial"/>
          <w:color w:val="000000" w:themeColor="text1"/>
          <w:sz w:val="20"/>
          <w:szCs w:val="20"/>
        </w:rPr>
        <w:t>somando</w:t>
      </w:r>
      <w:r w:rsidRPr="00AB3924">
        <w:rPr>
          <w:rFonts w:ascii="Arial" w:hAnsi="Arial" w:cs="Arial"/>
          <w:color w:val="000000" w:themeColor="text1"/>
          <w:sz w:val="20"/>
          <w:szCs w:val="20"/>
        </w:rPr>
        <w:t xml:space="preserve"> US$ 1</w:t>
      </w:r>
      <w:r w:rsidR="00FE278F" w:rsidRPr="00AB3924">
        <w:rPr>
          <w:rFonts w:ascii="Arial" w:hAnsi="Arial" w:cs="Arial"/>
          <w:color w:val="000000" w:themeColor="text1"/>
          <w:sz w:val="20"/>
          <w:szCs w:val="20"/>
        </w:rPr>
        <w:t>24</w:t>
      </w:r>
      <w:r w:rsidRPr="00AB3924">
        <w:rPr>
          <w:rFonts w:ascii="Arial" w:hAnsi="Arial" w:cs="Arial"/>
          <w:color w:val="000000" w:themeColor="text1"/>
          <w:sz w:val="20"/>
          <w:szCs w:val="20"/>
        </w:rPr>
        <w:t>,</w:t>
      </w:r>
      <w:r w:rsidR="00FE278F" w:rsidRPr="00AB3924">
        <w:rPr>
          <w:rFonts w:ascii="Arial" w:hAnsi="Arial" w:cs="Arial"/>
          <w:color w:val="000000" w:themeColor="text1"/>
          <w:sz w:val="20"/>
          <w:szCs w:val="20"/>
        </w:rPr>
        <w:t>14 milhões</w:t>
      </w:r>
      <w:r w:rsidR="00262474" w:rsidRPr="00AB3924">
        <w:rPr>
          <w:rFonts w:ascii="Arial" w:hAnsi="Arial" w:cs="Arial"/>
          <w:color w:val="000000" w:themeColor="text1"/>
          <w:sz w:val="20"/>
          <w:szCs w:val="20"/>
        </w:rPr>
        <w:t>.</w:t>
      </w:r>
    </w:p>
    <w:p w:rsidR="008F18DE" w:rsidRPr="00AB3924" w:rsidRDefault="008F18DE" w:rsidP="008F18DE">
      <w:pPr>
        <w:pStyle w:val="Recuodecorpodetexto"/>
        <w:rPr>
          <w:rFonts w:ascii="Arial" w:hAnsi="Arial" w:cs="Arial"/>
          <w:color w:val="000000" w:themeColor="text1"/>
          <w:sz w:val="20"/>
          <w:szCs w:val="20"/>
        </w:rPr>
      </w:pPr>
    </w:p>
    <w:p w:rsidR="008027CA" w:rsidRPr="00AB3924" w:rsidRDefault="008027CA" w:rsidP="00051416">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A</w:t>
      </w:r>
      <w:r w:rsidR="00262474" w:rsidRPr="00AB3924">
        <w:rPr>
          <w:rFonts w:ascii="Arial" w:hAnsi="Arial" w:cs="Arial"/>
          <w:color w:val="000000" w:themeColor="text1"/>
          <w:sz w:val="20"/>
          <w:szCs w:val="20"/>
        </w:rPr>
        <w:t xml:space="preserve"> segunda posição </w:t>
      </w:r>
      <w:r w:rsidR="008F18DE" w:rsidRPr="00AB3924">
        <w:rPr>
          <w:rFonts w:ascii="Arial" w:hAnsi="Arial" w:cs="Arial"/>
          <w:color w:val="000000" w:themeColor="text1"/>
          <w:sz w:val="20"/>
          <w:szCs w:val="20"/>
        </w:rPr>
        <w:t xml:space="preserve">entre os principais setores ficou </w:t>
      </w:r>
      <w:r w:rsidRPr="00AB3924">
        <w:rPr>
          <w:rFonts w:ascii="Arial" w:hAnsi="Arial" w:cs="Arial"/>
          <w:color w:val="000000" w:themeColor="text1"/>
          <w:sz w:val="20"/>
          <w:szCs w:val="20"/>
        </w:rPr>
        <w:t xml:space="preserve">com </w:t>
      </w:r>
      <w:r w:rsidR="008F18DE" w:rsidRPr="00AB3924">
        <w:rPr>
          <w:rFonts w:ascii="Arial" w:hAnsi="Arial" w:cs="Arial"/>
          <w:color w:val="000000" w:themeColor="text1"/>
          <w:sz w:val="20"/>
          <w:szCs w:val="20"/>
        </w:rPr>
        <w:t xml:space="preserve">o complexo </w:t>
      </w:r>
      <w:r w:rsidRPr="00AB3924">
        <w:rPr>
          <w:rFonts w:ascii="Arial" w:hAnsi="Arial" w:cs="Arial"/>
          <w:color w:val="000000" w:themeColor="text1"/>
          <w:sz w:val="20"/>
          <w:szCs w:val="20"/>
        </w:rPr>
        <w:t>soja</w:t>
      </w:r>
      <w:r w:rsidR="007C6CBD" w:rsidRPr="00AB3924">
        <w:rPr>
          <w:rFonts w:ascii="Arial" w:hAnsi="Arial" w:cs="Arial"/>
          <w:color w:val="000000" w:themeColor="text1"/>
          <w:sz w:val="20"/>
          <w:szCs w:val="20"/>
        </w:rPr>
        <w:t>.</w:t>
      </w:r>
      <w:r w:rsidR="00710C98" w:rsidRPr="00AB3924">
        <w:rPr>
          <w:rFonts w:ascii="Arial" w:hAnsi="Arial" w:cs="Arial"/>
          <w:color w:val="000000" w:themeColor="text1"/>
          <w:sz w:val="20"/>
          <w:szCs w:val="20"/>
        </w:rPr>
        <w:t xml:space="preserve"> As exportações do setor tiveram crescimento acentuado para o período (+156,4%), passando de US$ 490,03 milhões em novembro de 2016 para US$ 1,26 b</w:t>
      </w:r>
      <w:r w:rsidR="00E439F2" w:rsidRPr="00AB3924">
        <w:rPr>
          <w:rFonts w:ascii="Arial" w:hAnsi="Arial" w:cs="Arial"/>
          <w:color w:val="000000" w:themeColor="text1"/>
          <w:sz w:val="20"/>
          <w:szCs w:val="20"/>
        </w:rPr>
        <w:t>ilhão em novembro de 2017</w:t>
      </w:r>
      <w:r w:rsidR="00710C98" w:rsidRPr="00AB3924">
        <w:rPr>
          <w:rFonts w:ascii="Arial" w:hAnsi="Arial" w:cs="Arial"/>
          <w:color w:val="000000" w:themeColor="text1"/>
          <w:sz w:val="20"/>
          <w:szCs w:val="20"/>
        </w:rPr>
        <w:t xml:space="preserve">. </w:t>
      </w:r>
      <w:r w:rsidR="006020C0" w:rsidRPr="00AB3924">
        <w:rPr>
          <w:rFonts w:ascii="Arial" w:hAnsi="Arial" w:cs="Arial"/>
          <w:color w:val="000000" w:themeColor="text1"/>
          <w:sz w:val="20"/>
          <w:szCs w:val="20"/>
        </w:rPr>
        <w:t xml:space="preserve">O grão, principal produto, foi responsável por </w:t>
      </w:r>
      <w:r w:rsidR="0085725D" w:rsidRPr="00AB3924">
        <w:rPr>
          <w:rFonts w:ascii="Arial" w:hAnsi="Arial" w:cs="Arial"/>
          <w:color w:val="000000" w:themeColor="text1"/>
          <w:sz w:val="20"/>
          <w:szCs w:val="20"/>
        </w:rPr>
        <w:t xml:space="preserve">64,9% das vendas do </w:t>
      </w:r>
      <w:r w:rsidR="00D82D93" w:rsidRPr="00AB3924">
        <w:rPr>
          <w:rFonts w:ascii="Arial" w:hAnsi="Arial" w:cs="Arial"/>
          <w:color w:val="000000" w:themeColor="text1"/>
          <w:sz w:val="20"/>
          <w:szCs w:val="20"/>
        </w:rPr>
        <w:t>complexo</w:t>
      </w:r>
      <w:r w:rsidR="0085725D" w:rsidRPr="00AB3924">
        <w:rPr>
          <w:rFonts w:ascii="Arial" w:hAnsi="Arial" w:cs="Arial"/>
          <w:color w:val="000000" w:themeColor="text1"/>
          <w:sz w:val="20"/>
          <w:szCs w:val="20"/>
        </w:rPr>
        <w:t xml:space="preserve">, somando a </w:t>
      </w:r>
      <w:r w:rsidR="008E5112" w:rsidRPr="00AB3924">
        <w:rPr>
          <w:rFonts w:ascii="Arial" w:hAnsi="Arial" w:cs="Arial"/>
          <w:color w:val="000000" w:themeColor="text1"/>
          <w:sz w:val="20"/>
          <w:szCs w:val="20"/>
        </w:rPr>
        <w:t>quantidade</w:t>
      </w:r>
      <w:r w:rsidR="0085725D" w:rsidRPr="00AB3924">
        <w:rPr>
          <w:rFonts w:ascii="Arial" w:hAnsi="Arial" w:cs="Arial"/>
          <w:color w:val="000000" w:themeColor="text1"/>
          <w:sz w:val="20"/>
          <w:szCs w:val="20"/>
        </w:rPr>
        <w:t xml:space="preserve"> recorde para o m</w:t>
      </w:r>
      <w:r w:rsidR="00433948" w:rsidRPr="00AB3924">
        <w:rPr>
          <w:rFonts w:ascii="Arial" w:hAnsi="Arial" w:cs="Arial"/>
          <w:color w:val="000000" w:themeColor="text1"/>
          <w:sz w:val="20"/>
          <w:szCs w:val="20"/>
        </w:rPr>
        <w:t>ês de n</w:t>
      </w:r>
      <w:r w:rsidR="0085725D" w:rsidRPr="00AB3924">
        <w:rPr>
          <w:rFonts w:ascii="Arial" w:hAnsi="Arial" w:cs="Arial"/>
          <w:color w:val="000000" w:themeColor="text1"/>
          <w:sz w:val="20"/>
          <w:szCs w:val="20"/>
        </w:rPr>
        <w:t>o</w:t>
      </w:r>
      <w:r w:rsidR="00433948" w:rsidRPr="00AB3924">
        <w:rPr>
          <w:rFonts w:ascii="Arial" w:hAnsi="Arial" w:cs="Arial"/>
          <w:color w:val="000000" w:themeColor="text1"/>
          <w:sz w:val="20"/>
          <w:szCs w:val="20"/>
        </w:rPr>
        <w:t>v</w:t>
      </w:r>
      <w:r w:rsidR="0085725D" w:rsidRPr="00AB3924">
        <w:rPr>
          <w:rFonts w:ascii="Arial" w:hAnsi="Arial" w:cs="Arial"/>
          <w:color w:val="000000" w:themeColor="text1"/>
          <w:sz w:val="20"/>
          <w:szCs w:val="20"/>
        </w:rPr>
        <w:t>e</w:t>
      </w:r>
      <w:r w:rsidR="00433948" w:rsidRPr="00AB3924">
        <w:rPr>
          <w:rFonts w:ascii="Arial" w:hAnsi="Arial" w:cs="Arial"/>
          <w:color w:val="000000" w:themeColor="text1"/>
          <w:sz w:val="20"/>
          <w:szCs w:val="20"/>
        </w:rPr>
        <w:t>m</w:t>
      </w:r>
      <w:r w:rsidR="0085725D" w:rsidRPr="00AB3924">
        <w:rPr>
          <w:rFonts w:ascii="Arial" w:hAnsi="Arial" w:cs="Arial"/>
          <w:color w:val="000000" w:themeColor="text1"/>
          <w:sz w:val="20"/>
          <w:szCs w:val="20"/>
        </w:rPr>
        <w:t xml:space="preserve">bro de </w:t>
      </w:r>
      <w:r w:rsidR="008E5112" w:rsidRPr="00AB3924">
        <w:rPr>
          <w:rFonts w:ascii="Arial" w:hAnsi="Arial" w:cs="Arial"/>
          <w:color w:val="000000" w:themeColor="text1"/>
          <w:sz w:val="20"/>
          <w:szCs w:val="20"/>
        </w:rPr>
        <w:t xml:space="preserve">2,14 milhões de toneladas e US$ </w:t>
      </w:r>
      <w:r w:rsidR="0085725D" w:rsidRPr="00AB3924">
        <w:rPr>
          <w:rFonts w:ascii="Arial" w:hAnsi="Arial" w:cs="Arial"/>
          <w:color w:val="000000" w:themeColor="text1"/>
          <w:sz w:val="20"/>
          <w:szCs w:val="20"/>
        </w:rPr>
        <w:t xml:space="preserve">815,34 </w:t>
      </w:r>
      <w:r w:rsidR="005B0A08" w:rsidRPr="00AB3924">
        <w:rPr>
          <w:rFonts w:ascii="Arial" w:hAnsi="Arial" w:cs="Arial"/>
          <w:color w:val="000000" w:themeColor="text1"/>
          <w:sz w:val="20"/>
          <w:szCs w:val="20"/>
        </w:rPr>
        <w:t>milhões. Os</w:t>
      </w:r>
      <w:r w:rsidR="00710C98" w:rsidRPr="00AB3924">
        <w:rPr>
          <w:rFonts w:ascii="Arial" w:hAnsi="Arial" w:cs="Arial"/>
          <w:color w:val="000000" w:themeColor="text1"/>
          <w:sz w:val="20"/>
          <w:szCs w:val="20"/>
        </w:rPr>
        <w:t xml:space="preserve"> demais produtos do setor também apresentaram </w:t>
      </w:r>
      <w:r w:rsidR="00AB1FEE" w:rsidRPr="00AB3924">
        <w:rPr>
          <w:rFonts w:ascii="Arial" w:hAnsi="Arial" w:cs="Arial"/>
          <w:color w:val="000000" w:themeColor="text1"/>
          <w:sz w:val="20"/>
          <w:szCs w:val="20"/>
        </w:rPr>
        <w:t>crescimento, tanto em valor quanto em quantidade embarcada</w:t>
      </w:r>
      <w:r w:rsidR="00710C98" w:rsidRPr="00AB3924">
        <w:rPr>
          <w:rFonts w:ascii="Arial" w:hAnsi="Arial" w:cs="Arial"/>
          <w:color w:val="000000" w:themeColor="text1"/>
          <w:sz w:val="20"/>
          <w:szCs w:val="20"/>
        </w:rPr>
        <w:t xml:space="preserve">, </w:t>
      </w:r>
      <w:r w:rsidR="00AB1FEE" w:rsidRPr="00AB3924">
        <w:rPr>
          <w:rFonts w:ascii="Arial" w:hAnsi="Arial" w:cs="Arial"/>
          <w:color w:val="000000" w:themeColor="text1"/>
          <w:sz w:val="20"/>
          <w:szCs w:val="20"/>
        </w:rPr>
        <w:t xml:space="preserve">+24,0% e +23,5% </w:t>
      </w:r>
      <w:r w:rsidR="00710C98" w:rsidRPr="00AB3924">
        <w:rPr>
          <w:rFonts w:ascii="Arial" w:hAnsi="Arial" w:cs="Arial"/>
          <w:color w:val="000000" w:themeColor="text1"/>
          <w:sz w:val="20"/>
          <w:szCs w:val="20"/>
        </w:rPr>
        <w:t xml:space="preserve">no farelo de soja e </w:t>
      </w:r>
      <w:r w:rsidR="00AB1FEE" w:rsidRPr="00AB3924">
        <w:rPr>
          <w:rFonts w:ascii="Arial" w:hAnsi="Arial" w:cs="Arial"/>
          <w:color w:val="000000" w:themeColor="text1"/>
          <w:sz w:val="20"/>
          <w:szCs w:val="20"/>
        </w:rPr>
        <w:t>+14,1% e 14,5%</w:t>
      </w:r>
      <w:r w:rsidR="00710C98" w:rsidRPr="00AB3924">
        <w:rPr>
          <w:rFonts w:ascii="Arial" w:hAnsi="Arial" w:cs="Arial"/>
          <w:color w:val="000000" w:themeColor="text1"/>
          <w:sz w:val="20"/>
          <w:szCs w:val="20"/>
        </w:rPr>
        <w:t xml:space="preserve"> no óleo de soja.</w:t>
      </w:r>
      <w:r w:rsidR="00AB1FEE" w:rsidRPr="00AB3924">
        <w:rPr>
          <w:rFonts w:ascii="Arial" w:hAnsi="Arial" w:cs="Arial"/>
          <w:color w:val="000000" w:themeColor="text1"/>
          <w:sz w:val="20"/>
          <w:szCs w:val="20"/>
        </w:rPr>
        <w:t xml:space="preserve"> Os preços dos produtos, por sua vez, se mantiveram praticamente estáveis no caso do farelo (+0,4%) e óleo (-0,3%) e apresentaram queda de 7,6% no caso da soja em grãos.</w:t>
      </w:r>
    </w:p>
    <w:p w:rsidR="006F6D8D" w:rsidRPr="00AB3924" w:rsidRDefault="006F6D8D" w:rsidP="006F6D8D">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lastRenderedPageBreak/>
        <w:t xml:space="preserve">As vendas externas dos produtos florestais foram de US$ </w:t>
      </w:r>
      <w:r w:rsidR="006063EA" w:rsidRPr="00AB3924">
        <w:rPr>
          <w:rFonts w:ascii="Arial" w:hAnsi="Arial" w:cs="Arial"/>
          <w:color w:val="000000" w:themeColor="text1"/>
          <w:sz w:val="20"/>
          <w:szCs w:val="20"/>
        </w:rPr>
        <w:t>998,62</w:t>
      </w:r>
      <w:r w:rsidRPr="00AB3924">
        <w:rPr>
          <w:rFonts w:ascii="Arial" w:hAnsi="Arial" w:cs="Arial"/>
          <w:color w:val="000000" w:themeColor="text1"/>
          <w:sz w:val="20"/>
          <w:szCs w:val="20"/>
        </w:rPr>
        <w:t xml:space="preserve"> milhões (+</w:t>
      </w:r>
      <w:r w:rsidR="006063EA" w:rsidRPr="00AB3924">
        <w:rPr>
          <w:rFonts w:ascii="Arial" w:hAnsi="Arial" w:cs="Arial"/>
          <w:color w:val="000000" w:themeColor="text1"/>
          <w:sz w:val="20"/>
          <w:szCs w:val="20"/>
        </w:rPr>
        <w:t>15,7</w:t>
      </w:r>
      <w:r w:rsidRPr="00AB3924">
        <w:rPr>
          <w:rFonts w:ascii="Arial" w:hAnsi="Arial" w:cs="Arial"/>
          <w:color w:val="000000" w:themeColor="text1"/>
          <w:sz w:val="20"/>
          <w:szCs w:val="20"/>
        </w:rPr>
        <w:t>%), colocando</w:t>
      </w:r>
      <w:r w:rsidR="006063EA" w:rsidRPr="00AB3924">
        <w:rPr>
          <w:rFonts w:ascii="Arial" w:hAnsi="Arial" w:cs="Arial"/>
          <w:color w:val="000000" w:themeColor="text1"/>
          <w:sz w:val="20"/>
          <w:szCs w:val="20"/>
        </w:rPr>
        <w:t>-</w:t>
      </w:r>
      <w:r w:rsidRPr="00AB3924">
        <w:rPr>
          <w:rFonts w:ascii="Arial" w:hAnsi="Arial" w:cs="Arial"/>
          <w:color w:val="000000" w:themeColor="text1"/>
          <w:sz w:val="20"/>
          <w:szCs w:val="20"/>
        </w:rPr>
        <w:t>o na terceira posição dentre os principais setores exportadores do agronegócio. O principal produto de exportação foi a celulose</w:t>
      </w:r>
      <w:r w:rsidR="006063EA" w:rsidRPr="00AB3924">
        <w:rPr>
          <w:rFonts w:ascii="Arial" w:hAnsi="Arial" w:cs="Arial"/>
          <w:color w:val="000000" w:themeColor="text1"/>
          <w:sz w:val="20"/>
          <w:szCs w:val="20"/>
        </w:rPr>
        <w:t xml:space="preserve">, que representou </w:t>
      </w:r>
      <w:r w:rsidR="00445D12" w:rsidRPr="00AB3924">
        <w:rPr>
          <w:rFonts w:ascii="Arial" w:hAnsi="Arial" w:cs="Arial"/>
          <w:color w:val="000000" w:themeColor="text1"/>
          <w:sz w:val="20"/>
          <w:szCs w:val="20"/>
        </w:rPr>
        <w:t>55,3%</w:t>
      </w:r>
      <w:r w:rsidR="00BD75B3" w:rsidRPr="00AB3924">
        <w:rPr>
          <w:rFonts w:ascii="Arial" w:hAnsi="Arial" w:cs="Arial"/>
          <w:color w:val="000000" w:themeColor="text1"/>
          <w:sz w:val="20"/>
          <w:szCs w:val="20"/>
        </w:rPr>
        <w:t xml:space="preserve"> do total das exportações do setor</w:t>
      </w:r>
      <w:r w:rsidRPr="00AB3924">
        <w:rPr>
          <w:rFonts w:ascii="Arial" w:hAnsi="Arial" w:cs="Arial"/>
          <w:color w:val="000000" w:themeColor="text1"/>
          <w:sz w:val="20"/>
          <w:szCs w:val="20"/>
        </w:rPr>
        <w:t xml:space="preserve">. As vendas externas do produto atingiram US$ </w:t>
      </w:r>
      <w:r w:rsidR="0099046C" w:rsidRPr="00AB3924">
        <w:rPr>
          <w:rFonts w:ascii="Arial" w:hAnsi="Arial" w:cs="Arial"/>
          <w:color w:val="000000" w:themeColor="text1"/>
          <w:sz w:val="20"/>
          <w:szCs w:val="20"/>
        </w:rPr>
        <w:t>552,11</w:t>
      </w:r>
      <w:r w:rsidRPr="00AB3924">
        <w:rPr>
          <w:rFonts w:ascii="Arial" w:hAnsi="Arial" w:cs="Arial"/>
          <w:color w:val="000000" w:themeColor="text1"/>
          <w:sz w:val="20"/>
          <w:szCs w:val="20"/>
        </w:rPr>
        <w:t xml:space="preserve"> milhões (+</w:t>
      </w:r>
      <w:r w:rsidR="0099046C" w:rsidRPr="00AB3924">
        <w:rPr>
          <w:rFonts w:ascii="Arial" w:hAnsi="Arial" w:cs="Arial"/>
          <w:color w:val="000000" w:themeColor="text1"/>
          <w:sz w:val="20"/>
          <w:szCs w:val="20"/>
        </w:rPr>
        <w:t>19,0</w:t>
      </w:r>
      <w:r w:rsidRPr="00AB3924">
        <w:rPr>
          <w:rFonts w:ascii="Arial" w:hAnsi="Arial" w:cs="Arial"/>
          <w:color w:val="000000" w:themeColor="text1"/>
          <w:sz w:val="20"/>
          <w:szCs w:val="20"/>
        </w:rPr>
        <w:t xml:space="preserve">%), valor recorde para os meses de novembro. </w:t>
      </w:r>
      <w:r w:rsidR="00B77826" w:rsidRPr="00AB3924">
        <w:rPr>
          <w:rFonts w:ascii="Arial" w:hAnsi="Arial" w:cs="Arial"/>
          <w:color w:val="000000" w:themeColor="text1"/>
          <w:sz w:val="20"/>
          <w:szCs w:val="20"/>
        </w:rPr>
        <w:t>A</w:t>
      </w:r>
      <w:r w:rsidRPr="00AB3924">
        <w:rPr>
          <w:rFonts w:ascii="Arial" w:hAnsi="Arial" w:cs="Arial"/>
          <w:color w:val="000000" w:themeColor="text1"/>
          <w:sz w:val="20"/>
          <w:szCs w:val="20"/>
        </w:rPr>
        <w:t xml:space="preserve"> quantidade exportada de celulose foi </w:t>
      </w:r>
      <w:r w:rsidR="00B77826" w:rsidRPr="00AB3924">
        <w:rPr>
          <w:rFonts w:ascii="Arial" w:hAnsi="Arial" w:cs="Arial"/>
          <w:color w:val="000000" w:themeColor="text1"/>
          <w:sz w:val="20"/>
          <w:szCs w:val="20"/>
        </w:rPr>
        <w:t>de 1,09 milhão de toneladas</w:t>
      </w:r>
      <w:r w:rsidRPr="00AB3924">
        <w:rPr>
          <w:rFonts w:ascii="Arial" w:hAnsi="Arial" w:cs="Arial"/>
          <w:color w:val="000000" w:themeColor="text1"/>
          <w:sz w:val="20"/>
          <w:szCs w:val="20"/>
        </w:rPr>
        <w:t xml:space="preserve">. </w:t>
      </w:r>
      <w:r w:rsidR="006E7AC8" w:rsidRPr="00AB3924">
        <w:rPr>
          <w:rFonts w:ascii="Arial" w:hAnsi="Arial" w:cs="Arial"/>
          <w:color w:val="000000" w:themeColor="text1"/>
          <w:sz w:val="20"/>
          <w:szCs w:val="20"/>
        </w:rPr>
        <w:t>As exportações de papel e madeiras e suas obras também apresentaram crescimento</w:t>
      </w:r>
      <w:r w:rsidR="0038134C" w:rsidRPr="00AB3924">
        <w:rPr>
          <w:rFonts w:ascii="Arial" w:hAnsi="Arial" w:cs="Arial"/>
          <w:color w:val="000000" w:themeColor="text1"/>
          <w:sz w:val="20"/>
          <w:szCs w:val="20"/>
        </w:rPr>
        <w:t xml:space="preserve"> em valor</w:t>
      </w:r>
      <w:r w:rsidR="006E7AC8" w:rsidRPr="00AB3924">
        <w:rPr>
          <w:rFonts w:ascii="Arial" w:hAnsi="Arial" w:cs="Arial"/>
          <w:color w:val="000000" w:themeColor="text1"/>
          <w:sz w:val="20"/>
          <w:szCs w:val="20"/>
        </w:rPr>
        <w:t xml:space="preserve">: 8,2% e 13,8%, respectivamente. </w:t>
      </w:r>
    </w:p>
    <w:p w:rsidR="00710C98" w:rsidRPr="00AB3924" w:rsidRDefault="00710C98" w:rsidP="008F18DE">
      <w:pPr>
        <w:pStyle w:val="Recuodecorpodetexto"/>
        <w:rPr>
          <w:rFonts w:ascii="Arial" w:hAnsi="Arial" w:cs="Arial"/>
          <w:color w:val="000000" w:themeColor="text1"/>
          <w:sz w:val="20"/>
          <w:szCs w:val="20"/>
        </w:rPr>
      </w:pPr>
    </w:p>
    <w:p w:rsidR="008F18DE" w:rsidRPr="00AB3924" w:rsidRDefault="004C5467" w:rsidP="008F18DE">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O complexo </w:t>
      </w:r>
      <w:r w:rsidR="008F18DE" w:rsidRPr="00AB3924">
        <w:rPr>
          <w:rFonts w:ascii="Arial" w:hAnsi="Arial" w:cs="Arial"/>
          <w:color w:val="000000" w:themeColor="text1"/>
          <w:sz w:val="20"/>
          <w:szCs w:val="20"/>
        </w:rPr>
        <w:t xml:space="preserve">sucroalcooleiro, com US$ </w:t>
      </w:r>
      <w:r w:rsidR="003F150F" w:rsidRPr="00AB3924">
        <w:rPr>
          <w:rFonts w:ascii="Arial" w:hAnsi="Arial" w:cs="Arial"/>
          <w:color w:val="000000" w:themeColor="text1"/>
          <w:sz w:val="20"/>
          <w:szCs w:val="20"/>
        </w:rPr>
        <w:t>867,23 milhões,</w:t>
      </w:r>
      <w:r w:rsidR="008F18DE" w:rsidRPr="00AB3924">
        <w:rPr>
          <w:rFonts w:ascii="Arial" w:hAnsi="Arial" w:cs="Arial"/>
          <w:color w:val="000000" w:themeColor="text1"/>
          <w:sz w:val="20"/>
          <w:szCs w:val="20"/>
        </w:rPr>
        <w:t xml:space="preserve"> </w:t>
      </w:r>
      <w:r w:rsidR="003F150F" w:rsidRPr="00AB3924">
        <w:rPr>
          <w:rFonts w:ascii="Arial" w:hAnsi="Arial" w:cs="Arial"/>
          <w:color w:val="000000" w:themeColor="text1"/>
          <w:sz w:val="20"/>
          <w:szCs w:val="20"/>
        </w:rPr>
        <w:t>foi o quarto principal setor do agronegócio em vendas externas</w:t>
      </w:r>
      <w:r w:rsidR="008F18DE" w:rsidRPr="00AB3924">
        <w:rPr>
          <w:rFonts w:ascii="Arial" w:hAnsi="Arial" w:cs="Arial"/>
          <w:color w:val="000000" w:themeColor="text1"/>
          <w:sz w:val="20"/>
          <w:szCs w:val="20"/>
        </w:rPr>
        <w:t xml:space="preserve">. As exportações do setor </w:t>
      </w:r>
      <w:r w:rsidR="003F150F" w:rsidRPr="00AB3924">
        <w:rPr>
          <w:rFonts w:ascii="Arial" w:hAnsi="Arial" w:cs="Arial"/>
          <w:color w:val="000000" w:themeColor="text1"/>
          <w:sz w:val="20"/>
          <w:szCs w:val="20"/>
        </w:rPr>
        <w:t>sofreram perda de 22,2%, principalmente</w:t>
      </w:r>
      <w:r w:rsidR="008F18DE" w:rsidRPr="00AB3924">
        <w:rPr>
          <w:rFonts w:ascii="Arial" w:hAnsi="Arial" w:cs="Arial"/>
          <w:color w:val="000000" w:themeColor="text1"/>
          <w:sz w:val="20"/>
          <w:szCs w:val="20"/>
        </w:rPr>
        <w:t xml:space="preserve"> em função </w:t>
      </w:r>
      <w:r w:rsidR="003F150F" w:rsidRPr="00AB3924">
        <w:rPr>
          <w:rFonts w:ascii="Arial" w:hAnsi="Arial" w:cs="Arial"/>
          <w:color w:val="000000" w:themeColor="text1"/>
          <w:sz w:val="20"/>
          <w:szCs w:val="20"/>
        </w:rPr>
        <w:t xml:space="preserve">da </w:t>
      </w:r>
      <w:r w:rsidR="004A454D" w:rsidRPr="00AB3924">
        <w:rPr>
          <w:rFonts w:ascii="Arial" w:hAnsi="Arial" w:cs="Arial"/>
          <w:color w:val="000000" w:themeColor="text1"/>
          <w:sz w:val="20"/>
          <w:szCs w:val="20"/>
        </w:rPr>
        <w:t>retração</w:t>
      </w:r>
      <w:r w:rsidR="003F150F" w:rsidRPr="00AB3924">
        <w:rPr>
          <w:rFonts w:ascii="Arial" w:hAnsi="Arial" w:cs="Arial"/>
          <w:color w:val="000000" w:themeColor="text1"/>
          <w:sz w:val="20"/>
          <w:szCs w:val="20"/>
        </w:rPr>
        <w:t xml:space="preserve"> dos embarques de açúcar. O produto registrou redução tanto em valor (-27,2%) </w:t>
      </w:r>
      <w:r w:rsidR="004A454D" w:rsidRPr="00AB3924">
        <w:rPr>
          <w:rFonts w:ascii="Arial" w:hAnsi="Arial" w:cs="Arial"/>
          <w:color w:val="000000" w:themeColor="text1"/>
          <w:sz w:val="20"/>
          <w:szCs w:val="20"/>
        </w:rPr>
        <w:t>como</w:t>
      </w:r>
      <w:r w:rsidR="003F150F" w:rsidRPr="00AB3924">
        <w:rPr>
          <w:rFonts w:ascii="Arial" w:hAnsi="Arial" w:cs="Arial"/>
          <w:color w:val="000000" w:themeColor="text1"/>
          <w:sz w:val="20"/>
          <w:szCs w:val="20"/>
        </w:rPr>
        <w:t xml:space="preserve"> em quantidade (-14,7%).</w:t>
      </w:r>
      <w:r w:rsidR="008F18DE" w:rsidRPr="00AB3924">
        <w:rPr>
          <w:rFonts w:ascii="Arial" w:hAnsi="Arial" w:cs="Arial"/>
          <w:color w:val="000000" w:themeColor="text1"/>
          <w:sz w:val="20"/>
          <w:szCs w:val="20"/>
        </w:rPr>
        <w:t xml:space="preserve"> </w:t>
      </w:r>
      <w:r w:rsidR="003F150F" w:rsidRPr="00AB3924">
        <w:rPr>
          <w:rFonts w:ascii="Arial" w:hAnsi="Arial" w:cs="Arial"/>
          <w:color w:val="000000" w:themeColor="text1"/>
          <w:sz w:val="20"/>
          <w:szCs w:val="20"/>
        </w:rPr>
        <w:t>Por outro lado, as exportações de álcool cresceram de US$ 24,81 em novembro de 2016 para US$ 73,88 milhões no mesmo mês do ano seguinte.</w:t>
      </w:r>
    </w:p>
    <w:p w:rsidR="008F18DE" w:rsidRPr="00AB3924" w:rsidRDefault="008F18DE" w:rsidP="008F18DE">
      <w:pPr>
        <w:pStyle w:val="Recuodecorpodetexto"/>
        <w:rPr>
          <w:rFonts w:ascii="Arial" w:hAnsi="Arial" w:cs="Arial"/>
          <w:color w:val="000000" w:themeColor="text1"/>
          <w:sz w:val="20"/>
          <w:szCs w:val="20"/>
        </w:rPr>
      </w:pPr>
    </w:p>
    <w:p w:rsidR="008F18DE" w:rsidRPr="00AB3924" w:rsidRDefault="0085401B" w:rsidP="00DC135E">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H</w:t>
      </w:r>
      <w:r w:rsidR="008F18DE" w:rsidRPr="00AB3924">
        <w:rPr>
          <w:rFonts w:ascii="Arial" w:hAnsi="Arial" w:cs="Arial"/>
          <w:color w:val="000000" w:themeColor="text1"/>
          <w:sz w:val="20"/>
          <w:szCs w:val="20"/>
        </w:rPr>
        <w:t xml:space="preserve">ouve também incremento </w:t>
      </w:r>
      <w:r w:rsidR="00DC135E" w:rsidRPr="00AB3924">
        <w:rPr>
          <w:rFonts w:ascii="Arial" w:hAnsi="Arial" w:cs="Arial"/>
          <w:color w:val="000000" w:themeColor="text1"/>
          <w:sz w:val="20"/>
          <w:szCs w:val="20"/>
        </w:rPr>
        <w:t xml:space="preserve">expressivo </w:t>
      </w:r>
      <w:r w:rsidR="008F18DE" w:rsidRPr="00AB3924">
        <w:rPr>
          <w:rFonts w:ascii="Arial" w:hAnsi="Arial" w:cs="Arial"/>
          <w:color w:val="000000" w:themeColor="text1"/>
          <w:sz w:val="20"/>
          <w:szCs w:val="20"/>
        </w:rPr>
        <w:t xml:space="preserve">nas exportações de </w:t>
      </w:r>
      <w:r w:rsidR="00DC135E" w:rsidRPr="00AB3924">
        <w:rPr>
          <w:rFonts w:ascii="Arial" w:hAnsi="Arial" w:cs="Arial"/>
          <w:color w:val="000000" w:themeColor="text1"/>
          <w:sz w:val="20"/>
          <w:szCs w:val="20"/>
        </w:rPr>
        <w:t>cereais, farinhas e preparações (+208,2%), decorrentes da expansão do milho. O produto, que representou 91,3% das vendas do setor no período, registrou crescimento de US$ 380,75 milhões, passando de US$ 156,35 milhões em novembro de 2016 para US$ 537,10 milhões em novembro de 2017.</w:t>
      </w:r>
    </w:p>
    <w:p w:rsidR="008F18DE" w:rsidRPr="00AB3924" w:rsidRDefault="008F18DE" w:rsidP="008F18DE">
      <w:pPr>
        <w:pStyle w:val="Recuodecorpodetexto"/>
        <w:rPr>
          <w:rFonts w:ascii="Arial" w:hAnsi="Arial" w:cs="Arial"/>
          <w:color w:val="000000" w:themeColor="text1"/>
          <w:sz w:val="20"/>
          <w:szCs w:val="20"/>
        </w:rPr>
      </w:pPr>
    </w:p>
    <w:p w:rsidR="009F0DD1" w:rsidRPr="00AB3924" w:rsidRDefault="00A05F29" w:rsidP="008F18DE">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Em suma, n</w:t>
      </w:r>
      <w:r w:rsidR="008F18DE" w:rsidRPr="00AB3924">
        <w:rPr>
          <w:rFonts w:ascii="Arial" w:hAnsi="Arial" w:cs="Arial"/>
          <w:color w:val="000000" w:themeColor="text1"/>
          <w:sz w:val="20"/>
          <w:szCs w:val="20"/>
        </w:rPr>
        <w:t>o mês de novembro de 201</w:t>
      </w:r>
      <w:r w:rsidRPr="00AB3924">
        <w:rPr>
          <w:rFonts w:ascii="Arial" w:hAnsi="Arial" w:cs="Arial"/>
          <w:color w:val="000000" w:themeColor="text1"/>
          <w:sz w:val="20"/>
          <w:szCs w:val="20"/>
        </w:rPr>
        <w:t>7</w:t>
      </w:r>
      <w:r w:rsidR="008F18DE" w:rsidRPr="00AB3924">
        <w:rPr>
          <w:rFonts w:ascii="Arial" w:hAnsi="Arial" w:cs="Arial"/>
          <w:color w:val="000000" w:themeColor="text1"/>
          <w:sz w:val="20"/>
          <w:szCs w:val="20"/>
        </w:rPr>
        <w:t xml:space="preserve">, </w:t>
      </w:r>
      <w:r w:rsidR="009F0DD1" w:rsidRPr="00AB3924">
        <w:rPr>
          <w:rFonts w:ascii="Arial" w:hAnsi="Arial" w:cs="Arial"/>
          <w:color w:val="000000" w:themeColor="text1"/>
          <w:sz w:val="20"/>
          <w:szCs w:val="20"/>
        </w:rPr>
        <w:t>o aumento das exportações de soja em grãos (+US$ 685,86 milhões), milho</w:t>
      </w:r>
      <w:r w:rsidR="000B1599" w:rsidRPr="00AB3924">
        <w:rPr>
          <w:rFonts w:ascii="Arial" w:hAnsi="Arial" w:cs="Arial"/>
          <w:color w:val="000000" w:themeColor="text1"/>
          <w:sz w:val="20"/>
          <w:szCs w:val="20"/>
        </w:rPr>
        <w:t xml:space="preserve"> (+US$ 380,75 milhões)</w:t>
      </w:r>
      <w:r w:rsidR="009F0DD1" w:rsidRPr="00AB3924">
        <w:rPr>
          <w:rFonts w:ascii="Arial" w:hAnsi="Arial" w:cs="Arial"/>
          <w:color w:val="000000" w:themeColor="text1"/>
          <w:sz w:val="20"/>
          <w:szCs w:val="20"/>
        </w:rPr>
        <w:t xml:space="preserve">, carne bovina </w:t>
      </w:r>
      <w:r w:rsidR="009F0DD1" w:rsidRPr="00AB3924">
        <w:rPr>
          <w:rFonts w:ascii="Arial" w:hAnsi="Arial" w:cs="Arial"/>
          <w:i/>
          <w:color w:val="000000" w:themeColor="text1"/>
          <w:sz w:val="20"/>
          <w:szCs w:val="20"/>
        </w:rPr>
        <w:t>in natura</w:t>
      </w:r>
      <w:r w:rsidR="009F0DD1" w:rsidRPr="00AB3924">
        <w:rPr>
          <w:rFonts w:ascii="Arial" w:hAnsi="Arial" w:cs="Arial"/>
          <w:color w:val="000000" w:themeColor="text1"/>
          <w:sz w:val="20"/>
          <w:szCs w:val="20"/>
        </w:rPr>
        <w:t xml:space="preserve"> </w:t>
      </w:r>
      <w:r w:rsidR="000B1599" w:rsidRPr="00AB3924">
        <w:rPr>
          <w:rFonts w:ascii="Arial" w:hAnsi="Arial" w:cs="Arial"/>
          <w:color w:val="000000" w:themeColor="text1"/>
          <w:sz w:val="20"/>
          <w:szCs w:val="20"/>
        </w:rPr>
        <w:t xml:space="preserve">(+US$ 159,31 milhões) </w:t>
      </w:r>
      <w:r w:rsidR="009F0DD1" w:rsidRPr="00AB3924">
        <w:rPr>
          <w:rFonts w:ascii="Arial" w:hAnsi="Arial" w:cs="Arial"/>
          <w:color w:val="000000" w:themeColor="text1"/>
          <w:sz w:val="20"/>
          <w:szCs w:val="20"/>
        </w:rPr>
        <w:t xml:space="preserve">e algodão não cardado nem penteado </w:t>
      </w:r>
      <w:r w:rsidR="000B1599" w:rsidRPr="00AB3924">
        <w:rPr>
          <w:rFonts w:ascii="Arial" w:hAnsi="Arial" w:cs="Arial"/>
          <w:color w:val="000000" w:themeColor="text1"/>
          <w:sz w:val="20"/>
          <w:szCs w:val="20"/>
        </w:rPr>
        <w:t xml:space="preserve">(+US$ 107,88 milhões) e celulose (+US$ 88,18 milhões) </w:t>
      </w:r>
      <w:r w:rsidR="009F0DD1" w:rsidRPr="00AB3924">
        <w:rPr>
          <w:rFonts w:ascii="Arial" w:hAnsi="Arial" w:cs="Arial"/>
          <w:color w:val="000000" w:themeColor="text1"/>
          <w:sz w:val="20"/>
          <w:szCs w:val="20"/>
        </w:rPr>
        <w:t xml:space="preserve">foram os que mais contribuíram para o crescimento, compensando a queda em outros produtos como: açúcar (-US$ 295,93 milhões), café verde (-US$ 93,59 milhões) e carne suína </w:t>
      </w:r>
      <w:r w:rsidR="009F0DD1" w:rsidRPr="00AB3924">
        <w:rPr>
          <w:rFonts w:ascii="Arial" w:hAnsi="Arial" w:cs="Arial"/>
          <w:i/>
          <w:color w:val="000000" w:themeColor="text1"/>
          <w:sz w:val="20"/>
          <w:szCs w:val="20"/>
        </w:rPr>
        <w:t>in natura</w:t>
      </w:r>
      <w:r w:rsidR="009F0DD1" w:rsidRPr="00AB3924">
        <w:rPr>
          <w:rFonts w:ascii="Arial" w:hAnsi="Arial" w:cs="Arial"/>
          <w:color w:val="000000" w:themeColor="text1"/>
          <w:sz w:val="20"/>
          <w:szCs w:val="20"/>
        </w:rPr>
        <w:t xml:space="preserve"> (-US$ 42,12 milhões).</w:t>
      </w:r>
    </w:p>
    <w:p w:rsidR="008F18DE" w:rsidRPr="00AB3924" w:rsidRDefault="008F18DE" w:rsidP="008F18DE">
      <w:pPr>
        <w:pStyle w:val="Recuodecorpodetexto"/>
        <w:rPr>
          <w:rFonts w:ascii="Arial" w:hAnsi="Arial" w:cs="Arial"/>
          <w:color w:val="000000" w:themeColor="text1"/>
          <w:sz w:val="20"/>
          <w:szCs w:val="20"/>
        </w:rPr>
      </w:pPr>
    </w:p>
    <w:p w:rsidR="008F18DE" w:rsidRPr="00AB3924" w:rsidRDefault="00D261B1" w:rsidP="00114060">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Em relação aos produtos do agronegócio que foram adquiridos pelo Brasil no mês, cabe ressaltar: </w:t>
      </w:r>
      <w:r w:rsidR="008F18DE" w:rsidRPr="00AB3924">
        <w:rPr>
          <w:rFonts w:ascii="Arial" w:hAnsi="Arial" w:cs="Arial"/>
          <w:color w:val="000000" w:themeColor="text1"/>
          <w:sz w:val="20"/>
          <w:szCs w:val="20"/>
        </w:rPr>
        <w:t xml:space="preserve">trigo </w:t>
      </w:r>
      <w:r w:rsidR="00706976" w:rsidRPr="00AB3924">
        <w:rPr>
          <w:rFonts w:ascii="Arial" w:hAnsi="Arial" w:cs="Arial"/>
          <w:color w:val="000000" w:themeColor="text1"/>
          <w:sz w:val="20"/>
          <w:szCs w:val="20"/>
        </w:rPr>
        <w:t>(</w:t>
      </w:r>
      <w:r w:rsidR="000C4843" w:rsidRPr="00AB3924">
        <w:rPr>
          <w:rFonts w:ascii="Arial" w:hAnsi="Arial" w:cs="Arial"/>
          <w:color w:val="000000" w:themeColor="text1"/>
          <w:sz w:val="20"/>
          <w:szCs w:val="20"/>
        </w:rPr>
        <w:t xml:space="preserve">-30,7%; </w:t>
      </w:r>
      <w:r w:rsidR="008F18DE" w:rsidRPr="00AB3924">
        <w:rPr>
          <w:rFonts w:ascii="Arial" w:hAnsi="Arial" w:cs="Arial"/>
          <w:color w:val="000000" w:themeColor="text1"/>
          <w:sz w:val="20"/>
          <w:szCs w:val="20"/>
        </w:rPr>
        <w:t xml:space="preserve">US$ </w:t>
      </w:r>
      <w:r w:rsidR="00606817" w:rsidRPr="00AB3924">
        <w:rPr>
          <w:rFonts w:ascii="Arial" w:hAnsi="Arial" w:cs="Arial"/>
          <w:color w:val="000000" w:themeColor="text1"/>
          <w:sz w:val="20"/>
          <w:szCs w:val="20"/>
        </w:rPr>
        <w:t>93,82</w:t>
      </w:r>
      <w:r w:rsidR="008F18DE" w:rsidRPr="00AB3924">
        <w:rPr>
          <w:rFonts w:ascii="Arial" w:hAnsi="Arial" w:cs="Arial"/>
          <w:color w:val="000000" w:themeColor="text1"/>
          <w:sz w:val="20"/>
          <w:szCs w:val="20"/>
        </w:rPr>
        <w:t xml:space="preserve"> milhões); </w:t>
      </w:r>
      <w:r w:rsidR="000C4843" w:rsidRPr="00AB3924">
        <w:rPr>
          <w:rFonts w:ascii="Arial" w:hAnsi="Arial" w:cs="Arial"/>
          <w:color w:val="000000" w:themeColor="text1"/>
          <w:sz w:val="20"/>
          <w:szCs w:val="20"/>
        </w:rPr>
        <w:t>papel</w:t>
      </w:r>
      <w:r w:rsidR="008F18DE" w:rsidRPr="00AB3924">
        <w:rPr>
          <w:rFonts w:ascii="Arial" w:hAnsi="Arial" w:cs="Arial"/>
          <w:color w:val="000000" w:themeColor="text1"/>
          <w:sz w:val="20"/>
          <w:szCs w:val="20"/>
        </w:rPr>
        <w:t xml:space="preserve"> (+</w:t>
      </w:r>
      <w:r w:rsidR="000C4843" w:rsidRPr="00AB3924">
        <w:rPr>
          <w:rFonts w:ascii="Arial" w:hAnsi="Arial" w:cs="Arial"/>
          <w:color w:val="000000" w:themeColor="text1"/>
          <w:sz w:val="20"/>
          <w:szCs w:val="20"/>
        </w:rPr>
        <w:t>15,1</w:t>
      </w:r>
      <w:r w:rsidR="008F18DE" w:rsidRPr="00AB3924">
        <w:rPr>
          <w:rFonts w:ascii="Arial" w:hAnsi="Arial" w:cs="Arial"/>
          <w:color w:val="000000" w:themeColor="text1"/>
          <w:sz w:val="20"/>
          <w:szCs w:val="20"/>
        </w:rPr>
        <w:t xml:space="preserve">%; US$ </w:t>
      </w:r>
      <w:r w:rsidR="000C4843" w:rsidRPr="00AB3924">
        <w:rPr>
          <w:rFonts w:ascii="Arial" w:hAnsi="Arial" w:cs="Arial"/>
          <w:color w:val="000000" w:themeColor="text1"/>
          <w:sz w:val="20"/>
          <w:szCs w:val="20"/>
        </w:rPr>
        <w:t>77,59</w:t>
      </w:r>
      <w:r w:rsidR="008F18DE" w:rsidRPr="00AB3924">
        <w:rPr>
          <w:rFonts w:ascii="Arial" w:hAnsi="Arial" w:cs="Arial"/>
          <w:color w:val="000000" w:themeColor="text1"/>
          <w:sz w:val="20"/>
          <w:szCs w:val="20"/>
        </w:rPr>
        <w:t xml:space="preserve"> milhões); </w:t>
      </w:r>
      <w:r w:rsidR="000C4843" w:rsidRPr="00AB3924">
        <w:rPr>
          <w:rFonts w:ascii="Arial" w:hAnsi="Arial" w:cs="Arial"/>
          <w:color w:val="000000" w:themeColor="text1"/>
          <w:sz w:val="20"/>
          <w:szCs w:val="20"/>
        </w:rPr>
        <w:t>vestuário e outros produtos têxteis de algodão (+41,2%; US$ 51,40 milhões); azeite de oliva</w:t>
      </w:r>
      <w:r w:rsidR="008F18DE" w:rsidRPr="00AB3924">
        <w:rPr>
          <w:rFonts w:ascii="Arial" w:hAnsi="Arial" w:cs="Arial"/>
          <w:color w:val="000000" w:themeColor="text1"/>
          <w:sz w:val="20"/>
          <w:szCs w:val="20"/>
        </w:rPr>
        <w:t xml:space="preserve"> (+</w:t>
      </w:r>
      <w:r w:rsidR="000C4843" w:rsidRPr="00AB3924">
        <w:rPr>
          <w:rFonts w:ascii="Arial" w:hAnsi="Arial" w:cs="Arial"/>
          <w:color w:val="000000" w:themeColor="text1"/>
          <w:sz w:val="20"/>
          <w:szCs w:val="20"/>
        </w:rPr>
        <w:t>31,3</w:t>
      </w:r>
      <w:r w:rsidR="008F18DE" w:rsidRPr="00AB3924">
        <w:rPr>
          <w:rFonts w:ascii="Arial" w:hAnsi="Arial" w:cs="Arial"/>
          <w:color w:val="000000" w:themeColor="text1"/>
          <w:sz w:val="20"/>
          <w:szCs w:val="20"/>
        </w:rPr>
        <w:t xml:space="preserve">%; US$ </w:t>
      </w:r>
      <w:r w:rsidR="000C4843" w:rsidRPr="00AB3924">
        <w:rPr>
          <w:rFonts w:ascii="Arial" w:hAnsi="Arial" w:cs="Arial"/>
          <w:color w:val="000000" w:themeColor="text1"/>
          <w:sz w:val="20"/>
          <w:szCs w:val="20"/>
        </w:rPr>
        <w:t>43,64</w:t>
      </w:r>
      <w:r w:rsidR="008F18DE" w:rsidRPr="00AB3924">
        <w:rPr>
          <w:rFonts w:ascii="Arial" w:hAnsi="Arial" w:cs="Arial"/>
          <w:color w:val="000000" w:themeColor="text1"/>
          <w:sz w:val="20"/>
          <w:szCs w:val="20"/>
        </w:rPr>
        <w:t xml:space="preserve"> milhões)</w:t>
      </w:r>
      <w:r w:rsidR="000C4843" w:rsidRPr="00AB3924">
        <w:rPr>
          <w:rFonts w:ascii="Arial" w:hAnsi="Arial" w:cs="Arial"/>
          <w:color w:val="000000" w:themeColor="text1"/>
          <w:sz w:val="20"/>
          <w:szCs w:val="20"/>
        </w:rPr>
        <w:t xml:space="preserve"> e</w:t>
      </w:r>
      <w:r w:rsidR="008F18DE" w:rsidRPr="00AB3924">
        <w:rPr>
          <w:rFonts w:ascii="Arial" w:hAnsi="Arial" w:cs="Arial"/>
          <w:color w:val="000000" w:themeColor="text1"/>
          <w:sz w:val="20"/>
          <w:szCs w:val="20"/>
        </w:rPr>
        <w:t xml:space="preserve"> </w:t>
      </w:r>
      <w:r w:rsidR="0099535D" w:rsidRPr="00AB3924">
        <w:rPr>
          <w:rFonts w:ascii="Arial" w:hAnsi="Arial" w:cs="Arial"/>
          <w:color w:val="000000" w:themeColor="text1"/>
          <w:sz w:val="20"/>
          <w:szCs w:val="20"/>
        </w:rPr>
        <w:t>salmões</w:t>
      </w:r>
      <w:r w:rsidR="000C4843" w:rsidRPr="00AB3924">
        <w:rPr>
          <w:rFonts w:ascii="Arial" w:hAnsi="Arial" w:cs="Arial"/>
          <w:color w:val="000000" w:themeColor="text1"/>
          <w:sz w:val="20"/>
          <w:szCs w:val="20"/>
        </w:rPr>
        <w:t xml:space="preserve"> (-10,4</w:t>
      </w:r>
      <w:r w:rsidR="008F18DE" w:rsidRPr="00AB3924">
        <w:rPr>
          <w:rFonts w:ascii="Arial" w:hAnsi="Arial" w:cs="Arial"/>
          <w:color w:val="000000" w:themeColor="text1"/>
          <w:sz w:val="20"/>
          <w:szCs w:val="20"/>
        </w:rPr>
        <w:t xml:space="preserve">%; US$ </w:t>
      </w:r>
      <w:r w:rsidR="000C4843" w:rsidRPr="00AB3924">
        <w:rPr>
          <w:rFonts w:ascii="Arial" w:hAnsi="Arial" w:cs="Arial"/>
          <w:color w:val="000000" w:themeColor="text1"/>
          <w:sz w:val="20"/>
          <w:szCs w:val="20"/>
        </w:rPr>
        <w:t>39,1 milhões)</w:t>
      </w:r>
      <w:r w:rsidR="008F18DE" w:rsidRPr="00AB3924">
        <w:rPr>
          <w:rFonts w:ascii="Arial" w:hAnsi="Arial" w:cs="Arial"/>
          <w:color w:val="000000" w:themeColor="text1"/>
          <w:sz w:val="20"/>
          <w:szCs w:val="20"/>
        </w:rPr>
        <w:t>.</w:t>
      </w:r>
      <w:r w:rsidR="00114060" w:rsidRPr="00AB3924">
        <w:rPr>
          <w:rFonts w:ascii="Arial" w:hAnsi="Arial" w:cs="Arial"/>
          <w:color w:val="000000" w:themeColor="text1"/>
          <w:sz w:val="20"/>
          <w:szCs w:val="20"/>
        </w:rPr>
        <w:t xml:space="preserve"> </w:t>
      </w:r>
    </w:p>
    <w:p w:rsidR="008F18DE" w:rsidRPr="00AB3924" w:rsidRDefault="008F18DE" w:rsidP="00114060">
      <w:pPr>
        <w:pStyle w:val="Recuodecorpodetexto"/>
        <w:rPr>
          <w:rFonts w:ascii="Arial" w:hAnsi="Arial" w:cs="Arial"/>
          <w:color w:val="000000" w:themeColor="text1"/>
          <w:sz w:val="20"/>
          <w:szCs w:val="20"/>
        </w:rPr>
      </w:pPr>
    </w:p>
    <w:p w:rsidR="00114060" w:rsidRPr="00AB3924" w:rsidRDefault="00114060" w:rsidP="00114060">
      <w:pPr>
        <w:pStyle w:val="Recuodecorpodetexto"/>
        <w:rPr>
          <w:rFonts w:ascii="Arial" w:hAnsi="Arial" w:cs="Arial"/>
          <w:color w:val="000000" w:themeColor="text1"/>
          <w:sz w:val="20"/>
          <w:szCs w:val="20"/>
        </w:rPr>
      </w:pPr>
    </w:p>
    <w:p w:rsidR="004731CC" w:rsidRPr="00AB3924" w:rsidRDefault="00F36F25" w:rsidP="004731CC">
      <w:pPr>
        <w:jc w:val="both"/>
        <w:rPr>
          <w:rFonts w:ascii="Arial" w:hAnsi="Arial" w:cs="Arial"/>
          <w:sz w:val="20"/>
          <w:szCs w:val="20"/>
        </w:rPr>
      </w:pPr>
      <w:r w:rsidRPr="00AB3924">
        <w:rPr>
          <w:rFonts w:ascii="Arial" w:hAnsi="Arial" w:cs="Arial"/>
          <w:noProof/>
        </w:rPr>
        <w:drawing>
          <wp:inline distT="0" distB="0" distL="0" distR="0" wp14:anchorId="2BC04345" wp14:editId="2AC9B640">
            <wp:extent cx="6480175" cy="385508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B877EB" w:rsidRPr="00AB3924" w:rsidRDefault="00B877EB">
      <w:pPr>
        <w:rPr>
          <w:rFonts w:ascii="Arial" w:hAnsi="Arial" w:cs="Arial"/>
          <w:b/>
          <w:sz w:val="20"/>
          <w:szCs w:val="20"/>
        </w:rPr>
      </w:pPr>
    </w:p>
    <w:p w:rsidR="00AB3924" w:rsidRPr="00AB3924" w:rsidRDefault="00AB3924">
      <w:pPr>
        <w:rPr>
          <w:rFonts w:ascii="Arial" w:hAnsi="Arial" w:cs="Arial"/>
          <w:b/>
          <w:sz w:val="20"/>
          <w:szCs w:val="20"/>
        </w:rPr>
      </w:pPr>
    </w:p>
    <w:p w:rsidR="001D51EE" w:rsidRPr="00AB3924" w:rsidRDefault="006D7B33" w:rsidP="00E207EB">
      <w:pPr>
        <w:jc w:val="both"/>
        <w:rPr>
          <w:rFonts w:ascii="Arial" w:hAnsi="Arial" w:cs="Arial"/>
          <w:b/>
          <w:sz w:val="20"/>
          <w:szCs w:val="20"/>
        </w:rPr>
      </w:pPr>
      <w:proofErr w:type="spellStart"/>
      <w:r w:rsidRPr="00AB3924">
        <w:rPr>
          <w:rFonts w:ascii="Arial" w:hAnsi="Arial" w:cs="Arial"/>
          <w:b/>
          <w:sz w:val="20"/>
          <w:szCs w:val="20"/>
        </w:rPr>
        <w:t>I.b</w:t>
      </w:r>
      <w:proofErr w:type="spellEnd"/>
      <w:r w:rsidRPr="00AB3924">
        <w:rPr>
          <w:rFonts w:ascii="Arial" w:hAnsi="Arial" w:cs="Arial"/>
          <w:b/>
          <w:sz w:val="20"/>
          <w:szCs w:val="20"/>
        </w:rPr>
        <w:t xml:space="preserve"> – Blocos Econômicos e Regiões Geográficas</w:t>
      </w:r>
    </w:p>
    <w:p w:rsidR="006D7B33" w:rsidRPr="00AB3924" w:rsidRDefault="006D7B33" w:rsidP="006D7B33">
      <w:pPr>
        <w:rPr>
          <w:rFonts w:ascii="Arial" w:hAnsi="Arial" w:cs="Arial"/>
        </w:rPr>
      </w:pPr>
    </w:p>
    <w:p w:rsidR="00AD460E" w:rsidRPr="00AB3924" w:rsidRDefault="00AD460E" w:rsidP="006D7B33">
      <w:pPr>
        <w:rPr>
          <w:rFonts w:ascii="Arial" w:hAnsi="Arial" w:cs="Arial"/>
        </w:rPr>
      </w:pPr>
    </w:p>
    <w:p w:rsidR="008F18DE" w:rsidRPr="00AB3924" w:rsidRDefault="008F18DE" w:rsidP="00196B83">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A Ásia foi destaque nas exportações brasileiras do agronegócio nesse mês de </w:t>
      </w:r>
      <w:r w:rsidR="00196B83" w:rsidRPr="00AB3924">
        <w:rPr>
          <w:rFonts w:ascii="Arial" w:hAnsi="Arial" w:cs="Arial"/>
          <w:color w:val="000000" w:themeColor="text1"/>
          <w:sz w:val="20"/>
          <w:szCs w:val="20"/>
        </w:rPr>
        <w:t>novembro</w:t>
      </w:r>
      <w:r w:rsidRPr="00AB3924">
        <w:rPr>
          <w:rFonts w:ascii="Arial" w:hAnsi="Arial" w:cs="Arial"/>
          <w:color w:val="000000" w:themeColor="text1"/>
          <w:sz w:val="20"/>
          <w:szCs w:val="20"/>
        </w:rPr>
        <w:t xml:space="preserve"> de 201</w:t>
      </w:r>
      <w:r w:rsidR="00196B83" w:rsidRPr="00AB3924">
        <w:rPr>
          <w:rFonts w:ascii="Arial" w:hAnsi="Arial" w:cs="Arial"/>
          <w:color w:val="000000" w:themeColor="text1"/>
          <w:sz w:val="20"/>
          <w:szCs w:val="20"/>
        </w:rPr>
        <w:t>7</w:t>
      </w:r>
      <w:r w:rsidRPr="00AB3924">
        <w:rPr>
          <w:rFonts w:ascii="Arial" w:hAnsi="Arial" w:cs="Arial"/>
          <w:color w:val="000000" w:themeColor="text1"/>
          <w:sz w:val="20"/>
          <w:szCs w:val="20"/>
        </w:rPr>
        <w:t xml:space="preserve">. As exportações para o continente subiram </w:t>
      </w:r>
      <w:r w:rsidR="00196B83" w:rsidRPr="00AB3924">
        <w:rPr>
          <w:rFonts w:ascii="Arial" w:hAnsi="Arial" w:cs="Arial"/>
          <w:color w:val="000000" w:themeColor="text1"/>
          <w:sz w:val="20"/>
          <w:szCs w:val="20"/>
        </w:rPr>
        <w:t>40,5</w:t>
      </w:r>
      <w:r w:rsidRPr="00AB3924">
        <w:rPr>
          <w:rFonts w:ascii="Arial" w:hAnsi="Arial" w:cs="Arial"/>
          <w:color w:val="000000" w:themeColor="text1"/>
          <w:sz w:val="20"/>
          <w:szCs w:val="20"/>
        </w:rPr>
        <w:t xml:space="preserve">%, passando de US$ </w:t>
      </w:r>
      <w:r w:rsidR="00196B83" w:rsidRPr="00AB3924">
        <w:rPr>
          <w:rFonts w:ascii="Arial" w:hAnsi="Arial" w:cs="Arial"/>
          <w:color w:val="000000" w:themeColor="text1"/>
          <w:sz w:val="20"/>
          <w:szCs w:val="20"/>
        </w:rPr>
        <w:t>1,90 bilhão</w:t>
      </w:r>
      <w:r w:rsidRPr="00AB3924">
        <w:rPr>
          <w:rFonts w:ascii="Arial" w:hAnsi="Arial" w:cs="Arial"/>
          <w:color w:val="000000" w:themeColor="text1"/>
          <w:sz w:val="20"/>
          <w:szCs w:val="20"/>
        </w:rPr>
        <w:t xml:space="preserve"> para US$ </w:t>
      </w:r>
      <w:r w:rsidR="00196B83" w:rsidRPr="00AB3924">
        <w:rPr>
          <w:rFonts w:ascii="Arial" w:hAnsi="Arial" w:cs="Arial"/>
          <w:color w:val="000000" w:themeColor="text1"/>
          <w:sz w:val="20"/>
          <w:szCs w:val="20"/>
        </w:rPr>
        <w:t>2,66 bilhões</w:t>
      </w:r>
      <w:r w:rsidRPr="00AB3924">
        <w:rPr>
          <w:rFonts w:ascii="Arial" w:hAnsi="Arial" w:cs="Arial"/>
          <w:color w:val="000000" w:themeColor="text1"/>
          <w:sz w:val="20"/>
          <w:szCs w:val="20"/>
        </w:rPr>
        <w:t xml:space="preserve">. Com esse crescimento, a participação da Ásia subiu de </w:t>
      </w:r>
      <w:r w:rsidR="00196B83" w:rsidRPr="00AB3924">
        <w:rPr>
          <w:rFonts w:ascii="Arial" w:hAnsi="Arial" w:cs="Arial"/>
          <w:color w:val="000000" w:themeColor="text1"/>
          <w:sz w:val="20"/>
          <w:szCs w:val="20"/>
        </w:rPr>
        <w:t>33,1</w:t>
      </w:r>
      <w:r w:rsidRPr="00AB3924">
        <w:rPr>
          <w:rFonts w:ascii="Arial" w:hAnsi="Arial" w:cs="Arial"/>
          <w:color w:val="000000" w:themeColor="text1"/>
          <w:sz w:val="20"/>
          <w:szCs w:val="20"/>
        </w:rPr>
        <w:t xml:space="preserve">% para </w:t>
      </w:r>
      <w:r w:rsidR="00196B83" w:rsidRPr="00AB3924">
        <w:rPr>
          <w:rFonts w:ascii="Arial" w:hAnsi="Arial" w:cs="Arial"/>
          <w:color w:val="000000" w:themeColor="text1"/>
          <w:sz w:val="20"/>
          <w:szCs w:val="20"/>
        </w:rPr>
        <w:t>37,6</w:t>
      </w:r>
      <w:r w:rsidRPr="00AB3924">
        <w:rPr>
          <w:rFonts w:ascii="Arial" w:hAnsi="Arial" w:cs="Arial"/>
          <w:color w:val="000000" w:themeColor="text1"/>
          <w:sz w:val="20"/>
          <w:szCs w:val="20"/>
        </w:rPr>
        <w:t xml:space="preserve">%, ou </w:t>
      </w:r>
      <w:r w:rsidR="00196B83" w:rsidRPr="00AB3924">
        <w:rPr>
          <w:rFonts w:ascii="Arial" w:hAnsi="Arial" w:cs="Arial"/>
          <w:color w:val="000000" w:themeColor="text1"/>
          <w:sz w:val="20"/>
          <w:szCs w:val="20"/>
        </w:rPr>
        <w:t>4,5</w:t>
      </w:r>
      <w:r w:rsidRPr="00AB3924">
        <w:rPr>
          <w:rFonts w:ascii="Arial" w:hAnsi="Arial" w:cs="Arial"/>
          <w:color w:val="000000" w:themeColor="text1"/>
          <w:sz w:val="20"/>
          <w:szCs w:val="20"/>
        </w:rPr>
        <w:t xml:space="preserve"> pontos percentuais. </w:t>
      </w:r>
      <w:r w:rsidR="00196B83" w:rsidRPr="00AB3924">
        <w:rPr>
          <w:rFonts w:ascii="Arial" w:hAnsi="Arial" w:cs="Arial"/>
          <w:color w:val="000000" w:themeColor="text1"/>
          <w:sz w:val="20"/>
          <w:szCs w:val="20"/>
        </w:rPr>
        <w:t>Com exceção do Mercosul (-10,8%) e dos demais países da América (-8,5%), as demais regiões destacadas na tabela 2 apresentaram crescimento nas compras de produtos do agronegócio brasileiro</w:t>
      </w:r>
      <w:r w:rsidRPr="00AB3924">
        <w:rPr>
          <w:rFonts w:ascii="Arial" w:hAnsi="Arial" w:cs="Arial"/>
          <w:color w:val="000000" w:themeColor="text1"/>
          <w:sz w:val="20"/>
          <w:szCs w:val="20"/>
        </w:rPr>
        <w:t>.</w:t>
      </w:r>
    </w:p>
    <w:p w:rsidR="00897ED9" w:rsidRPr="00AB3924" w:rsidRDefault="00897ED9" w:rsidP="00196B83">
      <w:pPr>
        <w:pStyle w:val="Recuodecorpodetexto"/>
        <w:rPr>
          <w:rFonts w:ascii="Arial" w:hAnsi="Arial" w:cs="Arial"/>
          <w:color w:val="000000" w:themeColor="text1"/>
          <w:sz w:val="20"/>
          <w:szCs w:val="20"/>
        </w:rPr>
      </w:pPr>
    </w:p>
    <w:p w:rsidR="00196B83" w:rsidRPr="00AB3924" w:rsidRDefault="00196B83" w:rsidP="00196B83">
      <w:pPr>
        <w:pStyle w:val="Recuodecorpodetexto"/>
        <w:rPr>
          <w:rFonts w:ascii="Arial" w:hAnsi="Arial" w:cs="Arial"/>
          <w:color w:val="000000" w:themeColor="text1"/>
          <w:sz w:val="20"/>
          <w:szCs w:val="20"/>
        </w:rPr>
      </w:pPr>
    </w:p>
    <w:p w:rsidR="006D7B33" w:rsidRPr="00AB3924" w:rsidRDefault="00F36F25" w:rsidP="00E207EB">
      <w:pPr>
        <w:jc w:val="both"/>
        <w:rPr>
          <w:rFonts w:ascii="Arial" w:hAnsi="Arial" w:cs="Arial"/>
          <w:sz w:val="20"/>
          <w:szCs w:val="20"/>
        </w:rPr>
      </w:pPr>
      <w:r w:rsidRPr="00AB3924">
        <w:rPr>
          <w:rFonts w:ascii="Arial" w:hAnsi="Arial" w:cs="Arial"/>
          <w:noProof/>
        </w:rPr>
        <w:drawing>
          <wp:inline distT="0" distB="0" distL="0" distR="0" wp14:anchorId="47400D3F" wp14:editId="52711D53">
            <wp:extent cx="6480175" cy="234823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E207EB" w:rsidRPr="00AB3924" w:rsidRDefault="00E207EB" w:rsidP="00515548">
      <w:pPr>
        <w:ind w:firstLine="709"/>
        <w:jc w:val="both"/>
        <w:rPr>
          <w:rFonts w:ascii="Arial" w:hAnsi="Arial" w:cs="Arial"/>
          <w:sz w:val="20"/>
          <w:szCs w:val="20"/>
        </w:rPr>
      </w:pPr>
    </w:p>
    <w:p w:rsidR="007D0604" w:rsidRPr="00AB3924" w:rsidRDefault="007D0604" w:rsidP="00515548">
      <w:pPr>
        <w:ind w:firstLine="709"/>
        <w:jc w:val="both"/>
        <w:rPr>
          <w:rFonts w:ascii="Arial" w:hAnsi="Arial" w:cs="Arial"/>
          <w:sz w:val="20"/>
          <w:szCs w:val="20"/>
        </w:rPr>
      </w:pPr>
    </w:p>
    <w:p w:rsidR="001D51EE" w:rsidRPr="00AB3924" w:rsidRDefault="001D51EE" w:rsidP="001D51EE">
      <w:pPr>
        <w:pStyle w:val="Ttulo5"/>
        <w:autoSpaceDE/>
        <w:autoSpaceDN/>
        <w:adjustRightInd/>
        <w:rPr>
          <w:rFonts w:ascii="Arial" w:hAnsi="Arial" w:cs="Arial"/>
          <w:sz w:val="20"/>
          <w:szCs w:val="20"/>
        </w:rPr>
      </w:pPr>
      <w:proofErr w:type="spellStart"/>
      <w:r w:rsidRPr="00AB3924">
        <w:rPr>
          <w:rFonts w:ascii="Arial" w:hAnsi="Arial" w:cs="Arial"/>
          <w:sz w:val="20"/>
          <w:szCs w:val="20"/>
        </w:rPr>
        <w:t>I.c</w:t>
      </w:r>
      <w:proofErr w:type="spellEnd"/>
      <w:r w:rsidRPr="00AB3924">
        <w:rPr>
          <w:rFonts w:ascii="Arial" w:hAnsi="Arial" w:cs="Arial"/>
          <w:sz w:val="20"/>
          <w:szCs w:val="20"/>
        </w:rPr>
        <w:t xml:space="preserve"> – Países</w:t>
      </w:r>
    </w:p>
    <w:p w:rsidR="00AB2FF5" w:rsidRPr="00AB3924" w:rsidRDefault="00AB2FF5" w:rsidP="009C7265">
      <w:pPr>
        <w:pStyle w:val="Recuodecorpodetexto"/>
        <w:rPr>
          <w:rFonts w:ascii="Arial" w:hAnsi="Arial" w:cs="Arial"/>
          <w:color w:val="000000" w:themeColor="text1"/>
          <w:sz w:val="20"/>
          <w:szCs w:val="20"/>
        </w:rPr>
      </w:pPr>
    </w:p>
    <w:p w:rsidR="008F18DE" w:rsidRPr="00AB3924" w:rsidRDefault="00EE6D33" w:rsidP="009C7265">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No </w:t>
      </w:r>
      <w:r w:rsidRPr="00AB3924">
        <w:rPr>
          <w:rFonts w:ascii="Arial" w:hAnsi="Arial" w:cs="Arial"/>
          <w:i/>
          <w:color w:val="000000" w:themeColor="text1"/>
          <w:sz w:val="20"/>
          <w:szCs w:val="20"/>
        </w:rPr>
        <w:t>ranking</w:t>
      </w:r>
      <w:r w:rsidRPr="00AB3924">
        <w:rPr>
          <w:rFonts w:ascii="Arial" w:hAnsi="Arial" w:cs="Arial"/>
          <w:color w:val="000000" w:themeColor="text1"/>
          <w:sz w:val="20"/>
          <w:szCs w:val="20"/>
        </w:rPr>
        <w:t xml:space="preserve"> de</w:t>
      </w:r>
      <w:r w:rsidR="008F18DE" w:rsidRPr="00AB3924">
        <w:rPr>
          <w:rFonts w:ascii="Arial" w:hAnsi="Arial" w:cs="Arial"/>
          <w:color w:val="000000" w:themeColor="text1"/>
          <w:sz w:val="20"/>
          <w:szCs w:val="20"/>
        </w:rPr>
        <w:t xml:space="preserve"> países</w:t>
      </w:r>
      <w:r w:rsidRPr="00AB3924">
        <w:rPr>
          <w:rFonts w:ascii="Arial" w:hAnsi="Arial" w:cs="Arial"/>
          <w:color w:val="000000" w:themeColor="text1"/>
          <w:sz w:val="20"/>
          <w:szCs w:val="20"/>
        </w:rPr>
        <w:t xml:space="preserve"> de novembro/2017</w:t>
      </w:r>
      <w:r w:rsidR="008F18DE" w:rsidRPr="00AB3924">
        <w:rPr>
          <w:rFonts w:ascii="Arial" w:hAnsi="Arial" w:cs="Arial"/>
          <w:color w:val="000000" w:themeColor="text1"/>
          <w:sz w:val="20"/>
          <w:szCs w:val="20"/>
        </w:rPr>
        <w:t xml:space="preserve">, a China permanece como o principal destino das exportações do agronegócio brasileiro, com a cifra de US$ </w:t>
      </w:r>
      <w:r w:rsidRPr="00AB3924">
        <w:rPr>
          <w:rFonts w:ascii="Arial" w:hAnsi="Arial" w:cs="Arial"/>
          <w:color w:val="000000" w:themeColor="text1"/>
          <w:sz w:val="20"/>
          <w:szCs w:val="20"/>
        </w:rPr>
        <w:t>1,28</w:t>
      </w:r>
      <w:r w:rsidR="008F18DE" w:rsidRPr="00AB3924">
        <w:rPr>
          <w:rFonts w:ascii="Arial" w:hAnsi="Arial" w:cs="Arial"/>
          <w:color w:val="000000" w:themeColor="text1"/>
          <w:sz w:val="20"/>
          <w:szCs w:val="20"/>
        </w:rPr>
        <w:t xml:space="preserve"> bilh</w:t>
      </w:r>
      <w:r w:rsidRPr="00AB3924">
        <w:rPr>
          <w:rFonts w:ascii="Arial" w:hAnsi="Arial" w:cs="Arial"/>
          <w:color w:val="000000" w:themeColor="text1"/>
          <w:sz w:val="20"/>
          <w:szCs w:val="20"/>
        </w:rPr>
        <w:t>ão</w:t>
      </w:r>
      <w:r w:rsidR="008F18DE" w:rsidRPr="00AB3924">
        <w:rPr>
          <w:rFonts w:ascii="Arial" w:hAnsi="Arial" w:cs="Arial"/>
          <w:color w:val="000000" w:themeColor="text1"/>
          <w:sz w:val="20"/>
          <w:szCs w:val="20"/>
        </w:rPr>
        <w:t xml:space="preserve">. Em relação ao período anterior, verificou-se acréscimo de </w:t>
      </w:r>
      <w:r w:rsidRPr="00AB3924">
        <w:rPr>
          <w:rFonts w:ascii="Arial" w:hAnsi="Arial" w:cs="Arial"/>
          <w:color w:val="000000" w:themeColor="text1"/>
          <w:sz w:val="20"/>
          <w:szCs w:val="20"/>
        </w:rPr>
        <w:t>79,0</w:t>
      </w:r>
      <w:r w:rsidR="008F18DE" w:rsidRPr="00AB3924">
        <w:rPr>
          <w:rFonts w:ascii="Arial" w:hAnsi="Arial" w:cs="Arial"/>
          <w:color w:val="000000" w:themeColor="text1"/>
          <w:sz w:val="20"/>
          <w:szCs w:val="20"/>
        </w:rPr>
        <w:t xml:space="preserve">% no valor exportado e crescimento da participação chinesa, </w:t>
      </w:r>
      <w:r w:rsidR="00EC66ED" w:rsidRPr="00AB3924">
        <w:rPr>
          <w:rFonts w:ascii="Arial" w:hAnsi="Arial" w:cs="Arial"/>
          <w:color w:val="000000" w:themeColor="text1"/>
          <w:sz w:val="20"/>
          <w:szCs w:val="20"/>
        </w:rPr>
        <w:t>alcançando</w:t>
      </w:r>
      <w:r w:rsidR="008F18DE" w:rsidRPr="00AB3924">
        <w:rPr>
          <w:rFonts w:ascii="Arial" w:hAnsi="Arial" w:cs="Arial"/>
          <w:color w:val="000000" w:themeColor="text1"/>
          <w:sz w:val="20"/>
          <w:szCs w:val="20"/>
        </w:rPr>
        <w:t xml:space="preserve"> </w:t>
      </w:r>
      <w:r w:rsidR="00EC66ED" w:rsidRPr="00AB3924">
        <w:rPr>
          <w:rFonts w:ascii="Arial" w:hAnsi="Arial" w:cs="Arial"/>
          <w:color w:val="000000" w:themeColor="text1"/>
          <w:sz w:val="20"/>
          <w:szCs w:val="20"/>
        </w:rPr>
        <w:t>18</w:t>
      </w:r>
      <w:r w:rsidR="008F18DE" w:rsidRPr="00AB3924">
        <w:rPr>
          <w:rFonts w:ascii="Arial" w:hAnsi="Arial" w:cs="Arial"/>
          <w:color w:val="000000" w:themeColor="text1"/>
          <w:sz w:val="20"/>
          <w:szCs w:val="20"/>
        </w:rPr>
        <w:t xml:space="preserve">% de market </w:t>
      </w:r>
      <w:r w:rsidR="008F18DE" w:rsidRPr="00AB3924">
        <w:rPr>
          <w:rFonts w:ascii="Arial" w:hAnsi="Arial" w:cs="Arial"/>
          <w:i/>
          <w:color w:val="000000" w:themeColor="text1"/>
          <w:sz w:val="20"/>
          <w:szCs w:val="20"/>
        </w:rPr>
        <w:t>share</w:t>
      </w:r>
      <w:r w:rsidR="008F18DE" w:rsidRPr="00AB3924">
        <w:rPr>
          <w:rFonts w:ascii="Arial" w:hAnsi="Arial" w:cs="Arial"/>
          <w:color w:val="000000" w:themeColor="text1"/>
          <w:sz w:val="20"/>
          <w:szCs w:val="20"/>
        </w:rPr>
        <w:t xml:space="preserve">. </w:t>
      </w:r>
      <w:r w:rsidR="0057128D" w:rsidRPr="00AB3924">
        <w:rPr>
          <w:rFonts w:ascii="Arial" w:hAnsi="Arial" w:cs="Arial"/>
          <w:color w:val="000000" w:themeColor="text1"/>
          <w:sz w:val="20"/>
          <w:szCs w:val="20"/>
        </w:rPr>
        <w:t>O crescimento das exportações brasileiras se deve, principalmente, à expansão da soja em grãos. Somente para a China foram exportados US$ 694,13 milhões em novembro/2017, ou seja, um aumento de 732,1% em relação ao mesmo mês do ano anterior.</w:t>
      </w:r>
      <w:r w:rsidR="006D35ED" w:rsidRPr="00AB3924">
        <w:rPr>
          <w:rFonts w:ascii="Arial" w:hAnsi="Arial" w:cs="Arial"/>
          <w:color w:val="000000" w:themeColor="text1"/>
          <w:sz w:val="20"/>
          <w:szCs w:val="20"/>
        </w:rPr>
        <w:t xml:space="preserve"> Também se destacaram os aumentos nas vendas brasileiras de celulose (+15,4%) e carne bovina </w:t>
      </w:r>
      <w:r w:rsidR="006D35ED" w:rsidRPr="00AB3924">
        <w:rPr>
          <w:rFonts w:ascii="Arial" w:hAnsi="Arial" w:cs="Arial"/>
          <w:i/>
          <w:color w:val="000000" w:themeColor="text1"/>
          <w:sz w:val="20"/>
          <w:szCs w:val="20"/>
        </w:rPr>
        <w:t xml:space="preserve">in natura </w:t>
      </w:r>
      <w:r w:rsidR="006D35ED" w:rsidRPr="00AB3924">
        <w:rPr>
          <w:rFonts w:ascii="Arial" w:hAnsi="Arial" w:cs="Arial"/>
          <w:color w:val="000000" w:themeColor="text1"/>
          <w:sz w:val="20"/>
          <w:szCs w:val="20"/>
        </w:rPr>
        <w:t>(+42,6%).</w:t>
      </w:r>
    </w:p>
    <w:p w:rsidR="008F18DE" w:rsidRPr="00AB3924" w:rsidRDefault="008F18DE" w:rsidP="009C7265">
      <w:pPr>
        <w:pStyle w:val="Recuodecorpodetexto"/>
        <w:rPr>
          <w:rFonts w:ascii="Arial" w:hAnsi="Arial" w:cs="Arial"/>
          <w:color w:val="000000" w:themeColor="text1"/>
          <w:sz w:val="20"/>
          <w:szCs w:val="20"/>
        </w:rPr>
      </w:pPr>
    </w:p>
    <w:p w:rsidR="008F18DE" w:rsidRPr="00AB3924" w:rsidRDefault="008F18DE" w:rsidP="003630D6">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As exportações para os Estados Unidos, segundo principal destino no acumulado dos últimos doze meses, subiram de US$ </w:t>
      </w:r>
      <w:r w:rsidR="00C11396" w:rsidRPr="00AB3924">
        <w:rPr>
          <w:rFonts w:ascii="Arial" w:hAnsi="Arial" w:cs="Arial"/>
          <w:color w:val="000000" w:themeColor="text1"/>
          <w:sz w:val="20"/>
          <w:szCs w:val="20"/>
        </w:rPr>
        <w:t>601,31 m</w:t>
      </w:r>
      <w:r w:rsidRPr="00AB3924">
        <w:rPr>
          <w:rFonts w:ascii="Arial" w:hAnsi="Arial" w:cs="Arial"/>
          <w:color w:val="000000" w:themeColor="text1"/>
          <w:sz w:val="20"/>
          <w:szCs w:val="20"/>
        </w:rPr>
        <w:t xml:space="preserve">ilhões para US$ </w:t>
      </w:r>
      <w:r w:rsidR="00C11396" w:rsidRPr="00AB3924">
        <w:rPr>
          <w:rFonts w:ascii="Arial" w:hAnsi="Arial" w:cs="Arial"/>
          <w:color w:val="000000" w:themeColor="text1"/>
          <w:sz w:val="20"/>
          <w:szCs w:val="20"/>
        </w:rPr>
        <w:t>655,49 m</w:t>
      </w:r>
      <w:r w:rsidRPr="00AB3924">
        <w:rPr>
          <w:rFonts w:ascii="Arial" w:hAnsi="Arial" w:cs="Arial"/>
          <w:color w:val="000000" w:themeColor="text1"/>
          <w:sz w:val="20"/>
          <w:szCs w:val="20"/>
        </w:rPr>
        <w:t>ilhões (+</w:t>
      </w:r>
      <w:r w:rsidR="00C11396" w:rsidRPr="00AB3924">
        <w:rPr>
          <w:rFonts w:ascii="Arial" w:hAnsi="Arial" w:cs="Arial"/>
          <w:color w:val="000000" w:themeColor="text1"/>
          <w:sz w:val="20"/>
          <w:szCs w:val="20"/>
        </w:rPr>
        <w:t>9</w:t>
      </w:r>
      <w:r w:rsidRPr="00AB3924">
        <w:rPr>
          <w:rFonts w:ascii="Arial" w:hAnsi="Arial" w:cs="Arial"/>
          <w:color w:val="000000" w:themeColor="text1"/>
          <w:sz w:val="20"/>
          <w:szCs w:val="20"/>
        </w:rPr>
        <w:t>%). Com tal aumento, a participação norte americana nas exp</w:t>
      </w:r>
      <w:r w:rsidR="00C11396" w:rsidRPr="00AB3924">
        <w:rPr>
          <w:rFonts w:ascii="Arial" w:hAnsi="Arial" w:cs="Arial"/>
          <w:color w:val="000000" w:themeColor="text1"/>
          <w:sz w:val="20"/>
          <w:szCs w:val="20"/>
        </w:rPr>
        <w:t>ortações brasileiras passou de 10,5</w:t>
      </w:r>
      <w:r w:rsidRPr="00AB3924">
        <w:rPr>
          <w:rFonts w:ascii="Arial" w:hAnsi="Arial" w:cs="Arial"/>
          <w:color w:val="000000" w:themeColor="text1"/>
          <w:sz w:val="20"/>
          <w:szCs w:val="20"/>
        </w:rPr>
        <w:t xml:space="preserve">% para </w:t>
      </w:r>
      <w:r w:rsidR="00C11396" w:rsidRPr="00AB3924">
        <w:rPr>
          <w:rFonts w:ascii="Arial" w:hAnsi="Arial" w:cs="Arial"/>
          <w:color w:val="000000" w:themeColor="text1"/>
          <w:sz w:val="20"/>
          <w:szCs w:val="20"/>
        </w:rPr>
        <w:t>9,3</w:t>
      </w:r>
      <w:r w:rsidRPr="00AB3924">
        <w:rPr>
          <w:rFonts w:ascii="Arial" w:hAnsi="Arial" w:cs="Arial"/>
          <w:color w:val="000000" w:themeColor="text1"/>
          <w:sz w:val="20"/>
          <w:szCs w:val="20"/>
        </w:rPr>
        <w:t xml:space="preserve">%. </w:t>
      </w:r>
      <w:r w:rsidR="00C11396" w:rsidRPr="00AB3924">
        <w:rPr>
          <w:rFonts w:ascii="Arial" w:hAnsi="Arial" w:cs="Arial"/>
          <w:color w:val="000000" w:themeColor="text1"/>
          <w:sz w:val="20"/>
          <w:szCs w:val="20"/>
        </w:rPr>
        <w:t xml:space="preserve">No caso desse mercado a ampliação se deu </w:t>
      </w:r>
      <w:r w:rsidR="003630D6" w:rsidRPr="00AB3924">
        <w:rPr>
          <w:rFonts w:ascii="Arial" w:hAnsi="Arial" w:cs="Arial"/>
          <w:color w:val="000000" w:themeColor="text1"/>
          <w:sz w:val="20"/>
          <w:szCs w:val="20"/>
        </w:rPr>
        <w:t xml:space="preserve">principalmente </w:t>
      </w:r>
      <w:r w:rsidR="00C11396" w:rsidRPr="00AB3924">
        <w:rPr>
          <w:rFonts w:ascii="Arial" w:hAnsi="Arial" w:cs="Arial"/>
          <w:color w:val="000000" w:themeColor="text1"/>
          <w:sz w:val="20"/>
          <w:szCs w:val="20"/>
        </w:rPr>
        <w:t xml:space="preserve">em função </w:t>
      </w:r>
      <w:r w:rsidR="003630D6" w:rsidRPr="00AB3924">
        <w:rPr>
          <w:rFonts w:ascii="Arial" w:hAnsi="Arial" w:cs="Arial"/>
          <w:color w:val="000000" w:themeColor="text1"/>
          <w:sz w:val="20"/>
          <w:szCs w:val="20"/>
        </w:rPr>
        <w:t>do aumento nos produtos:</w:t>
      </w:r>
      <w:r w:rsidR="00C11396" w:rsidRPr="00AB3924">
        <w:rPr>
          <w:rFonts w:ascii="Arial" w:hAnsi="Arial" w:cs="Arial"/>
          <w:color w:val="000000" w:themeColor="text1"/>
          <w:sz w:val="20"/>
          <w:szCs w:val="20"/>
        </w:rPr>
        <w:t xml:space="preserve"> celulose (+</w:t>
      </w:r>
      <w:r w:rsidR="003630D6" w:rsidRPr="00AB3924">
        <w:rPr>
          <w:rFonts w:ascii="Arial" w:hAnsi="Arial" w:cs="Arial"/>
          <w:color w:val="000000" w:themeColor="text1"/>
          <w:sz w:val="20"/>
          <w:szCs w:val="20"/>
        </w:rPr>
        <w:t>1,8%); álcool etílico (+1.262,5%) e suco de laranja (+38,7%).</w:t>
      </w:r>
    </w:p>
    <w:p w:rsidR="008F18DE" w:rsidRPr="00AB3924" w:rsidRDefault="008F18DE" w:rsidP="003630D6">
      <w:pPr>
        <w:pStyle w:val="Recuodecorpodetexto"/>
        <w:rPr>
          <w:rFonts w:ascii="Arial" w:hAnsi="Arial" w:cs="Arial"/>
          <w:color w:val="000000" w:themeColor="text1"/>
          <w:sz w:val="20"/>
          <w:szCs w:val="20"/>
        </w:rPr>
      </w:pPr>
    </w:p>
    <w:p w:rsidR="00651518" w:rsidRPr="00AB3924" w:rsidRDefault="008F18DE" w:rsidP="003630D6">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Além da China</w:t>
      </w:r>
      <w:r w:rsidR="003630D6" w:rsidRPr="00AB3924">
        <w:rPr>
          <w:rFonts w:ascii="Arial" w:hAnsi="Arial" w:cs="Arial"/>
          <w:color w:val="000000" w:themeColor="text1"/>
          <w:sz w:val="20"/>
          <w:szCs w:val="20"/>
        </w:rPr>
        <w:t xml:space="preserve"> e Estados Unidos</w:t>
      </w:r>
      <w:r w:rsidRPr="00AB3924">
        <w:rPr>
          <w:rFonts w:ascii="Arial" w:hAnsi="Arial" w:cs="Arial"/>
          <w:color w:val="000000" w:themeColor="text1"/>
          <w:sz w:val="20"/>
          <w:szCs w:val="20"/>
        </w:rPr>
        <w:t xml:space="preserve">, os países que mais contribuíram para o crescimento das exportações brasileiras do agronegócio no período foram: </w:t>
      </w:r>
      <w:r w:rsidR="003630D6" w:rsidRPr="00AB3924">
        <w:rPr>
          <w:rFonts w:ascii="Arial" w:hAnsi="Arial" w:cs="Arial"/>
          <w:color w:val="000000" w:themeColor="text1"/>
          <w:sz w:val="20"/>
          <w:szCs w:val="20"/>
        </w:rPr>
        <w:t>Países Baixos</w:t>
      </w:r>
      <w:r w:rsidRPr="00AB3924">
        <w:rPr>
          <w:rFonts w:ascii="Arial" w:hAnsi="Arial" w:cs="Arial"/>
          <w:color w:val="000000" w:themeColor="text1"/>
          <w:sz w:val="20"/>
          <w:szCs w:val="20"/>
        </w:rPr>
        <w:t xml:space="preserve"> (+US$ </w:t>
      </w:r>
      <w:r w:rsidR="003630D6" w:rsidRPr="00AB3924">
        <w:rPr>
          <w:rFonts w:ascii="Arial" w:hAnsi="Arial" w:cs="Arial"/>
          <w:color w:val="000000" w:themeColor="text1"/>
          <w:sz w:val="20"/>
          <w:szCs w:val="20"/>
        </w:rPr>
        <w:t>107,43</w:t>
      </w:r>
      <w:r w:rsidRPr="00AB3924">
        <w:rPr>
          <w:rFonts w:ascii="Arial" w:hAnsi="Arial" w:cs="Arial"/>
          <w:color w:val="000000" w:themeColor="text1"/>
          <w:sz w:val="20"/>
          <w:szCs w:val="20"/>
        </w:rPr>
        <w:t xml:space="preserve"> milhões), </w:t>
      </w:r>
      <w:r w:rsidR="003630D6" w:rsidRPr="00AB3924">
        <w:rPr>
          <w:rFonts w:ascii="Arial" w:hAnsi="Arial" w:cs="Arial"/>
          <w:color w:val="000000" w:themeColor="text1"/>
          <w:sz w:val="20"/>
          <w:szCs w:val="20"/>
        </w:rPr>
        <w:t xml:space="preserve">Espanha </w:t>
      </w:r>
      <w:r w:rsidRPr="00AB3924">
        <w:rPr>
          <w:rFonts w:ascii="Arial" w:hAnsi="Arial" w:cs="Arial"/>
          <w:color w:val="000000" w:themeColor="text1"/>
          <w:sz w:val="20"/>
          <w:szCs w:val="20"/>
        </w:rPr>
        <w:t xml:space="preserve">(+US$ </w:t>
      </w:r>
      <w:r w:rsidR="003630D6" w:rsidRPr="00AB3924">
        <w:rPr>
          <w:rFonts w:ascii="Arial" w:hAnsi="Arial" w:cs="Arial"/>
          <w:color w:val="000000" w:themeColor="text1"/>
          <w:sz w:val="20"/>
          <w:szCs w:val="20"/>
        </w:rPr>
        <w:t>78,99</w:t>
      </w:r>
      <w:r w:rsidRPr="00AB3924">
        <w:rPr>
          <w:rFonts w:ascii="Arial" w:hAnsi="Arial" w:cs="Arial"/>
          <w:color w:val="000000" w:themeColor="text1"/>
          <w:sz w:val="20"/>
          <w:szCs w:val="20"/>
        </w:rPr>
        <w:t xml:space="preserve"> milhões), </w:t>
      </w:r>
      <w:r w:rsidR="003630D6" w:rsidRPr="00AB3924">
        <w:rPr>
          <w:rFonts w:ascii="Arial" w:hAnsi="Arial" w:cs="Arial"/>
          <w:color w:val="000000" w:themeColor="text1"/>
          <w:sz w:val="20"/>
          <w:szCs w:val="20"/>
        </w:rPr>
        <w:t>Hong Kong</w:t>
      </w:r>
      <w:r w:rsidRPr="00AB3924">
        <w:rPr>
          <w:rFonts w:ascii="Arial" w:hAnsi="Arial" w:cs="Arial"/>
          <w:color w:val="000000" w:themeColor="text1"/>
          <w:sz w:val="20"/>
          <w:szCs w:val="20"/>
        </w:rPr>
        <w:t xml:space="preserve"> (+US$ </w:t>
      </w:r>
      <w:r w:rsidR="003630D6" w:rsidRPr="00AB3924">
        <w:rPr>
          <w:rFonts w:ascii="Arial" w:hAnsi="Arial" w:cs="Arial"/>
          <w:color w:val="000000" w:themeColor="text1"/>
          <w:sz w:val="20"/>
          <w:szCs w:val="20"/>
        </w:rPr>
        <w:t>78,48</w:t>
      </w:r>
      <w:r w:rsidRPr="00AB3924">
        <w:rPr>
          <w:rFonts w:ascii="Arial" w:hAnsi="Arial" w:cs="Arial"/>
          <w:color w:val="000000" w:themeColor="text1"/>
          <w:sz w:val="20"/>
          <w:szCs w:val="20"/>
        </w:rPr>
        <w:t xml:space="preserve"> milhões) e </w:t>
      </w:r>
      <w:r w:rsidR="003630D6" w:rsidRPr="00AB3924">
        <w:rPr>
          <w:rFonts w:ascii="Arial" w:hAnsi="Arial" w:cs="Arial"/>
          <w:color w:val="000000" w:themeColor="text1"/>
          <w:sz w:val="20"/>
          <w:szCs w:val="20"/>
        </w:rPr>
        <w:t>Bangladesh</w:t>
      </w:r>
      <w:r w:rsidRPr="00AB3924">
        <w:rPr>
          <w:rFonts w:ascii="Arial" w:hAnsi="Arial" w:cs="Arial"/>
          <w:color w:val="000000" w:themeColor="text1"/>
          <w:sz w:val="20"/>
          <w:szCs w:val="20"/>
        </w:rPr>
        <w:t xml:space="preserve"> (+US$ </w:t>
      </w:r>
      <w:r w:rsidR="003630D6" w:rsidRPr="00AB3924">
        <w:rPr>
          <w:rFonts w:ascii="Arial" w:hAnsi="Arial" w:cs="Arial"/>
          <w:color w:val="000000" w:themeColor="text1"/>
          <w:sz w:val="20"/>
          <w:szCs w:val="20"/>
        </w:rPr>
        <w:t>71,32</w:t>
      </w:r>
      <w:r w:rsidRPr="00AB3924">
        <w:rPr>
          <w:rFonts w:ascii="Arial" w:hAnsi="Arial" w:cs="Arial"/>
          <w:color w:val="000000" w:themeColor="text1"/>
          <w:sz w:val="20"/>
          <w:szCs w:val="20"/>
        </w:rPr>
        <w:t xml:space="preserve"> milhões).</w:t>
      </w:r>
    </w:p>
    <w:p w:rsidR="00AB3924" w:rsidRPr="00AB3924" w:rsidRDefault="00AB3924" w:rsidP="003630D6">
      <w:pPr>
        <w:pStyle w:val="Recuodecorpodetexto"/>
        <w:rPr>
          <w:rFonts w:ascii="Arial" w:hAnsi="Arial" w:cs="Arial"/>
          <w:color w:val="000000" w:themeColor="text1"/>
          <w:sz w:val="20"/>
          <w:szCs w:val="20"/>
        </w:rPr>
      </w:pPr>
    </w:p>
    <w:p w:rsidR="004731CC" w:rsidRPr="00AB3924" w:rsidRDefault="00F36F25" w:rsidP="00AB2FF5">
      <w:pPr>
        <w:rPr>
          <w:rFonts w:ascii="Arial" w:hAnsi="Arial" w:cs="Arial"/>
        </w:rPr>
      </w:pPr>
      <w:r w:rsidRPr="00AB3924">
        <w:rPr>
          <w:rFonts w:ascii="Arial" w:hAnsi="Arial" w:cs="Arial"/>
          <w:noProof/>
        </w:rPr>
        <w:drawing>
          <wp:inline distT="0" distB="0" distL="0" distR="0" wp14:anchorId="1E8A0B2C" wp14:editId="729ADE51">
            <wp:extent cx="6480175" cy="3879215"/>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3B632E" w:rsidRPr="00AB3924" w:rsidRDefault="003B632E" w:rsidP="003B632E">
      <w:pPr>
        <w:autoSpaceDE w:val="0"/>
        <w:autoSpaceDN w:val="0"/>
        <w:adjustRightInd w:val="0"/>
        <w:jc w:val="both"/>
        <w:rPr>
          <w:rFonts w:ascii="Arial" w:hAnsi="Arial" w:cs="Arial"/>
          <w:b/>
          <w:sz w:val="20"/>
          <w:szCs w:val="20"/>
        </w:rPr>
      </w:pPr>
      <w:r w:rsidRPr="00AB3924">
        <w:rPr>
          <w:rFonts w:ascii="Arial" w:hAnsi="Arial" w:cs="Arial"/>
          <w:b/>
          <w:sz w:val="20"/>
          <w:szCs w:val="20"/>
        </w:rPr>
        <w:lastRenderedPageBreak/>
        <w:t>II – Resultados do Ano (comparativo Janeiro-</w:t>
      </w:r>
      <w:r w:rsidR="00651518" w:rsidRPr="00AB3924">
        <w:rPr>
          <w:rFonts w:ascii="Arial" w:hAnsi="Arial" w:cs="Arial"/>
          <w:b/>
          <w:sz w:val="20"/>
          <w:szCs w:val="20"/>
        </w:rPr>
        <w:t>Novembro</w:t>
      </w:r>
      <w:r w:rsidRPr="00AB3924">
        <w:rPr>
          <w:rFonts w:ascii="Arial" w:hAnsi="Arial" w:cs="Arial"/>
          <w:b/>
          <w:sz w:val="20"/>
          <w:szCs w:val="20"/>
        </w:rPr>
        <w:t xml:space="preserve">/2017 – </w:t>
      </w:r>
      <w:proofErr w:type="gramStart"/>
      <w:r w:rsidRPr="00AB3924">
        <w:rPr>
          <w:rFonts w:ascii="Arial" w:hAnsi="Arial" w:cs="Arial"/>
          <w:b/>
          <w:sz w:val="20"/>
          <w:szCs w:val="20"/>
        </w:rPr>
        <w:t>Janeiro</w:t>
      </w:r>
      <w:proofErr w:type="gramEnd"/>
      <w:r w:rsidRPr="00AB3924">
        <w:rPr>
          <w:rFonts w:ascii="Arial" w:hAnsi="Arial" w:cs="Arial"/>
          <w:b/>
          <w:sz w:val="20"/>
          <w:szCs w:val="20"/>
        </w:rPr>
        <w:t>-</w:t>
      </w:r>
      <w:r w:rsidR="00651518" w:rsidRPr="00AB3924">
        <w:rPr>
          <w:rFonts w:ascii="Arial" w:hAnsi="Arial" w:cs="Arial"/>
          <w:b/>
          <w:sz w:val="20"/>
          <w:szCs w:val="20"/>
        </w:rPr>
        <w:t>Novembro</w:t>
      </w:r>
      <w:r w:rsidRPr="00AB3924">
        <w:rPr>
          <w:rFonts w:ascii="Arial" w:hAnsi="Arial" w:cs="Arial"/>
          <w:b/>
          <w:sz w:val="20"/>
          <w:szCs w:val="20"/>
        </w:rPr>
        <w:t>/2016)</w:t>
      </w:r>
    </w:p>
    <w:p w:rsidR="003B632E" w:rsidRPr="00AB3924" w:rsidRDefault="003B632E" w:rsidP="003B632E">
      <w:pPr>
        <w:autoSpaceDE w:val="0"/>
        <w:autoSpaceDN w:val="0"/>
        <w:adjustRightInd w:val="0"/>
        <w:jc w:val="both"/>
        <w:rPr>
          <w:rFonts w:ascii="Arial" w:hAnsi="Arial" w:cs="Arial"/>
          <w:b/>
          <w:sz w:val="20"/>
          <w:szCs w:val="20"/>
        </w:rPr>
      </w:pPr>
    </w:p>
    <w:p w:rsidR="003B632E" w:rsidRPr="00AB3924" w:rsidRDefault="00013681" w:rsidP="00013681">
      <w:pPr>
        <w:pStyle w:val="Recuodecorpodetexto"/>
        <w:rPr>
          <w:rFonts w:ascii="Arial" w:hAnsi="Arial" w:cs="Arial"/>
          <w:color w:val="000000" w:themeColor="text1"/>
          <w:sz w:val="20"/>
          <w:szCs w:val="20"/>
        </w:rPr>
      </w:pPr>
      <w:r w:rsidRPr="00AB3924">
        <w:rPr>
          <w:rFonts w:ascii="Arial" w:hAnsi="Arial" w:cs="Arial"/>
          <w:color w:val="000000" w:themeColor="text1"/>
          <w:sz w:val="20"/>
          <w:szCs w:val="20"/>
        </w:rPr>
        <w:t xml:space="preserve">As exportações do agronegócio atingiram US$ 89,08 bilhões no intervalo de janeiro a novembro de 2017, superando em 13% a cifra de US$ 78,82 bilhões contabilizada em iguais meses de 2016. O desempenho das importações também foi positivo, com crescimento de 5,8% no período em análise, passando de US$ 12,26 bilhões para US$ 12,97 bilhões. O aumento mais expressivo das exportações propiciou, por conseguinte, a elevação do superávit do agronegócio brasileiro, ampliando-se de US$ 66,56 bilhões para US$ 76,11 bilhões e constituindo-se no segundo superávit histórico para intervalos de janeiro-novembro, abaixo apenas do alcançado em 2013, de US$ 77,88 bilhões. Esse movimento de expansão da exportação foi explicado pela elevação do índice </w:t>
      </w:r>
      <w:r w:rsidRPr="00AB3924">
        <w:rPr>
          <w:rFonts w:ascii="Arial" w:hAnsi="Arial" w:cs="Arial"/>
          <w:i/>
          <w:color w:val="000000" w:themeColor="text1"/>
          <w:sz w:val="20"/>
          <w:szCs w:val="20"/>
        </w:rPr>
        <w:t>quantum</w:t>
      </w:r>
      <w:r w:rsidR="008021A1" w:rsidRPr="00AB3924">
        <w:rPr>
          <w:rStyle w:val="Refdenotaderodap"/>
          <w:rFonts w:ascii="Arial" w:hAnsi="Arial" w:cs="Arial"/>
          <w:i/>
          <w:color w:val="000000" w:themeColor="text1"/>
          <w:sz w:val="20"/>
          <w:szCs w:val="20"/>
        </w:rPr>
        <w:footnoteReference w:id="1"/>
      </w:r>
      <w:r w:rsidRPr="00AB3924">
        <w:rPr>
          <w:rFonts w:ascii="Arial" w:hAnsi="Arial" w:cs="Arial"/>
          <w:color w:val="000000" w:themeColor="text1"/>
          <w:sz w:val="20"/>
          <w:szCs w:val="20"/>
        </w:rPr>
        <w:t>, dado o registro recorde na safra (2016/17) brasileira de grãos, e pela interrupção do ritmo declinante no índice de preço, que apontava cinco anos sucessivos de queda (2012-2016)</w:t>
      </w:r>
      <w:r w:rsidR="003B632E" w:rsidRPr="00AB3924">
        <w:rPr>
          <w:rFonts w:ascii="Arial" w:hAnsi="Arial" w:cs="Arial"/>
          <w:color w:val="000000" w:themeColor="text1"/>
          <w:sz w:val="20"/>
          <w:szCs w:val="20"/>
        </w:rPr>
        <w:t>.</w:t>
      </w:r>
    </w:p>
    <w:p w:rsidR="003B632E" w:rsidRPr="00AB3924" w:rsidRDefault="003B632E" w:rsidP="003B632E">
      <w:pPr>
        <w:pStyle w:val="Recuodecorpodetexto"/>
        <w:ind w:firstLine="0"/>
        <w:rPr>
          <w:rFonts w:ascii="Arial" w:hAnsi="Arial" w:cs="Arial"/>
          <w:sz w:val="20"/>
          <w:szCs w:val="20"/>
        </w:rPr>
      </w:pPr>
    </w:p>
    <w:p w:rsidR="003B632E" w:rsidRPr="00AB3924" w:rsidRDefault="003B632E" w:rsidP="003B632E">
      <w:pPr>
        <w:autoSpaceDE w:val="0"/>
        <w:autoSpaceDN w:val="0"/>
        <w:adjustRightInd w:val="0"/>
        <w:jc w:val="both"/>
        <w:rPr>
          <w:rFonts w:ascii="Arial" w:hAnsi="Arial" w:cs="Arial"/>
          <w:b/>
          <w:sz w:val="20"/>
          <w:szCs w:val="20"/>
        </w:rPr>
      </w:pPr>
    </w:p>
    <w:p w:rsidR="003B632E" w:rsidRPr="00AB3924" w:rsidRDefault="003B632E" w:rsidP="003B632E">
      <w:pPr>
        <w:pStyle w:val="Ttulo5"/>
        <w:autoSpaceDE/>
        <w:autoSpaceDN/>
        <w:adjustRightInd/>
        <w:rPr>
          <w:rFonts w:ascii="Arial" w:hAnsi="Arial" w:cs="Arial"/>
          <w:sz w:val="20"/>
          <w:szCs w:val="20"/>
        </w:rPr>
      </w:pPr>
      <w:proofErr w:type="spellStart"/>
      <w:r w:rsidRPr="00AB3924">
        <w:rPr>
          <w:rFonts w:ascii="Arial" w:hAnsi="Arial" w:cs="Arial"/>
          <w:sz w:val="20"/>
          <w:szCs w:val="20"/>
        </w:rPr>
        <w:t>II.a</w:t>
      </w:r>
      <w:proofErr w:type="spellEnd"/>
      <w:r w:rsidRPr="00AB3924">
        <w:rPr>
          <w:rFonts w:ascii="Arial" w:hAnsi="Arial" w:cs="Arial"/>
          <w:sz w:val="20"/>
          <w:szCs w:val="20"/>
        </w:rPr>
        <w:t xml:space="preserve"> – Setores do Agronegócio</w:t>
      </w:r>
    </w:p>
    <w:p w:rsidR="003B632E" w:rsidRPr="00AB3924" w:rsidRDefault="003B632E" w:rsidP="003B632E">
      <w:pPr>
        <w:rPr>
          <w:rFonts w:ascii="Arial" w:hAnsi="Arial" w:cs="Arial"/>
        </w:rPr>
      </w:pPr>
    </w:p>
    <w:p w:rsidR="008021A1" w:rsidRPr="00AB3924" w:rsidRDefault="008021A1" w:rsidP="008021A1">
      <w:pPr>
        <w:pStyle w:val="Recuodecorpodetexto"/>
        <w:rPr>
          <w:rFonts w:ascii="Arial" w:hAnsi="Arial" w:cs="Arial"/>
          <w:sz w:val="20"/>
          <w:szCs w:val="20"/>
        </w:rPr>
      </w:pPr>
      <w:r w:rsidRPr="00AB3924">
        <w:rPr>
          <w:rFonts w:ascii="Arial" w:hAnsi="Arial" w:cs="Arial"/>
          <w:sz w:val="20"/>
          <w:szCs w:val="20"/>
        </w:rPr>
        <w:t>De janeiro a novembro de 2017, os cinco principais setores da pauta exportadora do agronegócio foram: complexo soja (com 34,3% de participação); carnes (16,0%); complexo sucroalcooleiro (12,9%); produtos florestais (11,7%); e café (5,4%). Estes setores foram responsáveis por 80,2% do total das exportações do agronegócio no período, implicando acréscimo de 1,5 ponto percentual em relação às exportações desses cinco principais setores exportadores entre janeiro e novembro de 2016. Observa-se, portanto, que houve aumento da concentração das exportações brasileiras do agronegócio entre os principais produtos exportados no período em análise.</w:t>
      </w:r>
    </w:p>
    <w:p w:rsidR="008021A1" w:rsidRPr="00AB3924" w:rsidRDefault="008021A1" w:rsidP="008021A1">
      <w:pPr>
        <w:pStyle w:val="Recuodecorpodetexto"/>
        <w:rPr>
          <w:rFonts w:ascii="Arial" w:hAnsi="Arial" w:cs="Arial"/>
          <w:sz w:val="20"/>
          <w:szCs w:val="20"/>
        </w:rPr>
      </w:pPr>
    </w:p>
    <w:p w:rsidR="008021A1" w:rsidRPr="00AB3924" w:rsidRDefault="008021A1" w:rsidP="008021A1">
      <w:pPr>
        <w:pStyle w:val="Recuodecorpodetexto"/>
        <w:rPr>
          <w:rFonts w:ascii="Arial" w:hAnsi="Arial" w:cs="Arial"/>
          <w:sz w:val="20"/>
          <w:szCs w:val="20"/>
        </w:rPr>
      </w:pPr>
      <w:r w:rsidRPr="00AB3924">
        <w:rPr>
          <w:rFonts w:ascii="Arial" w:hAnsi="Arial" w:cs="Arial"/>
          <w:sz w:val="20"/>
          <w:szCs w:val="20"/>
        </w:rPr>
        <w:t>Situado no topo da pauta, o complexo soja apresenta-se como o setor responsável pelo aumento do grau de concentração, haja vista que os quatro demais registraram queda de representatividade. Nos onze meses de 2017, foram embarcadas 65,79 milhões de toneladas de soja em grão (aumento de 29,2% sobre mesmo período do ano anterior), volume que proporcionou receita de US$ 24,80 bilhões (+30,1%). O preço médio registrou ligeiro aumento de 0,7%, alcançando US$ 377,33 por tonelada. Tanto a quantidade como o valor exportado de soja em grão foram recordes para períodos de janeiro a novembro, reflexo do número igualmente inédito registrado na produção dessa cultura, cuja safra atingiu 114,08 milhões de toneladas. As vendas de farelo de soja corresponderam ao segundo item mais exportado do complexo, chegando a US$ 4,74 bilhões. Contudo, o resultado ficou 1,7% abaixo do contabilizado no período anterior, explicado pelo declínio de 2,3% no preço médio, ainda que a quantidade embarcada tenha crescido 0,5%. Relativamente ao óleo de soja, anotou-se acréscimo de 18,2% na exportação, alcançando US$ 991,42 milhões. A combinação de elevação da quantidade (+9,4%) e de aumento de preço (+8,0%) marcou o desempenho da exportação do produto.</w:t>
      </w:r>
    </w:p>
    <w:p w:rsidR="008021A1" w:rsidRPr="00AB3924" w:rsidRDefault="008021A1" w:rsidP="008021A1">
      <w:pPr>
        <w:pStyle w:val="Recuodecorpodetexto"/>
        <w:rPr>
          <w:rFonts w:ascii="Arial" w:hAnsi="Arial" w:cs="Arial"/>
          <w:sz w:val="20"/>
          <w:szCs w:val="20"/>
        </w:rPr>
      </w:pPr>
    </w:p>
    <w:p w:rsidR="008021A1" w:rsidRPr="00AB3924" w:rsidRDefault="008021A1" w:rsidP="008021A1">
      <w:pPr>
        <w:pStyle w:val="Recuodecorpodetexto"/>
        <w:rPr>
          <w:rFonts w:ascii="Arial" w:hAnsi="Arial" w:cs="Arial"/>
          <w:sz w:val="20"/>
          <w:szCs w:val="20"/>
        </w:rPr>
      </w:pPr>
      <w:r w:rsidRPr="00AB3924">
        <w:rPr>
          <w:rFonts w:ascii="Arial" w:hAnsi="Arial" w:cs="Arial"/>
          <w:sz w:val="20"/>
          <w:szCs w:val="20"/>
        </w:rPr>
        <w:t>O segmento de carnes rendeu exportações de US$ 14,24 bilhões entre janeiro a novembro de 2017, implicando acréscimo de 9,3% sobre o período anterior. As vendas de carne de frango foram as mais expressivas, somando US$ 6,62 bilhões, cujo destaque foram as exportações do produto in natura, que totalizaram US$ 5,96 bilhões, representando aumento 9,4% (+0,4% em quantidade e +9,0% no preço médio) e conquistando recorde em quantidade embarcada para períodos de janeiro-novembro. As carnes industrializadas de frango tiveram queda de 11,7% nas exportações (-15,2% em quantidade e +4,1% no preço médio). Logo abaixo do frango, está a carne bovina, com exportações que somaram US$ 5,52 bilhões no período, cifra 12,6% acima da registrada nos onze meses de 2016. As vendas de carne bovina in natura renderam US$ 4,61 bilhões, apontando acréscimo de 15,8% no período (+11,1% em quantidade e +4,2% no preço médio). Já a bovina industrializada recuou 15,9%, caindo para US$ 452,85 milhões (-16,3% em quantidade e +0,5% no preço médio). Relativamente à carne suína, registraram-se exportações de US$ 1,50 bilhão de janeiro a novembro de 2017, acréscimo de 9,8% sobre igual período do ano anterior. Foi assinalado recorde no valor das vendas do item in natura, cujo valor de US$ 1,36 bilhão alcançado no período significou recorde histórico, em vista do aumento de 8,9% (-6,3% em quantidade e +16,2% no preço médio). Citam-se ainda as vendas de carne de peru, com exportações de US$ 259,03 milhões, significando decréscimo de 12,1% no período (-17,3% em quantidade e +6,3% no preço médio).</w:t>
      </w:r>
    </w:p>
    <w:p w:rsidR="008021A1" w:rsidRPr="00AB3924" w:rsidRDefault="008021A1" w:rsidP="008021A1">
      <w:pPr>
        <w:pStyle w:val="Recuodecorpodetexto"/>
        <w:rPr>
          <w:rFonts w:ascii="Arial" w:hAnsi="Arial" w:cs="Arial"/>
          <w:sz w:val="20"/>
          <w:szCs w:val="20"/>
        </w:rPr>
      </w:pPr>
    </w:p>
    <w:p w:rsidR="008021A1" w:rsidRPr="00AB3924" w:rsidRDefault="008021A1" w:rsidP="008021A1">
      <w:pPr>
        <w:pStyle w:val="Recuodecorpodetexto"/>
        <w:rPr>
          <w:rFonts w:ascii="Arial" w:hAnsi="Arial" w:cs="Arial"/>
          <w:sz w:val="20"/>
          <w:szCs w:val="20"/>
        </w:rPr>
      </w:pPr>
      <w:r w:rsidRPr="00AB3924">
        <w:rPr>
          <w:rFonts w:ascii="Arial" w:hAnsi="Arial" w:cs="Arial"/>
          <w:sz w:val="20"/>
          <w:szCs w:val="20"/>
        </w:rPr>
        <w:t>Na terceira posição entre os principais setores exportadores, o complexo sucroalcooleiro registrou exportações de US$ 11,49 bilhões ao longo de onze meses de 2017, correspondendo a acréscimo de 12,7% sobre o período anterior. A liderança no setor foi representada pelas vendas de açúcar que somaram US$ 10,71 bilhões e superaram em 14,8% o resultado do ano anterior. O açúcar em bruto é o destaque, inclusive com registro de recorde na quantidade exportada no período, totalizando 21,81 milhões de toneladas. Já as exportações de álcool caíram 10,0% no período, recuando de US$ 851,64 milhões para US$ 766,44 milhões. Tomando como referência períodos de janeiro a novembro, este já é o quarto ano sucessivo em que as vendas de álcool se mantêm em torno de US$ 800 milhões, valor equivalente a cerca de um terço do recorde registrado em 2008, de US$ 2,23 bilhões.</w:t>
      </w:r>
    </w:p>
    <w:p w:rsidR="008021A1" w:rsidRPr="00AB3924" w:rsidRDefault="008021A1" w:rsidP="008021A1">
      <w:pPr>
        <w:pStyle w:val="Recuodecorpodetexto"/>
        <w:rPr>
          <w:rFonts w:ascii="Arial" w:hAnsi="Arial" w:cs="Arial"/>
          <w:sz w:val="20"/>
          <w:szCs w:val="20"/>
        </w:rPr>
      </w:pPr>
    </w:p>
    <w:p w:rsidR="008021A1" w:rsidRPr="00AB3924" w:rsidRDefault="008021A1" w:rsidP="008021A1">
      <w:pPr>
        <w:pStyle w:val="Recuodecorpodetexto"/>
        <w:rPr>
          <w:rFonts w:ascii="Arial" w:hAnsi="Arial" w:cs="Arial"/>
          <w:sz w:val="20"/>
          <w:szCs w:val="20"/>
        </w:rPr>
      </w:pPr>
      <w:r w:rsidRPr="00AB3924">
        <w:rPr>
          <w:rFonts w:ascii="Arial" w:hAnsi="Arial" w:cs="Arial"/>
          <w:sz w:val="20"/>
          <w:szCs w:val="20"/>
        </w:rPr>
        <w:t xml:space="preserve">Com relação a produtos florestais, quarto maior setor em valor exportado, registraram-se vendas de US$ 10,42 bilhões entre janeiro e novembro de 2017, valor 12,4% superior ao contabilizado em igual período do ano </w:t>
      </w:r>
      <w:r w:rsidRPr="00AB3924">
        <w:rPr>
          <w:rFonts w:ascii="Arial" w:hAnsi="Arial" w:cs="Arial"/>
          <w:sz w:val="20"/>
          <w:szCs w:val="20"/>
        </w:rPr>
        <w:lastRenderedPageBreak/>
        <w:t>anterior. O destaque do setor foi a celulose, cujas exportações somaram US$ 5,73 bilhões, resultante do avanço de 14,1% no período (+3,2% em quantidade e + 10,6% no preço médio), propiciando recordes de valor e quantidade na exportação. As vendas de madeiras e suas obras foram de US$ 2,93 bilhões (+15,9%), enquanto as exportações de papel chegaram a US$ 1,75 bilhão (+2,5%) para o período de janeiro a novembro de 2017, equivalendo ao embarque recorde de 1,98 milhão de toneladas.</w:t>
      </w:r>
    </w:p>
    <w:p w:rsidR="008021A1" w:rsidRPr="00AB3924" w:rsidRDefault="008021A1" w:rsidP="008021A1">
      <w:pPr>
        <w:pStyle w:val="Recuodecorpodetexto"/>
        <w:rPr>
          <w:rFonts w:ascii="Arial" w:hAnsi="Arial" w:cs="Arial"/>
          <w:sz w:val="20"/>
          <w:szCs w:val="20"/>
        </w:rPr>
      </w:pPr>
    </w:p>
    <w:p w:rsidR="008021A1" w:rsidRPr="00AB3924" w:rsidRDefault="008021A1" w:rsidP="008021A1">
      <w:pPr>
        <w:pStyle w:val="Recuodecorpodetexto"/>
        <w:rPr>
          <w:rFonts w:ascii="Arial" w:hAnsi="Arial" w:cs="Arial"/>
          <w:sz w:val="20"/>
          <w:szCs w:val="20"/>
        </w:rPr>
      </w:pPr>
      <w:r w:rsidRPr="00AB3924">
        <w:rPr>
          <w:rFonts w:ascii="Arial" w:hAnsi="Arial" w:cs="Arial"/>
          <w:sz w:val="20"/>
          <w:szCs w:val="20"/>
        </w:rPr>
        <w:t>O setor de café situou-se na quinta posição da pauta exportadora, com vendas de US$ 4,79 bilhões acumuladas de janeiro a novembro de 2017, o que significou queda de 1,7% sobre o ano anterior. As exportações de café verde somaram US$ 4,18 bilhões, recuo de 3,0% sobre janeiro-novembro de 2016 (-9,5% em quantidade e +7,1% no preço médio). Os embarques de café solúvel propiciaram receita de US$ 530,05, significado aumento de 3,3% no período (-11,9% em quantidade e +17,2% em preço).</w:t>
      </w:r>
    </w:p>
    <w:p w:rsidR="008021A1" w:rsidRPr="00AB3924" w:rsidRDefault="008021A1" w:rsidP="008021A1">
      <w:pPr>
        <w:pStyle w:val="Recuodecorpodetexto"/>
        <w:rPr>
          <w:rFonts w:ascii="Arial" w:hAnsi="Arial" w:cs="Arial"/>
          <w:sz w:val="20"/>
          <w:szCs w:val="20"/>
        </w:rPr>
      </w:pPr>
    </w:p>
    <w:p w:rsidR="008021A1" w:rsidRPr="00AB3924" w:rsidRDefault="008021A1" w:rsidP="008021A1">
      <w:pPr>
        <w:pStyle w:val="Recuodecorpodetexto"/>
        <w:rPr>
          <w:rFonts w:ascii="Arial" w:hAnsi="Arial" w:cs="Arial"/>
          <w:sz w:val="20"/>
          <w:szCs w:val="20"/>
        </w:rPr>
      </w:pPr>
      <w:r w:rsidRPr="00AB3924">
        <w:rPr>
          <w:rFonts w:ascii="Arial" w:hAnsi="Arial" w:cs="Arial"/>
          <w:sz w:val="20"/>
          <w:szCs w:val="20"/>
        </w:rPr>
        <w:t>Entre os demais setores, citam-se as vendas de cereais, farinhas e preparações (+12,2%, para US$ 4,54 bilhões); couro e seus produtos (-4,6%, para US$ 2,16 bilhões); sucos (+1,1%, para US$ 1,93 bilhão); fumo e seus produtos (-3,3%, passando para US$ 1,88 bilhão); fibras e produtos têxteis (-0,8%, para US$ 1,51 bilhão); frutas (+10,5%, para US$ 851,89 milhões); cacau e seus produtos (-7,5%, para US$ 336,45 milhões); animais vivos (+20,1%, para US$ 311,88 milhões); pescados (+2,8%, para US$ 219,95 milhões); e lácteos (-32,2%, para US$ 105,29 milhões).</w:t>
      </w:r>
    </w:p>
    <w:p w:rsidR="008021A1" w:rsidRPr="00AB3924" w:rsidRDefault="008021A1" w:rsidP="008021A1">
      <w:pPr>
        <w:pStyle w:val="Recuodecorpodetexto"/>
        <w:rPr>
          <w:rFonts w:ascii="Arial" w:hAnsi="Arial" w:cs="Arial"/>
          <w:sz w:val="20"/>
          <w:szCs w:val="20"/>
        </w:rPr>
      </w:pPr>
    </w:p>
    <w:p w:rsidR="003B632E" w:rsidRPr="00AB3924" w:rsidRDefault="008021A1" w:rsidP="008021A1">
      <w:pPr>
        <w:pStyle w:val="Recuodecorpodetexto"/>
        <w:rPr>
          <w:rFonts w:ascii="Arial" w:hAnsi="Arial" w:cs="Arial"/>
          <w:sz w:val="20"/>
          <w:szCs w:val="20"/>
        </w:rPr>
      </w:pPr>
      <w:r w:rsidRPr="00AB3924">
        <w:rPr>
          <w:rFonts w:ascii="Arial" w:hAnsi="Arial" w:cs="Arial"/>
          <w:sz w:val="20"/>
          <w:szCs w:val="20"/>
        </w:rPr>
        <w:t>As importações de produtos do agronegócio subiram 5,8%, atingindo US$ 12,97 bilhões entre janeiro e novembro de 2017. Os dez principais produtos do agronegócio importados no período foram: trigo (queda de 11,2%, para US$ 1,07 bilhão); álcool etílico (+164,1%, para US$ 859,81 milhões); papel (+14,0%, para US$ 780,09 milhões); vestuário e produtos têxteis de algodão (+15,8%, para US$ 505,61 milhões); salmões vivos (+19,6%, para US$ 467,67 milhões); borracha natural (+31,0% para US$ 376,90 milhões); malte (-13,7%, para US$ 353,57 milhões); óleo de palma (+11,1%, para US$ 353,49 milhões); vinho (+30,4%, US$ 338,51 milhões); e leite em pó (-17,7%, para US$ 313,85 milhões; -13,5%). Esse conjunto de produtos representou 41,8% sobre o total das importações brasileiras de produtos de agronegócio, mostrando perfil bem menos concentrado que o das exportações.</w:t>
      </w:r>
    </w:p>
    <w:p w:rsidR="003B632E" w:rsidRPr="00AB3924" w:rsidRDefault="003B632E" w:rsidP="003B632E">
      <w:pPr>
        <w:pStyle w:val="Recuodecorpodetexto"/>
        <w:ind w:firstLine="0"/>
        <w:rPr>
          <w:rFonts w:ascii="Arial" w:hAnsi="Arial" w:cs="Arial"/>
          <w:sz w:val="20"/>
          <w:szCs w:val="20"/>
        </w:rPr>
      </w:pPr>
    </w:p>
    <w:p w:rsidR="003B632E" w:rsidRPr="00AB3924" w:rsidRDefault="0035125D" w:rsidP="003B632E">
      <w:pPr>
        <w:jc w:val="both"/>
        <w:rPr>
          <w:rFonts w:ascii="Arial" w:hAnsi="Arial" w:cs="Arial"/>
        </w:rPr>
      </w:pPr>
      <w:r w:rsidRPr="00AB3924">
        <w:rPr>
          <w:rFonts w:ascii="Arial" w:hAnsi="Arial" w:cs="Arial"/>
          <w:noProof/>
        </w:rPr>
        <w:drawing>
          <wp:inline distT="0" distB="0" distL="0" distR="0" wp14:anchorId="7421FF89" wp14:editId="5355B677">
            <wp:extent cx="6480175" cy="385508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3B632E" w:rsidRPr="00AB3924" w:rsidRDefault="003B632E" w:rsidP="003B632E">
      <w:pPr>
        <w:jc w:val="both"/>
        <w:rPr>
          <w:rFonts w:ascii="Arial" w:hAnsi="Arial" w:cs="Arial"/>
        </w:rPr>
      </w:pPr>
    </w:p>
    <w:p w:rsidR="003B632E" w:rsidRPr="00AB3924" w:rsidRDefault="003B632E" w:rsidP="003B632E">
      <w:pPr>
        <w:rPr>
          <w:rFonts w:ascii="Arial" w:hAnsi="Arial" w:cs="Arial"/>
        </w:rPr>
      </w:pPr>
    </w:p>
    <w:p w:rsidR="003B632E" w:rsidRPr="00AB3924" w:rsidRDefault="003B632E" w:rsidP="003B632E">
      <w:pPr>
        <w:pStyle w:val="Ttulo5"/>
        <w:autoSpaceDE/>
        <w:autoSpaceDN/>
        <w:adjustRightInd/>
        <w:rPr>
          <w:rFonts w:ascii="Arial" w:hAnsi="Arial" w:cs="Arial"/>
          <w:sz w:val="20"/>
          <w:szCs w:val="20"/>
        </w:rPr>
      </w:pPr>
      <w:bookmarkStart w:id="0" w:name="OLE_LINK1"/>
      <w:proofErr w:type="spellStart"/>
      <w:r w:rsidRPr="00AB3924">
        <w:rPr>
          <w:rFonts w:ascii="Arial" w:hAnsi="Arial" w:cs="Arial"/>
          <w:sz w:val="20"/>
          <w:szCs w:val="20"/>
        </w:rPr>
        <w:t>II.b</w:t>
      </w:r>
      <w:proofErr w:type="spellEnd"/>
      <w:r w:rsidRPr="00AB3924">
        <w:rPr>
          <w:rFonts w:ascii="Arial" w:hAnsi="Arial" w:cs="Arial"/>
          <w:sz w:val="20"/>
          <w:szCs w:val="20"/>
        </w:rPr>
        <w:t xml:space="preserve"> – Blocos Econômicos e Regiões Geográficas</w:t>
      </w:r>
    </w:p>
    <w:p w:rsidR="003B632E" w:rsidRPr="00AB3924" w:rsidRDefault="003B632E" w:rsidP="003B632E">
      <w:pPr>
        <w:jc w:val="both"/>
        <w:rPr>
          <w:rFonts w:ascii="Arial" w:hAnsi="Arial" w:cs="Arial"/>
          <w:sz w:val="20"/>
          <w:szCs w:val="20"/>
        </w:rPr>
      </w:pPr>
    </w:p>
    <w:p w:rsidR="00AB3924" w:rsidRPr="00AB3924" w:rsidRDefault="00AB3924" w:rsidP="00AB3924">
      <w:pPr>
        <w:pStyle w:val="Recuodecorpodetexto"/>
        <w:rPr>
          <w:rFonts w:ascii="Arial" w:hAnsi="Arial" w:cs="Arial"/>
          <w:sz w:val="20"/>
          <w:szCs w:val="20"/>
        </w:rPr>
      </w:pPr>
      <w:r w:rsidRPr="00AB3924">
        <w:rPr>
          <w:rFonts w:ascii="Arial" w:hAnsi="Arial" w:cs="Arial"/>
          <w:sz w:val="20"/>
          <w:szCs w:val="20"/>
        </w:rPr>
        <w:t>Com referência ao período de janeiro a novembro de 2017, observa-se que o continente asiático segue ampliando sua participação na pauta de exportação brasileira de produtos do agronegócio, atingindo 46,5% sobre o valor total exportado e equivalendo à cifra de US$ 41,40 bilhões. Comparativamente a igual período de 2016, apontou-se crescimento de 17,1% no montante exportado à região, desempenho superado apenas pelas vendas à Aladi – exclusive Mercosul (+17,9%) e à África – exclusive Oriente Médio (+34,0%).</w:t>
      </w:r>
    </w:p>
    <w:p w:rsidR="00AB3924" w:rsidRPr="00AB3924" w:rsidRDefault="00AB3924" w:rsidP="00AB3924">
      <w:pPr>
        <w:pStyle w:val="Recuodecorpodetexto"/>
        <w:rPr>
          <w:rFonts w:ascii="Arial" w:hAnsi="Arial" w:cs="Arial"/>
          <w:sz w:val="20"/>
          <w:szCs w:val="20"/>
        </w:rPr>
      </w:pPr>
    </w:p>
    <w:p w:rsidR="003B632E" w:rsidRPr="00AB3924" w:rsidRDefault="00AB3924" w:rsidP="00AB3924">
      <w:pPr>
        <w:pStyle w:val="Recuodecorpodetexto"/>
        <w:rPr>
          <w:rFonts w:ascii="Arial" w:hAnsi="Arial" w:cs="Arial"/>
          <w:sz w:val="20"/>
          <w:szCs w:val="20"/>
        </w:rPr>
      </w:pPr>
      <w:r w:rsidRPr="00AB3924">
        <w:rPr>
          <w:rFonts w:ascii="Arial" w:hAnsi="Arial" w:cs="Arial"/>
          <w:sz w:val="20"/>
          <w:szCs w:val="20"/>
        </w:rPr>
        <w:lastRenderedPageBreak/>
        <w:t>A União Europeia foi o segundo destino das exportações do agronegócio brasileira, somando US$ 15,57 bilhões o período. Sua participação, no entanto, retrocedeu de 19,5% para 17,5%. Citam-se, na sequência, os seguintes destinos: Oriente Médio (participação de 9,1%), Nafta (8,7%), África – exclusive Oriente Médio (7,6%), Aladi – exclusive Mercosul (3,6%), Europa Oriental (3,2%), Mercosul (que registrou a maior queda, caindo sua participação de 3,4% para 2,9%) e Oceania (0,3%).</w:t>
      </w:r>
    </w:p>
    <w:p w:rsidR="00AB3924" w:rsidRPr="00AB3924" w:rsidRDefault="00AB3924" w:rsidP="00AB3924">
      <w:pPr>
        <w:pStyle w:val="Recuodecorpodetexto"/>
        <w:ind w:firstLine="0"/>
        <w:rPr>
          <w:rFonts w:ascii="Arial" w:hAnsi="Arial" w:cs="Arial"/>
          <w:sz w:val="20"/>
          <w:szCs w:val="20"/>
        </w:rPr>
      </w:pPr>
    </w:p>
    <w:p w:rsidR="003B632E" w:rsidRPr="00AB3924" w:rsidRDefault="003B632E" w:rsidP="003B632E">
      <w:pPr>
        <w:jc w:val="both"/>
        <w:rPr>
          <w:rFonts w:ascii="Arial" w:hAnsi="Arial" w:cs="Arial"/>
          <w:sz w:val="20"/>
          <w:szCs w:val="20"/>
        </w:rPr>
      </w:pPr>
    </w:p>
    <w:p w:rsidR="003B632E" w:rsidRPr="00AB3924" w:rsidRDefault="0035125D" w:rsidP="003B632E">
      <w:pPr>
        <w:jc w:val="both"/>
        <w:rPr>
          <w:rFonts w:ascii="Arial" w:hAnsi="Arial" w:cs="Arial"/>
          <w:sz w:val="20"/>
          <w:szCs w:val="20"/>
        </w:rPr>
      </w:pPr>
      <w:r w:rsidRPr="00AB3924">
        <w:rPr>
          <w:rFonts w:ascii="Arial" w:hAnsi="Arial" w:cs="Arial"/>
          <w:noProof/>
        </w:rPr>
        <w:drawing>
          <wp:inline distT="0" distB="0" distL="0" distR="0" wp14:anchorId="1096300E" wp14:editId="37251AF6">
            <wp:extent cx="6480175" cy="234823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3B632E" w:rsidRPr="00AB3924" w:rsidRDefault="003B632E" w:rsidP="003B632E">
      <w:pPr>
        <w:ind w:firstLine="709"/>
        <w:jc w:val="both"/>
        <w:rPr>
          <w:rFonts w:ascii="Arial" w:hAnsi="Arial" w:cs="Arial"/>
          <w:sz w:val="20"/>
          <w:szCs w:val="20"/>
        </w:rPr>
      </w:pPr>
    </w:p>
    <w:p w:rsidR="003B632E" w:rsidRPr="00AB3924" w:rsidRDefault="003B632E" w:rsidP="003B632E">
      <w:pPr>
        <w:pStyle w:val="Ttulo5"/>
        <w:autoSpaceDE/>
        <w:autoSpaceDN/>
        <w:adjustRightInd/>
        <w:rPr>
          <w:rFonts w:ascii="Arial" w:hAnsi="Arial" w:cs="Arial"/>
          <w:sz w:val="20"/>
          <w:szCs w:val="20"/>
        </w:rPr>
      </w:pPr>
    </w:p>
    <w:p w:rsidR="003B632E" w:rsidRPr="00AB3924" w:rsidRDefault="003B632E" w:rsidP="003B632E">
      <w:pPr>
        <w:pStyle w:val="Ttulo5"/>
        <w:autoSpaceDE/>
        <w:autoSpaceDN/>
        <w:adjustRightInd/>
        <w:rPr>
          <w:rFonts w:ascii="Arial" w:hAnsi="Arial" w:cs="Arial"/>
          <w:sz w:val="20"/>
          <w:szCs w:val="20"/>
        </w:rPr>
      </w:pPr>
      <w:proofErr w:type="spellStart"/>
      <w:r w:rsidRPr="00AB3924">
        <w:rPr>
          <w:rFonts w:ascii="Arial" w:hAnsi="Arial" w:cs="Arial"/>
          <w:sz w:val="20"/>
          <w:szCs w:val="20"/>
        </w:rPr>
        <w:t>II.c</w:t>
      </w:r>
      <w:proofErr w:type="spellEnd"/>
      <w:r w:rsidRPr="00AB3924">
        <w:rPr>
          <w:rFonts w:ascii="Arial" w:hAnsi="Arial" w:cs="Arial"/>
          <w:sz w:val="20"/>
          <w:szCs w:val="20"/>
        </w:rPr>
        <w:t xml:space="preserve"> – Países</w:t>
      </w:r>
    </w:p>
    <w:bookmarkEnd w:id="0"/>
    <w:p w:rsidR="003B632E" w:rsidRPr="00AB3924" w:rsidRDefault="003B632E" w:rsidP="003B632E">
      <w:pPr>
        <w:rPr>
          <w:rFonts w:ascii="Arial" w:hAnsi="Arial" w:cs="Arial"/>
          <w:b/>
          <w:sz w:val="20"/>
          <w:szCs w:val="20"/>
        </w:rPr>
      </w:pPr>
    </w:p>
    <w:p w:rsidR="00AB3924" w:rsidRPr="00AB3924" w:rsidRDefault="00AB3924" w:rsidP="00AB3924">
      <w:pPr>
        <w:pStyle w:val="Recuodecorpodetexto"/>
        <w:rPr>
          <w:rFonts w:ascii="Arial" w:hAnsi="Arial" w:cs="Arial"/>
          <w:sz w:val="20"/>
          <w:szCs w:val="20"/>
        </w:rPr>
      </w:pPr>
      <w:r w:rsidRPr="00AB3924">
        <w:rPr>
          <w:rFonts w:ascii="Arial" w:hAnsi="Arial" w:cs="Arial"/>
          <w:sz w:val="20"/>
          <w:szCs w:val="20"/>
        </w:rPr>
        <w:t>A China mantém-se com franca vantagem entre os demais mercados das exportações brasileiras do agronegócio. De janeiro a novembro de 2017, as exportações ao país somaram US$ 25,08 bilhões, o que representou 28,2% do total da exportação no período. O crescimento das vendas ao país foi de 25,8%, impulsionado pelas vendas de soja em grão, que saltaram de US$ 14,19 bilhões para US$ 19,52 bilhões (+37,5%). Entre outros produtos que complementaram a pauta, citam-se a celulose (US$ 2,24 bilhões) e as carnes bovina (US$ 824,16 milhões) e de frango (US$ 706,89 milhões). Juntos, esses itens, incluindo a soja em grão, responderam por 92,8% das vendas totais.</w:t>
      </w:r>
    </w:p>
    <w:p w:rsidR="00AB3924" w:rsidRPr="00AB3924" w:rsidRDefault="00AB3924" w:rsidP="00AB3924">
      <w:pPr>
        <w:pStyle w:val="Recuodecorpodetexto"/>
        <w:rPr>
          <w:rFonts w:ascii="Arial" w:hAnsi="Arial" w:cs="Arial"/>
          <w:sz w:val="20"/>
          <w:szCs w:val="20"/>
        </w:rPr>
      </w:pPr>
    </w:p>
    <w:p w:rsidR="009A7774" w:rsidRPr="00AB3924" w:rsidRDefault="00AB3924" w:rsidP="00AB3924">
      <w:pPr>
        <w:pStyle w:val="Recuodecorpodetexto"/>
        <w:rPr>
          <w:rFonts w:ascii="Arial" w:hAnsi="Arial" w:cs="Arial"/>
          <w:sz w:val="20"/>
          <w:szCs w:val="20"/>
        </w:rPr>
      </w:pPr>
      <w:r w:rsidRPr="00AB3924">
        <w:rPr>
          <w:rFonts w:ascii="Arial" w:hAnsi="Arial" w:cs="Arial"/>
          <w:sz w:val="20"/>
          <w:szCs w:val="20"/>
        </w:rPr>
        <w:t>Destacam-se, ainda, as exportações destinadas para: Estados Unidos (+8,0%; US$ 6,15 bilhões); Países Baixos (-1,0%; US$ 4,13 bilhões); Japão (+5,0%; US$ 2,37 bilhões); Hong Kong (+16,8%; US$ 2,23 bilhões); Rússia (+15,4%; US$ 2,18 bilhões); Irã (+7,5%; US$ 2,13 bilhões); Itália (+7,6%; US$ 2,00 bilhões); Arábia Saudita (+0,6%; US$ 1,98 bilhão) e Alemanha (-14,0%; US$ 1,94 bilhão). Os maiores aumentos foram registrados nas exportações aos Emirados Árabes (+26,5%); à Espanha (+37,5%); ao Egito (+37,8%) e a Bangladesh (+57,5%</w:t>
      </w:r>
      <w:r w:rsidRPr="00AB3924">
        <w:rPr>
          <w:rFonts w:ascii="Arial" w:hAnsi="Arial" w:cs="Arial"/>
          <w:sz w:val="20"/>
          <w:szCs w:val="20"/>
        </w:rPr>
        <w:t>)</w:t>
      </w:r>
      <w:r w:rsidRPr="00AB3924">
        <w:rPr>
          <w:rFonts w:ascii="Arial" w:hAnsi="Arial" w:cs="Arial"/>
          <w:sz w:val="20"/>
          <w:szCs w:val="20"/>
        </w:rPr>
        <w:t>.</w:t>
      </w:r>
    </w:p>
    <w:p w:rsidR="00AB3924" w:rsidRPr="00AB3924" w:rsidRDefault="00AB3924" w:rsidP="00AB3924">
      <w:pPr>
        <w:pStyle w:val="Recuodecorpodetexto"/>
        <w:rPr>
          <w:rFonts w:ascii="Arial" w:hAnsi="Arial" w:cs="Arial"/>
          <w:sz w:val="20"/>
          <w:szCs w:val="20"/>
        </w:rPr>
      </w:pPr>
    </w:p>
    <w:p w:rsidR="003B632E" w:rsidRPr="00AB3924" w:rsidRDefault="003B632E" w:rsidP="00AB3924">
      <w:pPr>
        <w:pStyle w:val="Recuodecorpodetexto"/>
        <w:rPr>
          <w:rFonts w:ascii="Arial" w:hAnsi="Arial" w:cs="Arial"/>
          <w:sz w:val="20"/>
          <w:szCs w:val="20"/>
        </w:rPr>
      </w:pPr>
    </w:p>
    <w:p w:rsidR="003B632E" w:rsidRPr="00AB3924" w:rsidRDefault="0035125D" w:rsidP="003B632E">
      <w:pPr>
        <w:rPr>
          <w:rFonts w:ascii="Arial" w:hAnsi="Arial" w:cs="Arial"/>
        </w:rPr>
      </w:pPr>
      <w:r w:rsidRPr="00AB3924">
        <w:rPr>
          <w:rFonts w:ascii="Arial" w:hAnsi="Arial" w:cs="Arial"/>
          <w:noProof/>
        </w:rPr>
        <w:lastRenderedPageBreak/>
        <w:drawing>
          <wp:inline distT="0" distB="0" distL="0" distR="0" wp14:anchorId="4E9A5293" wp14:editId="70B40F46">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3B632E" w:rsidRPr="00AB3924" w:rsidRDefault="003B632E" w:rsidP="003B632E">
      <w:pPr>
        <w:pStyle w:val="Recuodecorpodetexto"/>
        <w:ind w:firstLine="0"/>
        <w:rPr>
          <w:rFonts w:ascii="Arial" w:hAnsi="Arial" w:cs="Arial"/>
          <w:sz w:val="20"/>
          <w:szCs w:val="20"/>
        </w:rPr>
      </w:pPr>
    </w:p>
    <w:p w:rsidR="003B632E" w:rsidRPr="00AB3924" w:rsidRDefault="003B632E" w:rsidP="003B632E">
      <w:pPr>
        <w:autoSpaceDE w:val="0"/>
        <w:autoSpaceDN w:val="0"/>
        <w:adjustRightInd w:val="0"/>
        <w:rPr>
          <w:rFonts w:ascii="Arial" w:hAnsi="Arial" w:cs="Arial"/>
          <w:sz w:val="20"/>
          <w:szCs w:val="20"/>
        </w:rPr>
      </w:pPr>
    </w:p>
    <w:p w:rsidR="003B632E" w:rsidRPr="00AB3924" w:rsidRDefault="003B632E" w:rsidP="003B632E">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sidR="00D97ECD" w:rsidRPr="00AB3924">
        <w:rPr>
          <w:rFonts w:ascii="Arial" w:hAnsi="Arial" w:cs="Arial"/>
          <w:b/>
          <w:sz w:val="20"/>
          <w:szCs w:val="20"/>
        </w:rPr>
        <w:t>Dezembro</w:t>
      </w:r>
      <w:r w:rsidRPr="00AB3924">
        <w:rPr>
          <w:rFonts w:ascii="Arial" w:hAnsi="Arial" w:cs="Arial"/>
          <w:b/>
          <w:sz w:val="20"/>
          <w:szCs w:val="20"/>
        </w:rPr>
        <w:t xml:space="preserve"> de 2016 a </w:t>
      </w:r>
      <w:r w:rsidR="00651518" w:rsidRPr="00AB3924">
        <w:rPr>
          <w:rFonts w:ascii="Arial" w:hAnsi="Arial" w:cs="Arial"/>
          <w:b/>
          <w:sz w:val="20"/>
          <w:szCs w:val="20"/>
        </w:rPr>
        <w:t>Novembro</w:t>
      </w:r>
      <w:r w:rsidRPr="00AB3924">
        <w:rPr>
          <w:rFonts w:ascii="Arial" w:hAnsi="Arial" w:cs="Arial"/>
          <w:b/>
          <w:sz w:val="20"/>
          <w:szCs w:val="20"/>
        </w:rPr>
        <w:t xml:space="preserve"> de 2017 (Acumulado 12 meses)</w:t>
      </w:r>
    </w:p>
    <w:p w:rsidR="003B632E" w:rsidRPr="00AB3924" w:rsidRDefault="003B632E" w:rsidP="003B632E">
      <w:pPr>
        <w:autoSpaceDE w:val="0"/>
        <w:autoSpaceDN w:val="0"/>
        <w:adjustRightInd w:val="0"/>
        <w:jc w:val="both"/>
        <w:rPr>
          <w:rFonts w:ascii="Arial" w:hAnsi="Arial" w:cs="Arial"/>
          <w:b/>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As exportações brasileiras do agronegócio subiram de US$ 85,69 bilhões entre dezembro de 2015 e novembro de 2016 para US$ 95,19 bilhões entre dezembro de 2016 e novembro de 2017.  Uma variação positiva absoluta de US$ 9,51 bilhões ou o equivalente ao aumento de 11,1% nas exportações. As importações também cresceram, passando de US$ 13,16 bilhões para US$ 14,34 bilhões no referido período de análise (+8,9%). A diferença entre as exportações e as importações, ou o saldo comercial do agronegócio, foi de US$ 80,86 bilhões nos últimos doze meses.</w:t>
      </w:r>
    </w:p>
    <w:p w:rsidR="00230FEE" w:rsidRPr="00AB3924" w:rsidRDefault="00414AB5" w:rsidP="00414AB5">
      <w:pPr>
        <w:pStyle w:val="Recuodecorpodetexto"/>
        <w:rPr>
          <w:rFonts w:ascii="Arial" w:hAnsi="Arial" w:cs="Arial"/>
          <w:sz w:val="20"/>
          <w:szCs w:val="20"/>
        </w:rPr>
      </w:pPr>
      <w:r w:rsidRPr="00AB3924">
        <w:rPr>
          <w:rFonts w:ascii="Arial" w:hAnsi="Arial" w:cs="Arial"/>
          <w:sz w:val="20"/>
          <w:szCs w:val="20"/>
        </w:rPr>
        <w:t>O resultado positivo ocorreu, principalmente, em função do aumento do preço médio de exportação de diversos produtos e elevação da quantidade exportada de soja em grão.</w:t>
      </w:r>
    </w:p>
    <w:p w:rsidR="003B632E" w:rsidRDefault="003B632E" w:rsidP="003B632E">
      <w:pPr>
        <w:autoSpaceDE w:val="0"/>
        <w:autoSpaceDN w:val="0"/>
        <w:adjustRightInd w:val="0"/>
        <w:jc w:val="both"/>
        <w:rPr>
          <w:rFonts w:ascii="Arial" w:hAnsi="Arial" w:cs="Arial"/>
          <w:b/>
          <w:sz w:val="20"/>
          <w:szCs w:val="20"/>
        </w:rPr>
      </w:pPr>
    </w:p>
    <w:p w:rsidR="00AB3924" w:rsidRPr="00AB3924" w:rsidRDefault="00AB3924" w:rsidP="003B632E">
      <w:pPr>
        <w:autoSpaceDE w:val="0"/>
        <w:autoSpaceDN w:val="0"/>
        <w:adjustRightInd w:val="0"/>
        <w:jc w:val="both"/>
        <w:rPr>
          <w:rFonts w:ascii="Arial" w:hAnsi="Arial" w:cs="Arial"/>
          <w:b/>
          <w:sz w:val="20"/>
          <w:szCs w:val="20"/>
        </w:rPr>
      </w:pPr>
    </w:p>
    <w:p w:rsidR="003B632E" w:rsidRPr="00AB3924" w:rsidRDefault="003B632E" w:rsidP="003B632E">
      <w:pPr>
        <w:pStyle w:val="Ttulo5"/>
        <w:autoSpaceDE/>
        <w:autoSpaceDN/>
        <w:adjustRightInd/>
        <w:rPr>
          <w:rFonts w:ascii="Arial" w:hAnsi="Arial" w:cs="Arial"/>
          <w:sz w:val="20"/>
          <w:szCs w:val="20"/>
        </w:rPr>
      </w:pPr>
      <w:proofErr w:type="spellStart"/>
      <w:r w:rsidRPr="00AB3924">
        <w:rPr>
          <w:rFonts w:ascii="Arial" w:hAnsi="Arial" w:cs="Arial"/>
          <w:sz w:val="20"/>
          <w:szCs w:val="20"/>
        </w:rPr>
        <w:t>III.a</w:t>
      </w:r>
      <w:proofErr w:type="spellEnd"/>
      <w:r w:rsidRPr="00AB3924">
        <w:rPr>
          <w:rFonts w:ascii="Arial" w:hAnsi="Arial" w:cs="Arial"/>
          <w:sz w:val="20"/>
          <w:szCs w:val="20"/>
        </w:rPr>
        <w:t xml:space="preserve"> – Setores do Agronegócio</w:t>
      </w:r>
    </w:p>
    <w:p w:rsidR="003B632E" w:rsidRPr="00AB3924" w:rsidRDefault="003B632E" w:rsidP="003B632E">
      <w:pPr>
        <w:rPr>
          <w:rFonts w:ascii="Arial" w:hAnsi="Arial" w:cs="Arial"/>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Os cinco principais setores exportadores do agronegócio (complexo soja, carnes, complexo sucroalcooleiro, produtos florestais e café) foram responsáveis por praticamente 80,0% do valor exportado entre dezembro de 2016 e novembro de 2017. Nos doze meses anteriores esses mesmos setores participaram com 77,6% das exportações. Ou seja, houve concentração das exportações do agronegócio entre os principais setores exportadores no período.</w:t>
      </w:r>
    </w:p>
    <w:p w:rsidR="00AB3924" w:rsidRPr="00AB3924" w:rsidRDefault="00AB3924"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 xml:space="preserve">O complexo soja foi o principal setor exportador no período, com expansão das exportações de US$ 25,50 bilhões entre dezembro de 2015 e novembro de 2016 para US$ 31,23 bilhões entre dezembro de 2016 e novembro de 2017 (+22,5%). O setor foi responsável, sozinho, por praticamente um terço do valor exportado pelo Brasil em produtos do agronegócio. </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O principal produto exportado pelo complexo soja foi a soja em grão. As exportações subiram de US$ 19,34 bilhões entre dezembro de 2015 e novembro de 2016 para US$ 25,07 bilhões entre dezembro de 2016 e novembro de 2017 (+29,7%). A quantidade exportada de soja em grão nos últimos doze meses atingiu 66,45 milhões de toneladas. As exportações de farelo de soja foram de US$ 5,11 bilhões (-1,9%) enquanto as vendas externas de óleo de soja chegaram a US$ 1,05 bilhão (+10,1%).</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As vendas externas de carnes subiram de US$ 14,28 bilhões entre dezembro de 2015 e novembro de 2016 para US$ 15,42 bilhões nos últimos doze meses (+8,0%). Quase todos os tipos de carnes tiveram aumento de valor exportado nos últimos doze meses: carne de frango (US$ 7,19 bilhões; +5,9%); carne bovina (US$ 5,96 bilhões; +9,9%); carne suína (US$ 1,60 bilhão; +11,1%). O aumento do preço médio de exportação das carnes foi fundamental para a crescimento das vendas externas, uma vez que a quantidade exportada caiu no geral (carne de frango -1,6%, carne suína -4,8% e carne de peru -13,2%). A carne bovina foi exceção à regra, com aumento na quantidade exportada de 6,2%.</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O complexo sucroalcooleiro exportou US$ 12,64 bilhões nos últimos doze meses, o que representou um incremento de 13,4% em relação aos US$ 11,15 bilhões exportados entre dezembro de 2015 e novembro de 2016. A elevação de 15,4% no preço médio de exportação do açúcar explica grande parte do aumento das exportações do setor. As vendas externas de álcool, por sua vez, caíram de US$ 977,11 milhões para US$ 811,14 milhões (-17,0%).</w:t>
      </w: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Os produtos florestais aumentaram as exportações de US$ 10,19 bilhões para US$ 11,39 bilhões nos últimos doze meses (+11,8%). O principal produto exportado do setor foi a celulose, que ampliou as vendas externas de US$ 5,54 bilhões para US$ 6,28 bilhões (+13,3%). Além da celulose, houve crescimento nas exportações de madeiras e suas obras (+15,6%) e papel (+1,4%).</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O quinto principal setor exportador do agronegócio, o café, registrou vendas externas de US$ 5,39 bilhões entre dezembro de 2016 e novembro de 2017 (+0,3%). O café verde foi o principal produto exportado do setor, com US$ 4,71 bilhões em vendas externas no período em análise (-1,0%). O preço médio de exportação do café verde subiu 8,5% enquanto a quantidade exportada caiu 8,8%. As exportações de café solúvel também cresceram, passando de US$ 559,66 milhões para US$ 591,20 milhões (+5,6%).</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Esses cinco principais setores exportadores foram responsáveis por quase 80% das exportações brasileiras do agronegócio. Os 20 demais setores responderam por cerca de 20% das vendas externas. As exportações desses 20 setores ficaram praticamente estáveis nos últimos doze meses, passando de US$ 19,19 bilhões entre dezembro de 2015 e novembro de 2016 para US$ 19,12 bilhões entre dezembro de 2016 e novembro de 2017.</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 xml:space="preserve">As importações brasileiras de produtos do agronegócio cresceram de US$ 13,16 bilhões entre dezembro de 2015 e novembro de 2016 para US$ 14,34 bilhões entre dezembro de 2016 e novembro de 2017 (+8,9%). O trigo foi o principal produto importado, com US$ 1,20 bilhão em aquisições (-7,4%) ou o equivalente a 6,32 milhões de toneladas. Outros produtos da pauta de importação com cifra superior a US$ 300 milhões entre dezembro de 2016 e novembro de 2017 foram: álcool etílico (US$ 928,95 milhões; +180,0%); papel (US$ 836,60 milhões; +13,9%); vestuário e outros produtos têxteis de algodão (US$ 538,10 milhões; +11,3%); salmões (US$ 514,74 milhões; +22,6%); malte (US$ 425,92 milhões; -5,9%); borracha natural (US$ 410,87 milhões; +33,4%); óleo de palma (US$ 383,01 milhões; +11,0%); vinho (US$ 361,02 milhões; +30,3%); leite em pó (US$ 349,59 milhões; -12,8%); batatas preparadas ou conservadas (US$ 340,79 milhões; +6,0%); filés de peixe, congelados (US$ 335,03 milhões; +25,7%); arroz (US$ 329,09 milhões; +25,0%); e azeite de oliva (US$ 326,88 milhões; +27,1%). </w:t>
      </w:r>
    </w:p>
    <w:p w:rsidR="00230FEE" w:rsidRPr="00AB3924" w:rsidRDefault="00230FEE" w:rsidP="00230FEE">
      <w:pPr>
        <w:pStyle w:val="Recuodecorpodetexto"/>
        <w:rPr>
          <w:rFonts w:ascii="Arial" w:hAnsi="Arial" w:cs="Arial"/>
          <w:sz w:val="20"/>
          <w:szCs w:val="20"/>
        </w:rPr>
      </w:pPr>
    </w:p>
    <w:p w:rsidR="003B632E" w:rsidRPr="00AB3924" w:rsidRDefault="003B632E" w:rsidP="003B632E">
      <w:pPr>
        <w:rPr>
          <w:rFonts w:ascii="Arial" w:hAnsi="Arial" w:cs="Arial"/>
        </w:rPr>
      </w:pPr>
    </w:p>
    <w:p w:rsidR="003B632E" w:rsidRPr="00AB3924" w:rsidRDefault="0035125D" w:rsidP="003B632E">
      <w:pPr>
        <w:rPr>
          <w:rFonts w:ascii="Arial" w:hAnsi="Arial" w:cs="Arial"/>
        </w:rPr>
      </w:pPr>
      <w:r w:rsidRPr="00AB3924">
        <w:rPr>
          <w:rFonts w:ascii="Arial" w:hAnsi="Arial" w:cs="Arial"/>
          <w:noProof/>
        </w:rPr>
        <w:drawing>
          <wp:inline distT="0" distB="0" distL="0" distR="0" wp14:anchorId="36F18667" wp14:editId="75FBFFDB">
            <wp:extent cx="6480175" cy="38550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3B632E" w:rsidRPr="00AB3924" w:rsidRDefault="003B632E" w:rsidP="003B632E">
      <w:pPr>
        <w:rPr>
          <w:rFonts w:ascii="Arial" w:hAnsi="Arial" w:cs="Arial"/>
        </w:rPr>
      </w:pPr>
    </w:p>
    <w:p w:rsidR="003B632E" w:rsidRPr="00AB3924" w:rsidRDefault="003B632E" w:rsidP="003B632E">
      <w:pPr>
        <w:rPr>
          <w:rFonts w:ascii="Arial" w:hAnsi="Arial" w:cs="Arial"/>
        </w:rPr>
      </w:pPr>
    </w:p>
    <w:p w:rsidR="00AB3924" w:rsidRDefault="00AB3924">
      <w:pPr>
        <w:rPr>
          <w:rFonts w:ascii="Arial" w:hAnsi="Arial" w:cs="Arial"/>
          <w:b/>
          <w:sz w:val="20"/>
          <w:szCs w:val="20"/>
        </w:rPr>
      </w:pPr>
      <w:r>
        <w:rPr>
          <w:rFonts w:ascii="Arial" w:hAnsi="Arial" w:cs="Arial"/>
          <w:sz w:val="20"/>
          <w:szCs w:val="20"/>
        </w:rPr>
        <w:br w:type="page"/>
      </w:r>
    </w:p>
    <w:p w:rsidR="003B632E" w:rsidRPr="00AB3924" w:rsidRDefault="003B632E" w:rsidP="003B632E">
      <w:pPr>
        <w:pStyle w:val="Ttulo5"/>
        <w:autoSpaceDE/>
        <w:autoSpaceDN/>
        <w:adjustRightInd/>
        <w:rPr>
          <w:rFonts w:ascii="Arial" w:hAnsi="Arial" w:cs="Arial"/>
          <w:sz w:val="20"/>
          <w:szCs w:val="20"/>
        </w:rPr>
      </w:pPr>
      <w:bookmarkStart w:id="1" w:name="_GoBack"/>
      <w:bookmarkEnd w:id="1"/>
      <w:proofErr w:type="spellStart"/>
      <w:r w:rsidRPr="00AB3924">
        <w:rPr>
          <w:rFonts w:ascii="Arial" w:hAnsi="Arial" w:cs="Arial"/>
          <w:sz w:val="20"/>
          <w:szCs w:val="20"/>
        </w:rPr>
        <w:lastRenderedPageBreak/>
        <w:t>III.b</w:t>
      </w:r>
      <w:proofErr w:type="spellEnd"/>
      <w:r w:rsidRPr="00AB3924">
        <w:rPr>
          <w:rFonts w:ascii="Arial" w:hAnsi="Arial" w:cs="Arial"/>
          <w:sz w:val="20"/>
          <w:szCs w:val="20"/>
        </w:rPr>
        <w:t xml:space="preserve"> – Blocos Econômicos e Regiões Geográficas</w:t>
      </w:r>
    </w:p>
    <w:p w:rsidR="003B632E" w:rsidRPr="00AB3924" w:rsidRDefault="003B632E" w:rsidP="003B632E">
      <w:pPr>
        <w:rPr>
          <w:rFonts w:ascii="Arial" w:hAnsi="Arial" w:cs="Arial"/>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As exportações para a Ásia aumentaram de US$ 37,87 bilhões entre dezembro de 2015 e novembro de 2016 para US$ 43,43 bilhões entre dezembro de 2016 e novembro de 2017 (+14,7%). O incremento das exportações à Ásia (+14,7%) acima do crescimento total das exportações brasileiras do agronegócio (+11,1%) nos últimos doze meses fez com que a região aumentasse a participação no total das exportações brasileiras do agronegócio, que passou de 44,2% para 45,6%.</w:t>
      </w: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 xml:space="preserve"> </w:t>
      </w: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A União Europeia, por outro lado, elevou as aquisições de produtos do agronegócio brasileiro em 0,6%, porcentagem que fez o bloco diminuir sua participação no total das exportações brasileiras do agronegócio de 19,6% para 17,7% no período em análise.</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Convém destacar o continente africano que, excluindo a Ásia, foi a região com maior aumento de participação nas exportações brasileiras do agronegócio. A África subiu sua participação de 6,4% para 7,7% nas exportações brasileiras do agronegócio nos últimos doze meses. Outros blocos estão apresentados na Tabela 8.</w:t>
      </w:r>
    </w:p>
    <w:p w:rsidR="00230FEE" w:rsidRPr="00AB3924" w:rsidRDefault="00230FEE" w:rsidP="00AB3924">
      <w:pPr>
        <w:pStyle w:val="Recuodecorpodetexto"/>
        <w:rPr>
          <w:rFonts w:ascii="Arial" w:hAnsi="Arial" w:cs="Arial"/>
          <w:sz w:val="20"/>
          <w:szCs w:val="20"/>
        </w:rPr>
      </w:pPr>
    </w:p>
    <w:p w:rsidR="00230FEE" w:rsidRPr="00AB3924" w:rsidRDefault="00230FEE" w:rsidP="00230FEE">
      <w:pPr>
        <w:pStyle w:val="Recuodecorpodetexto"/>
        <w:rPr>
          <w:rFonts w:ascii="Arial" w:hAnsi="Arial" w:cs="Arial"/>
          <w:sz w:val="20"/>
          <w:szCs w:val="20"/>
        </w:rPr>
      </w:pPr>
    </w:p>
    <w:p w:rsidR="00230FEE" w:rsidRPr="00AB3924" w:rsidRDefault="00230FEE" w:rsidP="00230FEE">
      <w:pPr>
        <w:pStyle w:val="Recuodecorpodetexto"/>
        <w:rPr>
          <w:rFonts w:ascii="Arial" w:hAnsi="Arial" w:cs="Arial"/>
          <w:sz w:val="20"/>
          <w:szCs w:val="20"/>
        </w:rPr>
      </w:pPr>
    </w:p>
    <w:p w:rsidR="003B632E" w:rsidRPr="00AB3924" w:rsidRDefault="0035125D" w:rsidP="003B632E">
      <w:pPr>
        <w:jc w:val="both"/>
        <w:rPr>
          <w:rFonts w:ascii="Arial" w:hAnsi="Arial" w:cs="Arial"/>
          <w:sz w:val="20"/>
          <w:szCs w:val="20"/>
        </w:rPr>
      </w:pPr>
      <w:r w:rsidRPr="00AB3924">
        <w:rPr>
          <w:rFonts w:ascii="Arial" w:hAnsi="Arial" w:cs="Arial"/>
          <w:noProof/>
        </w:rPr>
        <w:drawing>
          <wp:inline distT="0" distB="0" distL="0" distR="0" wp14:anchorId="38C336E3" wp14:editId="40512AB1">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3B632E" w:rsidRPr="00AB3924" w:rsidRDefault="003B632E" w:rsidP="003B632E">
      <w:pPr>
        <w:pStyle w:val="Ttulo5"/>
        <w:autoSpaceDE/>
        <w:autoSpaceDN/>
        <w:adjustRightInd/>
        <w:rPr>
          <w:rFonts w:ascii="Arial" w:hAnsi="Arial" w:cs="Arial"/>
          <w:sz w:val="20"/>
          <w:szCs w:val="20"/>
        </w:rPr>
      </w:pPr>
    </w:p>
    <w:p w:rsidR="003B632E" w:rsidRPr="00AB3924" w:rsidRDefault="003B632E" w:rsidP="003B632E">
      <w:pPr>
        <w:pStyle w:val="Ttulo5"/>
        <w:autoSpaceDE/>
        <w:autoSpaceDN/>
        <w:adjustRightInd/>
        <w:rPr>
          <w:rFonts w:ascii="Arial" w:hAnsi="Arial" w:cs="Arial"/>
          <w:sz w:val="20"/>
          <w:szCs w:val="20"/>
        </w:rPr>
      </w:pPr>
    </w:p>
    <w:p w:rsidR="003B632E" w:rsidRPr="00AB3924" w:rsidRDefault="003B632E" w:rsidP="003B632E">
      <w:pPr>
        <w:pStyle w:val="Ttulo5"/>
        <w:autoSpaceDE/>
        <w:autoSpaceDN/>
        <w:adjustRightInd/>
        <w:rPr>
          <w:rFonts w:ascii="Arial" w:hAnsi="Arial" w:cs="Arial"/>
          <w:sz w:val="20"/>
          <w:szCs w:val="20"/>
        </w:rPr>
      </w:pPr>
      <w:proofErr w:type="spellStart"/>
      <w:r w:rsidRPr="00AB3924">
        <w:rPr>
          <w:rFonts w:ascii="Arial" w:hAnsi="Arial" w:cs="Arial"/>
          <w:sz w:val="20"/>
          <w:szCs w:val="20"/>
        </w:rPr>
        <w:t>III.c</w:t>
      </w:r>
      <w:proofErr w:type="spellEnd"/>
      <w:r w:rsidRPr="00AB3924">
        <w:rPr>
          <w:rFonts w:ascii="Arial" w:hAnsi="Arial" w:cs="Arial"/>
          <w:sz w:val="20"/>
          <w:szCs w:val="20"/>
        </w:rPr>
        <w:t xml:space="preserve"> – Países</w:t>
      </w:r>
    </w:p>
    <w:p w:rsidR="003B632E" w:rsidRPr="00AB3924" w:rsidRDefault="003B632E" w:rsidP="003B632E">
      <w:pPr>
        <w:rPr>
          <w:rFonts w:ascii="Arial" w:hAnsi="Arial" w:cs="Arial"/>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A China se destacou como o país com maior aumento de participação nas aquisições de produtos do agronegócio brasileiro nos últimos doze meses. O país asiático aumentou suas compras de US$ 20,57 bilhões entre dezembro de 2015 e novembro de 2016 para US$ 25,98 bilhões entre dezembro de 2016 e novembro de 2017 (+26,3%). No período, a participação aumentou de 24,0% para 27,3%, um acréscimo de 3,3 pontos percentuais.</w:t>
      </w: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 xml:space="preserve"> </w:t>
      </w: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As aquisições chinesas de soja em grão brasileira subiram de 38,51 milhões de toneladas entre dezembro de 2015 e novembro de 2016 para 52,22 milhões de toneladas entre dezembro de 2016 e novembro de 2017 (+35,6%). Esta quantidade de soja dos últimos 12 meses equivaleu a US$ 19,71 bilhões em exportações para a China ou o equivalente a 75,9% do valor total exportado ao país asiático.</w:t>
      </w:r>
    </w:p>
    <w:p w:rsidR="00414AB5" w:rsidRPr="00AB3924" w:rsidRDefault="00414AB5" w:rsidP="00AB3924">
      <w:pPr>
        <w:pStyle w:val="Recuodecorpodetexto"/>
        <w:rPr>
          <w:rFonts w:ascii="Arial" w:hAnsi="Arial" w:cs="Arial"/>
          <w:sz w:val="20"/>
          <w:szCs w:val="20"/>
        </w:rPr>
      </w:pPr>
    </w:p>
    <w:p w:rsidR="00414AB5" w:rsidRPr="00AB3924" w:rsidRDefault="00414AB5" w:rsidP="00AB3924">
      <w:pPr>
        <w:pStyle w:val="Recuodecorpodetexto"/>
        <w:rPr>
          <w:rFonts w:ascii="Arial" w:hAnsi="Arial" w:cs="Arial"/>
          <w:sz w:val="20"/>
          <w:szCs w:val="20"/>
        </w:rPr>
      </w:pPr>
      <w:r w:rsidRPr="00AB3924">
        <w:rPr>
          <w:rFonts w:ascii="Arial" w:hAnsi="Arial" w:cs="Arial"/>
          <w:sz w:val="20"/>
          <w:szCs w:val="20"/>
        </w:rPr>
        <w:t>Outros países que mereceram destaque quanto ao incremento das importações de produtos brasileiros do agronegócio foram: Bangladesh (+50,6%); Egito (+33,4%); Espanha (+29,6%); Emirados Árabes Unidos (+23,2%); Rússia (+15,1%); e Hong Kong (+14,5%).</w:t>
      </w:r>
    </w:p>
    <w:p w:rsidR="003B632E" w:rsidRPr="00AB3924" w:rsidRDefault="003B632E" w:rsidP="003B632E">
      <w:pPr>
        <w:rPr>
          <w:rFonts w:ascii="Arial" w:hAnsi="Arial" w:cs="Arial"/>
        </w:rPr>
      </w:pPr>
    </w:p>
    <w:p w:rsidR="003B632E" w:rsidRPr="00AB3924" w:rsidRDefault="0035125D" w:rsidP="003B632E">
      <w:pPr>
        <w:pStyle w:val="Recuodecorpodetexto"/>
        <w:ind w:firstLine="0"/>
        <w:rPr>
          <w:rFonts w:ascii="Arial" w:hAnsi="Arial" w:cs="Arial"/>
          <w:sz w:val="20"/>
          <w:szCs w:val="20"/>
        </w:rPr>
      </w:pPr>
      <w:r w:rsidRPr="00AB3924">
        <w:rPr>
          <w:rFonts w:ascii="Arial" w:hAnsi="Arial" w:cs="Arial"/>
          <w:noProof/>
        </w:rPr>
        <w:lastRenderedPageBreak/>
        <w:drawing>
          <wp:inline distT="0" distB="0" distL="0" distR="0" wp14:anchorId="2AE66D4A" wp14:editId="65E74ADE">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3B632E" w:rsidRPr="00AB3924" w:rsidRDefault="003B632E" w:rsidP="003B632E">
      <w:pPr>
        <w:pStyle w:val="Recuodecorpodetexto"/>
        <w:ind w:firstLine="0"/>
        <w:rPr>
          <w:rFonts w:ascii="Arial" w:hAnsi="Arial" w:cs="Arial"/>
          <w:sz w:val="20"/>
          <w:szCs w:val="20"/>
        </w:rPr>
      </w:pPr>
    </w:p>
    <w:p w:rsidR="007D7D4C" w:rsidRPr="00AB3924" w:rsidRDefault="007D7D4C">
      <w:pPr>
        <w:autoSpaceDE w:val="0"/>
        <w:autoSpaceDN w:val="0"/>
        <w:adjustRightInd w:val="0"/>
        <w:rPr>
          <w:rFonts w:ascii="Arial" w:hAnsi="Arial" w:cs="Arial"/>
          <w:sz w:val="20"/>
          <w:szCs w:val="20"/>
        </w:rPr>
      </w:pPr>
    </w:p>
    <w:p w:rsidR="00230FEE" w:rsidRPr="00AB3924" w:rsidRDefault="00230FEE">
      <w:pPr>
        <w:autoSpaceDE w:val="0"/>
        <w:autoSpaceDN w:val="0"/>
        <w:adjustRightInd w:val="0"/>
        <w:rPr>
          <w:rFonts w:ascii="Arial" w:hAnsi="Arial" w:cs="Arial"/>
          <w:sz w:val="20"/>
          <w:szCs w:val="20"/>
        </w:rPr>
      </w:pPr>
    </w:p>
    <w:p w:rsidR="007D7D4C" w:rsidRPr="00AB3924" w:rsidRDefault="007D7D4C">
      <w:pPr>
        <w:autoSpaceDE w:val="0"/>
        <w:autoSpaceDN w:val="0"/>
        <w:adjustRightInd w:val="0"/>
        <w:rPr>
          <w:rFonts w:ascii="Arial" w:hAnsi="Arial" w:cs="Arial"/>
          <w:sz w:val="20"/>
          <w:szCs w:val="20"/>
        </w:rPr>
      </w:pPr>
    </w:p>
    <w:p w:rsidR="007D7D4C" w:rsidRPr="00AB3924" w:rsidRDefault="007D7D4C">
      <w:pPr>
        <w:autoSpaceDE w:val="0"/>
        <w:autoSpaceDN w:val="0"/>
        <w:adjustRightInd w:val="0"/>
        <w:rPr>
          <w:rFonts w:ascii="Arial" w:hAnsi="Arial" w:cs="Arial"/>
          <w:sz w:val="20"/>
          <w:szCs w:val="20"/>
        </w:rPr>
      </w:pPr>
    </w:p>
    <w:p w:rsidR="007D7D4C" w:rsidRPr="00AB3924" w:rsidRDefault="007D7D4C">
      <w:pPr>
        <w:autoSpaceDE w:val="0"/>
        <w:autoSpaceDN w:val="0"/>
        <w:adjustRightInd w:val="0"/>
        <w:rPr>
          <w:rFonts w:ascii="Arial" w:hAnsi="Arial" w:cs="Arial"/>
          <w:sz w:val="20"/>
          <w:szCs w:val="20"/>
        </w:rPr>
      </w:pPr>
    </w:p>
    <w:p w:rsidR="00C87B02" w:rsidRPr="00AB3924"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AB3924">
        <w:rPr>
          <w:i w:val="0"/>
          <w:sz w:val="20"/>
          <w:szCs w:val="20"/>
          <w:lang w:val="pt-BR"/>
        </w:rPr>
        <w:t>NOTA METODOLÓGICA</w:t>
      </w:r>
    </w:p>
    <w:p w:rsidR="00C87B02" w:rsidRPr="00AB3924"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AB3924">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AB3924"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AB3924"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AB3924">
        <w:rPr>
          <w:rFonts w:ascii="Arial" w:hAnsi="Arial" w:cs="Arial"/>
          <w:sz w:val="20"/>
          <w:szCs w:val="20"/>
        </w:rPr>
        <w:t xml:space="preserve">A Balança Comercial do Agronegócio utiliza uma classificação dos produtos do agronegócio que reúne 2.867 </w:t>
      </w:r>
      <w:proofErr w:type="spellStart"/>
      <w:r w:rsidRPr="00AB3924">
        <w:rPr>
          <w:rFonts w:ascii="Arial" w:hAnsi="Arial" w:cs="Arial"/>
          <w:sz w:val="20"/>
          <w:szCs w:val="20"/>
        </w:rPr>
        <w:t>NCM’s</w:t>
      </w:r>
      <w:proofErr w:type="spellEnd"/>
      <w:r w:rsidRPr="00AB3924">
        <w:rPr>
          <w:rFonts w:ascii="Arial" w:hAnsi="Arial" w:cs="Arial"/>
          <w:sz w:val="20"/>
          <w:szCs w:val="20"/>
        </w:rPr>
        <w:t xml:space="preserve"> em 25 setores. Essa é a mesma classificação utilizada no AGROSTAT BRASIL - base de dados </w:t>
      </w:r>
      <w:proofErr w:type="spellStart"/>
      <w:r w:rsidRPr="00AB3924">
        <w:rPr>
          <w:rFonts w:ascii="Arial" w:hAnsi="Arial" w:cs="Arial"/>
          <w:i/>
          <w:sz w:val="20"/>
          <w:szCs w:val="20"/>
        </w:rPr>
        <w:t>on</w:t>
      </w:r>
      <w:proofErr w:type="spellEnd"/>
      <w:r w:rsidRPr="00AB3924">
        <w:rPr>
          <w:rFonts w:ascii="Arial" w:hAnsi="Arial" w:cs="Arial"/>
          <w:i/>
          <w:sz w:val="20"/>
          <w:szCs w:val="20"/>
        </w:rPr>
        <w:t xml:space="preserve"> </w:t>
      </w:r>
      <w:proofErr w:type="spellStart"/>
      <w:r w:rsidRPr="00AB3924">
        <w:rPr>
          <w:rFonts w:ascii="Arial" w:hAnsi="Arial" w:cs="Arial"/>
          <w:i/>
          <w:sz w:val="20"/>
          <w:szCs w:val="20"/>
        </w:rPr>
        <w:t>line</w:t>
      </w:r>
      <w:proofErr w:type="spellEnd"/>
      <w:r w:rsidRPr="00AB3924">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AB3924">
          <w:rPr>
            <w:rStyle w:val="Hyperlink"/>
            <w:rFonts w:ascii="Arial" w:hAnsi="Arial" w:cs="Arial"/>
            <w:sz w:val="20"/>
            <w:szCs w:val="20"/>
          </w:rPr>
          <w:t>agrostat.agricultura.gov.br</w:t>
        </w:r>
      </w:hyperlink>
      <w:r w:rsidRPr="00AB3924">
        <w:rPr>
          <w:rFonts w:ascii="Arial" w:hAnsi="Arial" w:cs="Arial"/>
          <w:sz w:val="20"/>
          <w:szCs w:val="20"/>
        </w:rPr>
        <w:t xml:space="preserve"> </w:t>
      </w:r>
    </w:p>
    <w:p w:rsidR="00C87B02" w:rsidRPr="00AB3924"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AB3924" w:rsidRDefault="00C87B02">
      <w:pPr>
        <w:pStyle w:val="Ttulo2"/>
        <w:jc w:val="right"/>
        <w:rPr>
          <w:rFonts w:ascii="Arial" w:hAnsi="Arial" w:cs="Arial"/>
          <w:b/>
          <w:sz w:val="20"/>
        </w:rPr>
      </w:pPr>
    </w:p>
    <w:p w:rsidR="00C87B02" w:rsidRPr="00AB3924" w:rsidRDefault="00C87B02">
      <w:pPr>
        <w:pStyle w:val="Ttulo2"/>
        <w:jc w:val="right"/>
        <w:rPr>
          <w:rFonts w:ascii="Arial" w:hAnsi="Arial" w:cs="Arial"/>
          <w:b/>
          <w:sz w:val="20"/>
        </w:rPr>
      </w:pPr>
      <w:r w:rsidRPr="00AB3924">
        <w:rPr>
          <w:rFonts w:ascii="Arial" w:hAnsi="Arial" w:cs="Arial"/>
          <w:b/>
          <w:sz w:val="20"/>
        </w:rPr>
        <w:t>MAPA/SRI/DPI</w:t>
      </w:r>
    </w:p>
    <w:p w:rsidR="00C87B02" w:rsidRPr="00AB3924" w:rsidRDefault="00C87B02">
      <w:pPr>
        <w:pStyle w:val="Recuodecorpodetexto"/>
        <w:jc w:val="right"/>
        <w:rPr>
          <w:rFonts w:ascii="Arial" w:hAnsi="Arial" w:cs="Arial"/>
          <w:sz w:val="20"/>
          <w:szCs w:val="20"/>
        </w:rPr>
      </w:pPr>
      <w:r w:rsidRPr="00AB3924">
        <w:rPr>
          <w:rFonts w:ascii="Arial" w:hAnsi="Arial" w:cs="Arial"/>
          <w:sz w:val="20"/>
          <w:szCs w:val="20"/>
        </w:rPr>
        <w:t xml:space="preserve"> </w:t>
      </w:r>
      <w:r w:rsidR="00C866A8" w:rsidRPr="00AB3924">
        <w:rPr>
          <w:rFonts w:ascii="Arial" w:hAnsi="Arial" w:cs="Arial"/>
          <w:sz w:val="20"/>
          <w:szCs w:val="20"/>
        </w:rPr>
        <w:t>08</w:t>
      </w:r>
      <w:r w:rsidR="00A91244" w:rsidRPr="00AB3924">
        <w:rPr>
          <w:rFonts w:ascii="Arial" w:hAnsi="Arial" w:cs="Arial"/>
          <w:sz w:val="20"/>
          <w:szCs w:val="20"/>
        </w:rPr>
        <w:t>/1</w:t>
      </w:r>
      <w:r w:rsidR="00C866A8" w:rsidRPr="00AB3924">
        <w:rPr>
          <w:rFonts w:ascii="Arial" w:hAnsi="Arial" w:cs="Arial"/>
          <w:sz w:val="20"/>
          <w:szCs w:val="20"/>
        </w:rPr>
        <w:t>1</w:t>
      </w:r>
      <w:r w:rsidR="004215B4" w:rsidRPr="00AB3924">
        <w:rPr>
          <w:rFonts w:ascii="Arial" w:hAnsi="Arial" w:cs="Arial"/>
          <w:sz w:val="20"/>
          <w:szCs w:val="20"/>
        </w:rPr>
        <w:t>/2017</w:t>
      </w:r>
    </w:p>
    <w:sectPr w:rsidR="00C87B02" w:rsidRPr="00AB3924"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AB3924">
      <w:rPr>
        <w:rStyle w:val="Nmerodepgina"/>
        <w:rFonts w:ascii="Arial" w:hAnsi="Arial" w:cs="Arial"/>
        <w:noProof/>
        <w:sz w:val="16"/>
        <w:szCs w:val="16"/>
      </w:rPr>
      <w:t>10</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86" w:rsidRDefault="00F35186">
      <w:r>
        <w:separator/>
      </w:r>
    </w:p>
  </w:footnote>
  <w:footnote w:type="continuationSeparator" w:id="0">
    <w:p w:rsidR="00F35186" w:rsidRDefault="00F35186">
      <w:r>
        <w:continuationSeparator/>
      </w:r>
    </w:p>
  </w:footnote>
  <w:footnote w:id="1">
    <w:p w:rsidR="008021A1" w:rsidRPr="008021A1" w:rsidRDefault="008021A1" w:rsidP="008021A1">
      <w:pPr>
        <w:pStyle w:val="Textodenotaderodap"/>
        <w:jc w:val="both"/>
        <w:rPr>
          <w:rFonts w:ascii="Arial" w:hAnsi="Arial" w:cs="Arial"/>
        </w:rPr>
      </w:pPr>
      <w:r w:rsidRPr="008021A1">
        <w:rPr>
          <w:rStyle w:val="Refdenotaderodap"/>
          <w:rFonts w:ascii="Arial" w:hAnsi="Arial" w:cs="Arial"/>
        </w:rPr>
        <w:footnoteRef/>
      </w:r>
      <w:r w:rsidRPr="008021A1">
        <w:rPr>
          <w:rFonts w:ascii="Arial" w:hAnsi="Arial" w:cs="Arial"/>
        </w:rPr>
        <w:t xml:space="preserve"> </w:t>
      </w:r>
      <w:r w:rsidRPr="008021A1">
        <w:rPr>
          <w:rFonts w:ascii="Arial" w:hAnsi="Arial" w:cs="Arial"/>
          <w:sz w:val="16"/>
        </w:rPr>
        <w:t>Segundo cálculo elaborado por esta Secretaria, houve aumento de 4,5% no índice de preço e de 8,2% no índice de quantum das exportações brasileiras de produtos do agronegócio no período de janeiro a novembro de 2017 frente a igual intervalo de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903"/>
    <w:rsid w:val="00006103"/>
    <w:rsid w:val="00006262"/>
    <w:rsid w:val="00006ECB"/>
    <w:rsid w:val="00007083"/>
    <w:rsid w:val="00007D32"/>
    <w:rsid w:val="00010A70"/>
    <w:rsid w:val="00013681"/>
    <w:rsid w:val="00013B15"/>
    <w:rsid w:val="00013C10"/>
    <w:rsid w:val="0001553F"/>
    <w:rsid w:val="000166CF"/>
    <w:rsid w:val="00017D67"/>
    <w:rsid w:val="00017F9E"/>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AAD"/>
    <w:rsid w:val="00040CEE"/>
    <w:rsid w:val="0004141A"/>
    <w:rsid w:val="0004188A"/>
    <w:rsid w:val="00041926"/>
    <w:rsid w:val="00041C47"/>
    <w:rsid w:val="000421AD"/>
    <w:rsid w:val="00042DA0"/>
    <w:rsid w:val="00043C91"/>
    <w:rsid w:val="00045520"/>
    <w:rsid w:val="00045689"/>
    <w:rsid w:val="000456E0"/>
    <w:rsid w:val="0004621E"/>
    <w:rsid w:val="00047101"/>
    <w:rsid w:val="00047F65"/>
    <w:rsid w:val="00051416"/>
    <w:rsid w:val="00053736"/>
    <w:rsid w:val="000542D8"/>
    <w:rsid w:val="00056B26"/>
    <w:rsid w:val="00057E53"/>
    <w:rsid w:val="00060DB6"/>
    <w:rsid w:val="00060E48"/>
    <w:rsid w:val="00060ECE"/>
    <w:rsid w:val="00063D9B"/>
    <w:rsid w:val="00063DE6"/>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38F3"/>
    <w:rsid w:val="0008675A"/>
    <w:rsid w:val="00086BE6"/>
    <w:rsid w:val="00087349"/>
    <w:rsid w:val="00091B89"/>
    <w:rsid w:val="00092CA9"/>
    <w:rsid w:val="000930DA"/>
    <w:rsid w:val="00093FC9"/>
    <w:rsid w:val="0009438C"/>
    <w:rsid w:val="00094CD8"/>
    <w:rsid w:val="00094EAB"/>
    <w:rsid w:val="000950D3"/>
    <w:rsid w:val="00096E13"/>
    <w:rsid w:val="000976B6"/>
    <w:rsid w:val="000978BB"/>
    <w:rsid w:val="00097960"/>
    <w:rsid w:val="00097ADA"/>
    <w:rsid w:val="00097AEB"/>
    <w:rsid w:val="000A0879"/>
    <w:rsid w:val="000A0E3C"/>
    <w:rsid w:val="000A14AC"/>
    <w:rsid w:val="000A16C5"/>
    <w:rsid w:val="000A3C7F"/>
    <w:rsid w:val="000A412F"/>
    <w:rsid w:val="000A58CA"/>
    <w:rsid w:val="000A6462"/>
    <w:rsid w:val="000A6B29"/>
    <w:rsid w:val="000A7772"/>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A1C"/>
    <w:rsid w:val="000D0A49"/>
    <w:rsid w:val="000D1791"/>
    <w:rsid w:val="000D26FA"/>
    <w:rsid w:val="000D279E"/>
    <w:rsid w:val="000D39E2"/>
    <w:rsid w:val="000D4068"/>
    <w:rsid w:val="000D5591"/>
    <w:rsid w:val="000D5BE5"/>
    <w:rsid w:val="000E03A7"/>
    <w:rsid w:val="000E1F98"/>
    <w:rsid w:val="000E3005"/>
    <w:rsid w:val="000E33C3"/>
    <w:rsid w:val="000E398E"/>
    <w:rsid w:val="000E39A2"/>
    <w:rsid w:val="000E3FFC"/>
    <w:rsid w:val="000E4AF7"/>
    <w:rsid w:val="000E4D0B"/>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4A6E"/>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D5F"/>
    <w:rsid w:val="00151988"/>
    <w:rsid w:val="00153702"/>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45DB"/>
    <w:rsid w:val="001855B7"/>
    <w:rsid w:val="001877D0"/>
    <w:rsid w:val="00187C56"/>
    <w:rsid w:val="0019065E"/>
    <w:rsid w:val="00191D61"/>
    <w:rsid w:val="00192430"/>
    <w:rsid w:val="00193C52"/>
    <w:rsid w:val="00193F46"/>
    <w:rsid w:val="0019506D"/>
    <w:rsid w:val="001950E2"/>
    <w:rsid w:val="001965D0"/>
    <w:rsid w:val="00196B83"/>
    <w:rsid w:val="001A002C"/>
    <w:rsid w:val="001A0A6C"/>
    <w:rsid w:val="001A1AD0"/>
    <w:rsid w:val="001A1F94"/>
    <w:rsid w:val="001A29EA"/>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F0E"/>
    <w:rsid w:val="001B7C51"/>
    <w:rsid w:val="001C10B3"/>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59FD"/>
    <w:rsid w:val="001F6377"/>
    <w:rsid w:val="001F6BD9"/>
    <w:rsid w:val="00200422"/>
    <w:rsid w:val="00200C1F"/>
    <w:rsid w:val="00201721"/>
    <w:rsid w:val="00201EB6"/>
    <w:rsid w:val="0020228A"/>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D98"/>
    <w:rsid w:val="002365E6"/>
    <w:rsid w:val="00236C8A"/>
    <w:rsid w:val="0023726D"/>
    <w:rsid w:val="00240914"/>
    <w:rsid w:val="00243565"/>
    <w:rsid w:val="00244DAD"/>
    <w:rsid w:val="00244FFD"/>
    <w:rsid w:val="00246FFB"/>
    <w:rsid w:val="0025029B"/>
    <w:rsid w:val="00252568"/>
    <w:rsid w:val="00253BAB"/>
    <w:rsid w:val="00253F6E"/>
    <w:rsid w:val="0025449A"/>
    <w:rsid w:val="00256A85"/>
    <w:rsid w:val="0025703A"/>
    <w:rsid w:val="00257972"/>
    <w:rsid w:val="00257CA9"/>
    <w:rsid w:val="00260952"/>
    <w:rsid w:val="00260A3D"/>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5B3"/>
    <w:rsid w:val="00292902"/>
    <w:rsid w:val="00292C37"/>
    <w:rsid w:val="00292F48"/>
    <w:rsid w:val="002954AE"/>
    <w:rsid w:val="0029641D"/>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9C3"/>
    <w:rsid w:val="002B225F"/>
    <w:rsid w:val="002B3FF6"/>
    <w:rsid w:val="002B3FFA"/>
    <w:rsid w:val="002B40D1"/>
    <w:rsid w:val="002B4209"/>
    <w:rsid w:val="002B48DF"/>
    <w:rsid w:val="002B4BFF"/>
    <w:rsid w:val="002B5200"/>
    <w:rsid w:val="002B6586"/>
    <w:rsid w:val="002B728E"/>
    <w:rsid w:val="002B76D5"/>
    <w:rsid w:val="002C006D"/>
    <w:rsid w:val="002C0364"/>
    <w:rsid w:val="002C0938"/>
    <w:rsid w:val="002C2E49"/>
    <w:rsid w:val="002C2EBD"/>
    <w:rsid w:val="002C41FE"/>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B6"/>
    <w:rsid w:val="002E50CA"/>
    <w:rsid w:val="002E5A8C"/>
    <w:rsid w:val="002E64B9"/>
    <w:rsid w:val="002E6B13"/>
    <w:rsid w:val="002E6CA1"/>
    <w:rsid w:val="002E7085"/>
    <w:rsid w:val="002E78F4"/>
    <w:rsid w:val="002F00B6"/>
    <w:rsid w:val="002F2AA2"/>
    <w:rsid w:val="002F37D6"/>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6D2"/>
    <w:rsid w:val="00314BFA"/>
    <w:rsid w:val="00316822"/>
    <w:rsid w:val="00316C31"/>
    <w:rsid w:val="003202FE"/>
    <w:rsid w:val="003213EA"/>
    <w:rsid w:val="00321FD3"/>
    <w:rsid w:val="003222A3"/>
    <w:rsid w:val="003224EB"/>
    <w:rsid w:val="00322652"/>
    <w:rsid w:val="00323974"/>
    <w:rsid w:val="00323A54"/>
    <w:rsid w:val="00324322"/>
    <w:rsid w:val="003243CC"/>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50F51"/>
    <w:rsid w:val="0035125D"/>
    <w:rsid w:val="00352DE2"/>
    <w:rsid w:val="00353472"/>
    <w:rsid w:val="0035436D"/>
    <w:rsid w:val="00354FF6"/>
    <w:rsid w:val="00355FCD"/>
    <w:rsid w:val="00361C71"/>
    <w:rsid w:val="003630D6"/>
    <w:rsid w:val="0036317F"/>
    <w:rsid w:val="00364842"/>
    <w:rsid w:val="00367D6B"/>
    <w:rsid w:val="00370C77"/>
    <w:rsid w:val="00370F4A"/>
    <w:rsid w:val="003734AA"/>
    <w:rsid w:val="003743B9"/>
    <w:rsid w:val="00374794"/>
    <w:rsid w:val="00374A21"/>
    <w:rsid w:val="003766EA"/>
    <w:rsid w:val="0038134C"/>
    <w:rsid w:val="003820BA"/>
    <w:rsid w:val="003823A1"/>
    <w:rsid w:val="00382526"/>
    <w:rsid w:val="00382C83"/>
    <w:rsid w:val="00383C89"/>
    <w:rsid w:val="00383D01"/>
    <w:rsid w:val="00384177"/>
    <w:rsid w:val="003862C2"/>
    <w:rsid w:val="00386C6D"/>
    <w:rsid w:val="003909E2"/>
    <w:rsid w:val="00390CD1"/>
    <w:rsid w:val="00392E0F"/>
    <w:rsid w:val="00392FC0"/>
    <w:rsid w:val="003947CB"/>
    <w:rsid w:val="003949D8"/>
    <w:rsid w:val="00394ED0"/>
    <w:rsid w:val="003952C4"/>
    <w:rsid w:val="0039561C"/>
    <w:rsid w:val="003A0B29"/>
    <w:rsid w:val="003A0E82"/>
    <w:rsid w:val="003A1348"/>
    <w:rsid w:val="003A1858"/>
    <w:rsid w:val="003A47B8"/>
    <w:rsid w:val="003A510C"/>
    <w:rsid w:val="003A7A2A"/>
    <w:rsid w:val="003B049D"/>
    <w:rsid w:val="003B0ACC"/>
    <w:rsid w:val="003B0D74"/>
    <w:rsid w:val="003B1517"/>
    <w:rsid w:val="003B1EC6"/>
    <w:rsid w:val="003B2B76"/>
    <w:rsid w:val="003B3718"/>
    <w:rsid w:val="003B6186"/>
    <w:rsid w:val="003B632E"/>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703"/>
    <w:rsid w:val="003D62F6"/>
    <w:rsid w:val="003D7895"/>
    <w:rsid w:val="003E091B"/>
    <w:rsid w:val="003E146F"/>
    <w:rsid w:val="003E165E"/>
    <w:rsid w:val="003E1EE3"/>
    <w:rsid w:val="003E2AF6"/>
    <w:rsid w:val="003E31CD"/>
    <w:rsid w:val="003E367B"/>
    <w:rsid w:val="003E4A98"/>
    <w:rsid w:val="003E53C5"/>
    <w:rsid w:val="003E56D8"/>
    <w:rsid w:val="003E7039"/>
    <w:rsid w:val="003F07E7"/>
    <w:rsid w:val="003F0A4D"/>
    <w:rsid w:val="003F150F"/>
    <w:rsid w:val="003F1C93"/>
    <w:rsid w:val="003F2069"/>
    <w:rsid w:val="003F3106"/>
    <w:rsid w:val="003F3114"/>
    <w:rsid w:val="003F4615"/>
    <w:rsid w:val="003F49CC"/>
    <w:rsid w:val="003F5D9B"/>
    <w:rsid w:val="003F71CE"/>
    <w:rsid w:val="003F73EB"/>
    <w:rsid w:val="003F79EF"/>
    <w:rsid w:val="004004D6"/>
    <w:rsid w:val="004005E8"/>
    <w:rsid w:val="004005EF"/>
    <w:rsid w:val="004012D9"/>
    <w:rsid w:val="00401A32"/>
    <w:rsid w:val="00402BD6"/>
    <w:rsid w:val="004033C1"/>
    <w:rsid w:val="00403F4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31CC"/>
    <w:rsid w:val="00473237"/>
    <w:rsid w:val="00473872"/>
    <w:rsid w:val="004742BC"/>
    <w:rsid w:val="0047504C"/>
    <w:rsid w:val="0047558D"/>
    <w:rsid w:val="00475ADE"/>
    <w:rsid w:val="004772A2"/>
    <w:rsid w:val="004776F1"/>
    <w:rsid w:val="00480B14"/>
    <w:rsid w:val="00480BCC"/>
    <w:rsid w:val="00481D08"/>
    <w:rsid w:val="00482630"/>
    <w:rsid w:val="00482E82"/>
    <w:rsid w:val="004831BB"/>
    <w:rsid w:val="00484481"/>
    <w:rsid w:val="0048481F"/>
    <w:rsid w:val="00485744"/>
    <w:rsid w:val="00486ECE"/>
    <w:rsid w:val="00487FB1"/>
    <w:rsid w:val="00492292"/>
    <w:rsid w:val="0049292E"/>
    <w:rsid w:val="00492C73"/>
    <w:rsid w:val="004931C5"/>
    <w:rsid w:val="0049405D"/>
    <w:rsid w:val="0049568A"/>
    <w:rsid w:val="00496096"/>
    <w:rsid w:val="004A00D7"/>
    <w:rsid w:val="004A019B"/>
    <w:rsid w:val="004A0AD4"/>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A3B"/>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E065A"/>
    <w:rsid w:val="004E0700"/>
    <w:rsid w:val="004E0FE6"/>
    <w:rsid w:val="004E10B6"/>
    <w:rsid w:val="004E3415"/>
    <w:rsid w:val="004E3776"/>
    <w:rsid w:val="004E51AB"/>
    <w:rsid w:val="004E60E3"/>
    <w:rsid w:val="004E71DB"/>
    <w:rsid w:val="004E74B2"/>
    <w:rsid w:val="004F0B9D"/>
    <w:rsid w:val="004F4B16"/>
    <w:rsid w:val="004F4C23"/>
    <w:rsid w:val="004F5D9D"/>
    <w:rsid w:val="004F68B1"/>
    <w:rsid w:val="004F70EC"/>
    <w:rsid w:val="004F710D"/>
    <w:rsid w:val="00500160"/>
    <w:rsid w:val="005002E2"/>
    <w:rsid w:val="00500EAF"/>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9A5"/>
    <w:rsid w:val="00520C74"/>
    <w:rsid w:val="005211A7"/>
    <w:rsid w:val="00522B94"/>
    <w:rsid w:val="00525E76"/>
    <w:rsid w:val="00526F60"/>
    <w:rsid w:val="00530B31"/>
    <w:rsid w:val="0053113E"/>
    <w:rsid w:val="00531DCE"/>
    <w:rsid w:val="00531E2F"/>
    <w:rsid w:val="005326B6"/>
    <w:rsid w:val="00532F6C"/>
    <w:rsid w:val="005334B2"/>
    <w:rsid w:val="00533766"/>
    <w:rsid w:val="0053494E"/>
    <w:rsid w:val="00534954"/>
    <w:rsid w:val="0053642E"/>
    <w:rsid w:val="00537060"/>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65A4"/>
    <w:rsid w:val="00576A24"/>
    <w:rsid w:val="00576B4D"/>
    <w:rsid w:val="00580A75"/>
    <w:rsid w:val="00582727"/>
    <w:rsid w:val="00583441"/>
    <w:rsid w:val="0058410D"/>
    <w:rsid w:val="005842E1"/>
    <w:rsid w:val="00584359"/>
    <w:rsid w:val="005863B1"/>
    <w:rsid w:val="0058686F"/>
    <w:rsid w:val="00587010"/>
    <w:rsid w:val="0059163E"/>
    <w:rsid w:val="005919DE"/>
    <w:rsid w:val="00592638"/>
    <w:rsid w:val="00592C77"/>
    <w:rsid w:val="00594D75"/>
    <w:rsid w:val="00595490"/>
    <w:rsid w:val="00595A34"/>
    <w:rsid w:val="00595CE1"/>
    <w:rsid w:val="005A04FC"/>
    <w:rsid w:val="005A1ADA"/>
    <w:rsid w:val="005A1EEF"/>
    <w:rsid w:val="005A2565"/>
    <w:rsid w:val="005A2EF8"/>
    <w:rsid w:val="005A34B6"/>
    <w:rsid w:val="005A3524"/>
    <w:rsid w:val="005A51F4"/>
    <w:rsid w:val="005A707C"/>
    <w:rsid w:val="005B0013"/>
    <w:rsid w:val="005B04C0"/>
    <w:rsid w:val="005B0A08"/>
    <w:rsid w:val="005B1238"/>
    <w:rsid w:val="005B173D"/>
    <w:rsid w:val="005B30F3"/>
    <w:rsid w:val="005B5B16"/>
    <w:rsid w:val="005B6B2A"/>
    <w:rsid w:val="005C01FF"/>
    <w:rsid w:val="005C1DBC"/>
    <w:rsid w:val="005C1F05"/>
    <w:rsid w:val="005C2FE7"/>
    <w:rsid w:val="005C3C51"/>
    <w:rsid w:val="005C4401"/>
    <w:rsid w:val="005C493E"/>
    <w:rsid w:val="005C4D06"/>
    <w:rsid w:val="005C4DF4"/>
    <w:rsid w:val="005C54D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387F"/>
    <w:rsid w:val="005E396F"/>
    <w:rsid w:val="005E4BC9"/>
    <w:rsid w:val="005E4C1C"/>
    <w:rsid w:val="005E67DD"/>
    <w:rsid w:val="005E726E"/>
    <w:rsid w:val="005E783E"/>
    <w:rsid w:val="005F216C"/>
    <w:rsid w:val="005F40B5"/>
    <w:rsid w:val="005F45DB"/>
    <w:rsid w:val="005F507B"/>
    <w:rsid w:val="005F5266"/>
    <w:rsid w:val="005F66A0"/>
    <w:rsid w:val="005F69F8"/>
    <w:rsid w:val="005F6A69"/>
    <w:rsid w:val="005F7682"/>
    <w:rsid w:val="006020C0"/>
    <w:rsid w:val="006022F2"/>
    <w:rsid w:val="006029F1"/>
    <w:rsid w:val="00603A63"/>
    <w:rsid w:val="00603C16"/>
    <w:rsid w:val="0060433B"/>
    <w:rsid w:val="00604CE0"/>
    <w:rsid w:val="00604F97"/>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48BE"/>
    <w:rsid w:val="0063124C"/>
    <w:rsid w:val="0063325D"/>
    <w:rsid w:val="006337C9"/>
    <w:rsid w:val="00634E94"/>
    <w:rsid w:val="00634F64"/>
    <w:rsid w:val="00635D33"/>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3DE8"/>
    <w:rsid w:val="006749F3"/>
    <w:rsid w:val="00674FDF"/>
    <w:rsid w:val="00676890"/>
    <w:rsid w:val="00682255"/>
    <w:rsid w:val="00683DAF"/>
    <w:rsid w:val="006843BB"/>
    <w:rsid w:val="00684A7F"/>
    <w:rsid w:val="00684AB5"/>
    <w:rsid w:val="00684DDA"/>
    <w:rsid w:val="00684DEC"/>
    <w:rsid w:val="00684FDD"/>
    <w:rsid w:val="00686CA6"/>
    <w:rsid w:val="006871A0"/>
    <w:rsid w:val="00692C0D"/>
    <w:rsid w:val="0069324B"/>
    <w:rsid w:val="00693F5B"/>
    <w:rsid w:val="00695337"/>
    <w:rsid w:val="00695E6E"/>
    <w:rsid w:val="006966D5"/>
    <w:rsid w:val="00696EFB"/>
    <w:rsid w:val="00697955"/>
    <w:rsid w:val="00697BF0"/>
    <w:rsid w:val="00697D83"/>
    <w:rsid w:val="00697F2A"/>
    <w:rsid w:val="006A01AB"/>
    <w:rsid w:val="006A06D6"/>
    <w:rsid w:val="006A1D97"/>
    <w:rsid w:val="006A2369"/>
    <w:rsid w:val="006A38B2"/>
    <w:rsid w:val="006A5836"/>
    <w:rsid w:val="006A7B5D"/>
    <w:rsid w:val="006B018A"/>
    <w:rsid w:val="006B0E1E"/>
    <w:rsid w:val="006B2564"/>
    <w:rsid w:val="006B25D6"/>
    <w:rsid w:val="006B2DCE"/>
    <w:rsid w:val="006B3017"/>
    <w:rsid w:val="006B43BC"/>
    <w:rsid w:val="006B4D07"/>
    <w:rsid w:val="006B53BB"/>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D26"/>
    <w:rsid w:val="006D3DB2"/>
    <w:rsid w:val="006D43E1"/>
    <w:rsid w:val="006D50C1"/>
    <w:rsid w:val="006D5726"/>
    <w:rsid w:val="006D6CC0"/>
    <w:rsid w:val="006D7072"/>
    <w:rsid w:val="006D7B33"/>
    <w:rsid w:val="006E0361"/>
    <w:rsid w:val="006E1195"/>
    <w:rsid w:val="006E142C"/>
    <w:rsid w:val="006E145A"/>
    <w:rsid w:val="006E15E3"/>
    <w:rsid w:val="006E22EC"/>
    <w:rsid w:val="006E2387"/>
    <w:rsid w:val="006E24AD"/>
    <w:rsid w:val="006E26A0"/>
    <w:rsid w:val="006E510D"/>
    <w:rsid w:val="006E5173"/>
    <w:rsid w:val="006E5200"/>
    <w:rsid w:val="006E672C"/>
    <w:rsid w:val="006E7AC8"/>
    <w:rsid w:val="006E7BC3"/>
    <w:rsid w:val="006E7BFD"/>
    <w:rsid w:val="006F0571"/>
    <w:rsid w:val="006F182E"/>
    <w:rsid w:val="006F3AE3"/>
    <w:rsid w:val="006F5B00"/>
    <w:rsid w:val="006F5D30"/>
    <w:rsid w:val="006F6D8D"/>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C98"/>
    <w:rsid w:val="007122A8"/>
    <w:rsid w:val="00713508"/>
    <w:rsid w:val="00713608"/>
    <w:rsid w:val="007140B5"/>
    <w:rsid w:val="00716027"/>
    <w:rsid w:val="007162FA"/>
    <w:rsid w:val="00716332"/>
    <w:rsid w:val="00717443"/>
    <w:rsid w:val="00717C33"/>
    <w:rsid w:val="00717EB6"/>
    <w:rsid w:val="007211C8"/>
    <w:rsid w:val="0072273E"/>
    <w:rsid w:val="00724D08"/>
    <w:rsid w:val="00725BD7"/>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39BA"/>
    <w:rsid w:val="007F4F2F"/>
    <w:rsid w:val="007F63F2"/>
    <w:rsid w:val="007F6D79"/>
    <w:rsid w:val="007F6FE3"/>
    <w:rsid w:val="00800357"/>
    <w:rsid w:val="00800B28"/>
    <w:rsid w:val="008021A1"/>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C2F"/>
    <w:rsid w:val="00826338"/>
    <w:rsid w:val="00826965"/>
    <w:rsid w:val="00827260"/>
    <w:rsid w:val="00830765"/>
    <w:rsid w:val="00830AA3"/>
    <w:rsid w:val="00831416"/>
    <w:rsid w:val="00833D8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725D"/>
    <w:rsid w:val="00857CC3"/>
    <w:rsid w:val="008608A3"/>
    <w:rsid w:val="008616E7"/>
    <w:rsid w:val="0086177F"/>
    <w:rsid w:val="00861D7A"/>
    <w:rsid w:val="00862470"/>
    <w:rsid w:val="008651E9"/>
    <w:rsid w:val="0086620F"/>
    <w:rsid w:val="00866AF3"/>
    <w:rsid w:val="00866C82"/>
    <w:rsid w:val="008672E6"/>
    <w:rsid w:val="008677E5"/>
    <w:rsid w:val="00867C57"/>
    <w:rsid w:val="00874311"/>
    <w:rsid w:val="00874A6B"/>
    <w:rsid w:val="00874EC5"/>
    <w:rsid w:val="00875741"/>
    <w:rsid w:val="00875C31"/>
    <w:rsid w:val="00876E75"/>
    <w:rsid w:val="008775EA"/>
    <w:rsid w:val="008775F8"/>
    <w:rsid w:val="0087780F"/>
    <w:rsid w:val="00877CD3"/>
    <w:rsid w:val="008811E5"/>
    <w:rsid w:val="0088215D"/>
    <w:rsid w:val="008826D8"/>
    <w:rsid w:val="00882832"/>
    <w:rsid w:val="008832C1"/>
    <w:rsid w:val="00883EE7"/>
    <w:rsid w:val="00885016"/>
    <w:rsid w:val="00885243"/>
    <w:rsid w:val="00885D64"/>
    <w:rsid w:val="008867D4"/>
    <w:rsid w:val="00886823"/>
    <w:rsid w:val="00886BC0"/>
    <w:rsid w:val="0089075D"/>
    <w:rsid w:val="008913B9"/>
    <w:rsid w:val="008917A2"/>
    <w:rsid w:val="008938BD"/>
    <w:rsid w:val="008938D5"/>
    <w:rsid w:val="00894718"/>
    <w:rsid w:val="008964DA"/>
    <w:rsid w:val="0089703E"/>
    <w:rsid w:val="00897ED9"/>
    <w:rsid w:val="008A05B4"/>
    <w:rsid w:val="008A16AF"/>
    <w:rsid w:val="008A1A26"/>
    <w:rsid w:val="008A1D16"/>
    <w:rsid w:val="008A400D"/>
    <w:rsid w:val="008A48EB"/>
    <w:rsid w:val="008A600D"/>
    <w:rsid w:val="008A6118"/>
    <w:rsid w:val="008A7119"/>
    <w:rsid w:val="008B07D3"/>
    <w:rsid w:val="008B131C"/>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7021"/>
    <w:rsid w:val="008E09E2"/>
    <w:rsid w:val="008E1610"/>
    <w:rsid w:val="008E1E4F"/>
    <w:rsid w:val="008E35C2"/>
    <w:rsid w:val="008E511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7B0E"/>
    <w:rsid w:val="00901136"/>
    <w:rsid w:val="0090272A"/>
    <w:rsid w:val="00902823"/>
    <w:rsid w:val="009031A1"/>
    <w:rsid w:val="00904EBC"/>
    <w:rsid w:val="00905482"/>
    <w:rsid w:val="009065F0"/>
    <w:rsid w:val="0090713F"/>
    <w:rsid w:val="00910995"/>
    <w:rsid w:val="00910A4F"/>
    <w:rsid w:val="00912803"/>
    <w:rsid w:val="009137DC"/>
    <w:rsid w:val="0091402A"/>
    <w:rsid w:val="0091434B"/>
    <w:rsid w:val="00915AB5"/>
    <w:rsid w:val="00915D7D"/>
    <w:rsid w:val="00916501"/>
    <w:rsid w:val="00917C96"/>
    <w:rsid w:val="00920F9E"/>
    <w:rsid w:val="00921058"/>
    <w:rsid w:val="00921199"/>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44E"/>
    <w:rsid w:val="0096076D"/>
    <w:rsid w:val="009607F8"/>
    <w:rsid w:val="009613F6"/>
    <w:rsid w:val="009621AF"/>
    <w:rsid w:val="009629AE"/>
    <w:rsid w:val="009629DB"/>
    <w:rsid w:val="00964A83"/>
    <w:rsid w:val="00964B22"/>
    <w:rsid w:val="009667A2"/>
    <w:rsid w:val="00966B28"/>
    <w:rsid w:val="00966F68"/>
    <w:rsid w:val="009676F5"/>
    <w:rsid w:val="00967F78"/>
    <w:rsid w:val="00970F1D"/>
    <w:rsid w:val="0097115D"/>
    <w:rsid w:val="009713DE"/>
    <w:rsid w:val="00971EEE"/>
    <w:rsid w:val="00972FC0"/>
    <w:rsid w:val="00974CC4"/>
    <w:rsid w:val="0097555C"/>
    <w:rsid w:val="00975D71"/>
    <w:rsid w:val="00976A55"/>
    <w:rsid w:val="00980252"/>
    <w:rsid w:val="00980542"/>
    <w:rsid w:val="00980CD5"/>
    <w:rsid w:val="00981CE7"/>
    <w:rsid w:val="00982D21"/>
    <w:rsid w:val="00984915"/>
    <w:rsid w:val="00986F45"/>
    <w:rsid w:val="009872B2"/>
    <w:rsid w:val="0099046C"/>
    <w:rsid w:val="00990A43"/>
    <w:rsid w:val="00990CD5"/>
    <w:rsid w:val="009919E7"/>
    <w:rsid w:val="0099219C"/>
    <w:rsid w:val="00992989"/>
    <w:rsid w:val="009929C8"/>
    <w:rsid w:val="00993241"/>
    <w:rsid w:val="0099535D"/>
    <w:rsid w:val="00997281"/>
    <w:rsid w:val="009A08B6"/>
    <w:rsid w:val="009A17C8"/>
    <w:rsid w:val="009A1E68"/>
    <w:rsid w:val="009A3692"/>
    <w:rsid w:val="009A499C"/>
    <w:rsid w:val="009A5127"/>
    <w:rsid w:val="009A5547"/>
    <w:rsid w:val="009A6296"/>
    <w:rsid w:val="009A688D"/>
    <w:rsid w:val="009A695F"/>
    <w:rsid w:val="009A7259"/>
    <w:rsid w:val="009A7774"/>
    <w:rsid w:val="009A7CAB"/>
    <w:rsid w:val="009B020F"/>
    <w:rsid w:val="009B0584"/>
    <w:rsid w:val="009B58BE"/>
    <w:rsid w:val="009B5C2C"/>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66B5"/>
    <w:rsid w:val="009E048A"/>
    <w:rsid w:val="009E31B8"/>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408D1"/>
    <w:rsid w:val="00A41354"/>
    <w:rsid w:val="00A43002"/>
    <w:rsid w:val="00A433A3"/>
    <w:rsid w:val="00A44BC8"/>
    <w:rsid w:val="00A44DAA"/>
    <w:rsid w:val="00A4523C"/>
    <w:rsid w:val="00A4551E"/>
    <w:rsid w:val="00A45B45"/>
    <w:rsid w:val="00A52898"/>
    <w:rsid w:val="00A532A2"/>
    <w:rsid w:val="00A5428F"/>
    <w:rsid w:val="00A542A3"/>
    <w:rsid w:val="00A54377"/>
    <w:rsid w:val="00A55F87"/>
    <w:rsid w:val="00A5783E"/>
    <w:rsid w:val="00A605D2"/>
    <w:rsid w:val="00A61182"/>
    <w:rsid w:val="00A6185B"/>
    <w:rsid w:val="00A61CB6"/>
    <w:rsid w:val="00A627B6"/>
    <w:rsid w:val="00A64812"/>
    <w:rsid w:val="00A65618"/>
    <w:rsid w:val="00A65B6E"/>
    <w:rsid w:val="00A65F9C"/>
    <w:rsid w:val="00A6651D"/>
    <w:rsid w:val="00A67704"/>
    <w:rsid w:val="00A67F18"/>
    <w:rsid w:val="00A70297"/>
    <w:rsid w:val="00A704A9"/>
    <w:rsid w:val="00A70557"/>
    <w:rsid w:val="00A7098B"/>
    <w:rsid w:val="00A717F0"/>
    <w:rsid w:val="00A71E8F"/>
    <w:rsid w:val="00A72A3E"/>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3A08"/>
    <w:rsid w:val="00A84E18"/>
    <w:rsid w:val="00A8529D"/>
    <w:rsid w:val="00A868FD"/>
    <w:rsid w:val="00A87FD4"/>
    <w:rsid w:val="00A91244"/>
    <w:rsid w:val="00A917EB"/>
    <w:rsid w:val="00A91AF4"/>
    <w:rsid w:val="00A93D13"/>
    <w:rsid w:val="00A93F46"/>
    <w:rsid w:val="00A943DA"/>
    <w:rsid w:val="00A952F3"/>
    <w:rsid w:val="00A95807"/>
    <w:rsid w:val="00A96395"/>
    <w:rsid w:val="00A96693"/>
    <w:rsid w:val="00AA18A2"/>
    <w:rsid w:val="00AA19BE"/>
    <w:rsid w:val="00AA2245"/>
    <w:rsid w:val="00AA3A8A"/>
    <w:rsid w:val="00AA3E62"/>
    <w:rsid w:val="00AA44D2"/>
    <w:rsid w:val="00AA5B6A"/>
    <w:rsid w:val="00AA6057"/>
    <w:rsid w:val="00AA6899"/>
    <w:rsid w:val="00AB1FEE"/>
    <w:rsid w:val="00AB2FF5"/>
    <w:rsid w:val="00AB30EB"/>
    <w:rsid w:val="00AB3924"/>
    <w:rsid w:val="00AB3C6A"/>
    <w:rsid w:val="00AB7282"/>
    <w:rsid w:val="00AB7D44"/>
    <w:rsid w:val="00AC0044"/>
    <w:rsid w:val="00AC0945"/>
    <w:rsid w:val="00AC0B82"/>
    <w:rsid w:val="00AC2159"/>
    <w:rsid w:val="00AC296A"/>
    <w:rsid w:val="00AC4B90"/>
    <w:rsid w:val="00AC651B"/>
    <w:rsid w:val="00AC6658"/>
    <w:rsid w:val="00AD02AE"/>
    <w:rsid w:val="00AD06F8"/>
    <w:rsid w:val="00AD1BEF"/>
    <w:rsid w:val="00AD316A"/>
    <w:rsid w:val="00AD3B15"/>
    <w:rsid w:val="00AD3D96"/>
    <w:rsid w:val="00AD402A"/>
    <w:rsid w:val="00AD460E"/>
    <w:rsid w:val="00AD47F3"/>
    <w:rsid w:val="00AD636B"/>
    <w:rsid w:val="00AD6967"/>
    <w:rsid w:val="00AD7BDF"/>
    <w:rsid w:val="00AD7EB2"/>
    <w:rsid w:val="00AD7EEA"/>
    <w:rsid w:val="00AE4CB0"/>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10AA6"/>
    <w:rsid w:val="00B114BA"/>
    <w:rsid w:val="00B11845"/>
    <w:rsid w:val="00B11C98"/>
    <w:rsid w:val="00B13141"/>
    <w:rsid w:val="00B1389F"/>
    <w:rsid w:val="00B147A6"/>
    <w:rsid w:val="00B161A9"/>
    <w:rsid w:val="00B166FD"/>
    <w:rsid w:val="00B17B5E"/>
    <w:rsid w:val="00B20491"/>
    <w:rsid w:val="00B220B5"/>
    <w:rsid w:val="00B2223C"/>
    <w:rsid w:val="00B226CF"/>
    <w:rsid w:val="00B241FD"/>
    <w:rsid w:val="00B242A3"/>
    <w:rsid w:val="00B24A68"/>
    <w:rsid w:val="00B273A2"/>
    <w:rsid w:val="00B27D3C"/>
    <w:rsid w:val="00B30923"/>
    <w:rsid w:val="00B338A0"/>
    <w:rsid w:val="00B33DF4"/>
    <w:rsid w:val="00B366ED"/>
    <w:rsid w:val="00B3791F"/>
    <w:rsid w:val="00B4029E"/>
    <w:rsid w:val="00B40438"/>
    <w:rsid w:val="00B40C7D"/>
    <w:rsid w:val="00B41E70"/>
    <w:rsid w:val="00B43FC8"/>
    <w:rsid w:val="00B4546D"/>
    <w:rsid w:val="00B456E8"/>
    <w:rsid w:val="00B46C39"/>
    <w:rsid w:val="00B512FC"/>
    <w:rsid w:val="00B51F2E"/>
    <w:rsid w:val="00B52321"/>
    <w:rsid w:val="00B53930"/>
    <w:rsid w:val="00B5434B"/>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E59"/>
    <w:rsid w:val="00B96DDE"/>
    <w:rsid w:val="00B9731A"/>
    <w:rsid w:val="00B97FD0"/>
    <w:rsid w:val="00BA03E2"/>
    <w:rsid w:val="00BA0E6F"/>
    <w:rsid w:val="00BA14BA"/>
    <w:rsid w:val="00BA36FC"/>
    <w:rsid w:val="00BA3FAE"/>
    <w:rsid w:val="00BA4F13"/>
    <w:rsid w:val="00BA5D03"/>
    <w:rsid w:val="00BA5E67"/>
    <w:rsid w:val="00BA76A4"/>
    <w:rsid w:val="00BB1883"/>
    <w:rsid w:val="00BB1BDA"/>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B26"/>
    <w:rsid w:val="00BD0CEA"/>
    <w:rsid w:val="00BD0DBF"/>
    <w:rsid w:val="00BD22B7"/>
    <w:rsid w:val="00BD3AB6"/>
    <w:rsid w:val="00BD5176"/>
    <w:rsid w:val="00BD60FF"/>
    <w:rsid w:val="00BD75B3"/>
    <w:rsid w:val="00BE1894"/>
    <w:rsid w:val="00BE1A5B"/>
    <w:rsid w:val="00BE2F01"/>
    <w:rsid w:val="00BE37EC"/>
    <w:rsid w:val="00BE5DD4"/>
    <w:rsid w:val="00BE6491"/>
    <w:rsid w:val="00BE7A0F"/>
    <w:rsid w:val="00BF0523"/>
    <w:rsid w:val="00BF273A"/>
    <w:rsid w:val="00BF3424"/>
    <w:rsid w:val="00BF44A8"/>
    <w:rsid w:val="00BF59E7"/>
    <w:rsid w:val="00BF5EC6"/>
    <w:rsid w:val="00BF6BDE"/>
    <w:rsid w:val="00BF74B7"/>
    <w:rsid w:val="00BF7D0E"/>
    <w:rsid w:val="00BF7E78"/>
    <w:rsid w:val="00C00500"/>
    <w:rsid w:val="00C02B98"/>
    <w:rsid w:val="00C05376"/>
    <w:rsid w:val="00C05E57"/>
    <w:rsid w:val="00C06FA5"/>
    <w:rsid w:val="00C07BAD"/>
    <w:rsid w:val="00C07CCA"/>
    <w:rsid w:val="00C1036A"/>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C09"/>
    <w:rsid w:val="00C2360C"/>
    <w:rsid w:val="00C24095"/>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48FD"/>
    <w:rsid w:val="00C8049A"/>
    <w:rsid w:val="00C814C7"/>
    <w:rsid w:val="00C82054"/>
    <w:rsid w:val="00C83394"/>
    <w:rsid w:val="00C8455F"/>
    <w:rsid w:val="00C8507B"/>
    <w:rsid w:val="00C861D7"/>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BD6"/>
    <w:rsid w:val="00C96290"/>
    <w:rsid w:val="00C96292"/>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547"/>
    <w:rsid w:val="00CF1599"/>
    <w:rsid w:val="00CF168B"/>
    <w:rsid w:val="00CF1EA8"/>
    <w:rsid w:val="00CF29CF"/>
    <w:rsid w:val="00CF3602"/>
    <w:rsid w:val="00CF37F3"/>
    <w:rsid w:val="00CF562A"/>
    <w:rsid w:val="00CF5D17"/>
    <w:rsid w:val="00D02BCE"/>
    <w:rsid w:val="00D02C19"/>
    <w:rsid w:val="00D039CD"/>
    <w:rsid w:val="00D03F91"/>
    <w:rsid w:val="00D05AF3"/>
    <w:rsid w:val="00D0618A"/>
    <w:rsid w:val="00D06350"/>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2583"/>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4B92"/>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5BB1"/>
    <w:rsid w:val="00D76560"/>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58BA"/>
    <w:rsid w:val="00D95C18"/>
    <w:rsid w:val="00D97177"/>
    <w:rsid w:val="00D971B8"/>
    <w:rsid w:val="00D97ECD"/>
    <w:rsid w:val="00DA06EB"/>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7351"/>
    <w:rsid w:val="00DF00BD"/>
    <w:rsid w:val="00DF01C2"/>
    <w:rsid w:val="00DF0C4E"/>
    <w:rsid w:val="00DF1D05"/>
    <w:rsid w:val="00DF2151"/>
    <w:rsid w:val="00DF300B"/>
    <w:rsid w:val="00DF3023"/>
    <w:rsid w:val="00DF5EA3"/>
    <w:rsid w:val="00DF6078"/>
    <w:rsid w:val="00DF6300"/>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4628"/>
    <w:rsid w:val="00E555B7"/>
    <w:rsid w:val="00E555E2"/>
    <w:rsid w:val="00E5560C"/>
    <w:rsid w:val="00E56368"/>
    <w:rsid w:val="00E60068"/>
    <w:rsid w:val="00E6011C"/>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5AA4"/>
    <w:rsid w:val="00F05DE3"/>
    <w:rsid w:val="00F06512"/>
    <w:rsid w:val="00F07935"/>
    <w:rsid w:val="00F10108"/>
    <w:rsid w:val="00F14B47"/>
    <w:rsid w:val="00F154E9"/>
    <w:rsid w:val="00F165C5"/>
    <w:rsid w:val="00F17D24"/>
    <w:rsid w:val="00F23814"/>
    <w:rsid w:val="00F23AC8"/>
    <w:rsid w:val="00F2598E"/>
    <w:rsid w:val="00F26372"/>
    <w:rsid w:val="00F26462"/>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44E4"/>
    <w:rsid w:val="00F548BB"/>
    <w:rsid w:val="00F54FCD"/>
    <w:rsid w:val="00F559EF"/>
    <w:rsid w:val="00F561B7"/>
    <w:rsid w:val="00F565E1"/>
    <w:rsid w:val="00F56AE7"/>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346C"/>
    <w:rsid w:val="00FD3B47"/>
    <w:rsid w:val="00FD3FF5"/>
    <w:rsid w:val="00FD50AD"/>
    <w:rsid w:val="00FD57B4"/>
    <w:rsid w:val="00FD5A2F"/>
    <w:rsid w:val="00FE0482"/>
    <w:rsid w:val="00FE0E4B"/>
    <w:rsid w:val="00FE1325"/>
    <w:rsid w:val="00FE1986"/>
    <w:rsid w:val="00FE20A0"/>
    <w:rsid w:val="00FE25A3"/>
    <w:rsid w:val="00FE278F"/>
    <w:rsid w:val="00FE2879"/>
    <w:rsid w:val="00FE378D"/>
    <w:rsid w:val="00FE37FA"/>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FCE69"/>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802DC-6A50-46E5-8741-EEB86951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10</Pages>
  <Words>3978</Words>
  <Characters>21859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25786</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Aline Gomes de Almeida Gastardelo</cp:lastModifiedBy>
  <cp:revision>89</cp:revision>
  <cp:lastPrinted>2015-01-09T11:18:00Z</cp:lastPrinted>
  <dcterms:created xsi:type="dcterms:W3CDTF">2017-11-07T15:52:00Z</dcterms:created>
  <dcterms:modified xsi:type="dcterms:W3CDTF">2017-12-07T11:45:00Z</dcterms:modified>
</cp:coreProperties>
</file>