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MINISTÉRIO DA AGRICULTURA, PECUÁRIA E ABASTECIMENTO</w:t>
      </w:r>
    </w:p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Secretaria de Relações Internacionais do Agronegócio</w:t>
      </w:r>
    </w:p>
    <w:p w:rsidR="00C87B02" w:rsidRPr="003C54E1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proofErr w:type="gramStart"/>
      <w:r w:rsidR="00171A0D">
        <w:rPr>
          <w:rFonts w:ascii="Arial" w:hAnsi="Arial" w:cs="Arial"/>
          <w:sz w:val="20"/>
          <w:szCs w:val="20"/>
        </w:rPr>
        <w:t>Agosto</w:t>
      </w:r>
      <w:proofErr w:type="gramEnd"/>
      <w:r w:rsidR="004215B4">
        <w:rPr>
          <w:rFonts w:ascii="Arial" w:hAnsi="Arial" w:cs="Arial"/>
          <w:sz w:val="20"/>
          <w:szCs w:val="20"/>
        </w:rPr>
        <w:t>/2017</w:t>
      </w:r>
    </w:p>
    <w:p w:rsidR="008035E6" w:rsidRDefault="008035E6" w:rsidP="008035E6"/>
    <w:p w:rsidR="008035E6" w:rsidRDefault="00171A0D" w:rsidP="008035E6">
      <w:r w:rsidRPr="00171A0D">
        <w:rPr>
          <w:noProof/>
        </w:rPr>
        <w:drawing>
          <wp:inline distT="0" distB="0" distL="0" distR="0" wp14:anchorId="27DA95F1" wp14:editId="7741155B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02" w:rsidRPr="003C54E1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04FAF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 w:rsidR="001D51EE"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 w:rsidR="004215B4">
        <w:rPr>
          <w:rFonts w:ascii="Arial" w:hAnsi="Arial" w:cs="Arial"/>
          <w:sz w:val="20"/>
          <w:szCs w:val="20"/>
        </w:rPr>
        <w:t xml:space="preserve"> (comparativo </w:t>
      </w:r>
      <w:r w:rsidR="00171A0D">
        <w:rPr>
          <w:rFonts w:ascii="Arial" w:hAnsi="Arial" w:cs="Arial"/>
          <w:sz w:val="20"/>
          <w:szCs w:val="20"/>
        </w:rPr>
        <w:t>Agosto</w:t>
      </w:r>
      <w:r w:rsidR="004215B4">
        <w:rPr>
          <w:rFonts w:ascii="Arial" w:hAnsi="Arial" w:cs="Arial"/>
          <w:sz w:val="20"/>
          <w:szCs w:val="20"/>
        </w:rPr>
        <w:t>/2017</w:t>
      </w:r>
      <w:r w:rsidR="00D50BB5">
        <w:rPr>
          <w:rFonts w:ascii="Arial" w:hAnsi="Arial" w:cs="Arial"/>
          <w:sz w:val="20"/>
          <w:szCs w:val="20"/>
        </w:rPr>
        <w:t xml:space="preserve"> – </w:t>
      </w:r>
      <w:proofErr w:type="gramStart"/>
      <w:r w:rsidR="00171A0D">
        <w:rPr>
          <w:rFonts w:ascii="Arial" w:hAnsi="Arial" w:cs="Arial"/>
          <w:sz w:val="20"/>
          <w:szCs w:val="20"/>
        </w:rPr>
        <w:t>Agosto</w:t>
      </w:r>
      <w:proofErr w:type="gramEnd"/>
      <w:r w:rsidR="00171A0D">
        <w:rPr>
          <w:rFonts w:ascii="Arial" w:hAnsi="Arial" w:cs="Arial"/>
          <w:sz w:val="20"/>
          <w:szCs w:val="20"/>
        </w:rPr>
        <w:t>/</w:t>
      </w:r>
      <w:r w:rsidR="004215B4">
        <w:rPr>
          <w:rFonts w:ascii="Arial" w:hAnsi="Arial" w:cs="Arial"/>
          <w:sz w:val="20"/>
          <w:szCs w:val="20"/>
        </w:rPr>
        <w:t>2016</w:t>
      </w:r>
      <w:r w:rsidR="001D51EE">
        <w:rPr>
          <w:rFonts w:ascii="Arial" w:hAnsi="Arial" w:cs="Arial"/>
          <w:sz w:val="20"/>
          <w:szCs w:val="20"/>
        </w:rPr>
        <w:t>)</w:t>
      </w:r>
    </w:p>
    <w:p w:rsidR="00A16A28" w:rsidRDefault="00A16A28" w:rsidP="00A16A28"/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>Em agosto de 2017, as exportações do agronegócio brasileiro alcançaram o montante de US$ 9,04 bilhões, o que significou crescimento de 18,5% em comparação aos US$ 7,63 bilhões exportados em agosto de 2016. Com esse valor, o agronegócio representou 46,4% do total das vendas externas brasileiras no mês. As importações do agronegócio totalizaram US$ 1,19 bilhão em agosto, com retração de 3,9% em relação ao mesmo período do ano anterior. Como resultado, o saldo da balança comercial do agronegócio no mês de agosto de 2017 foi de US$ 7,85 bilhões (+22,8%).</w:t>
      </w:r>
    </w:p>
    <w:p w:rsidR="005F69F8" w:rsidRDefault="005F69F8" w:rsidP="005F69F8"/>
    <w:p w:rsidR="005F69F8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5F69F8" w:rsidRDefault="005F69F8" w:rsidP="005F69F8"/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>Os cinco principais setores do agronegócio no período foram: complexo soja, com participação de 30,7% das exportações; carnes, com 16,6%; complexo sucroalcooleiro, com 12,6%; produtos florestais, com 11,2%; e cereais, farinhas e preparações, com participação de 9,6%.  Em conjunto, as vendas externas dos cinco setores mencionados apresentaram participação de 80,8% do total exportado pelo agronegócio brasileiro em agosto de 2017.</w:t>
      </w:r>
    </w:p>
    <w:p w:rsidR="004731CC" w:rsidRPr="001C664D" w:rsidRDefault="004731CC" w:rsidP="004731CC">
      <w:pPr>
        <w:pStyle w:val="Recuodecorpodetexto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>As exportações do complexo soja cresceram 27,9% em relação a agosto de 2016, com a cifra de US$ 2,78 bilhões. A maior parcela desse valor foi gerada pelas exportações de soja em grãos, que alcançaram quantidade recorde para o mês de agosto com 5,95 milhões de toneladas (+55,9%), o que resultou em uma cifra de US$ 2,23 bilhões (+40,5%). Apesar disso, o preço médio do produto caiu 9,9% no período, passando de US$ 417 para US$ 376 por tonelada. O farelo de soja foi o segundo principal produto negociado pelo setor, com receita de US$ 426,05 milhões (-7,8%) para 1,23 milhão de toneladas embarcadas (+12,2%) e preço médio no período de US$ 347 por tonelada (-17,8%). Já as vendas externas de óleo de soja totalizaram US$ 115,18 milhões (-2,3%), com alta no preço médio do produto (+8,3%) e queda na quantidade comercializada (-9,7%), com 154,50 mil toneladas.</w:t>
      </w:r>
    </w:p>
    <w:p w:rsidR="004731CC" w:rsidRPr="001C664D" w:rsidRDefault="004731CC" w:rsidP="004731CC">
      <w:pPr>
        <w:pStyle w:val="Recuodecorpodetexto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 xml:space="preserve">As exportações de carnes totalizaram US$ 1,50 bilhão em agosto, um incremento de 20,0% ante o US$ 1,25 bilhão verificado no mesmo mês do ano anterior. Houve expansão de 16,5% no </w:t>
      </w:r>
      <w:r w:rsidR="0004621E">
        <w:rPr>
          <w:rFonts w:ascii="Arial" w:hAnsi="Arial" w:cs="Arial"/>
          <w:i/>
          <w:sz w:val="20"/>
          <w:szCs w:val="20"/>
        </w:rPr>
        <w:t>quantum</w:t>
      </w:r>
      <w:bookmarkStart w:id="0" w:name="_GoBack"/>
      <w:bookmarkEnd w:id="0"/>
      <w:r w:rsidRPr="001C664D">
        <w:rPr>
          <w:rFonts w:ascii="Arial" w:hAnsi="Arial" w:cs="Arial"/>
          <w:sz w:val="20"/>
          <w:szCs w:val="20"/>
        </w:rPr>
        <w:t xml:space="preserve"> comercializado, com 650,50 mil toneladas, e elevação do preço médio dos produtos do setor à taxa de 3,0%. O principal item negociado no mês foi a carne de frango, com US$ 678,70 milhões (+12,6%). Com a comercialização de 407,57 mil toneladas no mês, houve variação positiva de 14,1% em relação a agosto de 2016. Não obstante, o preço médio da carne de frango brasileira negociada no mercado internacional passou de US$ 1.668 por tonelada para US$ 1.665 por tonelada (-1,3%). Destaque-se ainda que as vendas de carne de frango </w:t>
      </w:r>
      <w:r w:rsidRPr="00F73C63">
        <w:rPr>
          <w:rFonts w:ascii="Arial" w:hAnsi="Arial" w:cs="Arial"/>
          <w:i/>
          <w:sz w:val="20"/>
          <w:szCs w:val="20"/>
        </w:rPr>
        <w:t>in natura</w:t>
      </w:r>
      <w:r w:rsidRPr="001C664D">
        <w:rPr>
          <w:rFonts w:ascii="Arial" w:hAnsi="Arial" w:cs="Arial"/>
          <w:sz w:val="20"/>
          <w:szCs w:val="20"/>
        </w:rPr>
        <w:t xml:space="preserve"> atingiram recordes em valor e quantidade para o mês de agosto (US$ 619,63 milhões e 382,72 mil toneladas). Já as exportações de carne bovina cresceram 35,1% em valor, totalizando US$ 606,56 milhões. Em quantidade, houve incremento de 34,4%, sendo embarcadas 145,73 mil toneladas. Já o preço médio subiu 0,5%, atingindo a cotação de US$ 4.162 por tonelada. As exportações de carne suína </w:t>
      </w:r>
      <w:r w:rsidRPr="00F73C63">
        <w:rPr>
          <w:rFonts w:ascii="Arial" w:hAnsi="Arial" w:cs="Arial"/>
          <w:i/>
          <w:sz w:val="20"/>
          <w:szCs w:val="20"/>
        </w:rPr>
        <w:t>in natura</w:t>
      </w:r>
      <w:r w:rsidRPr="001C664D">
        <w:rPr>
          <w:rFonts w:ascii="Arial" w:hAnsi="Arial" w:cs="Arial"/>
          <w:sz w:val="20"/>
          <w:szCs w:val="20"/>
        </w:rPr>
        <w:t xml:space="preserve"> alcançaram a cifra recorde para o mês de agosto de US$ 143,08 milhões (+12,7%), com </w:t>
      </w:r>
      <w:r w:rsidRPr="001C664D">
        <w:rPr>
          <w:rFonts w:ascii="Arial" w:hAnsi="Arial" w:cs="Arial"/>
          <w:sz w:val="20"/>
          <w:szCs w:val="20"/>
        </w:rPr>
        <w:lastRenderedPageBreak/>
        <w:t xml:space="preserve">aumento de 2,4% no </w:t>
      </w:r>
      <w:r w:rsidRPr="00F73C63">
        <w:rPr>
          <w:rFonts w:ascii="Arial" w:hAnsi="Arial" w:cs="Arial"/>
          <w:i/>
          <w:sz w:val="20"/>
          <w:szCs w:val="20"/>
        </w:rPr>
        <w:t>quantum</w:t>
      </w:r>
      <w:r w:rsidRPr="001C664D">
        <w:rPr>
          <w:rFonts w:ascii="Arial" w:hAnsi="Arial" w:cs="Arial"/>
          <w:sz w:val="20"/>
          <w:szCs w:val="20"/>
        </w:rPr>
        <w:t xml:space="preserve"> comercializado e elevação de 10,1% na cotação do produto brasileiro no período. Por fim, as exportações de carne de peru alcançaram o valor de US$ 23,93 milhões (-23,2%) com o embarque de 9,66 mil toneladas (-17,6%).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>A seguir, destacaram-se as vendas externas do complexo sucroalcooleiro, que atingiram o montante de US$ 1,14 bilhão, o que representou diminuição de 6,5% quando comparado com o valor exportado em agosto de 2016 (US$ 1,22 bilhão). As vendas de açúcar foram o destaque do setor, com o total de US$ 1,05 bilhão (-7,2%) e 2,77 milhões de toneladas negociadas (-6,7%). O álcool etílico obteve US$ 90,07 milhões de receita de exportação (+2,3%), com incremento de 4,9% na quantidade comercializada (141,47 mil toneladas) e retração do preço médio do produto, que atingiu a cotação de US$ 637</w:t>
      </w:r>
      <w:r w:rsidR="00F73C63">
        <w:rPr>
          <w:rFonts w:ascii="Arial" w:hAnsi="Arial" w:cs="Arial"/>
          <w:sz w:val="20"/>
          <w:szCs w:val="20"/>
        </w:rPr>
        <w:t xml:space="preserve"> </w:t>
      </w:r>
      <w:r w:rsidRPr="001C664D">
        <w:rPr>
          <w:rFonts w:ascii="Arial" w:hAnsi="Arial" w:cs="Arial"/>
          <w:sz w:val="20"/>
          <w:szCs w:val="20"/>
        </w:rPr>
        <w:t xml:space="preserve">por tonelada (-2,5%). 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 xml:space="preserve">Em quarto lugar no </w:t>
      </w:r>
      <w:r w:rsidRPr="00F73C63">
        <w:rPr>
          <w:rFonts w:ascii="Arial" w:hAnsi="Arial" w:cs="Arial"/>
          <w:i/>
          <w:sz w:val="20"/>
          <w:szCs w:val="20"/>
        </w:rPr>
        <w:t>ranking</w:t>
      </w:r>
      <w:r w:rsidRPr="001C664D">
        <w:rPr>
          <w:rFonts w:ascii="Arial" w:hAnsi="Arial" w:cs="Arial"/>
          <w:sz w:val="20"/>
          <w:szCs w:val="20"/>
        </w:rPr>
        <w:t xml:space="preserve"> dos setores do agronegócio que mais exportaram em valor, os produtos florestais registraram a soma de US$ 1,02 bilhão, com crescimento de 18,9% em relação aos US$ 854,36 milhões obtidos em agosto do ano anterior. O principal produto negociado foi a celulose, com o valor e a quantidade recordes para o mês de agosto de US$ 569,40 milhões (+31,1%) e 1,18 milhão de toneladas (+8,8%). Em seguida destacaram-se as exportações de madeiras e suas obras, que cresceram 8,2% em valor (US$ 283,38 milhões) e decresceram 9,9% em volume (496,10 mil toneladas). As vendas externas de papel totalizaram US$ 162,20 milhões no mês (+2,5%), com a comercialização de 177,73 mil toneladas (-1,5%). 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 xml:space="preserve">Completando os cinco principais setores do agronegócio em agosto de 2017, o setor de cereais, farinhas e preparações obteve receita de exportação de US$ 869,71 milhões no mês, o que significou expansão de 86,6% em comparação a agosto de 2016, quando atingiu-se a soma de US$ 466,05 milhões. Em quantidade, houve aumento de 105,0%, enquanto a cotação média das exportações brasileiras dos produtos do setor sofreu queda de 9,0%. As vendas de milho representaram 94,0% do total comercializado pelo setor e atingiram o patamar recorde para o mês de agosto de US$ 817,55 milhões (+89,3%), enquanto a quantidade também, recorde do cereal cresceu 105,0% (5,26 milhões de toneladas) em relação a igual período do ano anterior. 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>No que se refere às importações do agronegócio, como já mencionado, atingiu-se a soma de US$ 1,19 bilhão. Os principais produtos adquiridos no mês foram: trigo (US$ 130,31 milhões e +14,8%); papel (US$ 83,73 milhões e +22,6%); álcool etílico (US$ 64,27 milhões e +70,2%); vestuário e outros produtos têxteis de algodão (US$ 51,42 milhões e +41,5%); vinho (US$ 42,45 milhões e +33,1%); salmões vivos (US$ 39,87 milhões e -13,1%); borracha natural (US$ 35,71 milhões e +24,5%); malte (US$ 32,35 milhões e +62,5%); arroz (US$ 31,97 milhões e -27,1%); batatas preparadas (US$ 31,65 milhões e +36,3%); azeite de oliva (US$ 27,26 milhões e +6,3%); e leite em pó (US$ 24,36 milhões e -43,2%).</w:t>
      </w:r>
    </w:p>
    <w:p w:rsidR="00AE6DA6" w:rsidRPr="001C664D" w:rsidRDefault="00AE6DA6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850D44" w:rsidRDefault="00850D44" w:rsidP="005F69F8"/>
    <w:p w:rsidR="004731CC" w:rsidRDefault="004731CC" w:rsidP="005F69F8">
      <w:r w:rsidRPr="004731CC">
        <w:rPr>
          <w:noProof/>
        </w:rPr>
        <w:drawing>
          <wp:inline distT="0" distB="0" distL="0" distR="0" wp14:anchorId="125DF69D" wp14:editId="7FAFBA92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 xml:space="preserve"> </w:t>
      </w:r>
    </w:p>
    <w:p w:rsidR="00AE6DA6" w:rsidRDefault="00AE6DA6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C46E79" w:rsidRDefault="00C46E79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 xml:space="preserve">Em relação às exportações do agronegócio por blocos econômicos e regiões geográficas em maio, a Ásia foi o principal destino dos produtos brasileiros, com a soma de US$ 4,16 bilhões. O crescimento de 35,4% em relação a agosto de 2016 foi causado pela expansão das vendas de soja em grãos (+US$ 843,30 milhões), milho (+US$ 147,72 milhões) e carne bovina (+US$ 104,33 milhões). Com isso, a participação asiática nas vendas externas de produtos agropecuários brasileiros subiu de 40,3% para 46,0%. 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 xml:space="preserve">Já o segundo principal destino das exportações brasileiras, a União Europeia, perdeu participação no período em destaque, caindo de 19,0% para 16,8%, em virtude do crescimento das vendas abaixo da média do período (+4,3%, atingindo US$ 1,52 bilhão). Os principais produtos exportados para a UE em agosto de 2017 foram: café verde (US$ 211,90 milhões); farelo de soja (US$ 205,53 milhões); celulose (US$ 199,07 milhões); milho (US$ 172,81 milhões); suco de laranja (US$ 125,97 milhões); e fumo não manufaturado (US$ 118,69 milhões). 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 xml:space="preserve">Além dos dois principais destinos, destaca-se na Tabela 2 o aumento de 54,2% nas vendas para a África (US$ 857,25 milhões), o de 38,5% para os demais países da América (US$ 31,36 milhões) e o incremento de 16,1% das exportações para os países da Aladi (US$ 330,0 milhões). </w:t>
      </w:r>
    </w:p>
    <w:p w:rsidR="004731CC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B2FF5" w:rsidRDefault="00AB2FF5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4731CC" w:rsidRPr="00515548" w:rsidRDefault="004731CC" w:rsidP="004731CC">
      <w:pPr>
        <w:jc w:val="both"/>
        <w:rPr>
          <w:rFonts w:ascii="Arial" w:hAnsi="Arial" w:cs="Arial"/>
          <w:sz w:val="20"/>
          <w:szCs w:val="20"/>
        </w:rPr>
      </w:pPr>
      <w:r w:rsidRPr="004731CC">
        <w:rPr>
          <w:noProof/>
        </w:rPr>
        <w:drawing>
          <wp:inline distT="0" distB="0" distL="0" distR="0" wp14:anchorId="77CF36BA" wp14:editId="744A6492">
            <wp:extent cx="6480175" cy="234823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1EE" w:rsidRDefault="001D51EE" w:rsidP="00E207EB">
      <w:pPr>
        <w:jc w:val="both"/>
        <w:rPr>
          <w:rFonts w:ascii="Arial" w:hAnsi="Arial" w:cs="Arial"/>
          <w:sz w:val="20"/>
          <w:szCs w:val="20"/>
        </w:rPr>
      </w:pPr>
    </w:p>
    <w:p w:rsidR="00E207EB" w:rsidRDefault="00E207EB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B2FF5" w:rsidRDefault="00AB2FF5" w:rsidP="00AB2FF5"/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 xml:space="preserve">No que tange aos países parceiros do agronegócio brasileiro, a China permanece como o principal destino das exportações nacionais, com a cifra de US$ 2,31 bilhões. Em relação a agosto de 2016, verificou-se expansão de 50,8% no valor exportado e crescimento da participação chinesa de 20,1% para 25,6%. O principal produto negociado com esse parceiro asiático foi a soja em grãos, com US$ 1,82 bilhão, o que representou 78,8% de todas as exportações do agronegócio brasileiro para a China em agosto. Em relação à quantidade, no mês foram embarcadas mais de 4,8 milhões de toneladas do grão para o parceiro asiático. Além disso, a China foi o principal destino da celulose brasileira no período, atingindo a cifra de US$ 183,87 milhões e 369,13 mil toneladas comercializadas. 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>O segundo principal destino das exportações do agronegócio de agosto foram os Estados Unidos, com US$ 615,53 milhões, o que representou decréscimo de 1,1% em comparação aos US$ 622,54 milhões do mesmo mês de 2016. Vale destacar, que essa queda foi causada principalmente pela diminuição dos embarques de café verde (-US$ 22,40 milhões), fumo não manufaturado (-US$ 17,87 milhões), e carne bovina industrializada (-US$ 10,22 milhões). Dessa forma, a participação desse parceiro comercial caiu de 8,2% para 6,8%.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>As exportações para os Países Baixos, terceiro principal comprador de agosto de 2017, caíram de US$ 437,75 milhões para US$ 404,46 milhões (-7,6%), em grande parte pela diminuição do comércio de soja em grãos (-US$ 52,99 milhões), de farelo de soja (-US$ 28,01 milhões) e de carne de peru industrializada (-US$ 6,64 milhões). Com essa retração, a participação dos Países Baixos nas exportações do agronegócio brasileiro passou de 5,7 para 4,5%.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4446F3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C664D">
        <w:rPr>
          <w:rFonts w:ascii="Arial" w:hAnsi="Arial" w:cs="Arial"/>
          <w:sz w:val="20"/>
          <w:szCs w:val="20"/>
        </w:rPr>
        <w:t xml:space="preserve">Em relação ao dinamismo das exportações, os principais destaques do mês de agosto, conforme evidenciado na Tabela 3, foram: Egito (US$ 350,65 milhões e +89,4%); Japão (US$ 276,15 milhões e +66,6%); Coreia do Sul (US$ 232,96 milhões e +56,3%); Taiwan (US$ 153,34 milhões e +51,2%); Espanha (US$ 169,24 milhões e +48,5%); </w:t>
      </w:r>
      <w:r w:rsidRPr="001C664D">
        <w:rPr>
          <w:rFonts w:ascii="Arial" w:hAnsi="Arial" w:cs="Arial"/>
          <w:sz w:val="20"/>
          <w:szCs w:val="20"/>
        </w:rPr>
        <w:lastRenderedPageBreak/>
        <w:t>Indonésia (US$ 166,36 milhões e +36,6%); Emirados Árabes Unidos (US$ 192,05 milhões +36,5%); e Bélgica (US$ 183,84 milhões e +30,1%).</w:t>
      </w:r>
    </w:p>
    <w:p w:rsidR="004731CC" w:rsidRDefault="004731CC" w:rsidP="00AB2FF5"/>
    <w:p w:rsidR="004731CC" w:rsidRDefault="004731CC" w:rsidP="00AB2FF5"/>
    <w:p w:rsidR="004731CC" w:rsidRDefault="004731CC" w:rsidP="00AB2FF5">
      <w:r w:rsidRPr="004731CC">
        <w:rPr>
          <w:noProof/>
        </w:rPr>
        <w:drawing>
          <wp:inline distT="0" distB="0" distL="0" distR="0" wp14:anchorId="06F78BA0" wp14:editId="56F08890">
            <wp:extent cx="6480175" cy="3879215"/>
            <wp:effectExtent l="0" t="0" r="0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1CC" w:rsidRDefault="004731CC" w:rsidP="00AB2FF5"/>
    <w:p w:rsidR="004731CC" w:rsidRDefault="004731CC" w:rsidP="00AB2FF5"/>
    <w:p w:rsidR="00917C96" w:rsidRDefault="00917C96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 Resultados do Ano (</w:t>
      </w:r>
      <w:r w:rsidRPr="003E4A98">
        <w:rPr>
          <w:rFonts w:ascii="Arial" w:hAnsi="Arial" w:cs="Arial"/>
          <w:b/>
          <w:sz w:val="20"/>
          <w:szCs w:val="20"/>
        </w:rPr>
        <w:t>comparativo Janeiro-</w:t>
      </w:r>
      <w:r>
        <w:rPr>
          <w:rFonts w:ascii="Arial" w:hAnsi="Arial" w:cs="Arial"/>
          <w:b/>
          <w:sz w:val="20"/>
          <w:szCs w:val="20"/>
        </w:rPr>
        <w:t>Agosto</w:t>
      </w:r>
      <w:r w:rsidRPr="003E4A98">
        <w:rPr>
          <w:rFonts w:ascii="Arial" w:hAnsi="Arial" w:cs="Arial"/>
          <w:b/>
          <w:sz w:val="20"/>
          <w:szCs w:val="20"/>
        </w:rPr>
        <w:t>/201</w:t>
      </w:r>
      <w:r>
        <w:rPr>
          <w:rFonts w:ascii="Arial" w:hAnsi="Arial" w:cs="Arial"/>
          <w:b/>
          <w:sz w:val="20"/>
          <w:szCs w:val="20"/>
        </w:rPr>
        <w:t>7</w:t>
      </w:r>
      <w:r w:rsidRPr="003E4A98">
        <w:rPr>
          <w:rFonts w:ascii="Arial" w:hAnsi="Arial" w:cs="Arial"/>
          <w:b/>
          <w:sz w:val="20"/>
          <w:szCs w:val="20"/>
        </w:rPr>
        <w:t xml:space="preserve"> – </w:t>
      </w:r>
      <w:proofErr w:type="gramStart"/>
      <w:r w:rsidRPr="003E4A98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3E4A9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Agosto/2016)</w:t>
      </w: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>As exportações do agronegócio subiram de US$ 60,44 bilhões entre janeiro e agosto de 2016 para US$ 65,43 bilhões entre janeiro e agosto de 2017, uma expansão de 8,3% entre os períodos. As importações também apresentaram elevação, passando de US$ 8,48 bilhões entre janeiro e agosto de 2016 para US$ 9,54 bilhões entre janeiro e agosto de 2017 (+12,5%). O resultado da expansão tanto das exportações como das importações foi uma elevação do saldo da balança comercial do agronegócio, que passou de US$ 51,96 bilhões para US$ 55,89 bilhões no período em análise. Mesmo com a elevação nas exportações, a participação das exportações do agronegócio caiu de 48,9% para 44,8% das exportações totais no período, em função de um incremento mais forte das exportações dos demais produtos (+27,5%).</w:t>
      </w: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AE6DA6" w:rsidRDefault="00AE6DA6" w:rsidP="00AE6DA6"/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>Os cinco principais setores exportadores do agronegócio foram: complexo soja (participação de 39,4%; +2,3 pontos percentuais), carnes (participação de 15,5%; -0,1 pontos percentuais), complexo sucroalcooleiro (participação de 12,4%; +1,1 pontos percentuais), produtos florestais (participação de 11,3%; +0,2 pontos percentuais) e café (participação de 5,2%; -0,1 pontos percentuais). Estes cinco setores mencionados foram responsáveis por 80,4% das exportações entre janeiro e agosto 2016, porcentagem que aumentou para 83,8% entre janeiro e agosto de 2017. Ou seja, houve uma concentração da pauta exportadora brasileira no período. O complexo soja e o complexo sucroalcooleiro foram os principais setores responsáveis pelo incremento de participação dos cinco principais setores na pauta. Todos os outros vinte setores participaram com 16,2% das exportações totais entre janeiro e agosto de 2017, uma queda de 3,4 pontos percentuais em relação ao mesmo período de 2016.</w:t>
      </w: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 xml:space="preserve">As exportações de produtos do complexo soja chegaram a US$ 25,79 bilhões entre janeiro e agosto de 2017, um valor que só foi menor em relação ao recorde obtido em 2014 (US$ 27,25 bilhões), ano em que os preços internacionais dos produtos do complexo soja eram maiores. A soja em grão foi o principal produto de exportação do setor, com vendas externas de US$ 21,44 bilhões e volume embarcado de 56,9 milhões de toneladas. Ambas as cifras mencionadas, tanto o valor exportado quanto o volume embarcado, foram recorde para o período analisado. Por sua vez, as exportações de farelo de soja caíram de US$ 3,87 bilhões entre janeiro e agosto de 2016 para US$ 3,55 bilhões entre janeiro e agosto de 2017 (-8,4%). As vendas externas de óleo de soja, por outro lado, subiram de </w:t>
      </w:r>
      <w:r w:rsidRPr="00AE6DA6">
        <w:rPr>
          <w:rFonts w:ascii="Arial" w:hAnsi="Arial" w:cs="Arial"/>
          <w:sz w:val="20"/>
          <w:szCs w:val="20"/>
        </w:rPr>
        <w:lastRenderedPageBreak/>
        <w:t>US$ 660,15 milhões entre janeiro e agosto de 2016 para US$ 800,79 milhões entre janeiro e agosto de 2017 (+21,3%).</w:t>
      </w: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 xml:space="preserve">O segundo principal setor exportador do agronegócio foi o de carnes, que teve incremento de vendas externas de 7,8%, com o aumento das exportações de US$ 9,41 bilhões entre janeiro e agosto de 2016 para US$ 10,14 bilhões entre janeiro e agosto de 2017. No geral, as carnes não apresentaram elevação no volume exportado (-1,7%), mas, em função da elevação dos preços médios de exportação (+9,6%), houve incremento no valor exportado pelo setor (+7,8%). </w:t>
      </w: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>A carne de frango foi a principal carne exportada no período. Foram US$ 4,82 bilhões em vendas externas entre janeiro e agosto, cifra que foi 6,1% maior que os US$ 4,54 bilhões exportados entre janeiro e agosto de 2016. Esse valor significou 47,5% do valor total exportado de carnes pelo Brasil. As vendas externas de carne bovina foram de US$ 3,77 bilhões (+5,3%), com volume exportado praticamente constante, mas aumento de 5,3% no preço médio de exportação. As vendas de carne suína também tiveram o mesmo comportamento, registrando US$ 1,10 bilhão em exportações (+24,2%), com elevação de 26,8% no preço médio de exportação, mas queda de 2,1% na quantidade exportada.</w:t>
      </w: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>Dentre os cinco principais setores exportadores do agronegócio, o setor sucroalcooleiro foi o que apresentou a maior elevação no valor exportado, que passou de US$ 6,84 bilhões entre janeiro e agosto de 2016 para US$ 8,14 bilhões entre janeiro e agosto de 2017 (+19,0%). À semelhança com o setor de carne, o resultado positivo foi obtido em função da elevação do preço médio de exportação dos produtos do setor, que subiram 22,8%, uma vez que o volume médio de exportações caiu 3,1%. O açúcar é o principal produto do setor, com vendas externas de US$ 7,60 bilhões (+24,2%), o que significou 93,4% do valor exportado pelo setor. O outro produto do setor foi o álcool, com exportações de US$ 528,80 milhões (-25,9%).</w:t>
      </w: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 xml:space="preserve">Os produtos florestais, quarto principal setor em exportações, bateram recorde tanto no valor exportado, que foi de US$ 7,38 bilhões (+10,0%), quanto no volume de vendas, que atingiu 14,74 milhões de toneladas (+4,5%). O principal produto do setor foi a celulose, que foi responsável por US$ 4,08 bilhões em exportações (+12,3%), recorde para o período de análise. Além do recorde em valor, a quantidade exportada também atingiu volume recorde para o período de janeiro a agosto. Foram 9,34 milhões de toneladas exportadas de celulose (+5,0%). Também foram exportados no setor: madeira e suas obras (US$ 2,05 bilhões; +12,6%) e papel (US$ 1,25 bilhão; 0%). </w:t>
      </w: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>As vendas externas de café tiveram comportamento semelhante às vendas de carnes e dos produtos do complexo sucroalcooleiro. Houve queda no volume médio de exportações (-7,3%), mas elevação no preço médio de exportação (+14,3%). As vendas externas de café verde foram de US$ 2,94 bilhões (+4,8%), enquanto as exportações de café solúvel foram de US$ 390,69 milhões (+10,4%).</w:t>
      </w: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E6DA6">
        <w:rPr>
          <w:rFonts w:ascii="Arial" w:hAnsi="Arial" w:cs="Arial"/>
          <w:sz w:val="20"/>
          <w:szCs w:val="20"/>
        </w:rPr>
        <w:t>No que se refere às importações, houve elevação das compras de US$ 8,48 bilhões entre janeiro e agosto de 2016 para US$ 9,54 bilhões entre janeiro e agosto de 2017 (+12,5). Os dez principais produtos importados foram: trigo (US$ 796,12 milhões; +3,7%), álcool etílico (US$ 741,12 milhões; +276,1%), papel (US$ 546,89 milhões; +13,5%), salmões (US$ 347,51 milhões; +30,0%), vestuário e outros produtos têxteis (US$ 334,71; +3,0%), borracha natural (US$ 269,90 milhões; +44,1%), leite em pó (US$ 265,40 milhões; 3,4%); óleo de palma (US$ 248,43 milhões; +18,9%), malte (US$ 243,30 milhões; -6,6%) e arroz (US$ 241,57 milhões; +50,6%).</w:t>
      </w:r>
    </w:p>
    <w:p w:rsidR="00AE6DA6" w:rsidRDefault="00AE6DA6" w:rsidP="00AE6DA6">
      <w:pPr>
        <w:jc w:val="both"/>
      </w:pPr>
    </w:p>
    <w:p w:rsidR="00AE6DA6" w:rsidRDefault="00AE6DA6" w:rsidP="00AE6DA6">
      <w:pPr>
        <w:jc w:val="both"/>
      </w:pPr>
      <w:r w:rsidRPr="006E142C">
        <w:rPr>
          <w:noProof/>
        </w:rPr>
        <w:lastRenderedPageBreak/>
        <w:drawing>
          <wp:inline distT="0" distB="0" distL="0" distR="0" wp14:anchorId="771C2BBF" wp14:editId="0EC72C3C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Pr="00E34A2F" w:rsidRDefault="00AE6DA6" w:rsidP="00AE6DA6"/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1" w:name="OLE_LINK1"/>
      <w:proofErr w:type="spellStart"/>
      <w:r w:rsidRPr="001D51E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AE6DA6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Ásia aumentou sua participação nas exportações do agronegócio brasileiro, passando de 47,4% entre janeiro e agosto de 2016 para 48,3% entre janeiro e agosto de 2017 do valor exportado pelo Brasil em produtos do setor. Foi uma expansão de 0,9 pontos percentuais na comparação entre os períodos, fruto da expansão de 10,4% no valor exportado à região, que chegou a US$ 31,61 bilhões. </w:t>
      </w: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Outras duas regiões também foram destaque na elevação da participação: África (de 6,1% para 7,2%) e Oriente Médio (de 8,6% para 9,0%). </w:t>
      </w: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caso da África, as exportações subiram de US$ 3,69 bilhões entre janeiro e agosto de 2016 para US$ 4,73 bilhões (+28,2%). As vendas externas de açúcar para o continente africano subiram de US$ 1,78 bilhão entre janeiro e agosto de 2016 para US$ 2,80 bilhões entre janeiro e agosto de 2017. O valor exportado de açúcar significou 59,2% do valor total exportado pelo Brasil em produtos do agronegócio para o período em análise. </w:t>
      </w: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Oriente Médio, por sua vez, registrou aquisições de US$ 5,18 bilhões entre janeiro e agosto de 2016 para atingir US$ 5,88 bilhões entre janeiro e agosto de 2017. Grande parte da elevação nas exportações também pode ser explicada pelas vendas externas de açúcar, que subiram de US$ 1,21 bilhão entre janeiro e agosto de 2016 para US$ 1,75 bilhão entre janeiro e agosto de 2017. </w:t>
      </w:r>
    </w:p>
    <w:p w:rsidR="00AE6DA6" w:rsidRPr="00515548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6E142C">
        <w:rPr>
          <w:noProof/>
        </w:rPr>
        <w:drawing>
          <wp:inline distT="0" distB="0" distL="0" distR="0" wp14:anchorId="09F8B85E" wp14:editId="25C594F7">
            <wp:extent cx="6480175" cy="2348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Default="00AE6DA6" w:rsidP="00AE6DA6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862C2">
        <w:rPr>
          <w:rFonts w:ascii="Arial" w:hAnsi="Arial" w:cs="Arial"/>
          <w:sz w:val="20"/>
          <w:szCs w:val="20"/>
        </w:rPr>
        <w:t>A China</w:t>
      </w:r>
      <w:r>
        <w:rPr>
          <w:rFonts w:ascii="Arial" w:hAnsi="Arial" w:cs="Arial"/>
          <w:sz w:val="20"/>
          <w:szCs w:val="20"/>
        </w:rPr>
        <w:t xml:space="preserve"> continua sendo o destaque nas exportações brasileiras do agronegócio. O país asiático aumentou suas compras de US$ 17,43 bilhões entre janeiro e agosto de 2016 para US$ 20,55 bilhões entre janeiro e agosto de 2017 (+17,9%). Com tal expansão, a participação do país subiu de 28,8% para 31,4%, ou uma elevação de 2,6 pontos percentuais. </w:t>
      </w: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crescimento das exportações à China ocorreu, fundamentalmente, em virtude das exportações de soja em grão (+24,4%), que passaram de US$ 13,41 bilhões entre janeiro e agosto de 2016 (36,2 milhões de toneladas) para US$ 16,69 bilhões entre janeiro e agosto de 2017 (44,3 milhões de toneladas). Essa forte alta fez a soja em grão subir de 77,0% do valor das exportações à China entre janeiro e agosto de 2016 para 81,2% do valor exportado entre janeiro e agosto de 2017.</w:t>
      </w: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3862C2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Diversos outros parceiros, dentre os vinte principais parceiros comerciais brasileiros do agronegócio, também apresentaram crescimento acima de dois dígitos. Eles são apresentados na Tabela 6, abaixo.</w:t>
      </w:r>
    </w:p>
    <w:bookmarkEnd w:id="1"/>
    <w:p w:rsidR="001E649C" w:rsidRDefault="001E649C" w:rsidP="001E649C"/>
    <w:p w:rsidR="006E142C" w:rsidRDefault="006E142C" w:rsidP="001E649C">
      <w:r w:rsidRPr="006E142C">
        <w:rPr>
          <w:noProof/>
        </w:rPr>
        <w:drawing>
          <wp:inline distT="0" distB="0" distL="0" distR="0" wp14:anchorId="5D4991C4" wp14:editId="2662D6D5">
            <wp:extent cx="6480175" cy="38792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B4" w:rsidRDefault="004215B4" w:rsidP="007D7D4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215B4" w:rsidRDefault="004215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 – Resultados de Setembro de 2016</w:t>
      </w:r>
      <w:r w:rsidRPr="005211A7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b/>
          <w:sz w:val="20"/>
          <w:szCs w:val="20"/>
        </w:rPr>
        <w:t>Agosto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2017 (Acumulado 12 meses)</w:t>
      </w: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E6DA6" w:rsidRPr="008779A2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8779A2">
        <w:rPr>
          <w:rFonts w:ascii="Arial" w:hAnsi="Arial" w:cs="Arial"/>
          <w:sz w:val="20"/>
          <w:szCs w:val="20"/>
        </w:rPr>
        <w:t>Nos últimos doze meses, entre setembro de 2016 e agosto de 2017, as exportações brasileiras de produtos do agronegócio somaram US$ 89,92 bilhões, o que representou crescimento de 1,1% em comparação aos US$ 88,96 bilhões comercializados nos doze meses imediatamente anteriores (setembro de 2015 a agosto de 2016). O setor representou 43,3% do total das vendas externas do Brasil no período. Também houve ampliação em relação às importações de produtos agropecuários últimos doze meses, de US$ 12,38 para US$ 14,69 bilhões (+18,7%). Como resultado, a balança comercial do agronegócio apresentou saldo positivo de US$ 75,23 bilhões no período.</w:t>
      </w: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AE6DA6" w:rsidRDefault="00AE6DA6" w:rsidP="00AE6DA6"/>
    <w:p w:rsidR="00AE6DA6" w:rsidRPr="00BE6028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BE6028">
        <w:rPr>
          <w:rFonts w:ascii="Arial" w:hAnsi="Arial" w:cs="Arial"/>
          <w:sz w:val="20"/>
          <w:szCs w:val="20"/>
        </w:rPr>
        <w:t>Em termos de valor exportado, os principais setores nos últimos doze meses</w:t>
      </w:r>
      <w:r>
        <w:rPr>
          <w:rFonts w:ascii="Arial" w:hAnsi="Arial" w:cs="Arial"/>
          <w:sz w:val="20"/>
          <w:szCs w:val="20"/>
        </w:rPr>
        <w:t xml:space="preserve"> foram</w:t>
      </w:r>
      <w:r w:rsidRPr="00BE6028">
        <w:rPr>
          <w:rFonts w:ascii="Arial" w:hAnsi="Arial" w:cs="Arial"/>
          <w:sz w:val="20"/>
          <w:szCs w:val="20"/>
        </w:rPr>
        <w:t xml:space="preserve">: complexo soja, com US$ 28,77 bilhões e participação de 32,0% das exportações do agronegócio; o setor de carnes, com US$ 14,94 bilhões e 16,6%; complexo sucroalcooleiro, com US$ 12,64 bilhões e 14,1%; produtos florestais, com US$ 10,91 bilhões e participação de 12,1%; e café, com US$ 5,66 bilhões e </w:t>
      </w:r>
      <w:r w:rsidRPr="00BE6028">
        <w:rPr>
          <w:rFonts w:ascii="Arial" w:hAnsi="Arial" w:cs="Arial"/>
          <w:i/>
          <w:sz w:val="20"/>
          <w:szCs w:val="20"/>
        </w:rPr>
        <w:t>share</w:t>
      </w:r>
      <w:r w:rsidRPr="00BE6028">
        <w:rPr>
          <w:rFonts w:ascii="Arial" w:hAnsi="Arial" w:cs="Arial"/>
          <w:sz w:val="20"/>
          <w:szCs w:val="20"/>
        </w:rPr>
        <w:t xml:space="preserve"> de 6,3%.</w:t>
      </w:r>
    </w:p>
    <w:p w:rsidR="00AE6DA6" w:rsidRPr="00BE6028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Pr="00EB4543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125CDC">
        <w:rPr>
          <w:rFonts w:ascii="Arial" w:hAnsi="Arial" w:cs="Arial"/>
          <w:sz w:val="20"/>
          <w:szCs w:val="20"/>
        </w:rPr>
        <w:t xml:space="preserve">As vendas do complexo soja registraram ampliação de 3,2% em valor e 1,9% em quantidade. O principal item negociado no período foi a soja e grãos, com o montante de US$ 22,86 bilhões (+8,0% ante os doze meses anteriores). </w:t>
      </w:r>
      <w:r w:rsidRPr="00EB4543">
        <w:rPr>
          <w:rFonts w:ascii="Arial" w:hAnsi="Arial" w:cs="Arial"/>
          <w:sz w:val="20"/>
          <w:szCs w:val="20"/>
        </w:rPr>
        <w:t xml:space="preserve">Foram embarcadas 60,30 milhões de toneladas, ou seja 6,5% superiores aos doze meses anteriores. Em relação ao preço médio no período, também houve aumento: +1,5%, alcançando a </w:t>
      </w:r>
      <w:r>
        <w:rPr>
          <w:rFonts w:ascii="Arial" w:hAnsi="Arial" w:cs="Arial"/>
          <w:sz w:val="20"/>
          <w:szCs w:val="20"/>
        </w:rPr>
        <w:t>cotação de US$ 379</w:t>
      </w:r>
      <w:r w:rsidRPr="00EB4543">
        <w:rPr>
          <w:rFonts w:ascii="Arial" w:hAnsi="Arial" w:cs="Arial"/>
          <w:sz w:val="20"/>
          <w:szCs w:val="20"/>
        </w:rPr>
        <w:t xml:space="preserve"> por </w:t>
      </w:r>
      <w:r w:rsidRPr="00EB4543">
        <w:rPr>
          <w:rFonts w:ascii="Arial" w:hAnsi="Arial" w:cs="Arial"/>
          <w:sz w:val="20"/>
          <w:szCs w:val="20"/>
        </w:rPr>
        <w:lastRenderedPageBreak/>
        <w:t>tonelada. O segundo produto de destaque do setor foi o farelo de soja, com a cifra de US$ 4,87 bilhões (-13,9%) e 13,51 milhões de toneladas comercializadas -13,4%), em um contexto de queda do preço médio (-0,6%). Por fim, as vendas externas de óleo de soja totalizaram US$ 1,04 bilhão (-2,8%) e 1,36 milhão de toneladas (-13,1%).</w:t>
      </w:r>
    </w:p>
    <w:p w:rsidR="00AE6DA6" w:rsidRPr="00EB4543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Pr="000E5107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0E5107">
        <w:rPr>
          <w:rFonts w:ascii="Arial" w:hAnsi="Arial" w:cs="Arial"/>
          <w:sz w:val="20"/>
          <w:szCs w:val="20"/>
        </w:rPr>
        <w:t xml:space="preserve">As carnes ocuparam a segunda posição no </w:t>
      </w:r>
      <w:r w:rsidRPr="000E5107">
        <w:rPr>
          <w:rFonts w:ascii="Arial" w:hAnsi="Arial" w:cs="Arial"/>
          <w:i/>
          <w:sz w:val="20"/>
          <w:szCs w:val="20"/>
        </w:rPr>
        <w:t>ranking</w:t>
      </w:r>
      <w:r w:rsidRPr="000E5107">
        <w:rPr>
          <w:rFonts w:ascii="Arial" w:hAnsi="Arial" w:cs="Arial"/>
          <w:sz w:val="20"/>
          <w:szCs w:val="20"/>
        </w:rPr>
        <w:t xml:space="preserve"> de setores do agronegócio em valor exportado entre setembro de 2016 e agosto de 2017. Foram vendidos US$ 14,94 bilhões (+3,6%) e 6,63 milhões de toneladas (-2,9%). A carne de frango foi o principal produto exportado pelo setor, com o montante de US$ 7,04 bilhões e ampliação de 3,1% em relação aos US$ 6,83 bilhões exportados nos 12 meses anteriores. No que se refere ao </w:t>
      </w:r>
      <w:r w:rsidRPr="000E5107">
        <w:rPr>
          <w:rFonts w:ascii="Arial" w:hAnsi="Arial" w:cs="Arial"/>
          <w:i/>
          <w:sz w:val="20"/>
          <w:szCs w:val="20"/>
        </w:rPr>
        <w:t>quantum</w:t>
      </w:r>
      <w:r w:rsidRPr="000E5107">
        <w:rPr>
          <w:rFonts w:ascii="Arial" w:hAnsi="Arial" w:cs="Arial"/>
          <w:sz w:val="20"/>
          <w:szCs w:val="20"/>
        </w:rPr>
        <w:t xml:space="preserve"> exportado, verificou-se retração de 3,8%, passando de 4,40 milhões de toneladas para 4,23 milhões de toneladas. Em seguida se destaca a carne bovina, com vendas externas de US$ 5,53 bilhões (-2,7%) para um total de 1,40 milhão de toneladas comercializadas -5,5%). As exportações de carne suína aumentaram 26,3% no período, alcançando a cifra recorde de US$ 1,68 bilhão. Houve, ainda, crescimento da quantidade exportada do produto (+4,4%), de 680,30 mil toneladas para 710,32 mil toneladas. O preço médio de exportação aumentou para todos os produtos do setor, com variação média positiva de 6,6%.</w:t>
      </w:r>
    </w:p>
    <w:p w:rsidR="00AE6DA6" w:rsidRPr="000E5107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Pr="00F15BA9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F15BA9">
        <w:rPr>
          <w:rFonts w:ascii="Arial" w:hAnsi="Arial" w:cs="Arial"/>
          <w:sz w:val="20"/>
          <w:szCs w:val="20"/>
        </w:rPr>
        <w:t xml:space="preserve">Em seguida, cabe ressaltar o setor sucroalcooleiro, com US$ 12,64 bilhões em exportações, o que representou aumento de 25,7% sobre os US$ 10,06 bilhões exportados anteriormente. O principal produto exportado pelo setor foi o açúcar, com o montante de US$ 11,92 bilhões para a quantidade de </w:t>
      </w:r>
      <w:r>
        <w:rPr>
          <w:rFonts w:ascii="Arial" w:hAnsi="Arial" w:cs="Arial"/>
          <w:sz w:val="20"/>
          <w:szCs w:val="20"/>
        </w:rPr>
        <w:t>28,76</w:t>
      </w:r>
      <w:r w:rsidRPr="00F15BA9">
        <w:rPr>
          <w:rFonts w:ascii="Arial" w:hAnsi="Arial" w:cs="Arial"/>
          <w:sz w:val="20"/>
          <w:szCs w:val="20"/>
        </w:rPr>
        <w:t xml:space="preserve"> milhões de toneladas embarcadas. Em relação ao período anterior tais cifras significaram crescimento de 33,3% em valor e 3,1% em quantidade. As vendas externas de álcool, por sua vez, foram de US$ 711,80 milhões, isto é, quase 36% inferiores ante os doze meses anteriores. Essa queda se deve à redução na quantidade embarcada, que caiu quase pela metade (-47,7%), apesar do aumento no preço médio do produto (+22,7%). </w:t>
      </w:r>
    </w:p>
    <w:p w:rsidR="00AE6DA6" w:rsidRPr="00F15BA9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Pr="00021071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021071">
        <w:rPr>
          <w:rFonts w:ascii="Arial" w:hAnsi="Arial" w:cs="Arial"/>
          <w:sz w:val="20"/>
          <w:szCs w:val="20"/>
        </w:rPr>
        <w:t xml:space="preserve">Na quarta posição surgem os produtos florestais, com US$ 10,91 bilhões, o que representou 6,0% de crescimento nos últimos doze meses. A celulose foi o destaque, com receita recorde de US$ 6,02 bilhões, valor 5,9% superior ao alcançado entre setembro de 2015 e agosto de 2016, que foi de US$ 5,68 bilhões. Em relação ao </w:t>
      </w:r>
      <w:r w:rsidRPr="00021071">
        <w:rPr>
          <w:rFonts w:ascii="Arial" w:hAnsi="Arial" w:cs="Arial"/>
          <w:i/>
          <w:sz w:val="20"/>
          <w:szCs w:val="20"/>
        </w:rPr>
        <w:t>quantum</w:t>
      </w:r>
      <w:r w:rsidRPr="00021071">
        <w:rPr>
          <w:rFonts w:ascii="Arial" w:hAnsi="Arial" w:cs="Arial"/>
          <w:sz w:val="20"/>
          <w:szCs w:val="20"/>
        </w:rPr>
        <w:t>, registrou-se expansão de 6,7% no período, atingindo 13,97 milhões de toneladas. As vendas externas de madeiras e suas obras foram de US$ 3,02 bilhões (+12,8%) e 5,93 milhões de toneladas (+8,7%). Por fim, as exportações de papel totalizaram US$ 1,87 bilhão, decrescendo 3,1% em comparação aos doze meses anteriores.</w:t>
      </w:r>
    </w:p>
    <w:p w:rsidR="00AE6DA6" w:rsidRPr="00021071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Pr="0066048B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66048B">
        <w:rPr>
          <w:rFonts w:ascii="Arial" w:hAnsi="Arial" w:cs="Arial"/>
          <w:sz w:val="20"/>
          <w:szCs w:val="20"/>
        </w:rPr>
        <w:t xml:space="preserve">Por fim cabe ressaltar o setor de café, com a cifra de US$ 5,66 bilhões (+7,9%) e quantidade comercializada de 1,83 milhão de toneladas (-6,2%). O café verde foi o principal item negociado, com vendas externas de US$ 4,98 bilhões (+6,5%), o que representou 87,9% de todas as vendas do setor. Em quantidade, verificou-se queda de 6,6% no período, apesar do aumento do preço médio internacional </w:t>
      </w:r>
      <w:r>
        <w:rPr>
          <w:rFonts w:ascii="Arial" w:hAnsi="Arial" w:cs="Arial"/>
          <w:sz w:val="20"/>
          <w:szCs w:val="20"/>
        </w:rPr>
        <w:t xml:space="preserve">do produto </w:t>
      </w:r>
      <w:r w:rsidRPr="0066048B">
        <w:rPr>
          <w:rFonts w:ascii="Arial" w:hAnsi="Arial" w:cs="Arial"/>
          <w:sz w:val="20"/>
          <w:szCs w:val="20"/>
        </w:rPr>
        <w:t>em 14,1% (US$ 2.506 para 2.860 por tonelada).</w:t>
      </w:r>
    </w:p>
    <w:p w:rsidR="00AE6DA6" w:rsidRPr="0066048B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F30251">
        <w:rPr>
          <w:rFonts w:ascii="Arial" w:hAnsi="Arial" w:cs="Arial"/>
          <w:sz w:val="20"/>
          <w:szCs w:val="20"/>
        </w:rPr>
        <w:t>Os cinco principais setores do agronegócio, em conjunto, representaram 81,1% das exportações agropecuárias brasileiras nos últimos doze meses. Ou seja, mais de três pontos percentuais superiores, quando se compara com os 78,0% que os cinco principais setores representavam nos doze meses anteriores. Isso demonstra o aumento da concentração da pauta exportadora do setor agropecuário.</w:t>
      </w:r>
    </w:p>
    <w:p w:rsidR="00AE6DA6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Pr="00987CDF" w:rsidRDefault="00AE6DA6" w:rsidP="00AE6D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relação às importações do agronegócio, destacaram-se os seguintes produtos, em valor: trigo (US$ 1,36 bilhão); pescados (US$ 1,34 bilhão); álcool etílico (US$ 938,76 milhões) e papel (US$ 805,85 milhões). O álcool etílico foi o produto que mais contribuiu para o aumento das importações do agronegócio, com aumento de 342,8% (+US$ 726,74 milhões). Outro produto que se destacou em termos de incremento foi o milho, com 144,2% (+US$ 274,15 milhões).</w:t>
      </w:r>
    </w:p>
    <w:p w:rsidR="00AE6DA6" w:rsidRDefault="00AE6DA6" w:rsidP="00AE6DA6"/>
    <w:p w:rsidR="00AE6DA6" w:rsidRDefault="00AE6DA6" w:rsidP="00AE6DA6"/>
    <w:p w:rsidR="00AE6DA6" w:rsidRDefault="00AE6DA6" w:rsidP="00AE6DA6">
      <w:r w:rsidRPr="006A48AF">
        <w:rPr>
          <w:noProof/>
        </w:rPr>
        <w:lastRenderedPageBreak/>
        <w:drawing>
          <wp:inline distT="0" distB="0" distL="0" distR="0" wp14:anchorId="2940F412" wp14:editId="3BE031A7">
            <wp:extent cx="6480175" cy="385508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Default="00AE6DA6" w:rsidP="00AE6DA6"/>
    <w:p w:rsidR="00AE6DA6" w:rsidRPr="001636C4" w:rsidRDefault="00AE6DA6" w:rsidP="00AE6DA6"/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AE6DA6" w:rsidRDefault="00AE6DA6" w:rsidP="00AE6DA6"/>
    <w:p w:rsidR="00AE6DA6" w:rsidRPr="002E5327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E5327">
        <w:rPr>
          <w:rFonts w:ascii="Arial" w:hAnsi="Arial" w:cs="Arial"/>
          <w:sz w:val="20"/>
          <w:szCs w:val="20"/>
        </w:rPr>
        <w:t xml:space="preserve">Em relação às exportações do agronegócio por blocos econômicos e regiões geográficas, a Ásia permanece como o principal destino das exportações agropecuárias do Brasil. As vendas para o continente asiático foram de US$ 40,37 bilhões, o que representou crescimento de 0,9% em comparação aos valores registrados nos doze meses imediatamente anteriores (US$ 40,01 bilhões). A participação da região nas exportações do agronegócio foi de 44,9% no período.  </w:t>
      </w:r>
    </w:p>
    <w:p w:rsidR="00AE6DA6" w:rsidRPr="002E5327" w:rsidRDefault="00AE6DA6" w:rsidP="00AE6DA6">
      <w:pPr>
        <w:pStyle w:val="Recuodecorpodetexto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Recuodecorpodetexto"/>
        <w:ind w:firstLine="0"/>
      </w:pPr>
      <w:r w:rsidRPr="002E5327">
        <w:rPr>
          <w:rFonts w:ascii="Arial" w:hAnsi="Arial" w:cs="Arial"/>
          <w:sz w:val="20"/>
          <w:szCs w:val="20"/>
        </w:rPr>
        <w:t xml:space="preserve">Em seguida destacaram-se as exportações para a União Europeia, com US$ 16,11 bilhões. Houve retração de 8,1% em relação aos dozes meses anteriores. Com essa retração em valor, a participação do bloco nas exportações do agronegócio brasileiro decresceu, passando de 19,7% para 17,9%. </w:t>
      </w: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445C58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6A48AF">
        <w:rPr>
          <w:noProof/>
        </w:rPr>
        <w:drawing>
          <wp:inline distT="0" distB="0" distL="0" distR="0" wp14:anchorId="22DDA8B7" wp14:editId="2C9E2E2D">
            <wp:extent cx="6480175" cy="234823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E6DA6" w:rsidRDefault="00AE6DA6" w:rsidP="00AE6DA6"/>
    <w:p w:rsidR="00AE6DA6" w:rsidRPr="008B71EE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8B71EE">
        <w:rPr>
          <w:rFonts w:ascii="Arial" w:hAnsi="Arial" w:cs="Arial"/>
          <w:sz w:val="20"/>
          <w:szCs w:val="20"/>
        </w:rPr>
        <w:t xml:space="preserve">No que se refere aos países, a China permanece como o principal destino das exportações do agronegócio brasileiro, com a cifra de US$ 23,95 bilhões. Em relação ao período anterior, verificou-se acréscimo de 8,3% no valor exportado e crescimento da participação chinesa, chegando a 26,6% de </w:t>
      </w:r>
      <w:proofErr w:type="spellStart"/>
      <w:r w:rsidRPr="008B71EE">
        <w:rPr>
          <w:rFonts w:ascii="Arial" w:hAnsi="Arial" w:cs="Arial"/>
          <w:i/>
          <w:sz w:val="20"/>
          <w:szCs w:val="20"/>
        </w:rPr>
        <w:t>market</w:t>
      </w:r>
      <w:proofErr w:type="spellEnd"/>
      <w:r w:rsidRPr="008B71EE">
        <w:rPr>
          <w:rFonts w:ascii="Arial" w:hAnsi="Arial" w:cs="Arial"/>
          <w:i/>
          <w:sz w:val="20"/>
          <w:szCs w:val="20"/>
        </w:rPr>
        <w:t xml:space="preserve"> share</w:t>
      </w:r>
      <w:r w:rsidRPr="008B71EE">
        <w:rPr>
          <w:rFonts w:ascii="Arial" w:hAnsi="Arial" w:cs="Arial"/>
          <w:sz w:val="20"/>
          <w:szCs w:val="20"/>
        </w:rPr>
        <w:t xml:space="preserve">. </w:t>
      </w:r>
    </w:p>
    <w:p w:rsidR="00AE6DA6" w:rsidRPr="008B71EE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Pr="00D50069" w:rsidRDefault="00AE6DA6" w:rsidP="00AE6DA6">
      <w:pPr>
        <w:jc w:val="both"/>
        <w:rPr>
          <w:rFonts w:ascii="Arial" w:hAnsi="Arial" w:cs="Arial"/>
          <w:sz w:val="20"/>
          <w:szCs w:val="20"/>
        </w:rPr>
      </w:pPr>
      <w:r w:rsidRPr="00D50069">
        <w:rPr>
          <w:rFonts w:ascii="Arial" w:hAnsi="Arial" w:cs="Arial"/>
          <w:sz w:val="20"/>
          <w:szCs w:val="20"/>
        </w:rPr>
        <w:lastRenderedPageBreak/>
        <w:t xml:space="preserve">As exportações para os Estados Unidos, segundo principal destino no acumulado dos últimos doze meses, subiram de US$ 6,31 bilhões para US$ 6,44 bilhões (+2,1%). Com tal aumento, a participação norte americana nas exportações brasileiras passou de 7,1% para 7,2%. </w:t>
      </w:r>
    </w:p>
    <w:p w:rsidR="00AE6DA6" w:rsidRDefault="00AE6DA6" w:rsidP="00AE6DA6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AE6DA6" w:rsidRPr="000C5870" w:rsidRDefault="00AE6DA6" w:rsidP="00AE6D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Além da China, os países que mais contribuíram para o crescimento das exportações brasileiras do agronegócio no período foram: Rússia (+US$ 357,40 milhões), Emirados Árabes Unidos (+US$ 339,59 milhões), Bangladesh (+US$ 311,33 milhões) e Irã (+US$ 304,35 milhões).</w:t>
      </w:r>
    </w:p>
    <w:p w:rsidR="00AE6DA6" w:rsidRDefault="00AE6DA6" w:rsidP="00AE6DA6"/>
    <w:p w:rsidR="00AE6DA6" w:rsidRPr="00CA0A56" w:rsidRDefault="00AE6DA6" w:rsidP="00AE6DA6"/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6A48AF">
        <w:rPr>
          <w:noProof/>
        </w:rPr>
        <w:drawing>
          <wp:inline distT="0" distB="0" distL="0" distR="0" wp14:anchorId="4B5E48F1" wp14:editId="7B212229">
            <wp:extent cx="6480175" cy="3879215"/>
            <wp:effectExtent l="0" t="0" r="0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87B02" w:rsidRPr="003C54E1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C87B02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87B02" w:rsidRPr="003C54E1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3C54E1" w:rsidRDefault="00C87B02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MAPA/SRI/DPI</w:t>
      </w:r>
    </w:p>
    <w:p w:rsidR="00C87B02" w:rsidRPr="003C54E1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 w:rsidR="00AE6DA6">
        <w:rPr>
          <w:rFonts w:ascii="Arial" w:hAnsi="Arial" w:cs="Arial"/>
          <w:sz w:val="20"/>
          <w:szCs w:val="20"/>
        </w:rPr>
        <w:t>12/09</w:t>
      </w:r>
      <w:r w:rsidR="004215B4">
        <w:rPr>
          <w:rFonts w:ascii="Arial" w:hAnsi="Arial" w:cs="Arial"/>
          <w:sz w:val="20"/>
          <w:szCs w:val="20"/>
        </w:rPr>
        <w:t>/2017</w:t>
      </w:r>
    </w:p>
    <w:sectPr w:rsidR="00C87B02" w:rsidRPr="003C54E1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86" w:rsidRDefault="00F35186">
      <w:r>
        <w:separator/>
      </w:r>
    </w:p>
  </w:endnote>
  <w:endnote w:type="continuationSeparator" w:id="0">
    <w:p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04621E">
      <w:rPr>
        <w:rStyle w:val="Nmerodepgina"/>
        <w:rFonts w:ascii="Arial" w:hAnsi="Arial" w:cs="Arial"/>
        <w:noProof/>
        <w:sz w:val="16"/>
        <w:szCs w:val="16"/>
      </w:rPr>
      <w:t>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86" w:rsidRDefault="00F35186">
      <w:r>
        <w:separator/>
      </w:r>
    </w:p>
  </w:footnote>
  <w:footnote w:type="continuationSeparator" w:id="0">
    <w:p w:rsidR="00F35186" w:rsidRDefault="00F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903"/>
    <w:rsid w:val="00006103"/>
    <w:rsid w:val="00006262"/>
    <w:rsid w:val="00006ECB"/>
    <w:rsid w:val="00007083"/>
    <w:rsid w:val="00007D32"/>
    <w:rsid w:val="00010A70"/>
    <w:rsid w:val="00013C10"/>
    <w:rsid w:val="0001553F"/>
    <w:rsid w:val="000166CF"/>
    <w:rsid w:val="00017D67"/>
    <w:rsid w:val="00017F9E"/>
    <w:rsid w:val="00024620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A57"/>
    <w:rsid w:val="0003291F"/>
    <w:rsid w:val="000329DF"/>
    <w:rsid w:val="000348EF"/>
    <w:rsid w:val="00034D11"/>
    <w:rsid w:val="000354EE"/>
    <w:rsid w:val="00035920"/>
    <w:rsid w:val="00035927"/>
    <w:rsid w:val="00035E51"/>
    <w:rsid w:val="000400E7"/>
    <w:rsid w:val="00040AAD"/>
    <w:rsid w:val="00040CEE"/>
    <w:rsid w:val="0004141A"/>
    <w:rsid w:val="0004188A"/>
    <w:rsid w:val="00041926"/>
    <w:rsid w:val="00041C47"/>
    <w:rsid w:val="000421AD"/>
    <w:rsid w:val="00042DA0"/>
    <w:rsid w:val="00043C91"/>
    <w:rsid w:val="00045520"/>
    <w:rsid w:val="00045689"/>
    <w:rsid w:val="000456E0"/>
    <w:rsid w:val="0004621E"/>
    <w:rsid w:val="00047101"/>
    <w:rsid w:val="00047F65"/>
    <w:rsid w:val="00053736"/>
    <w:rsid w:val="000542D8"/>
    <w:rsid w:val="00057E53"/>
    <w:rsid w:val="00060DB6"/>
    <w:rsid w:val="00060E48"/>
    <w:rsid w:val="00060ECE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99F"/>
    <w:rsid w:val="000728BD"/>
    <w:rsid w:val="00072A5A"/>
    <w:rsid w:val="00072BF1"/>
    <w:rsid w:val="00073B00"/>
    <w:rsid w:val="0007448A"/>
    <w:rsid w:val="00074CFD"/>
    <w:rsid w:val="00074FEC"/>
    <w:rsid w:val="000754DD"/>
    <w:rsid w:val="00076763"/>
    <w:rsid w:val="000777E6"/>
    <w:rsid w:val="000838F3"/>
    <w:rsid w:val="0008675A"/>
    <w:rsid w:val="00086BE6"/>
    <w:rsid w:val="00087349"/>
    <w:rsid w:val="00091B89"/>
    <w:rsid w:val="000930DA"/>
    <w:rsid w:val="00093FC9"/>
    <w:rsid w:val="0009438C"/>
    <w:rsid w:val="00094CD8"/>
    <w:rsid w:val="00094EAB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4AC"/>
    <w:rsid w:val="000A16C5"/>
    <w:rsid w:val="000A3C7F"/>
    <w:rsid w:val="000A412F"/>
    <w:rsid w:val="000A58CA"/>
    <w:rsid w:val="000A6462"/>
    <w:rsid w:val="000A6B29"/>
    <w:rsid w:val="000B1245"/>
    <w:rsid w:val="000B2CCF"/>
    <w:rsid w:val="000B4CB7"/>
    <w:rsid w:val="000B617B"/>
    <w:rsid w:val="000B6F56"/>
    <w:rsid w:val="000B778B"/>
    <w:rsid w:val="000C0B2D"/>
    <w:rsid w:val="000C101E"/>
    <w:rsid w:val="000C1354"/>
    <w:rsid w:val="000C4CA1"/>
    <w:rsid w:val="000C4E0B"/>
    <w:rsid w:val="000C5899"/>
    <w:rsid w:val="000C5BC6"/>
    <w:rsid w:val="000C64AB"/>
    <w:rsid w:val="000C6B89"/>
    <w:rsid w:val="000D0A1C"/>
    <w:rsid w:val="000D0A49"/>
    <w:rsid w:val="000D26FA"/>
    <w:rsid w:val="000D279E"/>
    <w:rsid w:val="000D39E2"/>
    <w:rsid w:val="000D4068"/>
    <w:rsid w:val="000D5591"/>
    <w:rsid w:val="000D5BE5"/>
    <w:rsid w:val="000E03A7"/>
    <w:rsid w:val="000E1F98"/>
    <w:rsid w:val="000E33C3"/>
    <w:rsid w:val="000E398E"/>
    <w:rsid w:val="000E39A2"/>
    <w:rsid w:val="000E3FFC"/>
    <w:rsid w:val="000E4AF7"/>
    <w:rsid w:val="000E4D0B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432D"/>
    <w:rsid w:val="00104345"/>
    <w:rsid w:val="00106AE7"/>
    <w:rsid w:val="0011004F"/>
    <w:rsid w:val="0011143D"/>
    <w:rsid w:val="001120A0"/>
    <w:rsid w:val="0011278C"/>
    <w:rsid w:val="00112CB5"/>
    <w:rsid w:val="0011359A"/>
    <w:rsid w:val="001145E1"/>
    <w:rsid w:val="001148DB"/>
    <w:rsid w:val="00116244"/>
    <w:rsid w:val="00116DF6"/>
    <w:rsid w:val="001172F2"/>
    <w:rsid w:val="00120C53"/>
    <w:rsid w:val="00120FC3"/>
    <w:rsid w:val="001214F0"/>
    <w:rsid w:val="00121674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5398"/>
    <w:rsid w:val="00135405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766D"/>
    <w:rsid w:val="001479CC"/>
    <w:rsid w:val="0015012C"/>
    <w:rsid w:val="00150D5F"/>
    <w:rsid w:val="00151988"/>
    <w:rsid w:val="00153702"/>
    <w:rsid w:val="00155044"/>
    <w:rsid w:val="001553E1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7C36"/>
    <w:rsid w:val="00180987"/>
    <w:rsid w:val="00181959"/>
    <w:rsid w:val="00181A5E"/>
    <w:rsid w:val="00181F12"/>
    <w:rsid w:val="001845DB"/>
    <w:rsid w:val="001877D0"/>
    <w:rsid w:val="0019065E"/>
    <w:rsid w:val="00191D61"/>
    <w:rsid w:val="00192430"/>
    <w:rsid w:val="00193C52"/>
    <w:rsid w:val="00193F46"/>
    <w:rsid w:val="0019506D"/>
    <w:rsid w:val="001950E2"/>
    <w:rsid w:val="001965D0"/>
    <w:rsid w:val="001A002C"/>
    <w:rsid w:val="001A0A6C"/>
    <w:rsid w:val="001A1AD0"/>
    <w:rsid w:val="001A1F94"/>
    <w:rsid w:val="001A29EA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F0E"/>
    <w:rsid w:val="001B7C51"/>
    <w:rsid w:val="001C10B3"/>
    <w:rsid w:val="001C2AFB"/>
    <w:rsid w:val="001C2BE2"/>
    <w:rsid w:val="001C3C0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59FD"/>
    <w:rsid w:val="001F6377"/>
    <w:rsid w:val="00200422"/>
    <w:rsid w:val="00200C1F"/>
    <w:rsid w:val="00201721"/>
    <w:rsid w:val="00201EB6"/>
    <w:rsid w:val="0020228A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1034"/>
    <w:rsid w:val="0023186C"/>
    <w:rsid w:val="00232DF4"/>
    <w:rsid w:val="00233BE6"/>
    <w:rsid w:val="0023409D"/>
    <w:rsid w:val="00234BDA"/>
    <w:rsid w:val="00235D98"/>
    <w:rsid w:val="002365E6"/>
    <w:rsid w:val="00236C8A"/>
    <w:rsid w:val="0023726D"/>
    <w:rsid w:val="00240914"/>
    <w:rsid w:val="00243565"/>
    <w:rsid w:val="00244DAD"/>
    <w:rsid w:val="00244FFD"/>
    <w:rsid w:val="00246FFB"/>
    <w:rsid w:val="0025029B"/>
    <w:rsid w:val="00252568"/>
    <w:rsid w:val="00253BAB"/>
    <w:rsid w:val="00253F6E"/>
    <w:rsid w:val="0025449A"/>
    <w:rsid w:val="00256A85"/>
    <w:rsid w:val="0025703A"/>
    <w:rsid w:val="00257972"/>
    <w:rsid w:val="00257CA9"/>
    <w:rsid w:val="00260952"/>
    <w:rsid w:val="00260A3D"/>
    <w:rsid w:val="0026519E"/>
    <w:rsid w:val="00265916"/>
    <w:rsid w:val="00265B91"/>
    <w:rsid w:val="0026638C"/>
    <w:rsid w:val="00266F5A"/>
    <w:rsid w:val="00267384"/>
    <w:rsid w:val="00270FB8"/>
    <w:rsid w:val="00272B5F"/>
    <w:rsid w:val="00273ED5"/>
    <w:rsid w:val="00274325"/>
    <w:rsid w:val="002759C4"/>
    <w:rsid w:val="00275FD2"/>
    <w:rsid w:val="002765C2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BF8"/>
    <w:rsid w:val="002905B3"/>
    <w:rsid w:val="00292902"/>
    <w:rsid w:val="00292C37"/>
    <w:rsid w:val="00292F48"/>
    <w:rsid w:val="002954AE"/>
    <w:rsid w:val="0029641D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9C3"/>
    <w:rsid w:val="002B225F"/>
    <w:rsid w:val="002B3FF6"/>
    <w:rsid w:val="002B3FFA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938"/>
    <w:rsid w:val="002C2E49"/>
    <w:rsid w:val="002C2EBD"/>
    <w:rsid w:val="002C5A64"/>
    <w:rsid w:val="002C61C3"/>
    <w:rsid w:val="002C71CF"/>
    <w:rsid w:val="002D057E"/>
    <w:rsid w:val="002D15C6"/>
    <w:rsid w:val="002D198F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0B6"/>
    <w:rsid w:val="002E50CA"/>
    <w:rsid w:val="002E5A8C"/>
    <w:rsid w:val="002E64B9"/>
    <w:rsid w:val="002E6B13"/>
    <w:rsid w:val="002E6CA1"/>
    <w:rsid w:val="002E7085"/>
    <w:rsid w:val="002E78F4"/>
    <w:rsid w:val="002F00B6"/>
    <w:rsid w:val="002F2AA2"/>
    <w:rsid w:val="002F37D6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974"/>
    <w:rsid w:val="00323A54"/>
    <w:rsid w:val="00324322"/>
    <w:rsid w:val="003243CC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CAD"/>
    <w:rsid w:val="00345AEE"/>
    <w:rsid w:val="00350F51"/>
    <w:rsid w:val="00352DE2"/>
    <w:rsid w:val="00353472"/>
    <w:rsid w:val="0035436D"/>
    <w:rsid w:val="00354FF6"/>
    <w:rsid w:val="00355FCD"/>
    <w:rsid w:val="00361C71"/>
    <w:rsid w:val="0036317F"/>
    <w:rsid w:val="00364842"/>
    <w:rsid w:val="00370C77"/>
    <w:rsid w:val="00370F4A"/>
    <w:rsid w:val="003734AA"/>
    <w:rsid w:val="003743B9"/>
    <w:rsid w:val="00374794"/>
    <w:rsid w:val="00374A21"/>
    <w:rsid w:val="003766EA"/>
    <w:rsid w:val="003820BA"/>
    <w:rsid w:val="003823A1"/>
    <w:rsid w:val="00382526"/>
    <w:rsid w:val="00382C83"/>
    <w:rsid w:val="00383D01"/>
    <w:rsid w:val="003862C2"/>
    <w:rsid w:val="00386C6D"/>
    <w:rsid w:val="003909E2"/>
    <w:rsid w:val="00392E0F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A7A2A"/>
    <w:rsid w:val="003B049D"/>
    <w:rsid w:val="003B0ACC"/>
    <w:rsid w:val="003B0D74"/>
    <w:rsid w:val="003B1517"/>
    <w:rsid w:val="003B1EC6"/>
    <w:rsid w:val="003B2B76"/>
    <w:rsid w:val="003B3718"/>
    <w:rsid w:val="003B6186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5703"/>
    <w:rsid w:val="003D62F6"/>
    <w:rsid w:val="003D7895"/>
    <w:rsid w:val="003E091B"/>
    <w:rsid w:val="003E146F"/>
    <w:rsid w:val="003E165E"/>
    <w:rsid w:val="003E1EE3"/>
    <w:rsid w:val="003E2AF6"/>
    <w:rsid w:val="003E31CD"/>
    <w:rsid w:val="003E367B"/>
    <w:rsid w:val="003E4A98"/>
    <w:rsid w:val="003E53C5"/>
    <w:rsid w:val="003E56D8"/>
    <w:rsid w:val="003E7039"/>
    <w:rsid w:val="003F07E7"/>
    <w:rsid w:val="003F0A4D"/>
    <w:rsid w:val="003F1C93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130A6"/>
    <w:rsid w:val="0041356D"/>
    <w:rsid w:val="00413ADB"/>
    <w:rsid w:val="0041502E"/>
    <w:rsid w:val="00415075"/>
    <w:rsid w:val="004150FC"/>
    <w:rsid w:val="0041600B"/>
    <w:rsid w:val="004169FB"/>
    <w:rsid w:val="004215B4"/>
    <w:rsid w:val="00422301"/>
    <w:rsid w:val="00422C8B"/>
    <w:rsid w:val="004233BC"/>
    <w:rsid w:val="004238B9"/>
    <w:rsid w:val="00426013"/>
    <w:rsid w:val="0042676A"/>
    <w:rsid w:val="00426779"/>
    <w:rsid w:val="00427339"/>
    <w:rsid w:val="00430556"/>
    <w:rsid w:val="00431374"/>
    <w:rsid w:val="0043165A"/>
    <w:rsid w:val="00431DFE"/>
    <w:rsid w:val="004320F4"/>
    <w:rsid w:val="00432541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3955"/>
    <w:rsid w:val="00445579"/>
    <w:rsid w:val="00446752"/>
    <w:rsid w:val="00446BC7"/>
    <w:rsid w:val="0044758F"/>
    <w:rsid w:val="004476F8"/>
    <w:rsid w:val="00447760"/>
    <w:rsid w:val="004515A0"/>
    <w:rsid w:val="00452393"/>
    <w:rsid w:val="00452B1D"/>
    <w:rsid w:val="00452EA9"/>
    <w:rsid w:val="004556F3"/>
    <w:rsid w:val="00457AA1"/>
    <w:rsid w:val="00457DB3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31CC"/>
    <w:rsid w:val="00473237"/>
    <w:rsid w:val="00473872"/>
    <w:rsid w:val="004742BC"/>
    <w:rsid w:val="0047504C"/>
    <w:rsid w:val="0047558D"/>
    <w:rsid w:val="00475ADE"/>
    <w:rsid w:val="004772A2"/>
    <w:rsid w:val="004776F1"/>
    <w:rsid w:val="00480BCC"/>
    <w:rsid w:val="00481D08"/>
    <w:rsid w:val="00482630"/>
    <w:rsid w:val="00482E82"/>
    <w:rsid w:val="004831BB"/>
    <w:rsid w:val="00484481"/>
    <w:rsid w:val="0048481F"/>
    <w:rsid w:val="00485744"/>
    <w:rsid w:val="00487FB1"/>
    <w:rsid w:val="0049292E"/>
    <w:rsid w:val="00492C73"/>
    <w:rsid w:val="004931C5"/>
    <w:rsid w:val="0049405D"/>
    <w:rsid w:val="0049568A"/>
    <w:rsid w:val="00496096"/>
    <w:rsid w:val="004A00D7"/>
    <w:rsid w:val="004A019B"/>
    <w:rsid w:val="004A0AD4"/>
    <w:rsid w:val="004A12EB"/>
    <w:rsid w:val="004A1E44"/>
    <w:rsid w:val="004A31C4"/>
    <w:rsid w:val="004A4252"/>
    <w:rsid w:val="004A5CAF"/>
    <w:rsid w:val="004A63D2"/>
    <w:rsid w:val="004A68FB"/>
    <w:rsid w:val="004A6A6F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5F79"/>
    <w:rsid w:val="004C6E0A"/>
    <w:rsid w:val="004C6EE3"/>
    <w:rsid w:val="004D12C0"/>
    <w:rsid w:val="004D17C2"/>
    <w:rsid w:val="004D46C1"/>
    <w:rsid w:val="004E065A"/>
    <w:rsid w:val="004E0700"/>
    <w:rsid w:val="004E10B6"/>
    <w:rsid w:val="004E3415"/>
    <w:rsid w:val="004E3776"/>
    <w:rsid w:val="004E51AB"/>
    <w:rsid w:val="004E60E3"/>
    <w:rsid w:val="004E71DB"/>
    <w:rsid w:val="004E74B2"/>
    <w:rsid w:val="004F0B9D"/>
    <w:rsid w:val="004F4B16"/>
    <w:rsid w:val="004F4C23"/>
    <w:rsid w:val="004F5D9D"/>
    <w:rsid w:val="004F68B1"/>
    <w:rsid w:val="004F70EC"/>
    <w:rsid w:val="004F710D"/>
    <w:rsid w:val="00500160"/>
    <w:rsid w:val="005002E2"/>
    <w:rsid w:val="00500EAF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6B9A"/>
    <w:rsid w:val="00506D6A"/>
    <w:rsid w:val="0050737E"/>
    <w:rsid w:val="00507E5C"/>
    <w:rsid w:val="005137DD"/>
    <w:rsid w:val="005153C5"/>
    <w:rsid w:val="00515548"/>
    <w:rsid w:val="00515B3A"/>
    <w:rsid w:val="00517835"/>
    <w:rsid w:val="00520C74"/>
    <w:rsid w:val="005211A7"/>
    <w:rsid w:val="00525E76"/>
    <w:rsid w:val="00526F60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16D7"/>
    <w:rsid w:val="00542256"/>
    <w:rsid w:val="00543648"/>
    <w:rsid w:val="00543885"/>
    <w:rsid w:val="00544917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65A4"/>
    <w:rsid w:val="00576A24"/>
    <w:rsid w:val="00576B4D"/>
    <w:rsid w:val="00580A75"/>
    <w:rsid w:val="00583441"/>
    <w:rsid w:val="005842E1"/>
    <w:rsid w:val="00584359"/>
    <w:rsid w:val="005863B1"/>
    <w:rsid w:val="0058686F"/>
    <w:rsid w:val="00587010"/>
    <w:rsid w:val="0059163E"/>
    <w:rsid w:val="00592638"/>
    <w:rsid w:val="00592C77"/>
    <w:rsid w:val="00594D75"/>
    <w:rsid w:val="00595490"/>
    <w:rsid w:val="00595A34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1238"/>
    <w:rsid w:val="005B173D"/>
    <w:rsid w:val="005B30F3"/>
    <w:rsid w:val="005B5B16"/>
    <w:rsid w:val="005B6B2A"/>
    <w:rsid w:val="005C1DBC"/>
    <w:rsid w:val="005C2FE7"/>
    <w:rsid w:val="005C3C51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D9F"/>
    <w:rsid w:val="005D535C"/>
    <w:rsid w:val="005D581A"/>
    <w:rsid w:val="005D7673"/>
    <w:rsid w:val="005E00C1"/>
    <w:rsid w:val="005E387F"/>
    <w:rsid w:val="005E396F"/>
    <w:rsid w:val="005E4BC9"/>
    <w:rsid w:val="005E4C1C"/>
    <w:rsid w:val="005E67DD"/>
    <w:rsid w:val="005E726E"/>
    <w:rsid w:val="005E783E"/>
    <w:rsid w:val="005F216C"/>
    <w:rsid w:val="005F40B5"/>
    <w:rsid w:val="005F45DB"/>
    <w:rsid w:val="005F507B"/>
    <w:rsid w:val="005F5266"/>
    <w:rsid w:val="005F66A0"/>
    <w:rsid w:val="005F69F8"/>
    <w:rsid w:val="005F7682"/>
    <w:rsid w:val="006022F2"/>
    <w:rsid w:val="006029F1"/>
    <w:rsid w:val="00603A63"/>
    <w:rsid w:val="00603C16"/>
    <w:rsid w:val="0060433B"/>
    <w:rsid w:val="00604CE0"/>
    <w:rsid w:val="00604F97"/>
    <w:rsid w:val="006078EA"/>
    <w:rsid w:val="00607CBD"/>
    <w:rsid w:val="00610997"/>
    <w:rsid w:val="006115FE"/>
    <w:rsid w:val="00611A3B"/>
    <w:rsid w:val="00611DCE"/>
    <w:rsid w:val="00613DE1"/>
    <w:rsid w:val="00615182"/>
    <w:rsid w:val="00616501"/>
    <w:rsid w:val="00616C3F"/>
    <w:rsid w:val="00617839"/>
    <w:rsid w:val="006203F4"/>
    <w:rsid w:val="00623381"/>
    <w:rsid w:val="006237F7"/>
    <w:rsid w:val="006248BE"/>
    <w:rsid w:val="0063124C"/>
    <w:rsid w:val="0063325D"/>
    <w:rsid w:val="006337C9"/>
    <w:rsid w:val="00634E94"/>
    <w:rsid w:val="00634F64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9AF"/>
    <w:rsid w:val="00646F34"/>
    <w:rsid w:val="006479DC"/>
    <w:rsid w:val="00647DA6"/>
    <w:rsid w:val="0065028B"/>
    <w:rsid w:val="006507C0"/>
    <w:rsid w:val="006513EB"/>
    <w:rsid w:val="00653A3C"/>
    <w:rsid w:val="00653E16"/>
    <w:rsid w:val="00653EA3"/>
    <w:rsid w:val="00654F3D"/>
    <w:rsid w:val="00655FE1"/>
    <w:rsid w:val="0065655C"/>
    <w:rsid w:val="006568E2"/>
    <w:rsid w:val="00661356"/>
    <w:rsid w:val="006619F8"/>
    <w:rsid w:val="00661A7D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3DE8"/>
    <w:rsid w:val="006749F3"/>
    <w:rsid w:val="00674FDF"/>
    <w:rsid w:val="00682255"/>
    <w:rsid w:val="00683DAF"/>
    <w:rsid w:val="006843BB"/>
    <w:rsid w:val="00684A7F"/>
    <w:rsid w:val="00684DDA"/>
    <w:rsid w:val="00684DEC"/>
    <w:rsid w:val="00684FDD"/>
    <w:rsid w:val="00686CA6"/>
    <w:rsid w:val="006871A0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5836"/>
    <w:rsid w:val="006A7B5D"/>
    <w:rsid w:val="006B018A"/>
    <w:rsid w:val="006B0E1E"/>
    <w:rsid w:val="006B2564"/>
    <w:rsid w:val="006B25D6"/>
    <w:rsid w:val="006B2DCE"/>
    <w:rsid w:val="006B3017"/>
    <w:rsid w:val="006B43BC"/>
    <w:rsid w:val="006B4D07"/>
    <w:rsid w:val="006B53BB"/>
    <w:rsid w:val="006B5BF9"/>
    <w:rsid w:val="006C03D7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B36"/>
    <w:rsid w:val="006D3D26"/>
    <w:rsid w:val="006D3DB2"/>
    <w:rsid w:val="006D43E1"/>
    <w:rsid w:val="006D50C1"/>
    <w:rsid w:val="006D6CC0"/>
    <w:rsid w:val="006D7072"/>
    <w:rsid w:val="006E0361"/>
    <w:rsid w:val="006E142C"/>
    <w:rsid w:val="006E145A"/>
    <w:rsid w:val="006E15E3"/>
    <w:rsid w:val="006E2387"/>
    <w:rsid w:val="006E24AD"/>
    <w:rsid w:val="006E26A0"/>
    <w:rsid w:val="006E510D"/>
    <w:rsid w:val="006E5173"/>
    <w:rsid w:val="006E5200"/>
    <w:rsid w:val="006E672C"/>
    <w:rsid w:val="006E7BC3"/>
    <w:rsid w:val="006E7BFD"/>
    <w:rsid w:val="006F0571"/>
    <w:rsid w:val="006F182E"/>
    <w:rsid w:val="006F3AE3"/>
    <w:rsid w:val="006F5B00"/>
    <w:rsid w:val="006F7377"/>
    <w:rsid w:val="006F7D59"/>
    <w:rsid w:val="0070000E"/>
    <w:rsid w:val="0070014F"/>
    <w:rsid w:val="00700F57"/>
    <w:rsid w:val="00702E28"/>
    <w:rsid w:val="00703EFC"/>
    <w:rsid w:val="0070415B"/>
    <w:rsid w:val="007043A6"/>
    <w:rsid w:val="0070444C"/>
    <w:rsid w:val="007051B7"/>
    <w:rsid w:val="00705217"/>
    <w:rsid w:val="007053D4"/>
    <w:rsid w:val="0070567E"/>
    <w:rsid w:val="00705A22"/>
    <w:rsid w:val="00706146"/>
    <w:rsid w:val="007122A8"/>
    <w:rsid w:val="00713508"/>
    <w:rsid w:val="00713608"/>
    <w:rsid w:val="00716027"/>
    <w:rsid w:val="007162FA"/>
    <w:rsid w:val="00716332"/>
    <w:rsid w:val="00717C33"/>
    <w:rsid w:val="00717EB6"/>
    <w:rsid w:val="007211C8"/>
    <w:rsid w:val="0072273E"/>
    <w:rsid w:val="00724D08"/>
    <w:rsid w:val="00725BD7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579E"/>
    <w:rsid w:val="00746225"/>
    <w:rsid w:val="00746768"/>
    <w:rsid w:val="00750B82"/>
    <w:rsid w:val="007511D9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FD1"/>
    <w:rsid w:val="007A62ED"/>
    <w:rsid w:val="007A7222"/>
    <w:rsid w:val="007B075C"/>
    <w:rsid w:val="007B4B22"/>
    <w:rsid w:val="007B5E02"/>
    <w:rsid w:val="007B654B"/>
    <w:rsid w:val="007B719B"/>
    <w:rsid w:val="007B7637"/>
    <w:rsid w:val="007B7819"/>
    <w:rsid w:val="007C0915"/>
    <w:rsid w:val="007C1C13"/>
    <w:rsid w:val="007C225E"/>
    <w:rsid w:val="007C2E24"/>
    <w:rsid w:val="007C35FD"/>
    <w:rsid w:val="007C3DE5"/>
    <w:rsid w:val="007C4F7F"/>
    <w:rsid w:val="007C541E"/>
    <w:rsid w:val="007C6E1E"/>
    <w:rsid w:val="007C78C4"/>
    <w:rsid w:val="007C7A97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2AAD"/>
    <w:rsid w:val="007F4F2F"/>
    <w:rsid w:val="007F63F2"/>
    <w:rsid w:val="007F6FE3"/>
    <w:rsid w:val="00800357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F85"/>
    <w:rsid w:val="008229D4"/>
    <w:rsid w:val="008230E8"/>
    <w:rsid w:val="008232CA"/>
    <w:rsid w:val="00823ADA"/>
    <w:rsid w:val="00823B3E"/>
    <w:rsid w:val="00824E01"/>
    <w:rsid w:val="00825C2F"/>
    <w:rsid w:val="00826338"/>
    <w:rsid w:val="00826965"/>
    <w:rsid w:val="00827260"/>
    <w:rsid w:val="00830765"/>
    <w:rsid w:val="00830AA3"/>
    <w:rsid w:val="00831416"/>
    <w:rsid w:val="00833D8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1631"/>
    <w:rsid w:val="0085234F"/>
    <w:rsid w:val="00853282"/>
    <w:rsid w:val="008549FD"/>
    <w:rsid w:val="00855568"/>
    <w:rsid w:val="00855FFD"/>
    <w:rsid w:val="008560AA"/>
    <w:rsid w:val="00856101"/>
    <w:rsid w:val="00857CC3"/>
    <w:rsid w:val="008608A3"/>
    <w:rsid w:val="008616E7"/>
    <w:rsid w:val="0086177F"/>
    <w:rsid w:val="00862470"/>
    <w:rsid w:val="0086620F"/>
    <w:rsid w:val="00866AF3"/>
    <w:rsid w:val="00866C82"/>
    <w:rsid w:val="008672E6"/>
    <w:rsid w:val="008677E5"/>
    <w:rsid w:val="00867C57"/>
    <w:rsid w:val="00874311"/>
    <w:rsid w:val="00874EC5"/>
    <w:rsid w:val="00875741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5016"/>
    <w:rsid w:val="00885243"/>
    <w:rsid w:val="008867D4"/>
    <w:rsid w:val="00886823"/>
    <w:rsid w:val="00886BC0"/>
    <w:rsid w:val="0089075D"/>
    <w:rsid w:val="008913B9"/>
    <w:rsid w:val="008917A2"/>
    <w:rsid w:val="008938BD"/>
    <w:rsid w:val="008938D5"/>
    <w:rsid w:val="00894718"/>
    <w:rsid w:val="008964DA"/>
    <w:rsid w:val="0089703E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B07D3"/>
    <w:rsid w:val="008B131C"/>
    <w:rsid w:val="008B1E0A"/>
    <w:rsid w:val="008B1E53"/>
    <w:rsid w:val="008B22B6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7021"/>
    <w:rsid w:val="008E09E2"/>
    <w:rsid w:val="008E1610"/>
    <w:rsid w:val="008E1E4F"/>
    <w:rsid w:val="008E35C2"/>
    <w:rsid w:val="008E74FA"/>
    <w:rsid w:val="008E7876"/>
    <w:rsid w:val="008E7C8C"/>
    <w:rsid w:val="008E7F8D"/>
    <w:rsid w:val="008E7FB7"/>
    <w:rsid w:val="008F132E"/>
    <w:rsid w:val="008F13C2"/>
    <w:rsid w:val="008F2EF0"/>
    <w:rsid w:val="008F3198"/>
    <w:rsid w:val="008F3F61"/>
    <w:rsid w:val="008F49A9"/>
    <w:rsid w:val="008F4F40"/>
    <w:rsid w:val="008F63CE"/>
    <w:rsid w:val="008F6657"/>
    <w:rsid w:val="008F7B0E"/>
    <w:rsid w:val="00901136"/>
    <w:rsid w:val="00902823"/>
    <w:rsid w:val="009031A1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F68"/>
    <w:rsid w:val="009676F5"/>
    <w:rsid w:val="00967F78"/>
    <w:rsid w:val="00970F1D"/>
    <w:rsid w:val="0097115D"/>
    <w:rsid w:val="009713DE"/>
    <w:rsid w:val="00972FC0"/>
    <w:rsid w:val="00974CC4"/>
    <w:rsid w:val="0097555C"/>
    <w:rsid w:val="00975D71"/>
    <w:rsid w:val="00976A55"/>
    <w:rsid w:val="00980252"/>
    <w:rsid w:val="00980542"/>
    <w:rsid w:val="00980CD5"/>
    <w:rsid w:val="00981CE7"/>
    <w:rsid w:val="00982D21"/>
    <w:rsid w:val="00984915"/>
    <w:rsid w:val="00986F45"/>
    <w:rsid w:val="009872B2"/>
    <w:rsid w:val="00990A43"/>
    <w:rsid w:val="00990CD5"/>
    <w:rsid w:val="009919E7"/>
    <w:rsid w:val="0099219C"/>
    <w:rsid w:val="00992989"/>
    <w:rsid w:val="009929C8"/>
    <w:rsid w:val="00993241"/>
    <w:rsid w:val="00997281"/>
    <w:rsid w:val="009A08B6"/>
    <w:rsid w:val="009A17C8"/>
    <w:rsid w:val="009A1E68"/>
    <w:rsid w:val="009A3692"/>
    <w:rsid w:val="009A499C"/>
    <w:rsid w:val="009A5127"/>
    <w:rsid w:val="009A5547"/>
    <w:rsid w:val="009A6296"/>
    <w:rsid w:val="009A688D"/>
    <w:rsid w:val="009A695F"/>
    <w:rsid w:val="009A7259"/>
    <w:rsid w:val="009A7CAB"/>
    <w:rsid w:val="009B020F"/>
    <w:rsid w:val="009B0584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A13"/>
    <w:rsid w:val="009C7F03"/>
    <w:rsid w:val="009D2063"/>
    <w:rsid w:val="009D255F"/>
    <w:rsid w:val="009D2FA2"/>
    <w:rsid w:val="009D3F28"/>
    <w:rsid w:val="009D66B5"/>
    <w:rsid w:val="009E048A"/>
    <w:rsid w:val="009E31B8"/>
    <w:rsid w:val="009E4AAC"/>
    <w:rsid w:val="009E526E"/>
    <w:rsid w:val="009E5282"/>
    <w:rsid w:val="009E61B6"/>
    <w:rsid w:val="009E70DC"/>
    <w:rsid w:val="009E7F5C"/>
    <w:rsid w:val="009F0115"/>
    <w:rsid w:val="009F17C4"/>
    <w:rsid w:val="009F1836"/>
    <w:rsid w:val="009F2CA1"/>
    <w:rsid w:val="009F3D33"/>
    <w:rsid w:val="009F47E4"/>
    <w:rsid w:val="009F4883"/>
    <w:rsid w:val="009F48D9"/>
    <w:rsid w:val="009F4BDE"/>
    <w:rsid w:val="009F5173"/>
    <w:rsid w:val="009F5563"/>
    <w:rsid w:val="009F5924"/>
    <w:rsid w:val="00A015D1"/>
    <w:rsid w:val="00A02588"/>
    <w:rsid w:val="00A02BB4"/>
    <w:rsid w:val="00A03186"/>
    <w:rsid w:val="00A054DF"/>
    <w:rsid w:val="00A0558C"/>
    <w:rsid w:val="00A0773C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D17"/>
    <w:rsid w:val="00A250FE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632C"/>
    <w:rsid w:val="00A367CC"/>
    <w:rsid w:val="00A369A1"/>
    <w:rsid w:val="00A408D1"/>
    <w:rsid w:val="00A41354"/>
    <w:rsid w:val="00A43002"/>
    <w:rsid w:val="00A433A3"/>
    <w:rsid w:val="00A44BC8"/>
    <w:rsid w:val="00A44DAA"/>
    <w:rsid w:val="00A4523C"/>
    <w:rsid w:val="00A4551E"/>
    <w:rsid w:val="00A45B45"/>
    <w:rsid w:val="00A52898"/>
    <w:rsid w:val="00A532A2"/>
    <w:rsid w:val="00A5428F"/>
    <w:rsid w:val="00A542A3"/>
    <w:rsid w:val="00A54377"/>
    <w:rsid w:val="00A55F87"/>
    <w:rsid w:val="00A5783E"/>
    <w:rsid w:val="00A605D2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F18"/>
    <w:rsid w:val="00A70297"/>
    <w:rsid w:val="00A704A9"/>
    <w:rsid w:val="00A70557"/>
    <w:rsid w:val="00A7098B"/>
    <w:rsid w:val="00A717F0"/>
    <w:rsid w:val="00A71E8F"/>
    <w:rsid w:val="00A72A3E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4E18"/>
    <w:rsid w:val="00A8529D"/>
    <w:rsid w:val="00A868FD"/>
    <w:rsid w:val="00A87FD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A18A2"/>
    <w:rsid w:val="00AA2245"/>
    <w:rsid w:val="00AA3A8A"/>
    <w:rsid w:val="00AA44D2"/>
    <w:rsid w:val="00AA5B6A"/>
    <w:rsid w:val="00AA6057"/>
    <w:rsid w:val="00AA6899"/>
    <w:rsid w:val="00AB2FF5"/>
    <w:rsid w:val="00AB30EB"/>
    <w:rsid w:val="00AB3C6A"/>
    <w:rsid w:val="00AB7D44"/>
    <w:rsid w:val="00AC0044"/>
    <w:rsid w:val="00AC0945"/>
    <w:rsid w:val="00AC0B82"/>
    <w:rsid w:val="00AC296A"/>
    <w:rsid w:val="00AC4B90"/>
    <w:rsid w:val="00AC651B"/>
    <w:rsid w:val="00AC6658"/>
    <w:rsid w:val="00AD02AE"/>
    <w:rsid w:val="00AD06F8"/>
    <w:rsid w:val="00AD1BEF"/>
    <w:rsid w:val="00AD316A"/>
    <w:rsid w:val="00AD3B15"/>
    <w:rsid w:val="00AD3D96"/>
    <w:rsid w:val="00AD402A"/>
    <w:rsid w:val="00AD47F3"/>
    <w:rsid w:val="00AD6967"/>
    <w:rsid w:val="00AD7BDF"/>
    <w:rsid w:val="00AD7EB2"/>
    <w:rsid w:val="00AD7EEA"/>
    <w:rsid w:val="00AE4CB0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E09"/>
    <w:rsid w:val="00B068E6"/>
    <w:rsid w:val="00B0766E"/>
    <w:rsid w:val="00B10AA6"/>
    <w:rsid w:val="00B114BA"/>
    <w:rsid w:val="00B11845"/>
    <w:rsid w:val="00B11C98"/>
    <w:rsid w:val="00B13141"/>
    <w:rsid w:val="00B1389F"/>
    <w:rsid w:val="00B147A6"/>
    <w:rsid w:val="00B161A9"/>
    <w:rsid w:val="00B166FD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791F"/>
    <w:rsid w:val="00B4029E"/>
    <w:rsid w:val="00B40438"/>
    <w:rsid w:val="00B40C7D"/>
    <w:rsid w:val="00B41E70"/>
    <w:rsid w:val="00B43FC8"/>
    <w:rsid w:val="00B4546D"/>
    <w:rsid w:val="00B456E8"/>
    <w:rsid w:val="00B512FC"/>
    <w:rsid w:val="00B51F2E"/>
    <w:rsid w:val="00B52321"/>
    <w:rsid w:val="00B53930"/>
    <w:rsid w:val="00B5434B"/>
    <w:rsid w:val="00B552A7"/>
    <w:rsid w:val="00B55ABC"/>
    <w:rsid w:val="00B564E6"/>
    <w:rsid w:val="00B62EFA"/>
    <w:rsid w:val="00B63EED"/>
    <w:rsid w:val="00B659AA"/>
    <w:rsid w:val="00B67136"/>
    <w:rsid w:val="00B67968"/>
    <w:rsid w:val="00B70E95"/>
    <w:rsid w:val="00B71106"/>
    <w:rsid w:val="00B72D1A"/>
    <w:rsid w:val="00B732F4"/>
    <w:rsid w:val="00B74506"/>
    <w:rsid w:val="00B77A9C"/>
    <w:rsid w:val="00B80E9D"/>
    <w:rsid w:val="00B81B35"/>
    <w:rsid w:val="00B81E15"/>
    <w:rsid w:val="00B83088"/>
    <w:rsid w:val="00B836A7"/>
    <w:rsid w:val="00B85C47"/>
    <w:rsid w:val="00B86910"/>
    <w:rsid w:val="00B875C0"/>
    <w:rsid w:val="00B87E35"/>
    <w:rsid w:val="00B915C7"/>
    <w:rsid w:val="00B916ED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E6F"/>
    <w:rsid w:val="00BA14BA"/>
    <w:rsid w:val="00BA36FC"/>
    <w:rsid w:val="00BA3FAE"/>
    <w:rsid w:val="00BA4F13"/>
    <w:rsid w:val="00BA5D03"/>
    <w:rsid w:val="00BA5E67"/>
    <w:rsid w:val="00BA76A4"/>
    <w:rsid w:val="00BB1883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B26"/>
    <w:rsid w:val="00BD0CEA"/>
    <w:rsid w:val="00BD0DBF"/>
    <w:rsid w:val="00BD22B7"/>
    <w:rsid w:val="00BD3AB6"/>
    <w:rsid w:val="00BD5176"/>
    <w:rsid w:val="00BD60FF"/>
    <w:rsid w:val="00BE1894"/>
    <w:rsid w:val="00BE1A5B"/>
    <w:rsid w:val="00BE2F01"/>
    <w:rsid w:val="00BE37EC"/>
    <w:rsid w:val="00BE5DD4"/>
    <w:rsid w:val="00BE6491"/>
    <w:rsid w:val="00BE7A0F"/>
    <w:rsid w:val="00BF0523"/>
    <w:rsid w:val="00BF273A"/>
    <w:rsid w:val="00BF3424"/>
    <w:rsid w:val="00BF44A8"/>
    <w:rsid w:val="00BF59E7"/>
    <w:rsid w:val="00BF5EC6"/>
    <w:rsid w:val="00BF6BDE"/>
    <w:rsid w:val="00BF7D0E"/>
    <w:rsid w:val="00BF7E78"/>
    <w:rsid w:val="00C00500"/>
    <w:rsid w:val="00C02B98"/>
    <w:rsid w:val="00C05376"/>
    <w:rsid w:val="00C05E57"/>
    <w:rsid w:val="00C06FA5"/>
    <w:rsid w:val="00C07BAD"/>
    <w:rsid w:val="00C07CCA"/>
    <w:rsid w:val="00C1036A"/>
    <w:rsid w:val="00C11866"/>
    <w:rsid w:val="00C13E72"/>
    <w:rsid w:val="00C15A13"/>
    <w:rsid w:val="00C16370"/>
    <w:rsid w:val="00C16A03"/>
    <w:rsid w:val="00C16B6D"/>
    <w:rsid w:val="00C16C19"/>
    <w:rsid w:val="00C17059"/>
    <w:rsid w:val="00C17262"/>
    <w:rsid w:val="00C17ABB"/>
    <w:rsid w:val="00C200AA"/>
    <w:rsid w:val="00C200CA"/>
    <w:rsid w:val="00C20C09"/>
    <w:rsid w:val="00C2360C"/>
    <w:rsid w:val="00C24095"/>
    <w:rsid w:val="00C24C03"/>
    <w:rsid w:val="00C2569A"/>
    <w:rsid w:val="00C25D09"/>
    <w:rsid w:val="00C30902"/>
    <w:rsid w:val="00C31116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48FD"/>
    <w:rsid w:val="00C8049A"/>
    <w:rsid w:val="00C814C7"/>
    <w:rsid w:val="00C82054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BD6"/>
    <w:rsid w:val="00C96290"/>
    <w:rsid w:val="00C96292"/>
    <w:rsid w:val="00C96BB8"/>
    <w:rsid w:val="00CA1B9E"/>
    <w:rsid w:val="00CA1DF3"/>
    <w:rsid w:val="00CA2B15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2450"/>
    <w:rsid w:val="00CC55CC"/>
    <w:rsid w:val="00CC5754"/>
    <w:rsid w:val="00CC5B7D"/>
    <w:rsid w:val="00CC7814"/>
    <w:rsid w:val="00CD0380"/>
    <w:rsid w:val="00CD063B"/>
    <w:rsid w:val="00CD0F10"/>
    <w:rsid w:val="00CD15A0"/>
    <w:rsid w:val="00CD1675"/>
    <w:rsid w:val="00CD2285"/>
    <w:rsid w:val="00CD3C33"/>
    <w:rsid w:val="00CD3E89"/>
    <w:rsid w:val="00CD44D9"/>
    <w:rsid w:val="00CD556D"/>
    <w:rsid w:val="00CE04FD"/>
    <w:rsid w:val="00CE1073"/>
    <w:rsid w:val="00CE13E8"/>
    <w:rsid w:val="00CE1B3B"/>
    <w:rsid w:val="00CE246A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FE8"/>
    <w:rsid w:val="00CF1547"/>
    <w:rsid w:val="00CF1599"/>
    <w:rsid w:val="00CF168B"/>
    <w:rsid w:val="00CF1EA8"/>
    <w:rsid w:val="00CF3602"/>
    <w:rsid w:val="00CF37F3"/>
    <w:rsid w:val="00CF562A"/>
    <w:rsid w:val="00CF5D17"/>
    <w:rsid w:val="00D02BCE"/>
    <w:rsid w:val="00D02C19"/>
    <w:rsid w:val="00D039CD"/>
    <w:rsid w:val="00D03F91"/>
    <w:rsid w:val="00D0618A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56BD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1833"/>
    <w:rsid w:val="00D42C77"/>
    <w:rsid w:val="00D437F1"/>
    <w:rsid w:val="00D439AE"/>
    <w:rsid w:val="00D47493"/>
    <w:rsid w:val="00D479D1"/>
    <w:rsid w:val="00D479F0"/>
    <w:rsid w:val="00D50BB5"/>
    <w:rsid w:val="00D50C65"/>
    <w:rsid w:val="00D50DED"/>
    <w:rsid w:val="00D535A8"/>
    <w:rsid w:val="00D53ADD"/>
    <w:rsid w:val="00D53C30"/>
    <w:rsid w:val="00D547DA"/>
    <w:rsid w:val="00D54F2D"/>
    <w:rsid w:val="00D551BC"/>
    <w:rsid w:val="00D5766C"/>
    <w:rsid w:val="00D577AD"/>
    <w:rsid w:val="00D5795A"/>
    <w:rsid w:val="00D60379"/>
    <w:rsid w:val="00D60812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5BB1"/>
    <w:rsid w:val="00D76560"/>
    <w:rsid w:val="00D773BD"/>
    <w:rsid w:val="00D774E2"/>
    <w:rsid w:val="00D779FC"/>
    <w:rsid w:val="00D80247"/>
    <w:rsid w:val="00D81C64"/>
    <w:rsid w:val="00D81EBF"/>
    <w:rsid w:val="00D8514E"/>
    <w:rsid w:val="00D85A42"/>
    <w:rsid w:val="00D8652F"/>
    <w:rsid w:val="00D8680A"/>
    <w:rsid w:val="00D86FDF"/>
    <w:rsid w:val="00D918B7"/>
    <w:rsid w:val="00D93958"/>
    <w:rsid w:val="00D958BA"/>
    <w:rsid w:val="00D95C18"/>
    <w:rsid w:val="00D97177"/>
    <w:rsid w:val="00D971B8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25AE"/>
    <w:rsid w:val="00DC26A2"/>
    <w:rsid w:val="00DC307F"/>
    <w:rsid w:val="00DC3DA7"/>
    <w:rsid w:val="00DC4BD3"/>
    <w:rsid w:val="00DC6411"/>
    <w:rsid w:val="00DC69A6"/>
    <w:rsid w:val="00DC7211"/>
    <w:rsid w:val="00DC72E0"/>
    <w:rsid w:val="00DD1D74"/>
    <w:rsid w:val="00DD2444"/>
    <w:rsid w:val="00DD3051"/>
    <w:rsid w:val="00DD3216"/>
    <w:rsid w:val="00DD322B"/>
    <w:rsid w:val="00DD5278"/>
    <w:rsid w:val="00DD5B09"/>
    <w:rsid w:val="00DD61AB"/>
    <w:rsid w:val="00DD6B4A"/>
    <w:rsid w:val="00DD7BC2"/>
    <w:rsid w:val="00DE0530"/>
    <w:rsid w:val="00DE128E"/>
    <w:rsid w:val="00DE29AA"/>
    <w:rsid w:val="00DE2E3E"/>
    <w:rsid w:val="00DE3C1D"/>
    <w:rsid w:val="00DE541B"/>
    <w:rsid w:val="00DE5439"/>
    <w:rsid w:val="00DE5EA2"/>
    <w:rsid w:val="00DE65B2"/>
    <w:rsid w:val="00DE6948"/>
    <w:rsid w:val="00DE7351"/>
    <w:rsid w:val="00DF00BD"/>
    <w:rsid w:val="00DF01C2"/>
    <w:rsid w:val="00DF0C4E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9D2"/>
    <w:rsid w:val="00E27B8C"/>
    <w:rsid w:val="00E304BD"/>
    <w:rsid w:val="00E30B81"/>
    <w:rsid w:val="00E316DA"/>
    <w:rsid w:val="00E34A2F"/>
    <w:rsid w:val="00E35739"/>
    <w:rsid w:val="00E35872"/>
    <w:rsid w:val="00E40143"/>
    <w:rsid w:val="00E40910"/>
    <w:rsid w:val="00E41D96"/>
    <w:rsid w:val="00E4250F"/>
    <w:rsid w:val="00E4284B"/>
    <w:rsid w:val="00E43C09"/>
    <w:rsid w:val="00E449B9"/>
    <w:rsid w:val="00E456A0"/>
    <w:rsid w:val="00E45A1C"/>
    <w:rsid w:val="00E4771A"/>
    <w:rsid w:val="00E50020"/>
    <w:rsid w:val="00E5135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6F7E"/>
    <w:rsid w:val="00E81687"/>
    <w:rsid w:val="00E81DAA"/>
    <w:rsid w:val="00E82655"/>
    <w:rsid w:val="00E834D5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7350"/>
    <w:rsid w:val="00EE766B"/>
    <w:rsid w:val="00EE77CD"/>
    <w:rsid w:val="00EE7C36"/>
    <w:rsid w:val="00EF02C4"/>
    <w:rsid w:val="00EF1ECE"/>
    <w:rsid w:val="00EF201E"/>
    <w:rsid w:val="00EF610A"/>
    <w:rsid w:val="00EF68EE"/>
    <w:rsid w:val="00EF77AD"/>
    <w:rsid w:val="00F01400"/>
    <w:rsid w:val="00F0192F"/>
    <w:rsid w:val="00F05AA4"/>
    <w:rsid w:val="00F05DE3"/>
    <w:rsid w:val="00F06512"/>
    <w:rsid w:val="00F10108"/>
    <w:rsid w:val="00F14B47"/>
    <w:rsid w:val="00F154E9"/>
    <w:rsid w:val="00F165C5"/>
    <w:rsid w:val="00F17D24"/>
    <w:rsid w:val="00F23814"/>
    <w:rsid w:val="00F23AC8"/>
    <w:rsid w:val="00F2598E"/>
    <w:rsid w:val="00F26372"/>
    <w:rsid w:val="00F26462"/>
    <w:rsid w:val="00F27530"/>
    <w:rsid w:val="00F3061D"/>
    <w:rsid w:val="00F32065"/>
    <w:rsid w:val="00F35186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B38"/>
    <w:rsid w:val="00F722B4"/>
    <w:rsid w:val="00F72364"/>
    <w:rsid w:val="00F734AA"/>
    <w:rsid w:val="00F7391E"/>
    <w:rsid w:val="00F73C63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D21"/>
    <w:rsid w:val="00F95783"/>
    <w:rsid w:val="00F96DFD"/>
    <w:rsid w:val="00F97AC4"/>
    <w:rsid w:val="00F97EC8"/>
    <w:rsid w:val="00FA32B7"/>
    <w:rsid w:val="00FA40A1"/>
    <w:rsid w:val="00FA5348"/>
    <w:rsid w:val="00FA7038"/>
    <w:rsid w:val="00FB1206"/>
    <w:rsid w:val="00FB150C"/>
    <w:rsid w:val="00FB1AF0"/>
    <w:rsid w:val="00FB2168"/>
    <w:rsid w:val="00FB2399"/>
    <w:rsid w:val="00FB281B"/>
    <w:rsid w:val="00FB3B79"/>
    <w:rsid w:val="00FB685E"/>
    <w:rsid w:val="00FB6AD2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A03"/>
    <w:rsid w:val="00FC6B73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986"/>
    <w:rsid w:val="00FE25A3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466B"/>
    <w:rsid w:val="00FF5D96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A02F3-516E-48CC-9B4C-DBB1A29E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4228</Words>
  <Characters>22469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26644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Fabricio Bentes Simoes</cp:lastModifiedBy>
  <cp:revision>30</cp:revision>
  <cp:lastPrinted>2015-01-09T11:18:00Z</cp:lastPrinted>
  <dcterms:created xsi:type="dcterms:W3CDTF">2017-09-11T13:40:00Z</dcterms:created>
  <dcterms:modified xsi:type="dcterms:W3CDTF">2017-09-12T14:05:00Z</dcterms:modified>
</cp:coreProperties>
</file>