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7B02" w:rsidRPr="00826906" w:rsidRDefault="00C87B02">
      <w:pPr>
        <w:pStyle w:val="Cabealho"/>
        <w:tabs>
          <w:tab w:val="clear" w:pos="4419"/>
          <w:tab w:val="clear" w:pos="8838"/>
        </w:tabs>
        <w:rPr>
          <w:rFonts w:ascii="Arial" w:hAnsi="Arial" w:cs="Arial"/>
          <w:b/>
        </w:rPr>
      </w:pPr>
      <w:r w:rsidRPr="00826906">
        <w:rPr>
          <w:rFonts w:ascii="Arial" w:hAnsi="Arial" w:cs="Arial"/>
          <w:b/>
        </w:rPr>
        <w:t>MINISTÉRIO DA AGRICULTURA, PECUÁRIA E ABASTECIMENTO</w:t>
      </w:r>
    </w:p>
    <w:p w:rsidR="00C87B02" w:rsidRPr="00826906" w:rsidRDefault="00C87B02">
      <w:pPr>
        <w:pStyle w:val="Cabealho"/>
        <w:tabs>
          <w:tab w:val="clear" w:pos="4419"/>
          <w:tab w:val="clear" w:pos="8838"/>
        </w:tabs>
        <w:rPr>
          <w:rFonts w:ascii="Arial" w:hAnsi="Arial" w:cs="Arial"/>
          <w:b/>
        </w:rPr>
      </w:pPr>
      <w:r w:rsidRPr="00826906">
        <w:rPr>
          <w:rFonts w:ascii="Arial" w:hAnsi="Arial" w:cs="Arial"/>
          <w:b/>
        </w:rPr>
        <w:t>Secretaria de Relações Internacionais do Agronegócio</w:t>
      </w:r>
    </w:p>
    <w:p w:rsidR="00C87B02" w:rsidRPr="00826906" w:rsidRDefault="00C87B02">
      <w:pPr>
        <w:pStyle w:val="Ttulo1"/>
        <w:rPr>
          <w:rFonts w:ascii="Arial" w:hAnsi="Arial" w:cs="Arial"/>
          <w:sz w:val="20"/>
          <w:szCs w:val="20"/>
        </w:rPr>
      </w:pPr>
    </w:p>
    <w:p w:rsidR="00C87B02" w:rsidRPr="00826906" w:rsidRDefault="00C87B02">
      <w:pPr>
        <w:pStyle w:val="Ttulo1"/>
        <w:rPr>
          <w:rFonts w:ascii="Arial" w:hAnsi="Arial" w:cs="Arial"/>
          <w:sz w:val="20"/>
          <w:szCs w:val="20"/>
        </w:rPr>
      </w:pPr>
      <w:r w:rsidRPr="00826906">
        <w:rPr>
          <w:rFonts w:ascii="Arial" w:hAnsi="Arial" w:cs="Arial"/>
          <w:sz w:val="20"/>
          <w:szCs w:val="20"/>
        </w:rPr>
        <w:t xml:space="preserve">Balança Comercial do Agronegócio – </w:t>
      </w:r>
      <w:r w:rsidR="002C1597">
        <w:rPr>
          <w:rFonts w:ascii="Arial" w:hAnsi="Arial" w:cs="Arial"/>
          <w:sz w:val="20"/>
          <w:szCs w:val="20"/>
        </w:rPr>
        <w:t>Junho</w:t>
      </w:r>
      <w:r w:rsidR="007763E5">
        <w:rPr>
          <w:rFonts w:ascii="Arial" w:hAnsi="Arial" w:cs="Arial"/>
          <w:sz w:val="20"/>
          <w:szCs w:val="20"/>
        </w:rPr>
        <w:t>/2018</w:t>
      </w:r>
    </w:p>
    <w:p w:rsidR="008035E6" w:rsidRPr="00826906" w:rsidRDefault="008035E6" w:rsidP="008035E6">
      <w:pPr>
        <w:rPr>
          <w:rFonts w:ascii="Arial" w:hAnsi="Arial" w:cs="Arial"/>
        </w:rPr>
      </w:pPr>
    </w:p>
    <w:p w:rsidR="008035E6" w:rsidRPr="00826906" w:rsidRDefault="002C1597" w:rsidP="008035E6">
      <w:pPr>
        <w:rPr>
          <w:rFonts w:ascii="Arial" w:hAnsi="Arial" w:cs="Arial"/>
        </w:rPr>
      </w:pPr>
      <w:r w:rsidRPr="002C1597">
        <w:rPr>
          <w:noProof/>
        </w:rPr>
        <w:drawing>
          <wp:inline distT="0" distB="0" distL="0" distR="0" wp14:anchorId="3ADEBD59" wp14:editId="5A6ED942">
            <wp:extent cx="6480175" cy="305181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480175" cy="3051810"/>
                    </a:xfrm>
                    <a:prstGeom prst="rect">
                      <a:avLst/>
                    </a:prstGeom>
                  </pic:spPr>
                </pic:pic>
              </a:graphicData>
            </a:graphic>
          </wp:inline>
        </w:drawing>
      </w:r>
    </w:p>
    <w:p w:rsidR="00C87B02" w:rsidRPr="00826906" w:rsidRDefault="00C87B02">
      <w:pPr>
        <w:pStyle w:val="Ttulo5"/>
        <w:autoSpaceDE/>
        <w:autoSpaceDN/>
        <w:adjustRightInd/>
        <w:rPr>
          <w:rFonts w:ascii="Arial" w:hAnsi="Arial" w:cs="Arial"/>
          <w:sz w:val="20"/>
          <w:szCs w:val="20"/>
        </w:rPr>
      </w:pPr>
    </w:p>
    <w:p w:rsidR="00E04FAF" w:rsidRPr="00826906" w:rsidRDefault="00E04FAF">
      <w:pPr>
        <w:pStyle w:val="Ttulo5"/>
        <w:autoSpaceDE/>
        <w:autoSpaceDN/>
        <w:adjustRightInd/>
        <w:rPr>
          <w:rFonts w:ascii="Arial" w:hAnsi="Arial" w:cs="Arial"/>
          <w:sz w:val="20"/>
          <w:szCs w:val="20"/>
        </w:rPr>
      </w:pPr>
    </w:p>
    <w:p w:rsidR="003E2A9B" w:rsidRDefault="003E2A9B" w:rsidP="003E2A9B">
      <w:pPr>
        <w:pStyle w:val="Ttulo5"/>
        <w:autoSpaceDE/>
        <w:autoSpaceDN/>
        <w:adjustRightInd/>
        <w:rPr>
          <w:rFonts w:ascii="Arial" w:hAnsi="Arial" w:cs="Arial"/>
          <w:sz w:val="20"/>
          <w:szCs w:val="20"/>
        </w:rPr>
      </w:pPr>
      <w:r w:rsidRPr="00826906">
        <w:rPr>
          <w:rFonts w:ascii="Arial" w:hAnsi="Arial" w:cs="Arial"/>
          <w:sz w:val="20"/>
          <w:szCs w:val="20"/>
        </w:rPr>
        <w:t xml:space="preserve">I – Resultados do mês (comparativo </w:t>
      </w:r>
      <w:r>
        <w:rPr>
          <w:rFonts w:ascii="Arial" w:hAnsi="Arial" w:cs="Arial"/>
          <w:sz w:val="20"/>
          <w:szCs w:val="20"/>
        </w:rPr>
        <w:t>Junho/2018</w:t>
      </w:r>
      <w:r w:rsidRPr="00826906">
        <w:rPr>
          <w:rFonts w:ascii="Arial" w:hAnsi="Arial" w:cs="Arial"/>
          <w:sz w:val="20"/>
          <w:szCs w:val="20"/>
        </w:rPr>
        <w:t xml:space="preserve"> – </w:t>
      </w:r>
      <w:r>
        <w:rPr>
          <w:rFonts w:ascii="Arial" w:hAnsi="Arial" w:cs="Arial"/>
          <w:sz w:val="20"/>
          <w:szCs w:val="20"/>
        </w:rPr>
        <w:t>Junho</w:t>
      </w:r>
      <w:r w:rsidRPr="00826906">
        <w:rPr>
          <w:rFonts w:ascii="Arial" w:hAnsi="Arial" w:cs="Arial"/>
          <w:sz w:val="20"/>
          <w:szCs w:val="20"/>
        </w:rPr>
        <w:t>/</w:t>
      </w:r>
      <w:r>
        <w:rPr>
          <w:rFonts w:ascii="Arial" w:hAnsi="Arial" w:cs="Arial"/>
          <w:sz w:val="20"/>
          <w:szCs w:val="20"/>
        </w:rPr>
        <w:t>2017</w:t>
      </w:r>
      <w:r w:rsidRPr="00826906">
        <w:rPr>
          <w:rFonts w:ascii="Arial" w:hAnsi="Arial" w:cs="Arial"/>
          <w:sz w:val="20"/>
          <w:szCs w:val="20"/>
        </w:rPr>
        <w:t>)</w:t>
      </w:r>
    </w:p>
    <w:p w:rsidR="003E2A9B" w:rsidRDefault="003E2A9B" w:rsidP="003E2A9B"/>
    <w:p w:rsidR="003E2A9B" w:rsidRPr="00B23058" w:rsidRDefault="003E2A9B" w:rsidP="003E2A9B">
      <w:pPr>
        <w:pStyle w:val="Recuodecorpodetexto"/>
        <w:rPr>
          <w:rFonts w:ascii="Arial" w:hAnsi="Arial" w:cs="Arial"/>
          <w:sz w:val="20"/>
          <w:szCs w:val="20"/>
        </w:rPr>
      </w:pPr>
      <w:r w:rsidRPr="00B23058">
        <w:rPr>
          <w:rFonts w:ascii="Arial" w:hAnsi="Arial" w:cs="Arial"/>
          <w:sz w:val="20"/>
          <w:szCs w:val="20"/>
        </w:rPr>
        <w:t>Em junho de 2018, as exportações do agronegócio brasileiro alcançaram o montante de US$ 9,21 bilhões, o que representou retração de 0,7% em comparação aos US$ 9,27 bilhões exportados em junho de 2017. Com esse valor, o agronegócio representou 45,6% do total das vendas externas brasileiras no mês. As importações do agronegócio totalizaram US$ 1,04 bilhão em junho, com retração de 10,1% em relação ao mesmo período do ano anterior. Como resultado, o saldo da balança comercial do agronegócio no mês foi de US$ 8,17 bilhões (+0,7%).</w:t>
      </w:r>
    </w:p>
    <w:p w:rsidR="003E2A9B" w:rsidRDefault="003E2A9B" w:rsidP="003E2A9B">
      <w:pPr>
        <w:pStyle w:val="Recuodecorpodetexto"/>
        <w:rPr>
          <w:rFonts w:ascii="Arial" w:hAnsi="Arial" w:cs="Arial"/>
          <w:sz w:val="20"/>
          <w:szCs w:val="20"/>
        </w:rPr>
      </w:pPr>
    </w:p>
    <w:p w:rsidR="003E2A9B" w:rsidRPr="00826906" w:rsidRDefault="003E2A9B" w:rsidP="003E2A9B">
      <w:pPr>
        <w:pStyle w:val="Recuodecorpodetexto"/>
        <w:ind w:firstLine="0"/>
        <w:rPr>
          <w:rFonts w:ascii="Arial" w:hAnsi="Arial" w:cs="Arial"/>
          <w:color w:val="000000" w:themeColor="text1"/>
          <w:sz w:val="20"/>
          <w:szCs w:val="20"/>
        </w:rPr>
      </w:pPr>
    </w:p>
    <w:p w:rsidR="003E2A9B" w:rsidRDefault="003E2A9B" w:rsidP="003E2A9B">
      <w:pPr>
        <w:pStyle w:val="Ttulo5"/>
        <w:autoSpaceDE/>
        <w:autoSpaceDN/>
        <w:adjustRightInd/>
        <w:rPr>
          <w:rFonts w:ascii="Arial" w:hAnsi="Arial" w:cs="Arial"/>
          <w:sz w:val="20"/>
          <w:szCs w:val="20"/>
        </w:rPr>
      </w:pPr>
      <w:proofErr w:type="spellStart"/>
      <w:r w:rsidRPr="00826906">
        <w:rPr>
          <w:rFonts w:ascii="Arial" w:hAnsi="Arial" w:cs="Arial"/>
          <w:sz w:val="20"/>
          <w:szCs w:val="20"/>
        </w:rPr>
        <w:t>I.a</w:t>
      </w:r>
      <w:proofErr w:type="spellEnd"/>
      <w:r w:rsidRPr="00826906">
        <w:rPr>
          <w:rFonts w:ascii="Arial" w:hAnsi="Arial" w:cs="Arial"/>
          <w:sz w:val="20"/>
          <w:szCs w:val="20"/>
        </w:rPr>
        <w:t xml:space="preserve"> – Setores do Agronegócio</w:t>
      </w:r>
    </w:p>
    <w:p w:rsidR="003E2A9B" w:rsidRPr="00522768" w:rsidRDefault="003E2A9B" w:rsidP="003E2A9B">
      <w:pPr>
        <w:pStyle w:val="Recuodecorpodetexto"/>
        <w:rPr>
          <w:rFonts w:ascii="Arial" w:hAnsi="Arial" w:cs="Arial"/>
          <w:color w:val="000000" w:themeColor="text1"/>
          <w:sz w:val="20"/>
          <w:szCs w:val="20"/>
        </w:rPr>
      </w:pPr>
    </w:p>
    <w:p w:rsidR="003E2A9B" w:rsidRPr="00B23058" w:rsidRDefault="003E2A9B" w:rsidP="003E2A9B">
      <w:pPr>
        <w:pStyle w:val="Recuodecorpodetexto"/>
        <w:rPr>
          <w:rFonts w:ascii="Arial" w:hAnsi="Arial" w:cs="Arial"/>
          <w:sz w:val="20"/>
          <w:szCs w:val="20"/>
        </w:rPr>
      </w:pPr>
      <w:r w:rsidRPr="00B23058">
        <w:rPr>
          <w:rFonts w:ascii="Arial" w:hAnsi="Arial" w:cs="Arial"/>
          <w:sz w:val="20"/>
          <w:szCs w:val="20"/>
        </w:rPr>
        <w:t>Os cinco principais setores do agronegócio no período foram: complexo soja, com participação de 53,5% das exportações; produtos florestais, com 14,4%; carnes, com 8,3%; complexo sucroalcooleiro, com 7,0%; e café, com participação de 3,9%. Em conjunto, as vendas externas dos cinco setores mencionados apresentaram participação de 87,0% do total exportado pelo agronegócio brasileiro em junho de 2018.</w:t>
      </w:r>
    </w:p>
    <w:p w:rsidR="003E2A9B" w:rsidRPr="00B23058" w:rsidRDefault="003E2A9B" w:rsidP="003E2A9B">
      <w:pPr>
        <w:pStyle w:val="Recuodecorpodetexto"/>
        <w:rPr>
          <w:rFonts w:ascii="Arial" w:hAnsi="Arial" w:cs="Arial"/>
          <w:sz w:val="20"/>
          <w:szCs w:val="20"/>
        </w:rPr>
      </w:pPr>
    </w:p>
    <w:p w:rsidR="003E2A9B" w:rsidRPr="00B23058" w:rsidRDefault="003E2A9B" w:rsidP="003E2A9B">
      <w:pPr>
        <w:pStyle w:val="Recuodecorpodetexto"/>
        <w:rPr>
          <w:rFonts w:ascii="Arial" w:hAnsi="Arial" w:cs="Arial"/>
          <w:sz w:val="20"/>
          <w:szCs w:val="20"/>
        </w:rPr>
      </w:pPr>
      <w:r w:rsidRPr="00B23058">
        <w:rPr>
          <w:rFonts w:ascii="Arial" w:hAnsi="Arial" w:cs="Arial"/>
          <w:sz w:val="20"/>
          <w:szCs w:val="20"/>
        </w:rPr>
        <w:t>As exportações do complexo soja cresceram 24,4% em relação a junho de 2017, com a cifra de US$ 4,92 bilhões. A maior parcela desse valor foi gerada pelas exportações de soja em grãos, que alcançaram quantidade recorde para o mês de junho com 10,42 milhões de toneladas (+13,3%), o que resultou em uma cifra também recorde para o mês de junho de US$ 4,20 bilhões (+25,2%). Além disso, o preço médio do produto subiu 10,5% no período, passando de US$ 365 para US$ 403 por tonelada. O farelo de soja foi o segundo principal produto negociado pelo setor, com receita de US$ 630,10 milhões (+33,3%)</w:t>
      </w:r>
      <w:r>
        <w:rPr>
          <w:rFonts w:ascii="Arial" w:hAnsi="Arial" w:cs="Arial"/>
          <w:sz w:val="20"/>
          <w:szCs w:val="20"/>
        </w:rPr>
        <w:t>, correspondendo</w:t>
      </w:r>
      <w:r w:rsidRPr="00B23058">
        <w:rPr>
          <w:rFonts w:ascii="Arial" w:hAnsi="Arial" w:cs="Arial"/>
          <w:sz w:val="20"/>
          <w:szCs w:val="20"/>
        </w:rPr>
        <w:t xml:space="preserve"> a 1,56 milhão de toneladas embarcadas (+12,1%) </w:t>
      </w:r>
      <w:r>
        <w:rPr>
          <w:rFonts w:ascii="Arial" w:hAnsi="Arial" w:cs="Arial"/>
          <w:sz w:val="20"/>
          <w:szCs w:val="20"/>
        </w:rPr>
        <w:t xml:space="preserve">a um </w:t>
      </w:r>
      <w:r w:rsidRPr="00B23058">
        <w:rPr>
          <w:rFonts w:ascii="Arial" w:hAnsi="Arial" w:cs="Arial"/>
          <w:sz w:val="20"/>
          <w:szCs w:val="20"/>
        </w:rPr>
        <w:t>preço médio no período de US$ 404 por tonelada (+18,9%). Já as vendas externas de óleo de soja totalizaram US$ 93,84 milhões (-29,0%), com retração no preço médio do produto (-1,8%) e queda na quantidade comercializada (-27,7%), com 129,29 mil toneladas.</w:t>
      </w:r>
    </w:p>
    <w:p w:rsidR="003E2A9B" w:rsidRPr="00B23058" w:rsidRDefault="003E2A9B" w:rsidP="003E2A9B">
      <w:pPr>
        <w:pStyle w:val="Recuodecorpodetexto"/>
        <w:rPr>
          <w:rFonts w:ascii="Arial" w:hAnsi="Arial" w:cs="Arial"/>
          <w:sz w:val="20"/>
          <w:szCs w:val="20"/>
        </w:rPr>
      </w:pPr>
    </w:p>
    <w:p w:rsidR="003E2A9B" w:rsidRPr="00B23058" w:rsidRDefault="003E2A9B" w:rsidP="003E2A9B">
      <w:pPr>
        <w:pStyle w:val="Recuodecorpodetexto"/>
        <w:rPr>
          <w:rFonts w:ascii="Arial" w:hAnsi="Arial" w:cs="Arial"/>
          <w:sz w:val="20"/>
          <w:szCs w:val="20"/>
        </w:rPr>
      </w:pPr>
      <w:r w:rsidRPr="00B23058">
        <w:rPr>
          <w:rFonts w:ascii="Arial" w:hAnsi="Arial" w:cs="Arial"/>
          <w:sz w:val="20"/>
          <w:szCs w:val="20"/>
        </w:rPr>
        <w:t xml:space="preserve">Em segundo lugar no </w:t>
      </w:r>
      <w:r w:rsidRPr="00B7091E">
        <w:rPr>
          <w:rFonts w:ascii="Arial" w:hAnsi="Arial" w:cs="Arial"/>
          <w:i/>
          <w:sz w:val="20"/>
          <w:szCs w:val="20"/>
        </w:rPr>
        <w:t>ranking</w:t>
      </w:r>
      <w:r w:rsidRPr="00B23058">
        <w:rPr>
          <w:rFonts w:ascii="Arial" w:hAnsi="Arial" w:cs="Arial"/>
          <w:sz w:val="20"/>
          <w:szCs w:val="20"/>
        </w:rPr>
        <w:t xml:space="preserve"> dos setores do agronegócio que mais exportaram em valor, os produtos florestais registraram a soma de US$ 1,32 bilhão, com crescimento de 28,5% em relação ao US$ 1,03 bilhão obtido em junho do ano anterior. O principal produto negociado foi a celulose, com o valor recorde para a série mensal e a quantidade recorde para o mês de junho de US$ 832,17 milhões (+34,2%) e 1,42 milhão de toneladas (+4,4%), respectivamente. Em seguida destacaram-se as exportações de madeiras e suas obras, que cresceram 24,7% em valor (US$ 312,68 milhões) e 7,2% em volume (552,54 mil toneladas). As vendas externas de papel totalizaram ainda US$ 178,19 milhões no mês (+12,2%), com a comercialização de 180,06 mil toneladas (-0,1%). </w:t>
      </w:r>
    </w:p>
    <w:p w:rsidR="003E2A9B" w:rsidRPr="00B23058" w:rsidRDefault="003E2A9B" w:rsidP="003E2A9B">
      <w:pPr>
        <w:pStyle w:val="Recuodecorpodetexto"/>
        <w:rPr>
          <w:rFonts w:ascii="Arial" w:hAnsi="Arial" w:cs="Arial"/>
          <w:sz w:val="20"/>
          <w:szCs w:val="20"/>
        </w:rPr>
      </w:pPr>
    </w:p>
    <w:p w:rsidR="003E2A9B" w:rsidRPr="00B23058" w:rsidRDefault="003E2A9B" w:rsidP="003E2A9B">
      <w:pPr>
        <w:pStyle w:val="Recuodecorpodetexto"/>
        <w:rPr>
          <w:rFonts w:ascii="Arial" w:hAnsi="Arial" w:cs="Arial"/>
          <w:sz w:val="20"/>
          <w:szCs w:val="20"/>
        </w:rPr>
      </w:pPr>
      <w:r w:rsidRPr="00B23058">
        <w:rPr>
          <w:rFonts w:ascii="Arial" w:hAnsi="Arial" w:cs="Arial"/>
          <w:sz w:val="20"/>
          <w:szCs w:val="20"/>
        </w:rPr>
        <w:t xml:space="preserve">As exportações de carnes totalizaram US$ 765,10 milhões em junho de 2018, uma diminuição de 42,0% ante o US$ 1,32 bilhão verificado no mesmo mês do ano anterior. Houve retração de 40,1% no </w:t>
      </w:r>
      <w:r w:rsidRPr="009F1264">
        <w:rPr>
          <w:rFonts w:ascii="Arial" w:hAnsi="Arial" w:cs="Arial"/>
          <w:i/>
          <w:sz w:val="20"/>
          <w:szCs w:val="20"/>
        </w:rPr>
        <w:t>quantum</w:t>
      </w:r>
      <w:r w:rsidRPr="00B23058">
        <w:rPr>
          <w:rFonts w:ascii="Arial" w:hAnsi="Arial" w:cs="Arial"/>
          <w:sz w:val="20"/>
          <w:szCs w:val="20"/>
        </w:rPr>
        <w:t xml:space="preserve"> comercializado, com 344,39 mil toneladas, e queda do preço médio dos produtos do setor à taxa de 3,3%. O principal </w:t>
      </w:r>
      <w:r w:rsidRPr="00B23058">
        <w:rPr>
          <w:rFonts w:ascii="Arial" w:hAnsi="Arial" w:cs="Arial"/>
          <w:sz w:val="20"/>
          <w:szCs w:val="20"/>
        </w:rPr>
        <w:lastRenderedPageBreak/>
        <w:t xml:space="preserve">item negociado no mês foi a carne de frango, com US$ 356,87 milhões (-41,2%). Com a comercialização de 230,42 mil toneladas no mês, houve variação negativa de 36,5% em relação a junho de 2017. Já o preço médio da carne de frango brasileira negociada no mercado internacional passou de US$ 1.674 por tonelada para US$ 1.549 por tonelada (-7,5%). As exportações de carne bovina decresceram 37,4% em valor, totalizando US$ 317,58 milhões. Em quantidade, houve diminuição de 47,1%, sendo embarcadas 64,78 mil toneladas. Já o preço médio subiu 18,4%, atingindo a cotação de US$ 4.902 por tonelada. As vendas externas de carne suína alcançaram em junho a cifra de US$ 64,07 milhões (-58,5%), com queda de 45,5% no </w:t>
      </w:r>
      <w:r w:rsidRPr="009F1264">
        <w:rPr>
          <w:rFonts w:ascii="Arial" w:hAnsi="Arial" w:cs="Arial"/>
          <w:i/>
          <w:sz w:val="20"/>
          <w:szCs w:val="20"/>
        </w:rPr>
        <w:t>quantum</w:t>
      </w:r>
      <w:r w:rsidRPr="00B23058">
        <w:rPr>
          <w:rFonts w:ascii="Arial" w:hAnsi="Arial" w:cs="Arial"/>
          <w:sz w:val="20"/>
          <w:szCs w:val="20"/>
        </w:rPr>
        <w:t xml:space="preserve"> comercializado e retração de 23,9% na cotação do produto brasileiro no período. Por fim, as exportações de carne de peru alcançaram o valor de US$ 8,57 milhões (-53,0%) com o embarque de 4,76 mil toneladas (-34,6%).</w:t>
      </w:r>
    </w:p>
    <w:p w:rsidR="003E2A9B" w:rsidRPr="00B23058" w:rsidRDefault="003E2A9B" w:rsidP="003E2A9B">
      <w:pPr>
        <w:pStyle w:val="Recuodecorpodetexto"/>
        <w:rPr>
          <w:rFonts w:ascii="Arial" w:hAnsi="Arial" w:cs="Arial"/>
          <w:sz w:val="20"/>
          <w:szCs w:val="20"/>
        </w:rPr>
      </w:pPr>
    </w:p>
    <w:p w:rsidR="003E2A9B" w:rsidRPr="00B23058" w:rsidRDefault="003E2A9B" w:rsidP="003E2A9B">
      <w:pPr>
        <w:pStyle w:val="Recuodecorpodetexto"/>
        <w:rPr>
          <w:rFonts w:ascii="Arial" w:hAnsi="Arial" w:cs="Arial"/>
          <w:sz w:val="20"/>
          <w:szCs w:val="20"/>
        </w:rPr>
      </w:pPr>
      <w:r w:rsidRPr="00B23058">
        <w:rPr>
          <w:rFonts w:ascii="Arial" w:hAnsi="Arial" w:cs="Arial"/>
          <w:sz w:val="20"/>
          <w:szCs w:val="20"/>
        </w:rPr>
        <w:t xml:space="preserve">Em seguida, destacaram-se as vendas externas do complexo sucroalcooleiro, que atingiram o montante de US$ 647,48 milhões, o que representou diminuição de 52,4% quando comparado com o valor exportado em junho de 2017 (US$ 1,36 bilhão). As vendas de açúcar foram as mais significativas dentro do setor, com o total de US$ 571,82 milhões (-55,1%) e 1,93 milhão de toneladas negociadas (-37,6%). O álcool etílico obteve US$ 74,62 milhões de receita de exportação (-13,4%), com redução de 17,6% na quantidade comercializada (105,50 mil toneladas) e elevação do preço médio do produto, que atingiu a cotação de US$ 707 por tonelada (+5,2%). </w:t>
      </w:r>
    </w:p>
    <w:p w:rsidR="003E2A9B" w:rsidRPr="00B23058" w:rsidRDefault="003E2A9B" w:rsidP="003E2A9B">
      <w:pPr>
        <w:pStyle w:val="Recuodecorpodetexto"/>
        <w:rPr>
          <w:rFonts w:ascii="Arial" w:hAnsi="Arial" w:cs="Arial"/>
          <w:sz w:val="20"/>
          <w:szCs w:val="20"/>
        </w:rPr>
      </w:pPr>
    </w:p>
    <w:p w:rsidR="003E2A9B" w:rsidRPr="00B23058" w:rsidRDefault="003E2A9B" w:rsidP="003E2A9B">
      <w:pPr>
        <w:pStyle w:val="Recuodecorpodetexto"/>
        <w:rPr>
          <w:rFonts w:ascii="Arial" w:hAnsi="Arial" w:cs="Arial"/>
          <w:sz w:val="20"/>
          <w:szCs w:val="20"/>
        </w:rPr>
      </w:pPr>
      <w:r w:rsidRPr="00B23058">
        <w:rPr>
          <w:rFonts w:ascii="Arial" w:hAnsi="Arial" w:cs="Arial"/>
          <w:sz w:val="20"/>
          <w:szCs w:val="20"/>
        </w:rPr>
        <w:t xml:space="preserve">Completando os cinco principais setores do agronegócio em junho de 2018, o setor cafeeiro obteve receita de exportação de US$ 355,01 milhões no mês, o que significou queda de 3,8% em comparação a junho de 2017, quando </w:t>
      </w:r>
      <w:r>
        <w:rPr>
          <w:rFonts w:ascii="Arial" w:hAnsi="Arial" w:cs="Arial"/>
          <w:sz w:val="20"/>
          <w:szCs w:val="20"/>
        </w:rPr>
        <w:t xml:space="preserve">se </w:t>
      </w:r>
      <w:r w:rsidRPr="00B23058">
        <w:rPr>
          <w:rFonts w:ascii="Arial" w:hAnsi="Arial" w:cs="Arial"/>
          <w:sz w:val="20"/>
          <w:szCs w:val="20"/>
        </w:rPr>
        <w:t>atingiu a soma de US$ 368,96 milhões. Em quantidade, houve aumento de 11,7% (136,14 mil toneladas), enquanto a cotação média das exportações brasileiras dos produtos do setor diminuiu 13,9%. As vendas</w:t>
      </w:r>
      <w:r>
        <w:rPr>
          <w:rFonts w:ascii="Arial" w:hAnsi="Arial" w:cs="Arial"/>
          <w:sz w:val="20"/>
          <w:szCs w:val="20"/>
        </w:rPr>
        <w:t xml:space="preserve"> de</w:t>
      </w:r>
      <w:r w:rsidRPr="00B23058">
        <w:rPr>
          <w:rFonts w:ascii="Arial" w:hAnsi="Arial" w:cs="Arial"/>
          <w:sz w:val="20"/>
          <w:szCs w:val="20"/>
        </w:rPr>
        <w:t xml:space="preserve"> café verde representaram 87,</w:t>
      </w:r>
      <w:r>
        <w:rPr>
          <w:rFonts w:ascii="Arial" w:hAnsi="Arial" w:cs="Arial"/>
          <w:sz w:val="20"/>
          <w:szCs w:val="20"/>
        </w:rPr>
        <w:t>4</w:t>
      </w:r>
      <w:r w:rsidRPr="00B23058">
        <w:rPr>
          <w:rFonts w:ascii="Arial" w:hAnsi="Arial" w:cs="Arial"/>
          <w:sz w:val="20"/>
          <w:szCs w:val="20"/>
        </w:rPr>
        <w:t xml:space="preserve">% do total comercializado pelo setor e atingiram o patamar de US$ 310,35 milhões (+0,3%), enquanto a quantidade aumentou 13,2% (129,44 mil toneladas) em relação a igual período do ano anterior. </w:t>
      </w:r>
    </w:p>
    <w:p w:rsidR="003E2A9B" w:rsidRPr="00B23058" w:rsidRDefault="003E2A9B" w:rsidP="003E2A9B">
      <w:pPr>
        <w:pStyle w:val="Recuodecorpodetexto"/>
        <w:rPr>
          <w:rFonts w:ascii="Arial" w:hAnsi="Arial" w:cs="Arial"/>
          <w:sz w:val="20"/>
          <w:szCs w:val="20"/>
        </w:rPr>
      </w:pPr>
    </w:p>
    <w:p w:rsidR="003E2A9B" w:rsidRPr="00B23058" w:rsidRDefault="003E2A9B" w:rsidP="003E2A9B">
      <w:pPr>
        <w:pStyle w:val="Recuodecorpodetexto"/>
        <w:rPr>
          <w:rFonts w:ascii="Arial" w:hAnsi="Arial" w:cs="Arial"/>
          <w:sz w:val="20"/>
          <w:szCs w:val="20"/>
        </w:rPr>
      </w:pPr>
      <w:r w:rsidRPr="00B23058">
        <w:rPr>
          <w:rFonts w:ascii="Arial" w:hAnsi="Arial" w:cs="Arial"/>
          <w:sz w:val="20"/>
          <w:szCs w:val="20"/>
        </w:rPr>
        <w:t>No que se refere às importações do agronegócio, como já mencionado, atingiu-se a soma de US$ 1,04 bilhão. Os principais produtos adquiridos no mês foram: trigo (US$ 131,67 milhões e +47,7%); papel (US$ 76,66 milhões e -1,4%); vestuário e outros produtos têxteis de algodão (US$ 46,35 milhões e +23,8%); salmões frescos ou refrigerados (US$ 43,44 milhões e +14,6%); vinho (US$ 38,18 milhões e +13,2%); borracha natural (US$ 29,70 milhões e -13,9%); malte (US$ 29,22 milhões e -37,9%); álcool etílico (US$ 28,73 milhões e -70,9%); azeite de oliva (US$ 26,17 milhões e +18,1%); e batatas preparadas ou conservadas (US$ 23,75 milhões e -14,2%).</w:t>
      </w:r>
    </w:p>
    <w:p w:rsidR="00C7675B" w:rsidRDefault="00C7675B" w:rsidP="00907DCF">
      <w:pPr>
        <w:pStyle w:val="Recuodecorpodetexto"/>
        <w:rPr>
          <w:rFonts w:ascii="Arial" w:hAnsi="Arial" w:cs="Arial"/>
          <w:sz w:val="20"/>
          <w:szCs w:val="20"/>
        </w:rPr>
      </w:pPr>
    </w:p>
    <w:p w:rsidR="00CF132A" w:rsidRPr="00826906" w:rsidRDefault="002C1597" w:rsidP="00A560CC">
      <w:pPr>
        <w:pStyle w:val="Recuodecorpodetexto"/>
        <w:ind w:firstLine="0"/>
        <w:rPr>
          <w:rFonts w:ascii="Arial" w:hAnsi="Arial" w:cs="Arial"/>
          <w:color w:val="000000" w:themeColor="text1"/>
          <w:sz w:val="20"/>
          <w:szCs w:val="20"/>
        </w:rPr>
      </w:pPr>
      <w:r w:rsidRPr="002C1597">
        <w:rPr>
          <w:noProof/>
        </w:rPr>
        <w:drawing>
          <wp:inline distT="0" distB="0" distL="0" distR="0" wp14:anchorId="5F7D682F" wp14:editId="6E7F6403">
            <wp:extent cx="6480175" cy="385508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80175" cy="3855085"/>
                    </a:xfrm>
                    <a:prstGeom prst="rect">
                      <a:avLst/>
                    </a:prstGeom>
                  </pic:spPr>
                </pic:pic>
              </a:graphicData>
            </a:graphic>
          </wp:inline>
        </w:drawing>
      </w:r>
    </w:p>
    <w:p w:rsidR="00AB3924" w:rsidRPr="005A162D" w:rsidRDefault="00AB3924" w:rsidP="005A162D">
      <w:pPr>
        <w:jc w:val="both"/>
        <w:rPr>
          <w:rFonts w:ascii="Arial" w:hAnsi="Arial" w:cs="Arial"/>
          <w:sz w:val="20"/>
          <w:szCs w:val="20"/>
        </w:rPr>
      </w:pPr>
    </w:p>
    <w:p w:rsidR="00FA7BC4" w:rsidRDefault="00FA7BC4" w:rsidP="00E207EB">
      <w:pPr>
        <w:jc w:val="both"/>
        <w:rPr>
          <w:rFonts w:ascii="Arial" w:hAnsi="Arial" w:cs="Arial"/>
          <w:b/>
          <w:sz w:val="20"/>
          <w:szCs w:val="20"/>
        </w:rPr>
      </w:pPr>
    </w:p>
    <w:p w:rsidR="001D51EE" w:rsidRDefault="006D7B33" w:rsidP="00E207EB">
      <w:pPr>
        <w:jc w:val="both"/>
        <w:rPr>
          <w:rFonts w:ascii="Arial" w:hAnsi="Arial" w:cs="Arial"/>
          <w:b/>
          <w:sz w:val="20"/>
          <w:szCs w:val="20"/>
        </w:rPr>
      </w:pPr>
      <w:proofErr w:type="spellStart"/>
      <w:r w:rsidRPr="00826906">
        <w:rPr>
          <w:rFonts w:ascii="Arial" w:hAnsi="Arial" w:cs="Arial"/>
          <w:b/>
          <w:sz w:val="20"/>
          <w:szCs w:val="20"/>
        </w:rPr>
        <w:t>I.b</w:t>
      </w:r>
      <w:proofErr w:type="spellEnd"/>
      <w:r w:rsidRPr="00826906">
        <w:rPr>
          <w:rFonts w:ascii="Arial" w:hAnsi="Arial" w:cs="Arial"/>
          <w:b/>
          <w:sz w:val="20"/>
          <w:szCs w:val="20"/>
        </w:rPr>
        <w:t xml:space="preserve"> – Blocos Econômicos e Regiões Geográficas</w:t>
      </w:r>
    </w:p>
    <w:p w:rsidR="008F667F" w:rsidRDefault="008F667F" w:rsidP="00E207EB">
      <w:pPr>
        <w:jc w:val="both"/>
        <w:rPr>
          <w:rFonts w:ascii="Arial" w:hAnsi="Arial" w:cs="Arial"/>
          <w:b/>
          <w:sz w:val="20"/>
          <w:szCs w:val="20"/>
        </w:rPr>
      </w:pPr>
    </w:p>
    <w:p w:rsidR="00907DCF" w:rsidRDefault="00907DCF" w:rsidP="00907DCF"/>
    <w:p w:rsidR="003E2A9B" w:rsidRPr="00B23058" w:rsidRDefault="003E2A9B" w:rsidP="003E2A9B">
      <w:pPr>
        <w:pStyle w:val="Recuodecorpodetexto"/>
        <w:rPr>
          <w:rFonts w:ascii="Arial" w:hAnsi="Arial" w:cs="Arial"/>
          <w:sz w:val="20"/>
          <w:szCs w:val="20"/>
        </w:rPr>
      </w:pPr>
      <w:r w:rsidRPr="00B23058">
        <w:rPr>
          <w:rFonts w:ascii="Arial" w:hAnsi="Arial" w:cs="Arial"/>
          <w:sz w:val="20"/>
          <w:szCs w:val="20"/>
        </w:rPr>
        <w:t xml:space="preserve">No que tange às exportações do agronegócio por blocos econômicos e regiões geográficas em junho de 2018, a Ásia foi o principal destino dos produtos brasileiros, com a soma de US$ 5,08 bilhões. O crescimento de 13,7% em relação ao mesmo mês do ano anterior foi causado principalmente pela expansão das vendas de soja </w:t>
      </w:r>
      <w:r w:rsidRPr="00B23058">
        <w:rPr>
          <w:rFonts w:ascii="Arial" w:hAnsi="Arial" w:cs="Arial"/>
          <w:sz w:val="20"/>
          <w:szCs w:val="20"/>
        </w:rPr>
        <w:lastRenderedPageBreak/>
        <w:t xml:space="preserve">em grãos (+US$ 823,98 milhões), celulose (+US$ 156,90 milhões) e farelo de soja (+US$ 41,39 milhões). Com isso, a participação asiática nas vendas externas de produtos agropecuários brasileiros subiu de 48,2% para 55,1%. </w:t>
      </w:r>
    </w:p>
    <w:p w:rsidR="003E2A9B" w:rsidRPr="00B23058" w:rsidRDefault="003E2A9B" w:rsidP="003E2A9B">
      <w:pPr>
        <w:pStyle w:val="Recuodecorpodetexto"/>
        <w:rPr>
          <w:rFonts w:ascii="Arial" w:hAnsi="Arial" w:cs="Arial"/>
          <w:sz w:val="20"/>
          <w:szCs w:val="20"/>
        </w:rPr>
      </w:pPr>
    </w:p>
    <w:p w:rsidR="003E2A9B" w:rsidRPr="00B23058" w:rsidRDefault="003E2A9B" w:rsidP="003E2A9B">
      <w:pPr>
        <w:pStyle w:val="Recuodecorpodetexto"/>
        <w:rPr>
          <w:rFonts w:ascii="Arial" w:hAnsi="Arial" w:cs="Arial"/>
          <w:sz w:val="20"/>
          <w:szCs w:val="20"/>
        </w:rPr>
      </w:pPr>
      <w:r w:rsidRPr="00B23058">
        <w:rPr>
          <w:rFonts w:ascii="Arial" w:hAnsi="Arial" w:cs="Arial"/>
          <w:sz w:val="20"/>
          <w:szCs w:val="20"/>
        </w:rPr>
        <w:t>O segundo principal destino das exportações brasileiras, a União Europeia, ganhou participação no período em destaque, saindo de 16,0% para 16,9%, em virtude d</w:t>
      </w:r>
      <w:r>
        <w:rPr>
          <w:rFonts w:ascii="Arial" w:hAnsi="Arial" w:cs="Arial"/>
          <w:sz w:val="20"/>
          <w:szCs w:val="20"/>
        </w:rPr>
        <w:t xml:space="preserve">e </w:t>
      </w:r>
      <w:r w:rsidRPr="00B23058">
        <w:rPr>
          <w:rFonts w:ascii="Arial" w:hAnsi="Arial" w:cs="Arial"/>
          <w:sz w:val="20"/>
          <w:szCs w:val="20"/>
        </w:rPr>
        <w:t xml:space="preserve">o incremento das vendas (+4,9%) ter ficado acima da variação média das exportações brasileiras no período (-0,7%), atingindo o montante de US$ 1,55 bilhão. Os principais produtos responsáveis pela elevação nas vendas para a UE em junho de 2018 foram: farelo de soja (+US$ 94,70 milhões); celulose (+US$ 60,36 milhões); suco de laranja (+US$ 35,40 milhões); e café verde (+US$ 17,64 milhões). </w:t>
      </w:r>
    </w:p>
    <w:p w:rsidR="003E2A9B" w:rsidRPr="00B23058" w:rsidRDefault="003E2A9B" w:rsidP="003E2A9B">
      <w:pPr>
        <w:pStyle w:val="Recuodecorpodetexto"/>
        <w:rPr>
          <w:rFonts w:ascii="Arial" w:hAnsi="Arial" w:cs="Arial"/>
          <w:sz w:val="20"/>
          <w:szCs w:val="20"/>
        </w:rPr>
      </w:pPr>
    </w:p>
    <w:p w:rsidR="003E2A9B" w:rsidRPr="00B23058" w:rsidRDefault="003E2A9B" w:rsidP="003E2A9B">
      <w:pPr>
        <w:pStyle w:val="Recuodecorpodetexto"/>
        <w:rPr>
          <w:rFonts w:ascii="Arial" w:hAnsi="Arial" w:cs="Arial"/>
          <w:sz w:val="20"/>
          <w:szCs w:val="20"/>
        </w:rPr>
      </w:pPr>
      <w:r w:rsidRPr="00B23058">
        <w:rPr>
          <w:rFonts w:ascii="Arial" w:hAnsi="Arial" w:cs="Arial"/>
          <w:sz w:val="20"/>
          <w:szCs w:val="20"/>
        </w:rPr>
        <w:t xml:space="preserve">Outro aspecto que pode ser destacado na Tabela 2 é </w:t>
      </w:r>
      <w:r>
        <w:rPr>
          <w:rFonts w:ascii="Arial" w:hAnsi="Arial" w:cs="Arial"/>
          <w:sz w:val="20"/>
          <w:szCs w:val="20"/>
        </w:rPr>
        <w:t xml:space="preserve">a </w:t>
      </w:r>
      <w:r w:rsidRPr="00B23058">
        <w:rPr>
          <w:rFonts w:ascii="Arial" w:hAnsi="Arial" w:cs="Arial"/>
          <w:sz w:val="20"/>
          <w:szCs w:val="20"/>
        </w:rPr>
        <w:t xml:space="preserve">queda de participação de três dos cinco principais blocos econômicos e regiões geográficas de destino das exportações do agronegócio brasileiro, na comparação entre junho de 2018 e junho de 2017. Com exceção da Ásia e da União Europeia, verificou-se perda de </w:t>
      </w:r>
      <w:proofErr w:type="spellStart"/>
      <w:r w:rsidRPr="00140569">
        <w:rPr>
          <w:rFonts w:ascii="Arial" w:hAnsi="Arial" w:cs="Arial"/>
          <w:i/>
          <w:sz w:val="20"/>
          <w:szCs w:val="20"/>
        </w:rPr>
        <w:t>share</w:t>
      </w:r>
      <w:proofErr w:type="spellEnd"/>
      <w:r w:rsidRPr="009A662B">
        <w:rPr>
          <w:rFonts w:ascii="Arial" w:hAnsi="Arial" w:cs="Arial"/>
          <w:sz w:val="20"/>
          <w:szCs w:val="20"/>
        </w:rPr>
        <w:t xml:space="preserve"> </w:t>
      </w:r>
      <w:r w:rsidRPr="00B23058">
        <w:rPr>
          <w:rFonts w:ascii="Arial" w:hAnsi="Arial" w:cs="Arial"/>
          <w:sz w:val="20"/>
          <w:szCs w:val="20"/>
        </w:rPr>
        <w:t>para o Oriente Médio (-3,</w:t>
      </w:r>
      <w:r>
        <w:rPr>
          <w:rFonts w:ascii="Arial" w:hAnsi="Arial" w:cs="Arial"/>
          <w:sz w:val="20"/>
          <w:szCs w:val="20"/>
        </w:rPr>
        <w:t>9</w:t>
      </w:r>
      <w:r w:rsidRPr="00B23058">
        <w:rPr>
          <w:rFonts w:ascii="Arial" w:hAnsi="Arial" w:cs="Arial"/>
          <w:sz w:val="20"/>
          <w:szCs w:val="20"/>
        </w:rPr>
        <w:t xml:space="preserve"> pontos percentuais), NAFTA (-0,3 ponto percentual) e África (-3,8 pontos percentuais).</w:t>
      </w:r>
    </w:p>
    <w:p w:rsidR="00C7675B" w:rsidRDefault="00C7675B" w:rsidP="00907DCF">
      <w:pPr>
        <w:pStyle w:val="Recuodecorpodetexto"/>
        <w:rPr>
          <w:rFonts w:ascii="Arial" w:hAnsi="Arial" w:cs="Arial"/>
          <w:sz w:val="20"/>
          <w:szCs w:val="20"/>
        </w:rPr>
      </w:pPr>
    </w:p>
    <w:p w:rsidR="00C7675B" w:rsidRPr="00B74A4B" w:rsidRDefault="00C7675B" w:rsidP="00907DCF">
      <w:pPr>
        <w:pStyle w:val="Recuodecorpodetexto"/>
        <w:rPr>
          <w:rFonts w:ascii="Arial" w:hAnsi="Arial" w:cs="Arial"/>
          <w:sz w:val="20"/>
          <w:szCs w:val="20"/>
        </w:rPr>
      </w:pPr>
    </w:p>
    <w:p w:rsidR="00907DCF" w:rsidRPr="00DD0277" w:rsidRDefault="00907DCF" w:rsidP="00907DCF">
      <w:pPr>
        <w:pStyle w:val="Recuodecorpodetexto"/>
        <w:rPr>
          <w:rFonts w:ascii="Arial" w:hAnsi="Arial" w:cs="Arial"/>
          <w:sz w:val="20"/>
          <w:szCs w:val="20"/>
        </w:rPr>
      </w:pPr>
    </w:p>
    <w:p w:rsidR="00196B83" w:rsidRPr="00826906" w:rsidRDefault="002C1597" w:rsidP="002B1A0F">
      <w:pPr>
        <w:pStyle w:val="Recuodecorpodetexto"/>
        <w:ind w:firstLine="0"/>
        <w:rPr>
          <w:rFonts w:ascii="Arial" w:hAnsi="Arial" w:cs="Arial"/>
          <w:color w:val="000000" w:themeColor="text1"/>
          <w:sz w:val="20"/>
          <w:szCs w:val="20"/>
        </w:rPr>
      </w:pPr>
      <w:r w:rsidRPr="002C1597">
        <w:rPr>
          <w:noProof/>
        </w:rPr>
        <w:drawing>
          <wp:inline distT="0" distB="0" distL="0" distR="0" wp14:anchorId="3E64571B" wp14:editId="2AB7FCA5">
            <wp:extent cx="6480175" cy="234823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480175" cy="2348230"/>
                    </a:xfrm>
                    <a:prstGeom prst="rect">
                      <a:avLst/>
                    </a:prstGeom>
                  </pic:spPr>
                </pic:pic>
              </a:graphicData>
            </a:graphic>
          </wp:inline>
        </w:drawing>
      </w:r>
    </w:p>
    <w:p w:rsidR="007D0604" w:rsidRDefault="007D0604" w:rsidP="00050C8F">
      <w:pPr>
        <w:jc w:val="both"/>
        <w:rPr>
          <w:rFonts w:ascii="Arial" w:hAnsi="Arial" w:cs="Arial"/>
          <w:sz w:val="20"/>
          <w:szCs w:val="20"/>
        </w:rPr>
      </w:pPr>
    </w:p>
    <w:p w:rsidR="00907DCF" w:rsidRPr="00826906" w:rsidRDefault="00907DCF" w:rsidP="00050C8F">
      <w:pPr>
        <w:jc w:val="both"/>
        <w:rPr>
          <w:rFonts w:ascii="Arial" w:hAnsi="Arial" w:cs="Arial"/>
          <w:sz w:val="20"/>
          <w:szCs w:val="20"/>
        </w:rPr>
      </w:pPr>
    </w:p>
    <w:p w:rsidR="001D51EE" w:rsidRDefault="001D51EE" w:rsidP="001D51EE">
      <w:pPr>
        <w:pStyle w:val="Ttulo5"/>
        <w:autoSpaceDE/>
        <w:autoSpaceDN/>
        <w:adjustRightInd/>
        <w:rPr>
          <w:rFonts w:ascii="Arial" w:hAnsi="Arial" w:cs="Arial"/>
          <w:sz w:val="20"/>
          <w:szCs w:val="20"/>
        </w:rPr>
      </w:pPr>
      <w:proofErr w:type="spellStart"/>
      <w:r w:rsidRPr="00826906">
        <w:rPr>
          <w:rFonts w:ascii="Arial" w:hAnsi="Arial" w:cs="Arial"/>
          <w:sz w:val="20"/>
          <w:szCs w:val="20"/>
        </w:rPr>
        <w:t>I.c</w:t>
      </w:r>
      <w:proofErr w:type="spellEnd"/>
      <w:r w:rsidRPr="00826906">
        <w:rPr>
          <w:rFonts w:ascii="Arial" w:hAnsi="Arial" w:cs="Arial"/>
          <w:sz w:val="20"/>
          <w:szCs w:val="20"/>
        </w:rPr>
        <w:t xml:space="preserve"> – Países</w:t>
      </w:r>
    </w:p>
    <w:p w:rsidR="008F667F" w:rsidRDefault="008F667F" w:rsidP="008F667F"/>
    <w:p w:rsidR="003E2A9B" w:rsidRPr="00B23058" w:rsidRDefault="003E2A9B" w:rsidP="003E2A9B">
      <w:pPr>
        <w:pStyle w:val="Recuodecorpodetexto"/>
        <w:rPr>
          <w:rFonts w:ascii="Arial" w:hAnsi="Arial" w:cs="Arial"/>
          <w:sz w:val="20"/>
          <w:szCs w:val="20"/>
        </w:rPr>
      </w:pPr>
      <w:r w:rsidRPr="00B23058">
        <w:rPr>
          <w:rFonts w:ascii="Arial" w:hAnsi="Arial" w:cs="Arial"/>
          <w:sz w:val="20"/>
          <w:szCs w:val="20"/>
        </w:rPr>
        <w:t>No que se refere aos países de destino dos produtos do agronegócio brasileiro, a China permanece como o principal mercado das vendas externas brasileiras, com a cifra de US$ 3,90 bilhões. Em relação a junho de 2017, verificou-se expansão de 33,4% no valor exportado e crescimento da participação chinesa de 31,6% para 42,4%. O principal produto negociado com esse parceiro asiático foi a soja em grãos, com US$ 3,32 bilhões, o que representou 85,1% de todas as exportações do agronegócio brasileiro para a China no mês. Em relação à quantidade, em junho foram embarcadas mais de 8,0 milhões de toneladas do grão para o mercado chinês, o que significou um acréscimo de 1,65 milhão de toneladas em comparação a igual período de 2017. Além disso, a China foi o principal destino da celulose brasileira no período, atingindo a cifra de US$ 357,48 milhões ou 4</w:t>
      </w:r>
      <w:r>
        <w:rPr>
          <w:rFonts w:ascii="Arial" w:hAnsi="Arial" w:cs="Arial"/>
          <w:sz w:val="20"/>
          <w:szCs w:val="20"/>
        </w:rPr>
        <w:t>2,7</w:t>
      </w:r>
      <w:r w:rsidRPr="00B23058">
        <w:rPr>
          <w:rFonts w:ascii="Arial" w:hAnsi="Arial" w:cs="Arial"/>
          <w:sz w:val="20"/>
          <w:szCs w:val="20"/>
        </w:rPr>
        <w:t>% do total das exportações brasileiras de celulose em junho de 2018.</w:t>
      </w:r>
    </w:p>
    <w:p w:rsidR="003E2A9B" w:rsidRPr="00B23058" w:rsidRDefault="003E2A9B" w:rsidP="003E2A9B">
      <w:pPr>
        <w:pStyle w:val="Recuodecorpodetexto"/>
        <w:rPr>
          <w:rFonts w:ascii="Arial" w:hAnsi="Arial" w:cs="Arial"/>
          <w:sz w:val="20"/>
          <w:szCs w:val="20"/>
        </w:rPr>
      </w:pPr>
    </w:p>
    <w:p w:rsidR="003E2A9B" w:rsidRPr="00B23058" w:rsidRDefault="003E2A9B" w:rsidP="003E2A9B">
      <w:pPr>
        <w:pStyle w:val="Recuodecorpodetexto"/>
        <w:rPr>
          <w:rFonts w:ascii="Arial" w:hAnsi="Arial" w:cs="Arial"/>
          <w:sz w:val="20"/>
          <w:szCs w:val="20"/>
        </w:rPr>
      </w:pPr>
      <w:r w:rsidRPr="00B23058">
        <w:rPr>
          <w:rFonts w:ascii="Arial" w:hAnsi="Arial" w:cs="Arial"/>
          <w:sz w:val="20"/>
          <w:szCs w:val="20"/>
        </w:rPr>
        <w:t xml:space="preserve">O segundo principal destino das exportações do agronegócio de junho foram os Estados Unidos, com US$ 562,46 milhões, o que representou recuo de 4,8% em comparação ao valor exportado no mesmo período de 2017 (US$ 590,55 milhões). Com essa queda, a participação dos Estados Unidos caiu de 6,4% para 6,1%. Os principais produtos negociados para o mercado norte-americano no mês foram: madeira (US$ 134,99 milhões); celulose (US$ 100,28 milhões), café verde (US$ 56,63 milhões) e álcool etílico (US$ 44,81 milhões). </w:t>
      </w:r>
    </w:p>
    <w:p w:rsidR="003E2A9B" w:rsidRPr="00B23058" w:rsidRDefault="003E2A9B" w:rsidP="003E2A9B">
      <w:pPr>
        <w:pStyle w:val="Recuodecorpodetexto"/>
        <w:rPr>
          <w:rFonts w:ascii="Arial" w:hAnsi="Arial" w:cs="Arial"/>
          <w:sz w:val="20"/>
          <w:szCs w:val="20"/>
        </w:rPr>
      </w:pPr>
    </w:p>
    <w:p w:rsidR="003E2A9B" w:rsidRPr="005A5406" w:rsidRDefault="003E2A9B" w:rsidP="003E2A9B">
      <w:pPr>
        <w:pStyle w:val="Recuodecorpodetexto"/>
        <w:rPr>
          <w:rFonts w:ascii="Arial" w:hAnsi="Arial" w:cs="Arial"/>
          <w:sz w:val="20"/>
          <w:szCs w:val="20"/>
        </w:rPr>
      </w:pPr>
      <w:r w:rsidRPr="00B23058">
        <w:rPr>
          <w:rFonts w:ascii="Arial" w:hAnsi="Arial" w:cs="Arial"/>
          <w:sz w:val="20"/>
          <w:szCs w:val="20"/>
        </w:rPr>
        <w:t>As exportações para os Países Baixos, terceiro principal comprador de produtos do agronegócio brasileiro em junho de 2018, caíram de US$ 429,33 milhões para US$ 382,15 milhões (-11,0%). Em sua maior parte, tal diminuição foi causada pela retração do comércio de soja em grãos (-US$ 52,19 milhões) e carne de frango industrializada (-US$ 11,43 milhões). Com essa queda, a participação dos Países Baixos nas exportações do agronegócio brasileiro passou de 4,6 para 4,2%.</w:t>
      </w:r>
    </w:p>
    <w:p w:rsidR="003E2A9B" w:rsidRPr="005A5406" w:rsidRDefault="003E2A9B" w:rsidP="003E2A9B">
      <w:pPr>
        <w:pStyle w:val="Recuodecorpodetexto"/>
        <w:rPr>
          <w:rFonts w:ascii="Arial" w:hAnsi="Arial" w:cs="Arial"/>
          <w:sz w:val="20"/>
          <w:szCs w:val="20"/>
        </w:rPr>
      </w:pPr>
    </w:p>
    <w:p w:rsidR="003E2A9B" w:rsidRPr="005A5406" w:rsidRDefault="003E2A9B" w:rsidP="003E2A9B">
      <w:pPr>
        <w:pStyle w:val="Recuodecorpodetexto"/>
        <w:rPr>
          <w:rFonts w:ascii="Arial" w:hAnsi="Arial" w:cs="Arial"/>
          <w:sz w:val="20"/>
          <w:szCs w:val="20"/>
        </w:rPr>
      </w:pPr>
    </w:p>
    <w:p w:rsidR="003E2A9B" w:rsidRPr="004446F3" w:rsidRDefault="003E2A9B" w:rsidP="003E2A9B">
      <w:pPr>
        <w:pStyle w:val="Recuodecorpodetexto"/>
        <w:rPr>
          <w:rFonts w:ascii="Arial" w:hAnsi="Arial" w:cs="Arial"/>
          <w:sz w:val="20"/>
          <w:szCs w:val="20"/>
        </w:rPr>
      </w:pPr>
      <w:r w:rsidRPr="005A5406">
        <w:rPr>
          <w:rFonts w:ascii="Arial" w:hAnsi="Arial" w:cs="Arial"/>
          <w:sz w:val="20"/>
          <w:szCs w:val="20"/>
        </w:rPr>
        <w:t xml:space="preserve">Em relação ao dinamismo das exportações, os principais destaques em </w:t>
      </w:r>
      <w:r>
        <w:rPr>
          <w:rFonts w:ascii="Arial" w:hAnsi="Arial" w:cs="Arial"/>
          <w:sz w:val="20"/>
          <w:szCs w:val="20"/>
        </w:rPr>
        <w:t>junho de 2018</w:t>
      </w:r>
      <w:r w:rsidRPr="005A5406">
        <w:rPr>
          <w:rFonts w:ascii="Arial" w:hAnsi="Arial" w:cs="Arial"/>
          <w:sz w:val="20"/>
          <w:szCs w:val="20"/>
        </w:rPr>
        <w:t xml:space="preserve">, conforme evidenciado na Tabela 3, foram: </w:t>
      </w:r>
      <w:r>
        <w:rPr>
          <w:rFonts w:ascii="Arial" w:hAnsi="Arial" w:cs="Arial"/>
          <w:sz w:val="20"/>
          <w:szCs w:val="20"/>
        </w:rPr>
        <w:t>França</w:t>
      </w:r>
      <w:r w:rsidRPr="005A5406">
        <w:rPr>
          <w:rFonts w:ascii="Arial" w:hAnsi="Arial" w:cs="Arial"/>
          <w:sz w:val="20"/>
          <w:szCs w:val="20"/>
        </w:rPr>
        <w:t xml:space="preserve"> (+</w:t>
      </w:r>
      <w:r>
        <w:rPr>
          <w:rFonts w:ascii="Arial" w:hAnsi="Arial" w:cs="Arial"/>
          <w:sz w:val="20"/>
          <w:szCs w:val="20"/>
        </w:rPr>
        <w:t>132,3</w:t>
      </w:r>
      <w:r w:rsidRPr="005A5406">
        <w:rPr>
          <w:rFonts w:ascii="Arial" w:hAnsi="Arial" w:cs="Arial"/>
          <w:sz w:val="20"/>
          <w:szCs w:val="20"/>
        </w:rPr>
        <w:t xml:space="preserve">%); </w:t>
      </w:r>
      <w:r>
        <w:rPr>
          <w:rFonts w:ascii="Arial" w:hAnsi="Arial" w:cs="Arial"/>
          <w:sz w:val="20"/>
          <w:szCs w:val="20"/>
        </w:rPr>
        <w:t>Turquia</w:t>
      </w:r>
      <w:r w:rsidRPr="005A5406">
        <w:rPr>
          <w:rFonts w:ascii="Arial" w:hAnsi="Arial" w:cs="Arial"/>
          <w:sz w:val="20"/>
          <w:szCs w:val="20"/>
        </w:rPr>
        <w:t xml:space="preserve"> (+</w:t>
      </w:r>
      <w:r>
        <w:rPr>
          <w:rFonts w:ascii="Arial" w:hAnsi="Arial" w:cs="Arial"/>
          <w:sz w:val="20"/>
          <w:szCs w:val="20"/>
        </w:rPr>
        <w:t>75,6</w:t>
      </w:r>
      <w:r w:rsidRPr="005A5406">
        <w:rPr>
          <w:rFonts w:ascii="Arial" w:hAnsi="Arial" w:cs="Arial"/>
          <w:sz w:val="20"/>
          <w:szCs w:val="20"/>
        </w:rPr>
        <w:t>%); Vietnã (+</w:t>
      </w:r>
      <w:r>
        <w:rPr>
          <w:rFonts w:ascii="Arial" w:hAnsi="Arial" w:cs="Arial"/>
          <w:sz w:val="20"/>
          <w:szCs w:val="20"/>
        </w:rPr>
        <w:t>72,8</w:t>
      </w:r>
      <w:r w:rsidRPr="005A5406">
        <w:rPr>
          <w:rFonts w:ascii="Arial" w:hAnsi="Arial" w:cs="Arial"/>
          <w:sz w:val="20"/>
          <w:szCs w:val="20"/>
        </w:rPr>
        <w:t xml:space="preserve">%); </w:t>
      </w:r>
      <w:r>
        <w:rPr>
          <w:rFonts w:ascii="Arial" w:hAnsi="Arial" w:cs="Arial"/>
          <w:sz w:val="20"/>
          <w:szCs w:val="20"/>
        </w:rPr>
        <w:t>Bélgica</w:t>
      </w:r>
      <w:r w:rsidRPr="005A5406">
        <w:rPr>
          <w:rFonts w:ascii="Arial" w:hAnsi="Arial" w:cs="Arial"/>
          <w:sz w:val="20"/>
          <w:szCs w:val="20"/>
        </w:rPr>
        <w:t xml:space="preserve"> (+</w:t>
      </w:r>
      <w:r>
        <w:rPr>
          <w:rFonts w:ascii="Arial" w:hAnsi="Arial" w:cs="Arial"/>
          <w:sz w:val="20"/>
          <w:szCs w:val="20"/>
        </w:rPr>
        <w:t>63,1</w:t>
      </w:r>
      <w:r w:rsidRPr="005A5406">
        <w:rPr>
          <w:rFonts w:ascii="Arial" w:hAnsi="Arial" w:cs="Arial"/>
          <w:sz w:val="20"/>
          <w:szCs w:val="20"/>
        </w:rPr>
        <w:t xml:space="preserve">%); </w:t>
      </w:r>
      <w:r>
        <w:rPr>
          <w:rFonts w:ascii="Arial" w:hAnsi="Arial" w:cs="Arial"/>
          <w:sz w:val="20"/>
          <w:szCs w:val="20"/>
        </w:rPr>
        <w:t>Coreia do Sul</w:t>
      </w:r>
      <w:r w:rsidRPr="005A5406">
        <w:rPr>
          <w:rFonts w:ascii="Arial" w:hAnsi="Arial" w:cs="Arial"/>
          <w:sz w:val="20"/>
          <w:szCs w:val="20"/>
        </w:rPr>
        <w:t xml:space="preserve"> (+</w:t>
      </w:r>
      <w:r>
        <w:rPr>
          <w:rFonts w:ascii="Arial" w:hAnsi="Arial" w:cs="Arial"/>
          <w:sz w:val="20"/>
          <w:szCs w:val="20"/>
        </w:rPr>
        <w:t>45,8</w:t>
      </w:r>
      <w:r w:rsidRPr="005A5406">
        <w:rPr>
          <w:rFonts w:ascii="Arial" w:hAnsi="Arial" w:cs="Arial"/>
          <w:sz w:val="20"/>
          <w:szCs w:val="20"/>
        </w:rPr>
        <w:t xml:space="preserve">%); </w:t>
      </w:r>
      <w:r>
        <w:rPr>
          <w:rFonts w:ascii="Arial" w:hAnsi="Arial" w:cs="Arial"/>
          <w:sz w:val="20"/>
          <w:szCs w:val="20"/>
        </w:rPr>
        <w:t>Espanha</w:t>
      </w:r>
      <w:r w:rsidRPr="005A5406">
        <w:rPr>
          <w:rFonts w:ascii="Arial" w:hAnsi="Arial" w:cs="Arial"/>
          <w:sz w:val="20"/>
          <w:szCs w:val="20"/>
        </w:rPr>
        <w:t xml:space="preserve"> (+</w:t>
      </w:r>
      <w:r>
        <w:rPr>
          <w:rFonts w:ascii="Arial" w:hAnsi="Arial" w:cs="Arial"/>
          <w:sz w:val="20"/>
          <w:szCs w:val="20"/>
        </w:rPr>
        <w:t>35,8</w:t>
      </w:r>
      <w:r w:rsidRPr="005A5406">
        <w:rPr>
          <w:rFonts w:ascii="Arial" w:hAnsi="Arial" w:cs="Arial"/>
          <w:sz w:val="20"/>
          <w:szCs w:val="20"/>
        </w:rPr>
        <w:t>%);</w:t>
      </w:r>
      <w:r>
        <w:rPr>
          <w:rFonts w:ascii="Arial" w:hAnsi="Arial" w:cs="Arial"/>
          <w:sz w:val="20"/>
          <w:szCs w:val="20"/>
        </w:rPr>
        <w:t xml:space="preserve"> e</w:t>
      </w:r>
      <w:r w:rsidRPr="005A5406">
        <w:rPr>
          <w:rFonts w:ascii="Arial" w:hAnsi="Arial" w:cs="Arial"/>
          <w:sz w:val="20"/>
          <w:szCs w:val="20"/>
        </w:rPr>
        <w:t xml:space="preserve"> </w:t>
      </w:r>
      <w:r>
        <w:rPr>
          <w:rFonts w:ascii="Arial" w:hAnsi="Arial" w:cs="Arial"/>
          <w:sz w:val="20"/>
          <w:szCs w:val="20"/>
        </w:rPr>
        <w:t>Argentina</w:t>
      </w:r>
      <w:r w:rsidRPr="005A5406">
        <w:rPr>
          <w:rFonts w:ascii="Arial" w:hAnsi="Arial" w:cs="Arial"/>
          <w:sz w:val="20"/>
          <w:szCs w:val="20"/>
        </w:rPr>
        <w:t xml:space="preserve"> (+</w:t>
      </w:r>
      <w:r>
        <w:rPr>
          <w:rFonts w:ascii="Arial" w:hAnsi="Arial" w:cs="Arial"/>
          <w:sz w:val="20"/>
          <w:szCs w:val="20"/>
        </w:rPr>
        <w:t>34,3%).</w:t>
      </w:r>
    </w:p>
    <w:p w:rsidR="00C7675B" w:rsidRDefault="00C7675B" w:rsidP="00907DCF">
      <w:pPr>
        <w:pStyle w:val="Recuodecorpodetexto"/>
        <w:rPr>
          <w:rFonts w:ascii="Arial" w:hAnsi="Arial" w:cs="Arial"/>
          <w:sz w:val="20"/>
          <w:szCs w:val="20"/>
        </w:rPr>
      </w:pPr>
      <w:bookmarkStart w:id="0" w:name="_GoBack"/>
      <w:bookmarkEnd w:id="0"/>
    </w:p>
    <w:p w:rsidR="00907DCF" w:rsidRDefault="00907DCF" w:rsidP="00907DCF">
      <w:pPr>
        <w:pStyle w:val="Recuodecorpodetexto"/>
        <w:rPr>
          <w:rFonts w:ascii="Arial" w:hAnsi="Arial" w:cs="Arial"/>
          <w:sz w:val="20"/>
          <w:szCs w:val="20"/>
        </w:rPr>
      </w:pPr>
    </w:p>
    <w:p w:rsidR="004731CC" w:rsidRPr="00826906" w:rsidRDefault="002C1597" w:rsidP="00AB2FF5">
      <w:pPr>
        <w:rPr>
          <w:rFonts w:ascii="Arial" w:hAnsi="Arial" w:cs="Arial"/>
        </w:rPr>
      </w:pPr>
      <w:r w:rsidRPr="002C1597">
        <w:rPr>
          <w:noProof/>
        </w:rPr>
        <w:lastRenderedPageBreak/>
        <w:drawing>
          <wp:inline distT="0" distB="0" distL="0" distR="0" wp14:anchorId="28933650" wp14:editId="2CFE7340">
            <wp:extent cx="6480175" cy="3879215"/>
            <wp:effectExtent l="0" t="0" r="0" b="6985"/>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480175" cy="3879215"/>
                    </a:xfrm>
                    <a:prstGeom prst="rect">
                      <a:avLst/>
                    </a:prstGeom>
                  </pic:spPr>
                </pic:pic>
              </a:graphicData>
            </a:graphic>
          </wp:inline>
        </w:drawing>
      </w:r>
    </w:p>
    <w:p w:rsidR="00202D83" w:rsidRDefault="00202D83" w:rsidP="00AB2FF5">
      <w:pPr>
        <w:rPr>
          <w:rFonts w:ascii="Arial" w:hAnsi="Arial" w:cs="Arial"/>
        </w:rPr>
      </w:pPr>
    </w:p>
    <w:p w:rsidR="00826906" w:rsidRPr="00826906" w:rsidRDefault="00826906" w:rsidP="00AB2FF5">
      <w:pPr>
        <w:rPr>
          <w:rFonts w:ascii="Arial" w:hAnsi="Arial" w:cs="Arial"/>
        </w:rPr>
      </w:pPr>
    </w:p>
    <w:p w:rsidR="003B632E" w:rsidRPr="00826906" w:rsidRDefault="003B632E" w:rsidP="003B632E">
      <w:pPr>
        <w:autoSpaceDE w:val="0"/>
        <w:autoSpaceDN w:val="0"/>
        <w:adjustRightInd w:val="0"/>
        <w:jc w:val="both"/>
        <w:rPr>
          <w:rFonts w:ascii="Arial" w:hAnsi="Arial" w:cs="Arial"/>
          <w:b/>
          <w:sz w:val="20"/>
          <w:szCs w:val="20"/>
        </w:rPr>
      </w:pPr>
      <w:r w:rsidRPr="00826906">
        <w:rPr>
          <w:rFonts w:ascii="Arial" w:hAnsi="Arial" w:cs="Arial"/>
          <w:b/>
          <w:sz w:val="20"/>
          <w:szCs w:val="20"/>
        </w:rPr>
        <w:t>II – Resultados do Ano (comparativo Janeiro-</w:t>
      </w:r>
      <w:r w:rsidR="002C1597">
        <w:rPr>
          <w:rFonts w:ascii="Arial" w:hAnsi="Arial" w:cs="Arial"/>
          <w:b/>
          <w:sz w:val="20"/>
          <w:szCs w:val="20"/>
        </w:rPr>
        <w:t>Junho</w:t>
      </w:r>
      <w:r w:rsidR="007763E5">
        <w:rPr>
          <w:rFonts w:ascii="Arial" w:hAnsi="Arial" w:cs="Arial"/>
          <w:b/>
          <w:sz w:val="20"/>
          <w:szCs w:val="20"/>
        </w:rPr>
        <w:t>/2018</w:t>
      </w:r>
      <w:r w:rsidRPr="00826906">
        <w:rPr>
          <w:rFonts w:ascii="Arial" w:hAnsi="Arial" w:cs="Arial"/>
          <w:b/>
          <w:sz w:val="20"/>
          <w:szCs w:val="20"/>
        </w:rPr>
        <w:t xml:space="preserve"> – </w:t>
      </w:r>
      <w:proofErr w:type="gramStart"/>
      <w:r w:rsidRPr="00826906">
        <w:rPr>
          <w:rFonts w:ascii="Arial" w:hAnsi="Arial" w:cs="Arial"/>
          <w:b/>
          <w:sz w:val="20"/>
          <w:szCs w:val="20"/>
        </w:rPr>
        <w:t>Janeiro</w:t>
      </w:r>
      <w:proofErr w:type="gramEnd"/>
      <w:r w:rsidRPr="00826906">
        <w:rPr>
          <w:rFonts w:ascii="Arial" w:hAnsi="Arial" w:cs="Arial"/>
          <w:b/>
          <w:sz w:val="20"/>
          <w:szCs w:val="20"/>
        </w:rPr>
        <w:t>-</w:t>
      </w:r>
      <w:r w:rsidR="002C1597">
        <w:rPr>
          <w:rFonts w:ascii="Arial" w:hAnsi="Arial" w:cs="Arial"/>
          <w:b/>
          <w:sz w:val="20"/>
          <w:szCs w:val="20"/>
        </w:rPr>
        <w:t>Junho</w:t>
      </w:r>
      <w:r w:rsidRPr="00826906">
        <w:rPr>
          <w:rFonts w:ascii="Arial" w:hAnsi="Arial" w:cs="Arial"/>
          <w:b/>
          <w:sz w:val="20"/>
          <w:szCs w:val="20"/>
        </w:rPr>
        <w:t>/201</w:t>
      </w:r>
      <w:r w:rsidR="007763E5">
        <w:rPr>
          <w:rFonts w:ascii="Arial" w:hAnsi="Arial" w:cs="Arial"/>
          <w:b/>
          <w:sz w:val="20"/>
          <w:szCs w:val="20"/>
        </w:rPr>
        <w:t>7</w:t>
      </w:r>
      <w:r w:rsidRPr="00826906">
        <w:rPr>
          <w:rFonts w:ascii="Arial" w:hAnsi="Arial" w:cs="Arial"/>
          <w:b/>
          <w:sz w:val="20"/>
          <w:szCs w:val="20"/>
        </w:rPr>
        <w:t>)</w:t>
      </w:r>
    </w:p>
    <w:p w:rsidR="003B632E" w:rsidRDefault="003B632E" w:rsidP="003B632E">
      <w:pPr>
        <w:autoSpaceDE w:val="0"/>
        <w:autoSpaceDN w:val="0"/>
        <w:adjustRightInd w:val="0"/>
        <w:jc w:val="both"/>
        <w:rPr>
          <w:rFonts w:ascii="Arial" w:hAnsi="Arial" w:cs="Arial"/>
          <w:b/>
          <w:sz w:val="20"/>
          <w:szCs w:val="20"/>
        </w:rPr>
      </w:pPr>
    </w:p>
    <w:p w:rsidR="00B905EE" w:rsidRDefault="00B905EE" w:rsidP="00B905EE">
      <w:pPr>
        <w:pStyle w:val="Recuodecorpodetexto"/>
        <w:rPr>
          <w:rFonts w:ascii="Arial" w:hAnsi="Arial" w:cs="Arial"/>
          <w:sz w:val="20"/>
          <w:szCs w:val="20"/>
        </w:rPr>
      </w:pPr>
      <w:r w:rsidRPr="002240A8">
        <w:rPr>
          <w:rFonts w:ascii="Arial" w:hAnsi="Arial" w:cs="Arial"/>
          <w:sz w:val="20"/>
          <w:szCs w:val="20"/>
        </w:rPr>
        <w:t xml:space="preserve">As exportações </w:t>
      </w:r>
      <w:r>
        <w:rPr>
          <w:rFonts w:ascii="Arial" w:hAnsi="Arial" w:cs="Arial"/>
          <w:sz w:val="20"/>
          <w:szCs w:val="20"/>
        </w:rPr>
        <w:t xml:space="preserve">do agronegócio brasileiro acumularam receita de US$ 49,53 bilhões no primeiro semestre de 2018, superando em 2,9% o resultado apontado em igual intervalo do ano anterior, quando somaram US$ 48,13 bilhões. O acréscimo foi decorrente do avanço de 0,3% no índice de preço e de 2,6% em </w:t>
      </w:r>
      <w:r w:rsidRPr="00B2517C">
        <w:rPr>
          <w:rFonts w:ascii="Arial" w:hAnsi="Arial" w:cs="Arial"/>
          <w:i/>
          <w:sz w:val="20"/>
          <w:szCs w:val="20"/>
        </w:rPr>
        <w:t>quantum</w:t>
      </w:r>
      <w:r>
        <w:rPr>
          <w:rFonts w:ascii="Arial" w:hAnsi="Arial" w:cs="Arial"/>
          <w:sz w:val="20"/>
          <w:szCs w:val="20"/>
        </w:rPr>
        <w:t>. O crescimento nas exportações agropecuárias foi menor que o alcançado em relação às exportações totais do país (5,6%), razão pela qual a participação do agronegócio recuou de 44,7% para 43,6% na passagem do primeiro semestre do ano anterior para o deste ano.</w:t>
      </w:r>
    </w:p>
    <w:p w:rsidR="00B905EE" w:rsidRDefault="00B905EE" w:rsidP="00B905EE">
      <w:pPr>
        <w:pStyle w:val="Recuodecorpodetexto"/>
        <w:rPr>
          <w:rFonts w:ascii="Arial" w:hAnsi="Arial" w:cs="Arial"/>
          <w:sz w:val="20"/>
          <w:szCs w:val="20"/>
        </w:rPr>
      </w:pPr>
    </w:p>
    <w:p w:rsidR="00B905EE" w:rsidRPr="002240A8" w:rsidRDefault="00B905EE" w:rsidP="00B905EE">
      <w:pPr>
        <w:pStyle w:val="Recuodecorpodetexto"/>
        <w:rPr>
          <w:rFonts w:ascii="Arial" w:hAnsi="Arial" w:cs="Arial"/>
          <w:sz w:val="20"/>
          <w:szCs w:val="20"/>
        </w:rPr>
      </w:pPr>
      <w:r>
        <w:rPr>
          <w:rFonts w:ascii="Arial" w:hAnsi="Arial" w:cs="Arial"/>
          <w:sz w:val="20"/>
          <w:szCs w:val="20"/>
        </w:rPr>
        <w:t xml:space="preserve">Relativamente às importações de bens do agronegócio, o Brasil assinalou declínio de 3,6% no período em análise, caindo de US$ 7,30 bilhões para US$ 7,04 bilhões. A decomposição desse resultado mostra que o índice de </w:t>
      </w:r>
      <w:r w:rsidRPr="00C77EE1">
        <w:rPr>
          <w:rFonts w:ascii="Arial" w:hAnsi="Arial" w:cs="Arial"/>
          <w:i/>
          <w:sz w:val="20"/>
          <w:szCs w:val="20"/>
        </w:rPr>
        <w:t>quantum</w:t>
      </w:r>
      <w:r>
        <w:rPr>
          <w:rFonts w:ascii="Arial" w:hAnsi="Arial" w:cs="Arial"/>
          <w:sz w:val="20"/>
          <w:szCs w:val="20"/>
        </w:rPr>
        <w:t xml:space="preserve"> foi mais determinante, com queda de 2,7%, frente ao de preço, </w:t>
      </w:r>
      <w:r w:rsidR="00FA2BAB">
        <w:rPr>
          <w:rFonts w:ascii="Arial" w:hAnsi="Arial" w:cs="Arial"/>
          <w:sz w:val="20"/>
          <w:szCs w:val="20"/>
        </w:rPr>
        <w:t>cuja</w:t>
      </w:r>
      <w:r>
        <w:rPr>
          <w:rFonts w:ascii="Arial" w:hAnsi="Arial" w:cs="Arial"/>
          <w:sz w:val="20"/>
          <w:szCs w:val="20"/>
        </w:rPr>
        <w:t xml:space="preserve"> diminuição </w:t>
      </w:r>
      <w:r w:rsidR="00FA2BAB">
        <w:rPr>
          <w:rFonts w:ascii="Arial" w:hAnsi="Arial" w:cs="Arial"/>
          <w:sz w:val="20"/>
          <w:szCs w:val="20"/>
        </w:rPr>
        <w:t xml:space="preserve">foi </w:t>
      </w:r>
      <w:r>
        <w:rPr>
          <w:rFonts w:ascii="Arial" w:hAnsi="Arial" w:cs="Arial"/>
          <w:sz w:val="20"/>
          <w:szCs w:val="20"/>
        </w:rPr>
        <w:t>de 0,9%. Por conta desses desempenhos, o comércio exterior do agronegócio brasileiro revelou uma expansão do superávit comercial entre os períodos comparativos, de US$ 40,83 bilhões para US$ 42,50 bilhões. Na série histórica iniciada em 1997, este foi o maior superávit registrado para intervalos de janeiro-junho e o segundo maior valor de exportação.</w:t>
      </w:r>
    </w:p>
    <w:p w:rsidR="003B632E" w:rsidRPr="00826906" w:rsidRDefault="003B632E" w:rsidP="003B632E">
      <w:pPr>
        <w:autoSpaceDE w:val="0"/>
        <w:autoSpaceDN w:val="0"/>
        <w:adjustRightInd w:val="0"/>
        <w:jc w:val="both"/>
        <w:rPr>
          <w:rFonts w:ascii="Arial" w:hAnsi="Arial" w:cs="Arial"/>
          <w:b/>
          <w:sz w:val="20"/>
          <w:szCs w:val="20"/>
        </w:rPr>
      </w:pPr>
    </w:p>
    <w:p w:rsidR="003B632E" w:rsidRDefault="003B632E" w:rsidP="003B632E">
      <w:pPr>
        <w:pStyle w:val="Ttulo5"/>
        <w:autoSpaceDE/>
        <w:autoSpaceDN/>
        <w:adjustRightInd/>
        <w:rPr>
          <w:rFonts w:ascii="Arial" w:hAnsi="Arial" w:cs="Arial"/>
          <w:sz w:val="20"/>
          <w:szCs w:val="20"/>
        </w:rPr>
      </w:pPr>
      <w:proofErr w:type="spellStart"/>
      <w:r w:rsidRPr="00826906">
        <w:rPr>
          <w:rFonts w:ascii="Arial" w:hAnsi="Arial" w:cs="Arial"/>
          <w:sz w:val="20"/>
          <w:szCs w:val="20"/>
        </w:rPr>
        <w:t>II.a</w:t>
      </w:r>
      <w:proofErr w:type="spellEnd"/>
      <w:r w:rsidRPr="00826906">
        <w:rPr>
          <w:rFonts w:ascii="Arial" w:hAnsi="Arial" w:cs="Arial"/>
          <w:sz w:val="20"/>
          <w:szCs w:val="20"/>
        </w:rPr>
        <w:t xml:space="preserve"> – Setores do Agronegócio</w:t>
      </w:r>
    </w:p>
    <w:p w:rsidR="00D12C0B" w:rsidRDefault="00D12C0B" w:rsidP="00D12C0B"/>
    <w:p w:rsidR="00B905EE" w:rsidRPr="00C77EE1" w:rsidRDefault="00B905EE" w:rsidP="00B905EE">
      <w:pPr>
        <w:pStyle w:val="Recuodecorpodetexto"/>
        <w:rPr>
          <w:rFonts w:ascii="Arial" w:hAnsi="Arial" w:cs="Arial"/>
          <w:sz w:val="20"/>
          <w:szCs w:val="20"/>
        </w:rPr>
      </w:pPr>
      <w:r>
        <w:rPr>
          <w:rFonts w:ascii="Arial" w:hAnsi="Arial" w:cs="Arial"/>
          <w:sz w:val="20"/>
          <w:szCs w:val="20"/>
        </w:rPr>
        <w:t>No primeiro semestre de 2018, os cinco principais setores da pauta de exportação do agronegócio foram os seguintes: complexo soja (representando 45,1% sobre o total exportado), produtos florestais (14,3%), carnes (12,9%), complexo sucroalcooleiro (7,2%) e café (4,5%). Juntos, eles responderam por 83,9% das vendas entre janeiro e junho de 2018. No ano anterior, no mesmo intervalo, essa participação atingiu 85,6%, o que revela, portanto, uma redução no grau de concentração da pauta, a qual foi motivada, sobretudo, pelas drásticas quedas nas exportações dos setores sucroalcooleiro (queda de 5</w:t>
      </w:r>
      <w:r w:rsidR="00FA2BAB">
        <w:rPr>
          <w:rFonts w:ascii="Arial" w:hAnsi="Arial" w:cs="Arial"/>
          <w:sz w:val="20"/>
          <w:szCs w:val="20"/>
        </w:rPr>
        <w:t>,0</w:t>
      </w:r>
      <w:r>
        <w:rPr>
          <w:rFonts w:ascii="Arial" w:hAnsi="Arial" w:cs="Arial"/>
          <w:sz w:val="20"/>
          <w:szCs w:val="20"/>
        </w:rPr>
        <w:t xml:space="preserve"> pontos percentuais) e carnes (-2,3 pontos percentuais).</w:t>
      </w:r>
    </w:p>
    <w:p w:rsidR="00B905EE" w:rsidRDefault="00B905EE" w:rsidP="00B905EE">
      <w:pPr>
        <w:pStyle w:val="Recuodecorpodetexto"/>
        <w:rPr>
          <w:rFonts w:ascii="Arial" w:hAnsi="Arial" w:cs="Arial"/>
          <w:sz w:val="20"/>
          <w:szCs w:val="20"/>
        </w:rPr>
      </w:pPr>
    </w:p>
    <w:p w:rsidR="00B905EE" w:rsidRDefault="00B905EE" w:rsidP="00B905EE">
      <w:pPr>
        <w:pStyle w:val="Recuodecorpodetexto"/>
        <w:rPr>
          <w:rFonts w:ascii="Arial" w:hAnsi="Arial" w:cs="Arial"/>
          <w:sz w:val="20"/>
          <w:szCs w:val="20"/>
        </w:rPr>
      </w:pPr>
      <w:r>
        <w:rPr>
          <w:rFonts w:ascii="Arial" w:hAnsi="Arial" w:cs="Arial"/>
          <w:sz w:val="20"/>
          <w:szCs w:val="20"/>
        </w:rPr>
        <w:t xml:space="preserve">O complexo soja mantém-se historicamente no topo da pauta exportadora do agronegócio, posição sustentada principalmente pelos embarques de soja em grão. No primeiro semestre de 2018, foram embarcadas 46,27 milhões de toneladas, gerando receita de US$ 18,43 bilhões. Os aumentos frente ao mesmo período de 2017 foram de 5,2% em quantidade e de 10,6% no valor exportado, </w:t>
      </w:r>
      <w:r w:rsidR="00FA2BAB">
        <w:rPr>
          <w:rFonts w:ascii="Arial" w:hAnsi="Arial" w:cs="Arial"/>
          <w:sz w:val="20"/>
          <w:szCs w:val="20"/>
        </w:rPr>
        <w:t xml:space="preserve">resultado da elevação do preço médio em 5,1%, </w:t>
      </w:r>
      <w:r>
        <w:rPr>
          <w:rFonts w:ascii="Arial" w:hAnsi="Arial" w:cs="Arial"/>
          <w:sz w:val="20"/>
          <w:szCs w:val="20"/>
        </w:rPr>
        <w:t>o que proporcionou registros de novos recordes de valor e quantidade. Além da previsão de aumento da produção de soja na safra 2017/2018, divulgada pela Companhia Nacional de Abastecimento (CONAB), na edição do seu 10º levantamento sobre a safra brasileira de grãos, o cenário favorável ao Brasil para a comercialização do grão é complementado pelo conflito comercial vigente entre Estados Unidos (divide a liderança na produção com o Brasil e é o segundo exportador mundial) e China, que sinaliza a possibilidade de</w:t>
      </w:r>
      <w:r w:rsidR="00FA2BAB">
        <w:rPr>
          <w:rFonts w:ascii="Arial" w:hAnsi="Arial" w:cs="Arial"/>
          <w:sz w:val="20"/>
          <w:szCs w:val="20"/>
        </w:rPr>
        <w:t>ste país</w:t>
      </w:r>
      <w:r>
        <w:rPr>
          <w:rFonts w:ascii="Arial" w:hAnsi="Arial" w:cs="Arial"/>
          <w:sz w:val="20"/>
          <w:szCs w:val="20"/>
        </w:rPr>
        <w:t xml:space="preserve"> impor um adicional de 25% sobre as compras da soja norte americana. A CONAB também estima que a exportação atinja 72 milhões de toneladas, o que superaria em 5,6% o volume do período anterior. As exportações de farelo de soja registraram expansão maior </w:t>
      </w:r>
      <w:r>
        <w:rPr>
          <w:rFonts w:ascii="Arial" w:hAnsi="Arial" w:cs="Arial"/>
          <w:sz w:val="20"/>
          <w:szCs w:val="20"/>
        </w:rPr>
        <w:lastRenderedPageBreak/>
        <w:t xml:space="preserve">que </w:t>
      </w:r>
      <w:r w:rsidR="006A2ED3">
        <w:rPr>
          <w:rFonts w:ascii="Arial" w:hAnsi="Arial" w:cs="Arial"/>
          <w:sz w:val="20"/>
          <w:szCs w:val="20"/>
        </w:rPr>
        <w:t>a d</w:t>
      </w:r>
      <w:r>
        <w:rPr>
          <w:rFonts w:ascii="Arial" w:hAnsi="Arial" w:cs="Arial"/>
          <w:sz w:val="20"/>
          <w:szCs w:val="20"/>
        </w:rPr>
        <w:t xml:space="preserve">o grão no valor exportado (+22,7%), passando de US$ 2,72 bilhões para US$ 3,34 bilhões, estabelecendo recorde na quantidade exportada (8,57 milhões de toneladas). O aumento do esmagamento do grão, impulsionado pelo crescente uso da soja na produção de biodiesel, explica em parte o avanço do farelo. Já as exportações de óleo de soja caíram </w:t>
      </w:r>
      <w:r w:rsidR="00030698">
        <w:rPr>
          <w:rFonts w:ascii="Arial" w:hAnsi="Arial" w:cs="Arial"/>
          <w:sz w:val="20"/>
          <w:szCs w:val="20"/>
        </w:rPr>
        <w:t>4,3</w:t>
      </w:r>
      <w:r>
        <w:rPr>
          <w:rFonts w:ascii="Arial" w:hAnsi="Arial" w:cs="Arial"/>
          <w:sz w:val="20"/>
          <w:szCs w:val="20"/>
        </w:rPr>
        <w:t>%, de US$ 570,80 milhões para US$ 546,42 milhões.</w:t>
      </w:r>
    </w:p>
    <w:p w:rsidR="00B905EE" w:rsidRDefault="00B905EE" w:rsidP="00B905EE">
      <w:pPr>
        <w:pStyle w:val="Recuodecorpodetexto"/>
        <w:rPr>
          <w:rFonts w:ascii="Arial" w:hAnsi="Arial" w:cs="Arial"/>
          <w:sz w:val="20"/>
          <w:szCs w:val="20"/>
        </w:rPr>
      </w:pPr>
    </w:p>
    <w:p w:rsidR="00B905EE" w:rsidRDefault="00B905EE" w:rsidP="00B905EE">
      <w:pPr>
        <w:pStyle w:val="Recuodecorpodetexto"/>
        <w:rPr>
          <w:rFonts w:ascii="Arial" w:hAnsi="Arial" w:cs="Arial"/>
          <w:sz w:val="20"/>
          <w:szCs w:val="20"/>
        </w:rPr>
      </w:pPr>
      <w:r>
        <w:rPr>
          <w:rFonts w:ascii="Arial" w:hAnsi="Arial" w:cs="Arial"/>
          <w:sz w:val="20"/>
          <w:szCs w:val="20"/>
        </w:rPr>
        <w:t>Na segunda posição da pauta, os produtos florestais registraram exportações de US$ 7,08 bilhões, superando os setores de carnes e sucroalcooleiro, que no primeiro semestre de 2017 assumiam a segunda e terceira colocações na pauta. Desde 2007, o setor de carnes mantinha-se à frente dos produtos florestais na pauta exportadora, comparando intervalos de janeiro-junho. No entanto, a ascensão da celulose promoveu a troca de posições entre esses setores, a qual foi efetivada no primeiro semestre de 2018. As exportações de celulose atingiram US$ 4,34 bilhões, equivalendo ao embarque de 7,96 milhões de toneladas, o que garantiu novo recorde na comercialização do produto, tanto em valor como em quantidade. As vendas de madeiras também contribuíram para o desempenho do setor, com crescimento de 17,7% no valor exportado, passando de US$ 1,49 bilhão para US$ 1,76 bilhão. Na sequência, citam-se as exportações de papel, que atingiram US$ 981,54 milhões no primeiro semestre de 2018, mostrando acréscimo de 5,6%.</w:t>
      </w:r>
    </w:p>
    <w:p w:rsidR="00B905EE" w:rsidRDefault="00B905EE" w:rsidP="00B905EE">
      <w:pPr>
        <w:pStyle w:val="Recuodecorpodetexto"/>
        <w:rPr>
          <w:rFonts w:ascii="Arial" w:hAnsi="Arial" w:cs="Arial"/>
          <w:sz w:val="20"/>
          <w:szCs w:val="20"/>
        </w:rPr>
      </w:pPr>
    </w:p>
    <w:p w:rsidR="00B905EE" w:rsidRDefault="00B905EE" w:rsidP="00B905EE">
      <w:pPr>
        <w:pStyle w:val="Recuodecorpodetexto"/>
        <w:rPr>
          <w:rFonts w:ascii="Arial" w:hAnsi="Arial" w:cs="Arial"/>
          <w:sz w:val="20"/>
          <w:szCs w:val="20"/>
        </w:rPr>
      </w:pPr>
      <w:r>
        <w:rPr>
          <w:rFonts w:ascii="Arial" w:hAnsi="Arial" w:cs="Arial"/>
          <w:sz w:val="20"/>
          <w:szCs w:val="20"/>
        </w:rPr>
        <w:t>Com queda de 12,7% nas exportações ao longo do primeiro semestre de 2018, totalizando US$ 6,38 bilhões, o setor de carnes situou-se na terceira posição da pauta. O maior impacto adveio do recuo nas vendas de carne de frango (-US$ 675,83 milhões), seguido de carne suína (-US$ 252,64 milhões) e de peru (-US$ 84,60 milhões). Por outro lado, as exportações de carne bovina ampliaram-se em 3,6%, subindo de US$ 2,63 bilhões para US$ 2,72 bilhões no primeiro semestre de 2018. Embargos impostos à carne brasileira têm prejudicado o desempenho das exportações, como exemplos da União Europeia, da Rússia e da Arábia Saudita, cujos mercados significaram redução US$ 1,02 bilhão no primeiro semestre de 2018 ante idêntico intervalo de 2017.</w:t>
      </w:r>
    </w:p>
    <w:p w:rsidR="00B905EE" w:rsidRDefault="00B905EE" w:rsidP="00B905EE">
      <w:pPr>
        <w:pStyle w:val="Recuodecorpodetexto"/>
        <w:rPr>
          <w:rFonts w:ascii="Arial" w:hAnsi="Arial" w:cs="Arial"/>
          <w:sz w:val="20"/>
          <w:szCs w:val="20"/>
        </w:rPr>
      </w:pPr>
    </w:p>
    <w:p w:rsidR="00B905EE" w:rsidRDefault="00B905EE" w:rsidP="00B905EE">
      <w:pPr>
        <w:pStyle w:val="Recuodecorpodetexto"/>
        <w:rPr>
          <w:rFonts w:ascii="Arial" w:hAnsi="Arial" w:cs="Arial"/>
          <w:sz w:val="20"/>
          <w:szCs w:val="20"/>
        </w:rPr>
      </w:pPr>
      <w:r>
        <w:rPr>
          <w:rFonts w:ascii="Arial" w:hAnsi="Arial" w:cs="Arial"/>
          <w:sz w:val="20"/>
          <w:szCs w:val="20"/>
        </w:rPr>
        <w:t xml:space="preserve">O quarto setor da pauta foi o sucroalcooleiro, cujas exportações somaram US$ 3,55 bilhões no primeiro semestre de 2018, implicando decréscimo de 39,6% sobre o mesmo período de 2017. As vendas de açúcar recuaram de US$ 5,52 bilhões para US$ 3,21 bilhões, por conta de queda na quantidade exportada (-23,2%) e no preço médio (-24,2%). Os oito principais mercados do açúcar brasileiro (Argélia, Bangladesh, Arábia Saudita, Índia, Emirados Árabes Unidos, Nigéria, Marrocos e Malásia) tiveram queda no período, significando redução de US$ 1,34 bilhão. </w:t>
      </w:r>
      <w:r w:rsidR="00E92688">
        <w:rPr>
          <w:rFonts w:ascii="Arial" w:hAnsi="Arial" w:cs="Arial"/>
          <w:sz w:val="20"/>
          <w:szCs w:val="20"/>
        </w:rPr>
        <w:t>A ex</w:t>
      </w:r>
      <w:r>
        <w:rPr>
          <w:rFonts w:ascii="Arial" w:hAnsi="Arial" w:cs="Arial"/>
          <w:sz w:val="20"/>
          <w:szCs w:val="20"/>
        </w:rPr>
        <w:t>pectativa de aumento da produção mundial na safra 2017/2018 (+10,3</w:t>
      </w:r>
      <w:r w:rsidR="003D71DE">
        <w:rPr>
          <w:rFonts w:ascii="Arial" w:hAnsi="Arial" w:cs="Arial"/>
          <w:sz w:val="20"/>
          <w:szCs w:val="20"/>
        </w:rPr>
        <w:t>%</w:t>
      </w:r>
      <w:r>
        <w:rPr>
          <w:rFonts w:ascii="Arial" w:hAnsi="Arial" w:cs="Arial"/>
          <w:sz w:val="20"/>
          <w:szCs w:val="20"/>
        </w:rPr>
        <w:t>, segundo o Departamento de Agricultura dos Estados Unidos - USDA) deve comprimir os preços, comprometendo a</w:t>
      </w:r>
      <w:r w:rsidR="00E92688">
        <w:rPr>
          <w:rFonts w:ascii="Arial" w:hAnsi="Arial" w:cs="Arial"/>
          <w:sz w:val="20"/>
          <w:szCs w:val="20"/>
        </w:rPr>
        <w:t>inda mais a</w:t>
      </w:r>
      <w:r>
        <w:rPr>
          <w:rFonts w:ascii="Arial" w:hAnsi="Arial" w:cs="Arial"/>
          <w:sz w:val="20"/>
          <w:szCs w:val="20"/>
        </w:rPr>
        <w:t xml:space="preserve"> rentabilidade d</w:t>
      </w:r>
      <w:r w:rsidR="00E92688">
        <w:rPr>
          <w:rFonts w:ascii="Arial" w:hAnsi="Arial" w:cs="Arial"/>
          <w:sz w:val="20"/>
          <w:szCs w:val="20"/>
        </w:rPr>
        <w:t>o</w:t>
      </w:r>
      <w:r>
        <w:rPr>
          <w:rFonts w:ascii="Arial" w:hAnsi="Arial" w:cs="Arial"/>
          <w:sz w:val="20"/>
          <w:szCs w:val="20"/>
        </w:rPr>
        <w:t xml:space="preserve"> exportador. As exportações de álcool também tiveram redução (-7,9%), caindo para US$ 329,77 milhões.</w:t>
      </w:r>
    </w:p>
    <w:p w:rsidR="00B905EE" w:rsidRDefault="00B905EE" w:rsidP="00B905EE">
      <w:pPr>
        <w:pStyle w:val="Recuodecorpodetexto"/>
        <w:rPr>
          <w:rFonts w:ascii="Arial" w:hAnsi="Arial" w:cs="Arial"/>
          <w:sz w:val="20"/>
          <w:szCs w:val="20"/>
        </w:rPr>
      </w:pPr>
    </w:p>
    <w:p w:rsidR="00B905EE" w:rsidRDefault="00B905EE" w:rsidP="00B905EE">
      <w:pPr>
        <w:pStyle w:val="Recuodecorpodetexto"/>
        <w:rPr>
          <w:rFonts w:ascii="Arial" w:hAnsi="Arial" w:cs="Arial"/>
          <w:sz w:val="20"/>
          <w:szCs w:val="20"/>
        </w:rPr>
      </w:pPr>
      <w:r>
        <w:rPr>
          <w:rFonts w:ascii="Arial" w:hAnsi="Arial" w:cs="Arial"/>
          <w:sz w:val="20"/>
          <w:szCs w:val="20"/>
        </w:rPr>
        <w:t>O setor de café foi o quinto da pauta nos seis primeiros meses de 2018, com exportações de US$ 2,</w:t>
      </w:r>
      <w:r w:rsidR="00B17425">
        <w:rPr>
          <w:rFonts w:ascii="Arial" w:hAnsi="Arial" w:cs="Arial"/>
          <w:sz w:val="20"/>
          <w:szCs w:val="20"/>
        </w:rPr>
        <w:t>2</w:t>
      </w:r>
      <w:r>
        <w:rPr>
          <w:rFonts w:ascii="Arial" w:hAnsi="Arial" w:cs="Arial"/>
          <w:sz w:val="20"/>
          <w:szCs w:val="20"/>
        </w:rPr>
        <w:t>4 bilhões, cifra 14,8% abaixo da registrada em igual intervalo de 2017. As vendas de café verde recuaram 15,0%, chegando a US$ 1,95 bilhão. Os principais merc</w:t>
      </w:r>
      <w:r w:rsidR="00B17425">
        <w:rPr>
          <w:rFonts w:ascii="Arial" w:hAnsi="Arial" w:cs="Arial"/>
          <w:sz w:val="20"/>
          <w:szCs w:val="20"/>
        </w:rPr>
        <w:t>ados das exportações brasileiras</w:t>
      </w:r>
      <w:r>
        <w:rPr>
          <w:rFonts w:ascii="Arial" w:hAnsi="Arial" w:cs="Arial"/>
          <w:sz w:val="20"/>
          <w:szCs w:val="20"/>
        </w:rPr>
        <w:t xml:space="preserve"> de café verde foram União Europeia (adquiriu 53,8% da venda total) e Estados Unidos (17,5%), sendo que para ambos houve redução das exportações, com queda conjunta de US$ 266,39 milhões. As exportações de café solúvel tiveram retração de 15,3%, passando para US$ 244,65 milhões.</w:t>
      </w:r>
    </w:p>
    <w:p w:rsidR="00B905EE" w:rsidRDefault="00B905EE" w:rsidP="00B905EE">
      <w:pPr>
        <w:pStyle w:val="Recuodecorpodetexto"/>
        <w:rPr>
          <w:rFonts w:ascii="Arial" w:hAnsi="Arial" w:cs="Arial"/>
          <w:sz w:val="20"/>
          <w:szCs w:val="20"/>
        </w:rPr>
      </w:pPr>
    </w:p>
    <w:p w:rsidR="00B905EE" w:rsidRDefault="00B905EE" w:rsidP="00B905EE">
      <w:pPr>
        <w:pStyle w:val="Recuodecorpodetexto"/>
        <w:rPr>
          <w:rFonts w:ascii="Arial" w:hAnsi="Arial" w:cs="Arial"/>
          <w:sz w:val="20"/>
          <w:szCs w:val="20"/>
        </w:rPr>
      </w:pPr>
      <w:r>
        <w:rPr>
          <w:rFonts w:ascii="Arial" w:hAnsi="Arial" w:cs="Arial"/>
          <w:sz w:val="20"/>
          <w:szCs w:val="20"/>
        </w:rPr>
        <w:t>Entre os demais setores, destacam-se crescimentos expressivos ocorridos nas vendas de: animais vivos (+141,1%), cereais farinhas e preparações (+41,6%), fibras e produtos têxteis (+32,5%), sucos (+30,3%), fumo e seus produtos (+29,5%). Esses aumentos significaram adicional de US$ 1,25 bilhão no período. Convém citar ainda alguns recordes registrados na exportação, tomando como referência períodos de janeiro-junho: suco de laranja (em quantidade), arroz (quantidade), painéis de fibras de madeira (valor e quantidade), óleo essencial de laranja (valor), pimenta em pó (quantidade) e amendoins (valor e quantidade). No grupo de frutas e castanhas, apontaram-se recordes para: limões e limas (valor e quantidade), mangas (quantidade), melões (valor), castanha do pará (valor), mamões (valor) e abacates (valor).</w:t>
      </w:r>
    </w:p>
    <w:p w:rsidR="00B905EE" w:rsidRDefault="00B905EE" w:rsidP="00B905EE">
      <w:pPr>
        <w:pStyle w:val="Recuodecorpodetexto"/>
        <w:rPr>
          <w:rFonts w:ascii="Arial" w:hAnsi="Arial" w:cs="Arial"/>
          <w:sz w:val="20"/>
          <w:szCs w:val="20"/>
        </w:rPr>
      </w:pPr>
    </w:p>
    <w:p w:rsidR="00B905EE" w:rsidRPr="00395E03" w:rsidRDefault="00B905EE" w:rsidP="00B905EE">
      <w:pPr>
        <w:pStyle w:val="Recuodecorpodetexto"/>
        <w:rPr>
          <w:rFonts w:ascii="Arial" w:hAnsi="Arial" w:cs="Arial"/>
          <w:sz w:val="20"/>
          <w:szCs w:val="20"/>
        </w:rPr>
      </w:pPr>
      <w:r>
        <w:rPr>
          <w:rFonts w:ascii="Arial" w:hAnsi="Arial" w:cs="Arial"/>
          <w:sz w:val="20"/>
          <w:szCs w:val="20"/>
        </w:rPr>
        <w:t>No tocante às importações do agronegócio, os principais produtos da pauta foram: trigo (aumento de 12,1%; passando para US$ 636,07 milhões), álcool etílico (-19,6%; para US$ 515,95 milhões), papel (+13,7%; para US$ 450,21 milhões), vestuários e outros produtos têxteis de algodão (+29,9%; para US$ 307,36 milhões), salmões frescos ou refrigerados (-4,5%; para US$ 255,60 milhões), azeite de oliva (+67,5%; para US$ 229,09 milhões), borracha natural (-5,8%; para US$ 187,30 milhões), malte (-5,9%; para US$ 181,89 milhões), vinho (+17,2%; para US$ 169,86 milhões), batatas preparadas ou conservadas (-0,1%; para US$ 161,63 milhões) e óleo de palma (-21,8%; para US$ 150,96 milhões).</w:t>
      </w:r>
    </w:p>
    <w:p w:rsidR="00B905EE" w:rsidRPr="000E2E78" w:rsidRDefault="00B905EE" w:rsidP="00B905EE">
      <w:pPr>
        <w:pStyle w:val="Recuodecorpodetexto"/>
        <w:rPr>
          <w:rFonts w:ascii="Arial" w:hAnsi="Arial" w:cs="Arial"/>
          <w:color w:val="000000" w:themeColor="text1"/>
          <w:sz w:val="20"/>
          <w:szCs w:val="20"/>
        </w:rPr>
      </w:pPr>
    </w:p>
    <w:p w:rsidR="002B1A0F" w:rsidRPr="00826906" w:rsidRDefault="002C1597" w:rsidP="003B632E">
      <w:pPr>
        <w:rPr>
          <w:rFonts w:ascii="Arial" w:hAnsi="Arial" w:cs="Arial"/>
        </w:rPr>
      </w:pPr>
      <w:r w:rsidRPr="002C1597">
        <w:rPr>
          <w:noProof/>
        </w:rPr>
        <w:lastRenderedPageBreak/>
        <w:drawing>
          <wp:inline distT="0" distB="0" distL="0" distR="0" wp14:anchorId="6929CD03" wp14:editId="49F6B9BF">
            <wp:extent cx="6480175" cy="3855085"/>
            <wp:effectExtent l="0" t="0" r="0" b="0"/>
            <wp:docPr id="12" name="Image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480175" cy="3855085"/>
                    </a:xfrm>
                    <a:prstGeom prst="rect">
                      <a:avLst/>
                    </a:prstGeom>
                  </pic:spPr>
                </pic:pic>
              </a:graphicData>
            </a:graphic>
          </wp:inline>
        </w:drawing>
      </w:r>
    </w:p>
    <w:p w:rsidR="00D12C0B" w:rsidRDefault="00D12C0B" w:rsidP="003B632E">
      <w:pPr>
        <w:pStyle w:val="Ttulo5"/>
        <w:autoSpaceDE/>
        <w:autoSpaceDN/>
        <w:adjustRightInd/>
        <w:rPr>
          <w:rFonts w:ascii="Arial" w:hAnsi="Arial" w:cs="Arial"/>
          <w:b w:val="0"/>
          <w:sz w:val="20"/>
          <w:szCs w:val="20"/>
        </w:rPr>
      </w:pPr>
      <w:bookmarkStart w:id="1" w:name="OLE_LINK1"/>
    </w:p>
    <w:p w:rsidR="00B8451B" w:rsidRDefault="00B8451B" w:rsidP="003B632E">
      <w:pPr>
        <w:pStyle w:val="Ttulo5"/>
        <w:autoSpaceDE/>
        <w:autoSpaceDN/>
        <w:adjustRightInd/>
        <w:rPr>
          <w:rFonts w:ascii="Arial" w:hAnsi="Arial" w:cs="Arial"/>
          <w:sz w:val="20"/>
          <w:szCs w:val="20"/>
        </w:rPr>
      </w:pPr>
    </w:p>
    <w:p w:rsidR="003B632E" w:rsidRDefault="003B632E" w:rsidP="003B632E">
      <w:pPr>
        <w:pStyle w:val="Ttulo5"/>
        <w:autoSpaceDE/>
        <w:autoSpaceDN/>
        <w:adjustRightInd/>
        <w:rPr>
          <w:rFonts w:ascii="Arial" w:hAnsi="Arial" w:cs="Arial"/>
          <w:sz w:val="20"/>
          <w:szCs w:val="20"/>
        </w:rPr>
      </w:pPr>
      <w:proofErr w:type="spellStart"/>
      <w:r w:rsidRPr="00826906">
        <w:rPr>
          <w:rFonts w:ascii="Arial" w:hAnsi="Arial" w:cs="Arial"/>
          <w:sz w:val="20"/>
          <w:szCs w:val="20"/>
        </w:rPr>
        <w:t>II.b</w:t>
      </w:r>
      <w:proofErr w:type="spellEnd"/>
      <w:r w:rsidRPr="00826906">
        <w:rPr>
          <w:rFonts w:ascii="Arial" w:hAnsi="Arial" w:cs="Arial"/>
          <w:sz w:val="20"/>
          <w:szCs w:val="20"/>
        </w:rPr>
        <w:t xml:space="preserve"> – Blocos Econômicos e Regiões Geográficas</w:t>
      </w:r>
    </w:p>
    <w:p w:rsidR="00D12C0B" w:rsidRDefault="00D12C0B" w:rsidP="00D12C0B"/>
    <w:p w:rsidR="00C7675B" w:rsidRDefault="00C7675B" w:rsidP="00C7675B">
      <w:pPr>
        <w:pStyle w:val="Recuodecorpodetexto"/>
        <w:rPr>
          <w:rFonts w:ascii="Arial" w:hAnsi="Arial" w:cs="Arial"/>
          <w:sz w:val="20"/>
          <w:szCs w:val="20"/>
        </w:rPr>
      </w:pPr>
      <w:r>
        <w:rPr>
          <w:rFonts w:ascii="Arial" w:hAnsi="Arial" w:cs="Arial"/>
          <w:sz w:val="20"/>
          <w:szCs w:val="20"/>
        </w:rPr>
        <w:t>O mercado asiático foi destacadamente o principal destino das exportações do agronegócio brasileiro no primeiro semestre de 2018, posição que se mantém desde 2009, quando a região desbancou a União Europeia. As exportações à Ásia totalizaram US$ 25,33 bilhões, superando em 6,9% o valor do primeiro semestre de 2017, o que fez a participação do bloco avançar de 49,2% para 51,1%</w:t>
      </w:r>
      <w:r w:rsidRPr="00AA2AD5">
        <w:rPr>
          <w:rFonts w:ascii="Arial" w:hAnsi="Arial" w:cs="Arial"/>
          <w:sz w:val="20"/>
          <w:szCs w:val="20"/>
        </w:rPr>
        <w:t xml:space="preserve"> </w:t>
      </w:r>
      <w:r>
        <w:rPr>
          <w:rFonts w:ascii="Arial" w:hAnsi="Arial" w:cs="Arial"/>
          <w:sz w:val="20"/>
          <w:szCs w:val="20"/>
        </w:rPr>
        <w:t>em relação ao total das exportações realizadas no período.</w:t>
      </w:r>
    </w:p>
    <w:p w:rsidR="00C7675B" w:rsidRDefault="00C7675B" w:rsidP="00C7675B">
      <w:pPr>
        <w:pStyle w:val="Recuodecorpodetexto"/>
        <w:rPr>
          <w:rFonts w:ascii="Arial" w:hAnsi="Arial" w:cs="Arial"/>
          <w:sz w:val="20"/>
          <w:szCs w:val="20"/>
        </w:rPr>
      </w:pPr>
    </w:p>
    <w:p w:rsidR="00C7675B" w:rsidRDefault="00C7675B" w:rsidP="00C7675B">
      <w:pPr>
        <w:pStyle w:val="Recuodecorpodetexto"/>
        <w:rPr>
          <w:rFonts w:ascii="Arial" w:hAnsi="Arial" w:cs="Arial"/>
          <w:sz w:val="20"/>
          <w:szCs w:val="20"/>
        </w:rPr>
      </w:pPr>
      <w:r>
        <w:rPr>
          <w:rFonts w:ascii="Arial" w:hAnsi="Arial" w:cs="Arial"/>
          <w:sz w:val="20"/>
          <w:szCs w:val="20"/>
        </w:rPr>
        <w:t xml:space="preserve">A União Europeia posicionou-se como o segundo mercado das exportações brasileiras do agronegócio nos seis meses iniciais de 2018, somando US$ 8,86 bilhões. Houve aumento do </w:t>
      </w:r>
      <w:r w:rsidRPr="0025723A">
        <w:rPr>
          <w:rFonts w:ascii="Arial" w:hAnsi="Arial" w:cs="Arial"/>
          <w:i/>
          <w:sz w:val="20"/>
          <w:szCs w:val="20"/>
        </w:rPr>
        <w:t>market share</w:t>
      </w:r>
      <w:r>
        <w:rPr>
          <w:rFonts w:ascii="Arial" w:hAnsi="Arial" w:cs="Arial"/>
          <w:sz w:val="20"/>
          <w:szCs w:val="20"/>
        </w:rPr>
        <w:t xml:space="preserve"> no período, passando de 17,0% para 17,9%.</w:t>
      </w:r>
    </w:p>
    <w:p w:rsidR="00C7675B" w:rsidRDefault="00C7675B" w:rsidP="00C7675B">
      <w:pPr>
        <w:pStyle w:val="Recuodecorpodetexto"/>
        <w:rPr>
          <w:rFonts w:ascii="Arial" w:hAnsi="Arial" w:cs="Arial"/>
          <w:sz w:val="20"/>
          <w:szCs w:val="20"/>
        </w:rPr>
      </w:pPr>
    </w:p>
    <w:p w:rsidR="00C7675B" w:rsidRDefault="00C7675B" w:rsidP="00C7675B">
      <w:pPr>
        <w:pStyle w:val="Recuodecorpodetexto"/>
        <w:rPr>
          <w:rFonts w:ascii="Arial" w:hAnsi="Arial" w:cs="Arial"/>
          <w:sz w:val="20"/>
          <w:szCs w:val="20"/>
        </w:rPr>
      </w:pPr>
      <w:r>
        <w:rPr>
          <w:rFonts w:ascii="Arial" w:hAnsi="Arial" w:cs="Arial"/>
          <w:sz w:val="20"/>
          <w:szCs w:val="20"/>
        </w:rPr>
        <w:t>Diante desses números fica evidente o perfil concentrado das exportações brasileiras do agronegócio também no tocante aos seus mercados, haja vista que para essas duas regiões foi destinado 69,0%, reproduzindo o fenômeno que ocorre com a pauta de produtos.</w:t>
      </w:r>
    </w:p>
    <w:p w:rsidR="00C7675B" w:rsidRDefault="00C7675B" w:rsidP="00C7675B">
      <w:pPr>
        <w:pStyle w:val="Recuodecorpodetexto"/>
        <w:rPr>
          <w:rFonts w:ascii="Arial" w:hAnsi="Arial" w:cs="Arial"/>
          <w:sz w:val="20"/>
          <w:szCs w:val="20"/>
        </w:rPr>
      </w:pPr>
    </w:p>
    <w:p w:rsidR="00C7675B" w:rsidRDefault="00C7675B" w:rsidP="00C7675B">
      <w:pPr>
        <w:pStyle w:val="Recuodecorpodetexto"/>
        <w:rPr>
          <w:rFonts w:ascii="Arial" w:hAnsi="Arial" w:cs="Arial"/>
          <w:sz w:val="20"/>
          <w:szCs w:val="20"/>
        </w:rPr>
      </w:pPr>
      <w:r>
        <w:rPr>
          <w:rFonts w:ascii="Arial" w:hAnsi="Arial" w:cs="Arial"/>
          <w:sz w:val="20"/>
          <w:szCs w:val="20"/>
        </w:rPr>
        <w:t xml:space="preserve">Ao Nafta, as exportações alcançaram US$ 4,15 bilhões, por conta do aumento de 8,0% das vendas no período, permitindo a expansão do </w:t>
      </w:r>
      <w:r w:rsidRPr="00AA2AD5">
        <w:rPr>
          <w:rFonts w:ascii="Arial" w:hAnsi="Arial" w:cs="Arial"/>
          <w:i/>
          <w:sz w:val="20"/>
          <w:szCs w:val="20"/>
        </w:rPr>
        <w:t>share</w:t>
      </w:r>
      <w:r>
        <w:rPr>
          <w:rFonts w:ascii="Arial" w:hAnsi="Arial" w:cs="Arial"/>
          <w:sz w:val="20"/>
          <w:szCs w:val="20"/>
        </w:rPr>
        <w:t xml:space="preserve"> de 8,0% para 8,4%.</w:t>
      </w:r>
    </w:p>
    <w:p w:rsidR="00C7675B" w:rsidRDefault="00C7675B" w:rsidP="00C7675B">
      <w:pPr>
        <w:pStyle w:val="Recuodecorpodetexto"/>
        <w:rPr>
          <w:rFonts w:ascii="Arial" w:hAnsi="Arial" w:cs="Arial"/>
          <w:sz w:val="20"/>
          <w:szCs w:val="20"/>
        </w:rPr>
      </w:pPr>
    </w:p>
    <w:p w:rsidR="00C7675B" w:rsidRPr="00B74A4B" w:rsidRDefault="00C7675B" w:rsidP="00C7675B">
      <w:pPr>
        <w:pStyle w:val="Recuodecorpodetexto"/>
        <w:rPr>
          <w:rFonts w:ascii="Arial" w:hAnsi="Arial" w:cs="Arial"/>
          <w:sz w:val="20"/>
          <w:szCs w:val="20"/>
        </w:rPr>
      </w:pPr>
      <w:r>
        <w:rPr>
          <w:rFonts w:ascii="Arial" w:hAnsi="Arial" w:cs="Arial"/>
          <w:sz w:val="20"/>
          <w:szCs w:val="20"/>
        </w:rPr>
        <w:t>Em relação aos demais mercados, sublinham-se o aumento das vendas ao Mercosul (+27,7%), atingindo US$ 1,70 bilhão, e a quedas assinaladas nas exportações à Europa Oriental (-41,4%; para US$ 898,88 milhões), ao Oriente Médio (-23,0%, para US$ 3,29 bilhões) e à África (-23,0%, para US$ 3,29 bilhões).</w:t>
      </w:r>
    </w:p>
    <w:p w:rsidR="00C7675B" w:rsidRPr="00DD0277" w:rsidRDefault="00C7675B" w:rsidP="00C7675B">
      <w:pPr>
        <w:pStyle w:val="Recuodecorpodetexto"/>
        <w:rPr>
          <w:rFonts w:ascii="Arial" w:hAnsi="Arial" w:cs="Arial"/>
          <w:sz w:val="20"/>
          <w:szCs w:val="20"/>
        </w:rPr>
      </w:pPr>
    </w:p>
    <w:p w:rsidR="003B632E" w:rsidRPr="00826906" w:rsidRDefault="002C1597" w:rsidP="003B632E">
      <w:pPr>
        <w:jc w:val="both"/>
        <w:rPr>
          <w:rFonts w:ascii="Arial" w:hAnsi="Arial" w:cs="Arial"/>
          <w:sz w:val="20"/>
          <w:szCs w:val="20"/>
        </w:rPr>
      </w:pPr>
      <w:r w:rsidRPr="002C1597">
        <w:rPr>
          <w:noProof/>
        </w:rPr>
        <w:lastRenderedPageBreak/>
        <w:drawing>
          <wp:inline distT="0" distB="0" distL="0" distR="0" wp14:anchorId="4EDC931E" wp14:editId="2BE5AE2B">
            <wp:extent cx="6480175" cy="2348230"/>
            <wp:effectExtent l="0" t="0" r="0" b="0"/>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80175" cy="2348230"/>
                    </a:xfrm>
                    <a:prstGeom prst="rect">
                      <a:avLst/>
                    </a:prstGeom>
                  </pic:spPr>
                </pic:pic>
              </a:graphicData>
            </a:graphic>
          </wp:inline>
        </w:drawing>
      </w:r>
    </w:p>
    <w:p w:rsidR="003B632E" w:rsidRPr="00826906" w:rsidRDefault="003B632E" w:rsidP="003B632E">
      <w:pPr>
        <w:pStyle w:val="Ttulo5"/>
        <w:autoSpaceDE/>
        <w:autoSpaceDN/>
        <w:adjustRightInd/>
        <w:rPr>
          <w:rFonts w:ascii="Arial" w:hAnsi="Arial" w:cs="Arial"/>
          <w:sz w:val="20"/>
          <w:szCs w:val="20"/>
        </w:rPr>
      </w:pPr>
    </w:p>
    <w:p w:rsidR="003B632E" w:rsidRPr="00826906" w:rsidRDefault="003B632E" w:rsidP="003B632E">
      <w:pPr>
        <w:pStyle w:val="Ttulo5"/>
        <w:autoSpaceDE/>
        <w:autoSpaceDN/>
        <w:adjustRightInd/>
        <w:rPr>
          <w:rFonts w:ascii="Arial" w:hAnsi="Arial" w:cs="Arial"/>
          <w:sz w:val="20"/>
          <w:szCs w:val="20"/>
        </w:rPr>
      </w:pPr>
      <w:proofErr w:type="spellStart"/>
      <w:r w:rsidRPr="00826906">
        <w:rPr>
          <w:rFonts w:ascii="Arial" w:hAnsi="Arial" w:cs="Arial"/>
          <w:sz w:val="20"/>
          <w:szCs w:val="20"/>
        </w:rPr>
        <w:t>II.c</w:t>
      </w:r>
      <w:proofErr w:type="spellEnd"/>
      <w:r w:rsidRPr="00826906">
        <w:rPr>
          <w:rFonts w:ascii="Arial" w:hAnsi="Arial" w:cs="Arial"/>
          <w:sz w:val="20"/>
          <w:szCs w:val="20"/>
        </w:rPr>
        <w:t xml:space="preserve"> – Países</w:t>
      </w:r>
    </w:p>
    <w:bookmarkEnd w:id="1"/>
    <w:p w:rsidR="003B632E" w:rsidRDefault="003B632E" w:rsidP="003B632E">
      <w:pPr>
        <w:rPr>
          <w:rFonts w:ascii="Arial" w:hAnsi="Arial" w:cs="Arial"/>
          <w:b/>
          <w:sz w:val="20"/>
          <w:szCs w:val="20"/>
        </w:rPr>
      </w:pPr>
    </w:p>
    <w:p w:rsidR="00C7675B" w:rsidRDefault="00C7675B" w:rsidP="00C7675B">
      <w:pPr>
        <w:pStyle w:val="Recuodecorpodetexto"/>
        <w:rPr>
          <w:rFonts w:ascii="Arial" w:hAnsi="Arial" w:cs="Arial"/>
          <w:sz w:val="20"/>
          <w:szCs w:val="20"/>
        </w:rPr>
      </w:pPr>
      <w:r w:rsidRPr="00823F49">
        <w:rPr>
          <w:rFonts w:ascii="Arial" w:hAnsi="Arial" w:cs="Arial"/>
          <w:sz w:val="20"/>
          <w:szCs w:val="20"/>
        </w:rPr>
        <w:t>No rol dos vinte principais países de destino das exportações brasileiras do agronegócio constantes na tabela 6, observa-se que para a maior parte deles apontou</w:t>
      </w:r>
      <w:r>
        <w:rPr>
          <w:rFonts w:ascii="Arial" w:hAnsi="Arial" w:cs="Arial"/>
          <w:sz w:val="20"/>
          <w:szCs w:val="20"/>
        </w:rPr>
        <w:t>-</w:t>
      </w:r>
      <w:r w:rsidRPr="00823F49">
        <w:rPr>
          <w:rFonts w:ascii="Arial" w:hAnsi="Arial" w:cs="Arial"/>
          <w:sz w:val="20"/>
          <w:szCs w:val="20"/>
        </w:rPr>
        <w:t xml:space="preserve">se crescimento nas exportações. </w:t>
      </w:r>
      <w:r>
        <w:rPr>
          <w:rFonts w:ascii="Arial" w:hAnsi="Arial" w:cs="Arial"/>
          <w:sz w:val="20"/>
          <w:szCs w:val="20"/>
        </w:rPr>
        <w:t>No entanto, em virtude de quedas expressivas, quatro países que figuraram entre os vinte principais no primeiro semestre de 2017 perderam suas posições</w:t>
      </w:r>
      <w:r w:rsidR="00E92688">
        <w:rPr>
          <w:rFonts w:ascii="Arial" w:hAnsi="Arial" w:cs="Arial"/>
          <w:sz w:val="20"/>
          <w:szCs w:val="20"/>
        </w:rPr>
        <w:t xml:space="preserve"> no primeiro semestre de 2018</w:t>
      </w:r>
      <w:r>
        <w:rPr>
          <w:rFonts w:ascii="Arial" w:hAnsi="Arial" w:cs="Arial"/>
          <w:sz w:val="20"/>
          <w:szCs w:val="20"/>
        </w:rPr>
        <w:t>. Foram eles: Rússia (redução de US$ 690,76 milhões; caiu do 6º para o 24º lugar), Argélia (-US$ 173,35 milhões; do 17º para o 25º), Bangladesh (-US$ 152,01 milhões; do 19º para 27º) e Emirados Árabes Unidos (-US$ 132,85 milhões; do 16º para o 21º).</w:t>
      </w:r>
    </w:p>
    <w:p w:rsidR="00C7675B" w:rsidRDefault="00C7675B" w:rsidP="00C7675B">
      <w:pPr>
        <w:pStyle w:val="Recuodecorpodetexto"/>
        <w:rPr>
          <w:rFonts w:ascii="Arial" w:hAnsi="Arial" w:cs="Arial"/>
          <w:sz w:val="20"/>
          <w:szCs w:val="20"/>
        </w:rPr>
      </w:pPr>
    </w:p>
    <w:p w:rsidR="00C7675B" w:rsidRDefault="00C7675B" w:rsidP="00C7675B">
      <w:pPr>
        <w:pStyle w:val="Recuodecorpodetexto"/>
        <w:rPr>
          <w:rFonts w:ascii="Arial" w:hAnsi="Arial" w:cs="Arial"/>
          <w:sz w:val="20"/>
          <w:szCs w:val="20"/>
        </w:rPr>
      </w:pPr>
      <w:r>
        <w:rPr>
          <w:rFonts w:ascii="Arial" w:hAnsi="Arial" w:cs="Arial"/>
          <w:sz w:val="20"/>
          <w:szCs w:val="20"/>
        </w:rPr>
        <w:t xml:space="preserve">A China reforçou sua posição de liderança na pauta das exportações brasileiras do agronegócio no primeiro semestre de 2018, ampliando o share de 33,0% para 36,1%. As vendas ao país cresceram 12,7%, passando para US$ 17,90 bilhões. A soja em grão respondeu por 80,0% dessas exportações, gerando um adicional de US$ 1,43 bilhão </w:t>
      </w:r>
      <w:r w:rsidR="007625D1">
        <w:rPr>
          <w:rFonts w:ascii="Arial" w:hAnsi="Arial" w:cs="Arial"/>
          <w:sz w:val="20"/>
          <w:szCs w:val="20"/>
        </w:rPr>
        <w:t>em relação ao mesmo período do ano anterior</w:t>
      </w:r>
      <w:r>
        <w:rPr>
          <w:rFonts w:ascii="Arial" w:hAnsi="Arial" w:cs="Arial"/>
          <w:sz w:val="20"/>
          <w:szCs w:val="20"/>
        </w:rPr>
        <w:t>. Outro produto que contribuiu significativamente para o aumento das vendas ao país foi a celulose (+US$ 508,26 milhões), seguid</w:t>
      </w:r>
      <w:r w:rsidR="00E92688">
        <w:rPr>
          <w:rFonts w:ascii="Arial" w:hAnsi="Arial" w:cs="Arial"/>
          <w:sz w:val="20"/>
          <w:szCs w:val="20"/>
        </w:rPr>
        <w:t>a</w:t>
      </w:r>
      <w:r>
        <w:rPr>
          <w:rFonts w:ascii="Arial" w:hAnsi="Arial" w:cs="Arial"/>
          <w:sz w:val="20"/>
          <w:szCs w:val="20"/>
        </w:rPr>
        <w:t xml:space="preserve"> por carnes (+US$ 262,56 milhões).</w:t>
      </w:r>
    </w:p>
    <w:p w:rsidR="00C7675B" w:rsidRDefault="00C7675B" w:rsidP="00C7675B">
      <w:pPr>
        <w:pStyle w:val="Recuodecorpodetexto"/>
        <w:rPr>
          <w:rFonts w:ascii="Arial" w:hAnsi="Arial" w:cs="Arial"/>
          <w:sz w:val="20"/>
          <w:szCs w:val="20"/>
        </w:rPr>
      </w:pPr>
    </w:p>
    <w:p w:rsidR="00C7675B" w:rsidRDefault="00C7675B" w:rsidP="00C7675B">
      <w:pPr>
        <w:pStyle w:val="Recuodecorpodetexto"/>
        <w:rPr>
          <w:rFonts w:ascii="Arial" w:hAnsi="Arial" w:cs="Arial"/>
          <w:sz w:val="20"/>
          <w:szCs w:val="20"/>
        </w:rPr>
      </w:pPr>
      <w:r>
        <w:rPr>
          <w:rFonts w:ascii="Arial" w:hAnsi="Arial" w:cs="Arial"/>
          <w:sz w:val="20"/>
          <w:szCs w:val="20"/>
        </w:rPr>
        <w:t>Observando a tabela, chama a atenção o forte crescimento das exportações à Turquia, mais que dobrando as vendas</w:t>
      </w:r>
      <w:r w:rsidR="00E92688">
        <w:rPr>
          <w:rFonts w:ascii="Arial" w:hAnsi="Arial" w:cs="Arial"/>
          <w:sz w:val="20"/>
          <w:szCs w:val="20"/>
        </w:rPr>
        <w:t>,</w:t>
      </w:r>
      <w:r>
        <w:rPr>
          <w:rFonts w:ascii="Arial" w:hAnsi="Arial" w:cs="Arial"/>
          <w:sz w:val="20"/>
          <w:szCs w:val="20"/>
        </w:rPr>
        <w:t xml:space="preserve"> de US$ 400,90 milhões para US$ 803,40 milhões. Esse acréscimo foi puxado pelas </w:t>
      </w:r>
      <w:r w:rsidR="00E92688">
        <w:rPr>
          <w:rFonts w:ascii="Arial" w:hAnsi="Arial" w:cs="Arial"/>
          <w:sz w:val="20"/>
          <w:szCs w:val="20"/>
        </w:rPr>
        <w:t>exportações</w:t>
      </w:r>
      <w:r>
        <w:rPr>
          <w:rFonts w:ascii="Arial" w:hAnsi="Arial" w:cs="Arial"/>
          <w:sz w:val="20"/>
          <w:szCs w:val="20"/>
        </w:rPr>
        <w:t xml:space="preserve"> de soja em grão ao país (+US$ 262,77 milhões) e, em menor medida, por bovinos vivos (+US$ 173,82 milhões).</w:t>
      </w:r>
    </w:p>
    <w:p w:rsidR="00C7675B" w:rsidRDefault="00C7675B" w:rsidP="00C7675B">
      <w:pPr>
        <w:pStyle w:val="Recuodecorpodetexto"/>
        <w:rPr>
          <w:rFonts w:ascii="Arial" w:hAnsi="Arial" w:cs="Arial"/>
          <w:sz w:val="20"/>
          <w:szCs w:val="20"/>
        </w:rPr>
      </w:pPr>
    </w:p>
    <w:p w:rsidR="00C7675B" w:rsidRDefault="00C7675B" w:rsidP="00C7675B">
      <w:pPr>
        <w:pStyle w:val="Recuodecorpodetexto"/>
        <w:rPr>
          <w:rFonts w:ascii="Arial" w:hAnsi="Arial" w:cs="Arial"/>
          <w:sz w:val="20"/>
          <w:szCs w:val="20"/>
        </w:rPr>
      </w:pPr>
      <w:r>
        <w:rPr>
          <w:rFonts w:ascii="Arial" w:hAnsi="Arial" w:cs="Arial"/>
          <w:sz w:val="20"/>
          <w:szCs w:val="20"/>
        </w:rPr>
        <w:t>Outros aumentos foram destaque: Argentina (+21,8%, para US$ 804,14 milhões), Espanha (+21,0%, para US$ 1,13 bilhão), Coreia do Sul (+19,8%, para US$</w:t>
      </w:r>
      <w:r w:rsidR="00E92688">
        <w:rPr>
          <w:rFonts w:ascii="Arial" w:hAnsi="Arial" w:cs="Arial"/>
          <w:sz w:val="20"/>
          <w:szCs w:val="20"/>
        </w:rPr>
        <w:t xml:space="preserve"> </w:t>
      </w:r>
      <w:r>
        <w:rPr>
          <w:rFonts w:ascii="Arial" w:hAnsi="Arial" w:cs="Arial"/>
          <w:sz w:val="20"/>
          <w:szCs w:val="20"/>
        </w:rPr>
        <w:t xml:space="preserve">965,73 milhões), Vietnã (+18,5%, para US$ 634,30 milhões), França (+17,7%, para US$ 688,63 milhões) e Bélgica (+14,7%, para US$ 944,77 milhões). Por outro lado, por conta de quedas importantes nas vendas de carnes e açúcar, retraíram-se as </w:t>
      </w:r>
      <w:r w:rsidR="00E92688">
        <w:rPr>
          <w:rFonts w:ascii="Arial" w:hAnsi="Arial" w:cs="Arial"/>
          <w:sz w:val="20"/>
          <w:szCs w:val="20"/>
        </w:rPr>
        <w:t>exportações</w:t>
      </w:r>
      <w:r>
        <w:rPr>
          <w:rFonts w:ascii="Arial" w:hAnsi="Arial" w:cs="Arial"/>
          <w:sz w:val="20"/>
          <w:szCs w:val="20"/>
        </w:rPr>
        <w:t xml:space="preserve"> para alguns mercados, como Arábia Saudita (-31,0%), Índia (-21,9%) e Irã (-16,9%).</w:t>
      </w:r>
    </w:p>
    <w:p w:rsidR="00C7675B" w:rsidRDefault="00C7675B" w:rsidP="00C7675B">
      <w:pPr>
        <w:pStyle w:val="Recuodecorpodetexto"/>
        <w:rPr>
          <w:rFonts w:ascii="Arial" w:hAnsi="Arial" w:cs="Arial"/>
          <w:sz w:val="20"/>
          <w:szCs w:val="20"/>
        </w:rPr>
      </w:pPr>
    </w:p>
    <w:p w:rsidR="00F21327" w:rsidRPr="00F21327" w:rsidRDefault="00F21327" w:rsidP="00F21327">
      <w:pPr>
        <w:pStyle w:val="Recuodecorpodetexto"/>
        <w:rPr>
          <w:rFonts w:ascii="Arial" w:hAnsi="Arial" w:cs="Arial"/>
          <w:sz w:val="20"/>
          <w:szCs w:val="20"/>
        </w:rPr>
      </w:pPr>
    </w:p>
    <w:p w:rsidR="003B632E" w:rsidRDefault="002C1597" w:rsidP="003B632E">
      <w:pPr>
        <w:rPr>
          <w:rFonts w:ascii="Arial" w:hAnsi="Arial" w:cs="Arial"/>
        </w:rPr>
      </w:pPr>
      <w:r w:rsidRPr="002C1597">
        <w:rPr>
          <w:noProof/>
        </w:rPr>
        <w:lastRenderedPageBreak/>
        <w:drawing>
          <wp:inline distT="0" distB="0" distL="0" distR="0" wp14:anchorId="5B5D4088" wp14:editId="628A7EA6">
            <wp:extent cx="6480175" cy="3879215"/>
            <wp:effectExtent l="0" t="0" r="0" b="6985"/>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480175" cy="3879215"/>
                    </a:xfrm>
                    <a:prstGeom prst="rect">
                      <a:avLst/>
                    </a:prstGeom>
                  </pic:spPr>
                </pic:pic>
              </a:graphicData>
            </a:graphic>
          </wp:inline>
        </w:drawing>
      </w:r>
    </w:p>
    <w:p w:rsidR="00C7675B" w:rsidRPr="00826906" w:rsidRDefault="00C7675B" w:rsidP="003B632E">
      <w:pPr>
        <w:rPr>
          <w:rFonts w:ascii="Arial" w:hAnsi="Arial" w:cs="Arial"/>
        </w:rPr>
      </w:pPr>
    </w:p>
    <w:p w:rsidR="0001136D" w:rsidRDefault="0001136D" w:rsidP="0001136D">
      <w:pPr>
        <w:autoSpaceDE w:val="0"/>
        <w:autoSpaceDN w:val="0"/>
        <w:adjustRightInd w:val="0"/>
        <w:jc w:val="both"/>
        <w:rPr>
          <w:rFonts w:ascii="Arial" w:hAnsi="Arial" w:cs="Arial"/>
          <w:b/>
          <w:sz w:val="20"/>
          <w:szCs w:val="20"/>
        </w:rPr>
      </w:pPr>
      <w:r w:rsidRPr="00AB3924">
        <w:rPr>
          <w:rFonts w:ascii="Arial" w:hAnsi="Arial" w:cs="Arial"/>
          <w:b/>
          <w:sz w:val="20"/>
          <w:szCs w:val="20"/>
        </w:rPr>
        <w:t xml:space="preserve">III – Resultados de </w:t>
      </w:r>
      <w:r w:rsidR="002C1597">
        <w:rPr>
          <w:rFonts w:ascii="Arial" w:hAnsi="Arial" w:cs="Arial"/>
          <w:b/>
          <w:sz w:val="20"/>
          <w:szCs w:val="20"/>
        </w:rPr>
        <w:t>Julho</w:t>
      </w:r>
      <w:r w:rsidRPr="00AB3924">
        <w:rPr>
          <w:rFonts w:ascii="Arial" w:hAnsi="Arial" w:cs="Arial"/>
          <w:b/>
          <w:sz w:val="20"/>
          <w:szCs w:val="20"/>
        </w:rPr>
        <w:t xml:space="preserve"> de 201</w:t>
      </w:r>
      <w:r>
        <w:rPr>
          <w:rFonts w:ascii="Arial" w:hAnsi="Arial" w:cs="Arial"/>
          <w:b/>
          <w:sz w:val="20"/>
          <w:szCs w:val="20"/>
        </w:rPr>
        <w:t>7</w:t>
      </w:r>
      <w:r w:rsidRPr="00AB3924">
        <w:rPr>
          <w:rFonts w:ascii="Arial" w:hAnsi="Arial" w:cs="Arial"/>
          <w:b/>
          <w:sz w:val="20"/>
          <w:szCs w:val="20"/>
        </w:rPr>
        <w:t xml:space="preserve"> a </w:t>
      </w:r>
      <w:proofErr w:type="gramStart"/>
      <w:r w:rsidR="002C1597">
        <w:rPr>
          <w:rFonts w:ascii="Arial" w:hAnsi="Arial" w:cs="Arial"/>
          <w:b/>
          <w:sz w:val="20"/>
          <w:szCs w:val="20"/>
        </w:rPr>
        <w:t>Junho</w:t>
      </w:r>
      <w:proofErr w:type="gramEnd"/>
      <w:r>
        <w:rPr>
          <w:rFonts w:ascii="Arial" w:hAnsi="Arial" w:cs="Arial"/>
          <w:b/>
          <w:sz w:val="20"/>
          <w:szCs w:val="20"/>
        </w:rPr>
        <w:t xml:space="preserve"> de 2018</w:t>
      </w:r>
      <w:r w:rsidRPr="00AB3924">
        <w:rPr>
          <w:rFonts w:ascii="Arial" w:hAnsi="Arial" w:cs="Arial"/>
          <w:b/>
          <w:sz w:val="20"/>
          <w:szCs w:val="20"/>
        </w:rPr>
        <w:t xml:space="preserve"> (Acumulado 12 meses)</w:t>
      </w:r>
    </w:p>
    <w:p w:rsidR="00301071" w:rsidRDefault="00301071" w:rsidP="0001136D">
      <w:pPr>
        <w:autoSpaceDE w:val="0"/>
        <w:autoSpaceDN w:val="0"/>
        <w:adjustRightInd w:val="0"/>
        <w:jc w:val="both"/>
        <w:rPr>
          <w:rFonts w:ascii="Arial" w:hAnsi="Arial" w:cs="Arial"/>
          <w:b/>
          <w:sz w:val="20"/>
          <w:szCs w:val="20"/>
        </w:rPr>
      </w:pPr>
    </w:p>
    <w:p w:rsidR="00301071" w:rsidRDefault="00301071" w:rsidP="00E17DA9">
      <w:pPr>
        <w:pStyle w:val="Recuodecorpodetexto"/>
        <w:rPr>
          <w:rFonts w:ascii="Arial" w:hAnsi="Arial" w:cs="Arial"/>
          <w:sz w:val="20"/>
          <w:szCs w:val="20"/>
        </w:rPr>
      </w:pPr>
      <w:r w:rsidRPr="00E17DA9">
        <w:rPr>
          <w:rFonts w:ascii="Arial" w:hAnsi="Arial" w:cs="Arial"/>
          <w:sz w:val="20"/>
          <w:szCs w:val="20"/>
        </w:rPr>
        <w:t>As exportações brasileiras do agroneg</w:t>
      </w:r>
      <w:r w:rsidR="007605D7" w:rsidRPr="00E17DA9">
        <w:rPr>
          <w:rFonts w:ascii="Arial" w:hAnsi="Arial" w:cs="Arial"/>
          <w:sz w:val="20"/>
          <w:szCs w:val="20"/>
        </w:rPr>
        <w:t xml:space="preserve">ócio </w:t>
      </w:r>
      <w:r w:rsidRPr="00E17DA9">
        <w:rPr>
          <w:rFonts w:ascii="Arial" w:hAnsi="Arial" w:cs="Arial"/>
          <w:sz w:val="20"/>
          <w:szCs w:val="20"/>
        </w:rPr>
        <w:t>subiram 10,6%</w:t>
      </w:r>
      <w:r w:rsidR="007605D7" w:rsidRPr="00E17DA9">
        <w:rPr>
          <w:rFonts w:ascii="Arial" w:hAnsi="Arial" w:cs="Arial"/>
          <w:sz w:val="20"/>
          <w:szCs w:val="20"/>
        </w:rPr>
        <w:t xml:space="preserve"> nos últimos doze meses</w:t>
      </w:r>
      <w:r w:rsidRPr="00E17DA9">
        <w:rPr>
          <w:rFonts w:ascii="Arial" w:hAnsi="Arial" w:cs="Arial"/>
          <w:sz w:val="20"/>
          <w:szCs w:val="20"/>
        </w:rPr>
        <w:t>, passando de US$ 88,06 bilhões</w:t>
      </w:r>
      <w:r w:rsidRPr="007605D7">
        <w:rPr>
          <w:rFonts w:ascii="Arial" w:hAnsi="Arial" w:cs="Arial"/>
          <w:sz w:val="20"/>
          <w:szCs w:val="20"/>
        </w:rPr>
        <w:t xml:space="preserve"> entre </w:t>
      </w:r>
      <w:r w:rsidR="007605D7" w:rsidRPr="007605D7">
        <w:rPr>
          <w:rFonts w:ascii="Arial" w:hAnsi="Arial" w:cs="Arial"/>
          <w:sz w:val="20"/>
          <w:szCs w:val="20"/>
        </w:rPr>
        <w:t xml:space="preserve">julho de 2016 a junho de 2017 para US$ 97,42 bilhões entre julho de 2017 e junho de 2018. </w:t>
      </w:r>
      <w:r w:rsidR="00FE3F90">
        <w:rPr>
          <w:rFonts w:ascii="Arial" w:hAnsi="Arial" w:cs="Arial"/>
          <w:sz w:val="20"/>
          <w:szCs w:val="20"/>
        </w:rPr>
        <w:t xml:space="preserve">Essa elevação ocorreu, fundamentalmente, em função da expansão do índice de </w:t>
      </w:r>
      <w:r w:rsidR="00FE3F90" w:rsidRPr="00E17DA9">
        <w:rPr>
          <w:rFonts w:ascii="Arial" w:hAnsi="Arial" w:cs="Arial"/>
          <w:sz w:val="20"/>
          <w:szCs w:val="20"/>
        </w:rPr>
        <w:t>quantum</w:t>
      </w:r>
      <w:r w:rsidR="00FE3F90">
        <w:rPr>
          <w:rFonts w:ascii="Arial" w:hAnsi="Arial" w:cs="Arial"/>
          <w:sz w:val="20"/>
          <w:szCs w:val="20"/>
        </w:rPr>
        <w:t xml:space="preserve"> das exportações, que subiu 11,7% no período. O índice de preço dos produtos exportados apresentou redução de 0,9% no período em análise, afetando negativamente do valor das vendas externas de produtos do agronegócio brasileiro.</w:t>
      </w:r>
    </w:p>
    <w:p w:rsidR="00FE3F90" w:rsidRDefault="00FE3F90" w:rsidP="00E17DA9">
      <w:pPr>
        <w:pStyle w:val="Recuodecorpodetexto"/>
        <w:rPr>
          <w:rFonts w:ascii="Arial" w:hAnsi="Arial" w:cs="Arial"/>
          <w:sz w:val="20"/>
          <w:szCs w:val="20"/>
        </w:rPr>
      </w:pPr>
    </w:p>
    <w:p w:rsidR="00FE3F90" w:rsidRDefault="00FE3F90" w:rsidP="00E17DA9">
      <w:pPr>
        <w:pStyle w:val="Recuodecorpodetexto"/>
        <w:rPr>
          <w:rFonts w:ascii="Arial" w:hAnsi="Arial" w:cs="Arial"/>
          <w:sz w:val="20"/>
          <w:szCs w:val="20"/>
        </w:rPr>
      </w:pPr>
      <w:r>
        <w:rPr>
          <w:rFonts w:ascii="Arial" w:hAnsi="Arial" w:cs="Arial"/>
          <w:sz w:val="20"/>
          <w:szCs w:val="20"/>
        </w:rPr>
        <w:t xml:space="preserve">As importações de produtos do agronegócio, por sua vez, </w:t>
      </w:r>
      <w:r w:rsidR="0058550E">
        <w:rPr>
          <w:rFonts w:ascii="Arial" w:hAnsi="Arial" w:cs="Arial"/>
          <w:sz w:val="20"/>
          <w:szCs w:val="20"/>
        </w:rPr>
        <w:t>recuaram de US$ 14,83 bilhões entre julho de 2016 e junho de 2017 para US$ 13,89 bilhões entre julho de 2017 e junho de 2018</w:t>
      </w:r>
      <w:r w:rsidR="00681277">
        <w:rPr>
          <w:rFonts w:ascii="Arial" w:hAnsi="Arial" w:cs="Arial"/>
          <w:sz w:val="20"/>
          <w:szCs w:val="20"/>
        </w:rPr>
        <w:t xml:space="preserve"> (-6,4%)</w:t>
      </w:r>
      <w:r w:rsidR="0058550E">
        <w:rPr>
          <w:rFonts w:ascii="Arial" w:hAnsi="Arial" w:cs="Arial"/>
          <w:sz w:val="20"/>
          <w:szCs w:val="20"/>
        </w:rPr>
        <w:t xml:space="preserve">. </w:t>
      </w:r>
      <w:r w:rsidR="00681277">
        <w:rPr>
          <w:rFonts w:ascii="Arial" w:hAnsi="Arial" w:cs="Arial"/>
          <w:sz w:val="20"/>
          <w:szCs w:val="20"/>
        </w:rPr>
        <w:t xml:space="preserve">O índice de preço dos produtos importados caiu 10,0%, uma porcentagem muito superior à queda de 0,9% no </w:t>
      </w:r>
      <w:r w:rsidR="0083136D">
        <w:rPr>
          <w:rFonts w:ascii="Arial" w:hAnsi="Arial" w:cs="Arial"/>
          <w:sz w:val="20"/>
          <w:szCs w:val="20"/>
        </w:rPr>
        <w:t>índice de preços dos produtos exportados pelo</w:t>
      </w:r>
      <w:r w:rsidR="00681277">
        <w:rPr>
          <w:rFonts w:ascii="Arial" w:hAnsi="Arial" w:cs="Arial"/>
          <w:sz w:val="20"/>
          <w:szCs w:val="20"/>
        </w:rPr>
        <w:t xml:space="preserve"> agronegócio brasileiro. Houve, também, incremento do índice de </w:t>
      </w:r>
      <w:r w:rsidR="00681277" w:rsidRPr="00E17DA9">
        <w:rPr>
          <w:rFonts w:ascii="Arial" w:hAnsi="Arial" w:cs="Arial"/>
          <w:sz w:val="20"/>
          <w:szCs w:val="20"/>
        </w:rPr>
        <w:t>quantum</w:t>
      </w:r>
      <w:r w:rsidR="00681277">
        <w:rPr>
          <w:rFonts w:ascii="Arial" w:hAnsi="Arial" w:cs="Arial"/>
          <w:sz w:val="20"/>
          <w:szCs w:val="20"/>
        </w:rPr>
        <w:t xml:space="preserve"> das importações (+4,1%). Com efeito, a queda de 6,4%</w:t>
      </w:r>
      <w:r w:rsidR="00B977F7">
        <w:rPr>
          <w:rFonts w:ascii="Arial" w:hAnsi="Arial" w:cs="Arial"/>
          <w:sz w:val="20"/>
          <w:szCs w:val="20"/>
        </w:rPr>
        <w:t xml:space="preserve"> no valor das importaç</w:t>
      </w:r>
      <w:r w:rsidR="0083136D">
        <w:rPr>
          <w:rFonts w:ascii="Arial" w:hAnsi="Arial" w:cs="Arial"/>
          <w:sz w:val="20"/>
          <w:szCs w:val="20"/>
        </w:rPr>
        <w:t>ões deveu-se</w:t>
      </w:r>
      <w:r w:rsidR="00B977F7">
        <w:rPr>
          <w:rFonts w:ascii="Arial" w:hAnsi="Arial" w:cs="Arial"/>
          <w:sz w:val="20"/>
          <w:szCs w:val="20"/>
        </w:rPr>
        <w:t xml:space="preserve"> à redução do preço dos produtos importados.</w:t>
      </w:r>
    </w:p>
    <w:p w:rsidR="00B977F7" w:rsidRDefault="00B977F7" w:rsidP="007605D7">
      <w:pPr>
        <w:autoSpaceDE w:val="0"/>
        <w:autoSpaceDN w:val="0"/>
        <w:adjustRightInd w:val="0"/>
        <w:jc w:val="both"/>
        <w:rPr>
          <w:rFonts w:ascii="Arial" w:hAnsi="Arial" w:cs="Arial"/>
          <w:sz w:val="20"/>
          <w:szCs w:val="20"/>
        </w:rPr>
      </w:pPr>
    </w:p>
    <w:p w:rsidR="00B977F7" w:rsidRPr="00681277" w:rsidRDefault="00B977F7" w:rsidP="00E17DA9">
      <w:pPr>
        <w:pStyle w:val="Recuodecorpodetexto"/>
        <w:rPr>
          <w:rFonts w:ascii="Arial" w:hAnsi="Arial" w:cs="Arial"/>
          <w:sz w:val="20"/>
          <w:szCs w:val="20"/>
        </w:rPr>
      </w:pPr>
      <w:r>
        <w:rPr>
          <w:rFonts w:ascii="Arial" w:hAnsi="Arial" w:cs="Arial"/>
          <w:sz w:val="20"/>
          <w:szCs w:val="20"/>
        </w:rPr>
        <w:t>O saldo superavitário nesses produtos aumentou de US$ 73,23 bilhões entre julho de 2016 a junho de 2017</w:t>
      </w:r>
      <w:r w:rsidR="0001326B">
        <w:rPr>
          <w:rFonts w:ascii="Arial" w:hAnsi="Arial" w:cs="Arial"/>
          <w:sz w:val="20"/>
          <w:szCs w:val="20"/>
        </w:rPr>
        <w:t xml:space="preserve"> para US$ 83,53 bilhões entre julho de 2017 a junho de 2018. </w:t>
      </w:r>
    </w:p>
    <w:p w:rsidR="007E15CE" w:rsidRDefault="007E15CE" w:rsidP="0001136D">
      <w:pPr>
        <w:autoSpaceDE w:val="0"/>
        <w:autoSpaceDN w:val="0"/>
        <w:adjustRightInd w:val="0"/>
        <w:jc w:val="both"/>
        <w:rPr>
          <w:rFonts w:ascii="Arial" w:hAnsi="Arial" w:cs="Arial"/>
          <w:b/>
          <w:sz w:val="20"/>
          <w:szCs w:val="20"/>
        </w:rPr>
      </w:pPr>
    </w:p>
    <w:p w:rsidR="0001136D" w:rsidRDefault="0001136D" w:rsidP="0001136D">
      <w:pPr>
        <w:pStyle w:val="Ttulo5"/>
        <w:autoSpaceDE/>
        <w:autoSpaceDN/>
        <w:adjustRightInd/>
        <w:rPr>
          <w:rFonts w:ascii="Arial" w:hAnsi="Arial" w:cs="Arial"/>
          <w:sz w:val="20"/>
          <w:szCs w:val="20"/>
        </w:rPr>
      </w:pPr>
      <w:proofErr w:type="spellStart"/>
      <w:r w:rsidRPr="00AB3924">
        <w:rPr>
          <w:rFonts w:ascii="Arial" w:hAnsi="Arial" w:cs="Arial"/>
          <w:sz w:val="20"/>
          <w:szCs w:val="20"/>
        </w:rPr>
        <w:t>III.a</w:t>
      </w:r>
      <w:proofErr w:type="spellEnd"/>
      <w:r w:rsidRPr="00AB3924">
        <w:rPr>
          <w:rFonts w:ascii="Arial" w:hAnsi="Arial" w:cs="Arial"/>
          <w:sz w:val="20"/>
          <w:szCs w:val="20"/>
        </w:rPr>
        <w:t xml:space="preserve"> – Setores do Agronegócio</w:t>
      </w:r>
    </w:p>
    <w:p w:rsidR="0083136D" w:rsidRDefault="0083136D" w:rsidP="0083136D"/>
    <w:p w:rsidR="0083136D" w:rsidRDefault="00593158" w:rsidP="00E17DA9">
      <w:pPr>
        <w:pStyle w:val="Recuodecorpodetexto"/>
        <w:rPr>
          <w:rFonts w:ascii="Arial" w:hAnsi="Arial" w:cs="Arial"/>
          <w:sz w:val="20"/>
          <w:szCs w:val="20"/>
        </w:rPr>
      </w:pPr>
      <w:r w:rsidRPr="00593158">
        <w:rPr>
          <w:rFonts w:ascii="Arial" w:hAnsi="Arial" w:cs="Arial"/>
          <w:sz w:val="20"/>
          <w:szCs w:val="20"/>
        </w:rPr>
        <w:t xml:space="preserve">Os cinco principais </w:t>
      </w:r>
      <w:r>
        <w:rPr>
          <w:rFonts w:ascii="Arial" w:hAnsi="Arial" w:cs="Arial"/>
          <w:sz w:val="20"/>
          <w:szCs w:val="20"/>
        </w:rPr>
        <w:t xml:space="preserve">setores exportadores do agronegócio brasileiro </w:t>
      </w:r>
      <w:r w:rsidR="00B86C2C">
        <w:rPr>
          <w:rFonts w:ascii="Arial" w:hAnsi="Arial" w:cs="Arial"/>
          <w:sz w:val="20"/>
          <w:szCs w:val="20"/>
        </w:rPr>
        <w:t>foram: complexo soja (35,0%</w:t>
      </w:r>
      <w:r w:rsidR="00633D29">
        <w:rPr>
          <w:rFonts w:ascii="Arial" w:hAnsi="Arial" w:cs="Arial"/>
          <w:sz w:val="20"/>
          <w:szCs w:val="20"/>
        </w:rPr>
        <w:t xml:space="preserve"> da pauta</w:t>
      </w:r>
      <w:r w:rsidR="00B86C2C">
        <w:rPr>
          <w:rFonts w:ascii="Arial" w:hAnsi="Arial" w:cs="Arial"/>
          <w:sz w:val="20"/>
          <w:szCs w:val="20"/>
        </w:rPr>
        <w:t xml:space="preserve">); carnes (14,9%); produtos florestais (13,5%); complexo sucroalcooleiro (10,2%) e cereais, farinhas e preparações (5,7%). </w:t>
      </w:r>
      <w:r w:rsidR="00A80EAF">
        <w:rPr>
          <w:rFonts w:ascii="Arial" w:hAnsi="Arial" w:cs="Arial"/>
          <w:sz w:val="20"/>
          <w:szCs w:val="20"/>
        </w:rPr>
        <w:t>As exportações destes cinco setores foram de 79,3% do total das exportações brasileiras do agroneg</w:t>
      </w:r>
      <w:r w:rsidR="00095783">
        <w:rPr>
          <w:rFonts w:ascii="Arial" w:hAnsi="Arial" w:cs="Arial"/>
          <w:sz w:val="20"/>
          <w:szCs w:val="20"/>
        </w:rPr>
        <w:t>ócio entre julho de 2017 a junho de 2018,</w:t>
      </w:r>
      <w:r w:rsidR="00A80EAF">
        <w:rPr>
          <w:rFonts w:ascii="Arial" w:hAnsi="Arial" w:cs="Arial"/>
          <w:sz w:val="20"/>
          <w:szCs w:val="20"/>
        </w:rPr>
        <w:t xml:space="preserve"> uma elevação de 1,1 ponto percentual em relação </w:t>
      </w:r>
      <w:r w:rsidR="00095783">
        <w:rPr>
          <w:rFonts w:ascii="Arial" w:hAnsi="Arial" w:cs="Arial"/>
          <w:sz w:val="20"/>
          <w:szCs w:val="20"/>
        </w:rPr>
        <w:t>às exportações dos doze meses anteriores</w:t>
      </w:r>
      <w:r w:rsidR="00633D29">
        <w:rPr>
          <w:rFonts w:ascii="Arial" w:hAnsi="Arial" w:cs="Arial"/>
          <w:sz w:val="20"/>
          <w:szCs w:val="20"/>
        </w:rPr>
        <w:t>, tomando-se em conta o mesmo conjunto de setores</w:t>
      </w:r>
      <w:r w:rsidR="00095783">
        <w:rPr>
          <w:rFonts w:ascii="Arial" w:hAnsi="Arial" w:cs="Arial"/>
          <w:sz w:val="20"/>
          <w:szCs w:val="20"/>
        </w:rPr>
        <w:t>.</w:t>
      </w:r>
      <w:r w:rsidR="00F0355B">
        <w:rPr>
          <w:rFonts w:ascii="Arial" w:hAnsi="Arial" w:cs="Arial"/>
          <w:sz w:val="20"/>
          <w:szCs w:val="20"/>
        </w:rPr>
        <w:t xml:space="preserve"> Esse resultado demonstra uma concentração das vendas externas do agronegócio entre os cinco principais setores. Entretanto, </w:t>
      </w:r>
      <w:r w:rsidR="00215A65">
        <w:rPr>
          <w:rFonts w:ascii="Arial" w:hAnsi="Arial" w:cs="Arial"/>
          <w:sz w:val="20"/>
          <w:szCs w:val="20"/>
        </w:rPr>
        <w:t>nem</w:t>
      </w:r>
      <w:r w:rsidR="00F0355B">
        <w:rPr>
          <w:rFonts w:ascii="Arial" w:hAnsi="Arial" w:cs="Arial"/>
          <w:sz w:val="20"/>
          <w:szCs w:val="20"/>
        </w:rPr>
        <w:t xml:space="preserve"> todos esses cinco principais setores apresentaram desempenho positivo. Será feita, nos próximos parágrafos, uma análise de cada um de</w:t>
      </w:r>
      <w:r w:rsidR="00215A65">
        <w:rPr>
          <w:rFonts w:ascii="Arial" w:hAnsi="Arial" w:cs="Arial"/>
          <w:sz w:val="20"/>
          <w:szCs w:val="20"/>
        </w:rPr>
        <w:t>les</w:t>
      </w:r>
      <w:r w:rsidR="00F0355B">
        <w:rPr>
          <w:rFonts w:ascii="Arial" w:hAnsi="Arial" w:cs="Arial"/>
          <w:sz w:val="20"/>
          <w:szCs w:val="20"/>
        </w:rPr>
        <w:t>.</w:t>
      </w:r>
    </w:p>
    <w:p w:rsidR="00F0355B" w:rsidRDefault="00F0355B" w:rsidP="00E17DA9">
      <w:pPr>
        <w:pStyle w:val="Recuodecorpodetexto"/>
        <w:rPr>
          <w:rFonts w:ascii="Arial" w:hAnsi="Arial" w:cs="Arial"/>
          <w:sz w:val="20"/>
          <w:szCs w:val="20"/>
        </w:rPr>
      </w:pPr>
    </w:p>
    <w:p w:rsidR="00772498" w:rsidRDefault="00E547CD" w:rsidP="00E17DA9">
      <w:pPr>
        <w:pStyle w:val="Recuodecorpodetexto"/>
        <w:rPr>
          <w:rFonts w:ascii="Arial" w:hAnsi="Arial" w:cs="Arial"/>
          <w:sz w:val="20"/>
          <w:szCs w:val="20"/>
        </w:rPr>
      </w:pPr>
      <w:r>
        <w:rPr>
          <w:rFonts w:ascii="Arial" w:hAnsi="Arial" w:cs="Arial"/>
          <w:sz w:val="20"/>
          <w:szCs w:val="20"/>
        </w:rPr>
        <w:t>O complexo soja é o principal setor em exportações do agronegócio brasileiro. O setor aumentou as vendas externas de US$ 28,15 bilhões entre julho de 2016 entre junho de 2017 para US$ 34,07 bilhões entre julho de 2017 e junho de 2018 (</w:t>
      </w:r>
      <w:r w:rsidR="007515E8">
        <w:rPr>
          <w:rFonts w:ascii="Arial" w:hAnsi="Arial" w:cs="Arial"/>
          <w:sz w:val="20"/>
          <w:szCs w:val="20"/>
        </w:rPr>
        <w:t>+</w:t>
      </w:r>
      <w:r>
        <w:rPr>
          <w:rFonts w:ascii="Arial" w:hAnsi="Arial" w:cs="Arial"/>
          <w:sz w:val="20"/>
          <w:szCs w:val="20"/>
        </w:rPr>
        <w:t>21,0%). Houve uma elevaç</w:t>
      </w:r>
      <w:r w:rsidR="001D02B6">
        <w:rPr>
          <w:rFonts w:ascii="Arial" w:hAnsi="Arial" w:cs="Arial"/>
          <w:sz w:val="20"/>
          <w:szCs w:val="20"/>
        </w:rPr>
        <w:t>ão absoluta</w:t>
      </w:r>
      <w:r>
        <w:rPr>
          <w:rFonts w:ascii="Arial" w:hAnsi="Arial" w:cs="Arial"/>
          <w:sz w:val="20"/>
          <w:szCs w:val="20"/>
        </w:rPr>
        <w:t xml:space="preserve"> </w:t>
      </w:r>
      <w:r w:rsidR="00CD009E">
        <w:rPr>
          <w:rFonts w:ascii="Arial" w:hAnsi="Arial" w:cs="Arial"/>
          <w:sz w:val="20"/>
          <w:szCs w:val="20"/>
        </w:rPr>
        <w:t>de US$ 5,92 bilhões em vendas externas do complexo soja. Esse aumento nas vendas externas do setor representou 63,3% da expansão absoluta das exportaç</w:t>
      </w:r>
      <w:r w:rsidR="001D02B6">
        <w:rPr>
          <w:rFonts w:ascii="Arial" w:hAnsi="Arial" w:cs="Arial"/>
          <w:sz w:val="20"/>
          <w:szCs w:val="20"/>
        </w:rPr>
        <w:t xml:space="preserve">ões </w:t>
      </w:r>
      <w:r w:rsidR="00CD009E">
        <w:rPr>
          <w:rFonts w:ascii="Arial" w:hAnsi="Arial" w:cs="Arial"/>
          <w:sz w:val="20"/>
          <w:szCs w:val="20"/>
        </w:rPr>
        <w:t>do agroneg</w:t>
      </w:r>
      <w:r w:rsidR="001D02B6">
        <w:rPr>
          <w:rFonts w:ascii="Arial" w:hAnsi="Arial" w:cs="Arial"/>
          <w:sz w:val="20"/>
          <w:szCs w:val="20"/>
        </w:rPr>
        <w:t>ócio, que foram</w:t>
      </w:r>
      <w:r w:rsidR="00CD009E">
        <w:rPr>
          <w:rFonts w:ascii="Arial" w:hAnsi="Arial" w:cs="Arial"/>
          <w:sz w:val="20"/>
          <w:szCs w:val="20"/>
        </w:rPr>
        <w:t xml:space="preserve"> de US$ 9,36 bilhões.</w:t>
      </w:r>
      <w:r w:rsidR="00772498">
        <w:rPr>
          <w:rFonts w:ascii="Arial" w:hAnsi="Arial" w:cs="Arial"/>
          <w:sz w:val="20"/>
          <w:szCs w:val="20"/>
        </w:rPr>
        <w:t xml:space="preserve"> </w:t>
      </w:r>
      <w:r w:rsidR="001D5EE4">
        <w:rPr>
          <w:rFonts w:ascii="Arial" w:hAnsi="Arial" w:cs="Arial"/>
          <w:sz w:val="20"/>
          <w:szCs w:val="20"/>
        </w:rPr>
        <w:t>Com isso, o setor passou a responder por 35,0% do valor exportado pelo agronegócio brasileiro.</w:t>
      </w:r>
    </w:p>
    <w:p w:rsidR="00772498" w:rsidRDefault="00772498" w:rsidP="00E17DA9">
      <w:pPr>
        <w:pStyle w:val="Recuodecorpodetexto"/>
        <w:rPr>
          <w:rFonts w:ascii="Arial" w:hAnsi="Arial" w:cs="Arial"/>
          <w:sz w:val="20"/>
          <w:szCs w:val="20"/>
        </w:rPr>
      </w:pPr>
    </w:p>
    <w:p w:rsidR="00CD009E" w:rsidRDefault="00772498" w:rsidP="00E17DA9">
      <w:pPr>
        <w:pStyle w:val="Recuodecorpodetexto"/>
        <w:rPr>
          <w:rFonts w:ascii="Arial" w:hAnsi="Arial" w:cs="Arial"/>
          <w:sz w:val="20"/>
          <w:szCs w:val="20"/>
        </w:rPr>
      </w:pPr>
      <w:r>
        <w:rPr>
          <w:rFonts w:ascii="Arial" w:hAnsi="Arial" w:cs="Arial"/>
          <w:sz w:val="20"/>
          <w:szCs w:val="20"/>
        </w:rPr>
        <w:t>A</w:t>
      </w:r>
      <w:r w:rsidR="00CD009E">
        <w:rPr>
          <w:rFonts w:ascii="Arial" w:hAnsi="Arial" w:cs="Arial"/>
          <w:sz w:val="20"/>
          <w:szCs w:val="20"/>
        </w:rPr>
        <w:t>s exportações de soja em grão</w:t>
      </w:r>
      <w:r w:rsidR="00660EFB">
        <w:rPr>
          <w:rFonts w:ascii="Arial" w:hAnsi="Arial" w:cs="Arial"/>
          <w:sz w:val="20"/>
          <w:szCs w:val="20"/>
        </w:rPr>
        <w:t xml:space="preserve"> foram de US$ 27,48 bilhões</w:t>
      </w:r>
      <w:r w:rsidR="007515E8">
        <w:rPr>
          <w:rFonts w:ascii="Arial" w:hAnsi="Arial" w:cs="Arial"/>
          <w:sz w:val="20"/>
          <w:szCs w:val="20"/>
        </w:rPr>
        <w:t xml:space="preserve">, recorde para o período entre julho e junho, </w:t>
      </w:r>
      <w:r w:rsidR="00660EFB">
        <w:rPr>
          <w:rFonts w:ascii="Arial" w:hAnsi="Arial" w:cs="Arial"/>
          <w:sz w:val="20"/>
          <w:szCs w:val="20"/>
        </w:rPr>
        <w:t>e</w:t>
      </w:r>
      <w:r w:rsidR="00CD009E">
        <w:rPr>
          <w:rFonts w:ascii="Arial" w:hAnsi="Arial" w:cs="Arial"/>
          <w:sz w:val="20"/>
          <w:szCs w:val="20"/>
        </w:rPr>
        <w:t xml:space="preserve"> representaram </w:t>
      </w:r>
      <w:r>
        <w:rPr>
          <w:rFonts w:ascii="Arial" w:hAnsi="Arial" w:cs="Arial"/>
          <w:sz w:val="20"/>
          <w:szCs w:val="20"/>
        </w:rPr>
        <w:t xml:space="preserve">80,6% do valor total exportado pelo setor. </w:t>
      </w:r>
      <w:r w:rsidR="001D02B6">
        <w:rPr>
          <w:rFonts w:ascii="Arial" w:hAnsi="Arial" w:cs="Arial"/>
          <w:sz w:val="20"/>
          <w:szCs w:val="20"/>
        </w:rPr>
        <w:t xml:space="preserve">Houve </w:t>
      </w:r>
      <w:r>
        <w:rPr>
          <w:rFonts w:ascii="Arial" w:hAnsi="Arial" w:cs="Arial"/>
          <w:sz w:val="20"/>
          <w:szCs w:val="20"/>
        </w:rPr>
        <w:t>aumento d</w:t>
      </w:r>
      <w:r w:rsidR="009F402F">
        <w:rPr>
          <w:rFonts w:ascii="Arial" w:hAnsi="Arial" w:cs="Arial"/>
          <w:sz w:val="20"/>
          <w:szCs w:val="20"/>
        </w:rPr>
        <w:t>a quantidade exportada de</w:t>
      </w:r>
      <w:r w:rsidR="00AF1574">
        <w:rPr>
          <w:rFonts w:ascii="Arial" w:hAnsi="Arial" w:cs="Arial"/>
          <w:sz w:val="20"/>
          <w:szCs w:val="20"/>
        </w:rPr>
        <w:t xml:space="preserve"> soja em grão </w:t>
      </w:r>
      <w:r w:rsidR="00AF1574">
        <w:rPr>
          <w:rFonts w:ascii="Arial" w:hAnsi="Arial" w:cs="Arial"/>
          <w:sz w:val="20"/>
          <w:szCs w:val="20"/>
        </w:rPr>
        <w:lastRenderedPageBreak/>
        <w:t>de</w:t>
      </w:r>
      <w:r w:rsidR="009F402F">
        <w:rPr>
          <w:rFonts w:ascii="Arial" w:hAnsi="Arial" w:cs="Arial"/>
          <w:sz w:val="20"/>
          <w:szCs w:val="20"/>
        </w:rPr>
        <w:t xml:space="preserve"> 57,0</w:t>
      </w:r>
      <w:r w:rsidR="00215A65">
        <w:rPr>
          <w:rFonts w:ascii="Arial" w:hAnsi="Arial" w:cs="Arial"/>
          <w:sz w:val="20"/>
          <w:szCs w:val="20"/>
        </w:rPr>
        <w:t>0</w:t>
      </w:r>
      <w:r w:rsidR="009F402F">
        <w:rPr>
          <w:rFonts w:ascii="Arial" w:hAnsi="Arial" w:cs="Arial"/>
          <w:sz w:val="20"/>
          <w:szCs w:val="20"/>
        </w:rPr>
        <w:t xml:space="preserve"> milhões de toneladas para 70,4</w:t>
      </w:r>
      <w:r w:rsidR="00215A65">
        <w:rPr>
          <w:rFonts w:ascii="Arial" w:hAnsi="Arial" w:cs="Arial"/>
          <w:sz w:val="20"/>
          <w:szCs w:val="20"/>
        </w:rPr>
        <w:t>3</w:t>
      </w:r>
      <w:r w:rsidR="009F402F">
        <w:rPr>
          <w:rFonts w:ascii="Arial" w:hAnsi="Arial" w:cs="Arial"/>
          <w:sz w:val="20"/>
          <w:szCs w:val="20"/>
        </w:rPr>
        <w:t xml:space="preserve"> milhões</w:t>
      </w:r>
      <w:r w:rsidR="00215A65">
        <w:rPr>
          <w:rFonts w:ascii="Arial" w:hAnsi="Arial" w:cs="Arial"/>
          <w:sz w:val="20"/>
          <w:szCs w:val="20"/>
        </w:rPr>
        <w:t xml:space="preserve"> de toneladas</w:t>
      </w:r>
      <w:r w:rsidR="001D02B6">
        <w:rPr>
          <w:rFonts w:ascii="Arial" w:hAnsi="Arial" w:cs="Arial"/>
          <w:sz w:val="20"/>
          <w:szCs w:val="20"/>
        </w:rPr>
        <w:t xml:space="preserve"> no período em análise</w:t>
      </w:r>
      <w:r w:rsidR="009F402F">
        <w:rPr>
          <w:rFonts w:ascii="Arial" w:hAnsi="Arial" w:cs="Arial"/>
          <w:sz w:val="20"/>
          <w:szCs w:val="20"/>
        </w:rPr>
        <w:t xml:space="preserve"> (</w:t>
      </w:r>
      <w:r w:rsidR="001D02B6">
        <w:rPr>
          <w:rFonts w:ascii="Arial" w:hAnsi="Arial" w:cs="Arial"/>
          <w:sz w:val="20"/>
          <w:szCs w:val="20"/>
        </w:rPr>
        <w:t>+</w:t>
      </w:r>
      <w:r w:rsidR="009F402F">
        <w:rPr>
          <w:rFonts w:ascii="Arial" w:hAnsi="Arial" w:cs="Arial"/>
          <w:sz w:val="20"/>
          <w:szCs w:val="20"/>
        </w:rPr>
        <w:t>23,6%)</w:t>
      </w:r>
      <w:r w:rsidR="007515E8">
        <w:rPr>
          <w:rFonts w:ascii="Arial" w:hAnsi="Arial" w:cs="Arial"/>
          <w:sz w:val="20"/>
          <w:szCs w:val="20"/>
        </w:rPr>
        <w:t>, que também foi recorde de quantidade para o período,</w:t>
      </w:r>
      <w:r w:rsidR="009F402F">
        <w:rPr>
          <w:rFonts w:ascii="Arial" w:hAnsi="Arial" w:cs="Arial"/>
          <w:sz w:val="20"/>
          <w:szCs w:val="20"/>
        </w:rPr>
        <w:t xml:space="preserve"> e de 0,6% no preço médio de exportaç</w:t>
      </w:r>
      <w:r w:rsidR="003E6803">
        <w:rPr>
          <w:rFonts w:ascii="Arial" w:hAnsi="Arial" w:cs="Arial"/>
          <w:sz w:val="20"/>
          <w:szCs w:val="20"/>
        </w:rPr>
        <w:t>ão.</w:t>
      </w:r>
      <w:r w:rsidR="001D02B6">
        <w:rPr>
          <w:rFonts w:ascii="Arial" w:hAnsi="Arial" w:cs="Arial"/>
          <w:sz w:val="20"/>
          <w:szCs w:val="20"/>
        </w:rPr>
        <w:t xml:space="preserve"> As exportações de farelo de soja também subiram, passando de US$ 5,06 bilhões para US$ 5,59 bilhões no período em análise (+10,5%). </w:t>
      </w:r>
      <w:r w:rsidR="007515E8">
        <w:rPr>
          <w:rFonts w:ascii="Arial" w:hAnsi="Arial" w:cs="Arial"/>
          <w:sz w:val="20"/>
          <w:szCs w:val="20"/>
        </w:rPr>
        <w:t>Ainda no setor</w:t>
      </w:r>
      <w:r w:rsidR="001D02B6">
        <w:rPr>
          <w:rFonts w:ascii="Arial" w:hAnsi="Arial" w:cs="Arial"/>
          <w:sz w:val="20"/>
          <w:szCs w:val="20"/>
        </w:rPr>
        <w:t>, a vendas externas de óleo de soja atingiram US$ 1,01 bilh</w:t>
      </w:r>
      <w:r w:rsidR="00636DB1">
        <w:rPr>
          <w:rFonts w:ascii="Arial" w:hAnsi="Arial" w:cs="Arial"/>
          <w:sz w:val="20"/>
          <w:szCs w:val="20"/>
        </w:rPr>
        <w:t>ão (+1,9%).</w:t>
      </w:r>
    </w:p>
    <w:p w:rsidR="00636DB1" w:rsidRDefault="00636DB1" w:rsidP="00E17DA9">
      <w:pPr>
        <w:pStyle w:val="Recuodecorpodetexto"/>
        <w:rPr>
          <w:rFonts w:ascii="Arial" w:hAnsi="Arial" w:cs="Arial"/>
          <w:sz w:val="20"/>
          <w:szCs w:val="20"/>
        </w:rPr>
      </w:pPr>
    </w:p>
    <w:p w:rsidR="00636DB1" w:rsidRPr="00593158" w:rsidRDefault="00235D7C" w:rsidP="00E17DA9">
      <w:pPr>
        <w:pStyle w:val="Recuodecorpodetexto"/>
        <w:rPr>
          <w:rFonts w:ascii="Arial" w:hAnsi="Arial" w:cs="Arial"/>
          <w:sz w:val="20"/>
          <w:szCs w:val="20"/>
        </w:rPr>
      </w:pPr>
      <w:r>
        <w:rPr>
          <w:rFonts w:ascii="Arial" w:hAnsi="Arial" w:cs="Arial"/>
          <w:sz w:val="20"/>
          <w:szCs w:val="20"/>
        </w:rPr>
        <w:t>As vendas externas de carnes foram de US$ 14,5</w:t>
      </w:r>
      <w:r w:rsidR="00215A65">
        <w:rPr>
          <w:rFonts w:ascii="Arial" w:hAnsi="Arial" w:cs="Arial"/>
          <w:sz w:val="20"/>
          <w:szCs w:val="20"/>
        </w:rPr>
        <w:t>5</w:t>
      </w:r>
      <w:r>
        <w:rPr>
          <w:rFonts w:ascii="Arial" w:hAnsi="Arial" w:cs="Arial"/>
          <w:sz w:val="20"/>
          <w:szCs w:val="20"/>
        </w:rPr>
        <w:t xml:space="preserve"> bilhões entre julho de 2017 e junho de 2018 (+0,1%). </w:t>
      </w:r>
      <w:r w:rsidR="006F39FB">
        <w:rPr>
          <w:rFonts w:ascii="Arial" w:hAnsi="Arial" w:cs="Arial"/>
          <w:sz w:val="20"/>
          <w:szCs w:val="20"/>
        </w:rPr>
        <w:t>Esta pequena elevação só ocorreu em função do aumento do preço médio de exportação</w:t>
      </w:r>
      <w:r w:rsidR="00D643BB">
        <w:rPr>
          <w:rFonts w:ascii="Arial" w:hAnsi="Arial" w:cs="Arial"/>
          <w:sz w:val="20"/>
          <w:szCs w:val="20"/>
        </w:rPr>
        <w:t xml:space="preserve"> em 1,9</w:t>
      </w:r>
      <w:r w:rsidR="006F39FB">
        <w:rPr>
          <w:rFonts w:ascii="Arial" w:hAnsi="Arial" w:cs="Arial"/>
          <w:sz w:val="20"/>
          <w:szCs w:val="20"/>
        </w:rPr>
        <w:t>%</w:t>
      </w:r>
      <w:r w:rsidR="00A37B26">
        <w:rPr>
          <w:rFonts w:ascii="Arial" w:hAnsi="Arial" w:cs="Arial"/>
          <w:sz w:val="20"/>
          <w:szCs w:val="20"/>
        </w:rPr>
        <w:t>,</w:t>
      </w:r>
      <w:r w:rsidR="006F39FB">
        <w:rPr>
          <w:rFonts w:ascii="Arial" w:hAnsi="Arial" w:cs="Arial"/>
          <w:sz w:val="20"/>
          <w:szCs w:val="20"/>
        </w:rPr>
        <w:t xml:space="preserve"> pois a quantidade exportada caiu 1,8%.</w:t>
      </w:r>
      <w:r w:rsidR="00A37B26">
        <w:rPr>
          <w:rFonts w:ascii="Arial" w:hAnsi="Arial" w:cs="Arial"/>
          <w:sz w:val="20"/>
          <w:szCs w:val="20"/>
        </w:rPr>
        <w:t xml:space="preserve"> A principal carne exportada pelo Brasil é a de frango. Foram comercializadas US$ 6,46 bilhões em carnes de frango entre julho de 2017 e junho de 2018 (-7,1%), em função de queda de 4,9% na quantidade exportada e de 2,4% no preço médio de exportação. A carne bovina foi o único tipo de carne com desempenho positivo na análise do </w:t>
      </w:r>
      <w:r w:rsidR="00D643BB">
        <w:rPr>
          <w:rFonts w:ascii="Arial" w:hAnsi="Arial" w:cs="Arial"/>
          <w:sz w:val="20"/>
          <w:szCs w:val="20"/>
        </w:rPr>
        <w:t>setor. A</w:t>
      </w:r>
      <w:r w:rsidR="00A37B26">
        <w:rPr>
          <w:rFonts w:ascii="Arial" w:hAnsi="Arial" w:cs="Arial"/>
          <w:sz w:val="20"/>
          <w:szCs w:val="20"/>
        </w:rPr>
        <w:t>s exportações</w:t>
      </w:r>
      <w:r w:rsidR="00D643BB">
        <w:rPr>
          <w:rFonts w:ascii="Arial" w:hAnsi="Arial" w:cs="Arial"/>
          <w:sz w:val="20"/>
          <w:szCs w:val="20"/>
        </w:rPr>
        <w:t xml:space="preserve"> passaram</w:t>
      </w:r>
      <w:r w:rsidR="00A37B26">
        <w:rPr>
          <w:rFonts w:ascii="Arial" w:hAnsi="Arial" w:cs="Arial"/>
          <w:sz w:val="20"/>
          <w:szCs w:val="20"/>
        </w:rPr>
        <w:t xml:space="preserve"> de US$ 5,24 bilhões entre julho de 2016 e junho de 2017 para US$ 6,16 bilhões entre julho de 2017 e junho de 2018, o que significou uma</w:t>
      </w:r>
      <w:r w:rsidR="00D643BB">
        <w:rPr>
          <w:rFonts w:ascii="Arial" w:hAnsi="Arial" w:cs="Arial"/>
          <w:sz w:val="20"/>
          <w:szCs w:val="20"/>
        </w:rPr>
        <w:t xml:space="preserve"> exp</w:t>
      </w:r>
      <w:r w:rsidR="00A37B26">
        <w:rPr>
          <w:rFonts w:ascii="Arial" w:hAnsi="Arial" w:cs="Arial"/>
          <w:sz w:val="20"/>
          <w:szCs w:val="20"/>
        </w:rPr>
        <w:t>ansão de 17,6%.</w:t>
      </w:r>
      <w:r w:rsidR="00D643BB">
        <w:rPr>
          <w:rFonts w:ascii="Arial" w:hAnsi="Arial" w:cs="Arial"/>
          <w:sz w:val="20"/>
          <w:szCs w:val="20"/>
        </w:rPr>
        <w:t xml:space="preserve"> As exportações de carne suína foram de US$ 1,36 bilh</w:t>
      </w:r>
      <w:r w:rsidR="00215A65">
        <w:rPr>
          <w:rFonts w:ascii="Arial" w:hAnsi="Arial" w:cs="Arial"/>
          <w:sz w:val="20"/>
          <w:szCs w:val="20"/>
        </w:rPr>
        <w:t>ão</w:t>
      </w:r>
      <w:r w:rsidR="00D643BB">
        <w:rPr>
          <w:rFonts w:ascii="Arial" w:hAnsi="Arial" w:cs="Arial"/>
          <w:sz w:val="20"/>
          <w:szCs w:val="20"/>
        </w:rPr>
        <w:t xml:space="preserve"> (-17,6%) e </w:t>
      </w:r>
      <w:r w:rsidR="00215A65">
        <w:rPr>
          <w:rFonts w:ascii="Arial" w:hAnsi="Arial" w:cs="Arial"/>
          <w:sz w:val="20"/>
          <w:szCs w:val="20"/>
        </w:rPr>
        <w:t xml:space="preserve">as </w:t>
      </w:r>
      <w:r w:rsidR="00D643BB">
        <w:rPr>
          <w:rFonts w:ascii="Arial" w:hAnsi="Arial" w:cs="Arial"/>
          <w:sz w:val="20"/>
          <w:szCs w:val="20"/>
        </w:rPr>
        <w:t>de carne de peru</w:t>
      </w:r>
      <w:r w:rsidR="00215A65">
        <w:rPr>
          <w:rFonts w:ascii="Arial" w:hAnsi="Arial" w:cs="Arial"/>
          <w:sz w:val="20"/>
          <w:szCs w:val="20"/>
        </w:rPr>
        <w:t xml:space="preserve">, </w:t>
      </w:r>
      <w:r w:rsidR="00D643BB">
        <w:rPr>
          <w:rFonts w:ascii="Arial" w:hAnsi="Arial" w:cs="Arial"/>
          <w:sz w:val="20"/>
          <w:szCs w:val="20"/>
        </w:rPr>
        <w:t>US$ 188,60 milhões (-44,3%) entre julho de 2017 e junho de 2018.</w:t>
      </w:r>
    </w:p>
    <w:p w:rsidR="00156CF0" w:rsidRPr="00E17DA9" w:rsidRDefault="00156CF0" w:rsidP="00E17DA9">
      <w:pPr>
        <w:pStyle w:val="Recuodecorpodetexto"/>
        <w:rPr>
          <w:rFonts w:ascii="Arial" w:hAnsi="Arial" w:cs="Arial"/>
          <w:sz w:val="20"/>
          <w:szCs w:val="20"/>
        </w:rPr>
      </w:pPr>
    </w:p>
    <w:p w:rsidR="00D643BB" w:rsidRDefault="00A5352D" w:rsidP="00E17DA9">
      <w:pPr>
        <w:pStyle w:val="Recuodecorpodetexto"/>
        <w:rPr>
          <w:rFonts w:ascii="Arial" w:hAnsi="Arial" w:cs="Arial"/>
          <w:sz w:val="20"/>
          <w:szCs w:val="20"/>
        </w:rPr>
      </w:pPr>
      <w:r w:rsidRPr="00A5352D">
        <w:rPr>
          <w:rFonts w:ascii="Arial" w:hAnsi="Arial" w:cs="Arial"/>
          <w:sz w:val="20"/>
          <w:szCs w:val="20"/>
        </w:rPr>
        <w:t>O terceiro setor em exportaç</w:t>
      </w:r>
      <w:r>
        <w:rPr>
          <w:rFonts w:ascii="Arial" w:hAnsi="Arial" w:cs="Arial"/>
          <w:sz w:val="20"/>
          <w:szCs w:val="20"/>
        </w:rPr>
        <w:t>ões foi o de</w:t>
      </w:r>
      <w:r w:rsidRPr="00A5352D">
        <w:rPr>
          <w:rFonts w:ascii="Arial" w:hAnsi="Arial" w:cs="Arial"/>
          <w:sz w:val="20"/>
          <w:szCs w:val="20"/>
        </w:rPr>
        <w:t xml:space="preserve"> produtos florestais</w:t>
      </w:r>
      <w:r w:rsidR="00102185">
        <w:rPr>
          <w:rFonts w:ascii="Arial" w:hAnsi="Arial" w:cs="Arial"/>
          <w:sz w:val="20"/>
          <w:szCs w:val="20"/>
        </w:rPr>
        <w:t>. O setor expandiu as vendas externas de US$ 10,66 bilhões entre julho de 2016 e junho de 2017 para US$ 13,17 bilhões entre julho de 2017 e junho de 2018 (+23,5%).</w:t>
      </w:r>
      <w:r w:rsidRPr="00A5352D">
        <w:rPr>
          <w:rFonts w:ascii="Arial" w:hAnsi="Arial" w:cs="Arial"/>
          <w:sz w:val="20"/>
          <w:szCs w:val="20"/>
        </w:rPr>
        <w:t xml:space="preserve"> </w:t>
      </w:r>
      <w:r w:rsidR="00102185">
        <w:rPr>
          <w:rFonts w:ascii="Arial" w:hAnsi="Arial" w:cs="Arial"/>
          <w:sz w:val="20"/>
          <w:szCs w:val="20"/>
        </w:rPr>
        <w:t xml:space="preserve">Houve aumento na quantidade exportada (+7,6%) e no preço médio de exportação (+14,8%). O principal produto exportado pelo setor foi a celulose. </w:t>
      </w:r>
      <w:r w:rsidR="005365A1">
        <w:rPr>
          <w:rFonts w:ascii="Arial" w:hAnsi="Arial" w:cs="Arial"/>
          <w:sz w:val="20"/>
          <w:szCs w:val="20"/>
        </w:rPr>
        <w:t xml:space="preserve">As exportações de celulose subiram de US$ 5,84 bilhões para US$ 7,68 bilhões no período em análise (+31,5%), atingindo um valor recorde para as vendas externas do produto entre julho e junho no acumulado de </w:t>
      </w:r>
      <w:r w:rsidR="00AE24E6">
        <w:rPr>
          <w:rFonts w:ascii="Arial" w:hAnsi="Arial" w:cs="Arial"/>
          <w:sz w:val="20"/>
          <w:szCs w:val="20"/>
        </w:rPr>
        <w:t>12 meses. A quantidade exportada</w:t>
      </w:r>
      <w:r w:rsidR="005365A1">
        <w:rPr>
          <w:rFonts w:ascii="Arial" w:hAnsi="Arial" w:cs="Arial"/>
          <w:sz w:val="20"/>
          <w:szCs w:val="20"/>
        </w:rPr>
        <w:t xml:space="preserve"> do produto também foi recorde, com 14,7</w:t>
      </w:r>
      <w:r w:rsidR="00215A65">
        <w:rPr>
          <w:rFonts w:ascii="Arial" w:hAnsi="Arial" w:cs="Arial"/>
          <w:sz w:val="20"/>
          <w:szCs w:val="20"/>
        </w:rPr>
        <w:t>0</w:t>
      </w:r>
      <w:r w:rsidR="005365A1">
        <w:rPr>
          <w:rFonts w:ascii="Arial" w:hAnsi="Arial" w:cs="Arial"/>
          <w:sz w:val="20"/>
          <w:szCs w:val="20"/>
        </w:rPr>
        <w:t xml:space="preserve"> milhões de toneladas (+5,2%). </w:t>
      </w:r>
    </w:p>
    <w:p w:rsidR="00BD224F" w:rsidRDefault="00BD224F" w:rsidP="00E17DA9">
      <w:pPr>
        <w:pStyle w:val="Recuodecorpodetexto"/>
        <w:rPr>
          <w:rFonts w:ascii="Arial" w:hAnsi="Arial" w:cs="Arial"/>
          <w:sz w:val="20"/>
          <w:szCs w:val="20"/>
        </w:rPr>
      </w:pPr>
    </w:p>
    <w:p w:rsidR="00BD224F" w:rsidRDefault="00BD224F" w:rsidP="00E17DA9">
      <w:pPr>
        <w:pStyle w:val="Recuodecorpodetexto"/>
        <w:rPr>
          <w:rFonts w:ascii="Arial" w:hAnsi="Arial" w:cs="Arial"/>
          <w:sz w:val="20"/>
          <w:szCs w:val="20"/>
        </w:rPr>
      </w:pPr>
      <w:r>
        <w:rPr>
          <w:rFonts w:ascii="Arial" w:hAnsi="Arial" w:cs="Arial"/>
          <w:sz w:val="20"/>
          <w:szCs w:val="20"/>
        </w:rPr>
        <w:t>Além das exportações de celulose</w:t>
      </w:r>
      <w:r w:rsidR="00CD678A">
        <w:rPr>
          <w:rFonts w:ascii="Arial" w:hAnsi="Arial" w:cs="Arial"/>
          <w:sz w:val="20"/>
          <w:szCs w:val="20"/>
        </w:rPr>
        <w:t>, os outros dois produtos do setor também apresentaram expansão. A</w:t>
      </w:r>
      <w:r>
        <w:rPr>
          <w:rFonts w:ascii="Arial" w:hAnsi="Arial" w:cs="Arial"/>
          <w:sz w:val="20"/>
          <w:szCs w:val="20"/>
        </w:rPr>
        <w:t xml:space="preserve">s vendas externas de madeira e suas obras subiram para US$ 3,52 bilhões </w:t>
      </w:r>
      <w:r w:rsidR="00CD678A">
        <w:rPr>
          <w:rFonts w:ascii="Arial" w:hAnsi="Arial" w:cs="Arial"/>
          <w:sz w:val="20"/>
          <w:szCs w:val="20"/>
        </w:rPr>
        <w:t>(+18,8%), com aumento de 17,0% em quantidade e 1,5% no preço médio de exportação. As exportações de papel subiram 6,0%, atingindo US$ 1,97 bilhão.</w:t>
      </w:r>
    </w:p>
    <w:p w:rsidR="00CD678A" w:rsidRDefault="00CD678A" w:rsidP="00E17DA9">
      <w:pPr>
        <w:pStyle w:val="Recuodecorpodetexto"/>
        <w:rPr>
          <w:rFonts w:ascii="Arial" w:hAnsi="Arial" w:cs="Arial"/>
          <w:sz w:val="20"/>
          <w:szCs w:val="20"/>
        </w:rPr>
      </w:pPr>
    </w:p>
    <w:p w:rsidR="00CD678A" w:rsidRDefault="00EB24F2" w:rsidP="00E17DA9">
      <w:pPr>
        <w:pStyle w:val="Recuodecorpodetexto"/>
        <w:rPr>
          <w:rFonts w:ascii="Arial" w:hAnsi="Arial" w:cs="Arial"/>
          <w:sz w:val="20"/>
          <w:szCs w:val="20"/>
        </w:rPr>
      </w:pPr>
      <w:r>
        <w:rPr>
          <w:rFonts w:ascii="Arial" w:hAnsi="Arial" w:cs="Arial"/>
          <w:sz w:val="20"/>
          <w:szCs w:val="20"/>
        </w:rPr>
        <w:t xml:space="preserve">O complexo sucroalcooleiro </w:t>
      </w:r>
      <w:r w:rsidR="002F2B38">
        <w:rPr>
          <w:rFonts w:ascii="Arial" w:hAnsi="Arial" w:cs="Arial"/>
          <w:sz w:val="20"/>
          <w:szCs w:val="20"/>
        </w:rPr>
        <w:t>teve a maior queda de exportações dentre os cinco principais setores exportadores do agronegócio brasileiro. As vendas externas do setor diminuíram de US$ 12,77 bilhões entre julho de 2016 e junho de 2017 para US$ 9,90 bilhões entre julho de 2017 e junho de 2018 (-22,4%). Essa queda das exportações ocorreu em função, principalmente, da abundante oferta de açúcar no mercado internacional. O aumento da oferta afetou os preços internacionais do açúcar, que caíram 14,0% na comparação entre os períodos. Ademais, alguns países para onde o Brasil exporta</w:t>
      </w:r>
      <w:r w:rsidR="00B82131">
        <w:rPr>
          <w:rFonts w:ascii="Arial" w:hAnsi="Arial" w:cs="Arial"/>
          <w:sz w:val="20"/>
          <w:szCs w:val="20"/>
        </w:rPr>
        <w:t>va aumentaram a oferta doméstica</w:t>
      </w:r>
      <w:r w:rsidR="002F2B38">
        <w:rPr>
          <w:rFonts w:ascii="Arial" w:hAnsi="Arial" w:cs="Arial"/>
          <w:sz w:val="20"/>
          <w:szCs w:val="20"/>
        </w:rPr>
        <w:t xml:space="preserve">, diminuindo, também, a quantidade de açúcar que o Brasil exportou no período (-11,9%). Dessa forma, as exportações de açúcar recuaram de US$ 12,02 </w:t>
      </w:r>
      <w:r w:rsidR="00FE77E7">
        <w:rPr>
          <w:rFonts w:ascii="Arial" w:hAnsi="Arial" w:cs="Arial"/>
          <w:sz w:val="20"/>
          <w:szCs w:val="20"/>
        </w:rPr>
        <w:t xml:space="preserve">bilhões </w:t>
      </w:r>
      <w:r w:rsidR="002F2B38">
        <w:rPr>
          <w:rFonts w:ascii="Arial" w:hAnsi="Arial" w:cs="Arial"/>
          <w:sz w:val="20"/>
          <w:szCs w:val="20"/>
        </w:rPr>
        <w:t xml:space="preserve">entre julho de 2016 e junho de 2017 para US$ 9,11 bilhões entre julho de 2017 e junho de 2018 (-24,2%). Por outro lado, as vendas externas de álcool </w:t>
      </w:r>
      <w:r w:rsidR="00B82131">
        <w:rPr>
          <w:rFonts w:ascii="Arial" w:hAnsi="Arial" w:cs="Arial"/>
          <w:sz w:val="20"/>
          <w:szCs w:val="20"/>
        </w:rPr>
        <w:t xml:space="preserve">subiram de US$ 734,38 </w:t>
      </w:r>
      <w:r w:rsidR="002F2B38">
        <w:rPr>
          <w:rFonts w:ascii="Arial" w:hAnsi="Arial" w:cs="Arial"/>
          <w:sz w:val="20"/>
          <w:szCs w:val="20"/>
        </w:rPr>
        <w:t>milh</w:t>
      </w:r>
      <w:r w:rsidR="00B82131">
        <w:rPr>
          <w:rFonts w:ascii="Arial" w:hAnsi="Arial" w:cs="Arial"/>
          <w:sz w:val="20"/>
          <w:szCs w:val="20"/>
        </w:rPr>
        <w:t xml:space="preserve">ões para US$ 778,50 milhões (+6,0%). É interessante notar </w:t>
      </w:r>
      <w:r w:rsidR="00FE77E7">
        <w:rPr>
          <w:rFonts w:ascii="Arial" w:hAnsi="Arial" w:cs="Arial"/>
          <w:sz w:val="20"/>
          <w:szCs w:val="20"/>
        </w:rPr>
        <w:t xml:space="preserve">que </w:t>
      </w:r>
      <w:r w:rsidR="00B82131">
        <w:rPr>
          <w:rFonts w:ascii="Arial" w:hAnsi="Arial" w:cs="Arial"/>
          <w:sz w:val="20"/>
          <w:szCs w:val="20"/>
        </w:rPr>
        <w:t>as importações de álcool diminuíram de US$ 904,74 milhões para US$ 772,33 milhões no período em análise (-14,6%). Assim, as exportações líquidas de álcool foram de somente US$ 6,17 milhões para o período.</w:t>
      </w:r>
    </w:p>
    <w:p w:rsidR="00B82131" w:rsidRDefault="00B82131" w:rsidP="00E17DA9">
      <w:pPr>
        <w:pStyle w:val="Recuodecorpodetexto"/>
        <w:rPr>
          <w:rFonts w:ascii="Arial" w:hAnsi="Arial" w:cs="Arial"/>
          <w:sz w:val="20"/>
          <w:szCs w:val="20"/>
        </w:rPr>
      </w:pPr>
    </w:p>
    <w:p w:rsidR="00B82131" w:rsidRDefault="00B82131" w:rsidP="00E17DA9">
      <w:pPr>
        <w:pStyle w:val="Recuodecorpodetexto"/>
        <w:rPr>
          <w:rFonts w:ascii="Arial" w:hAnsi="Arial" w:cs="Arial"/>
          <w:sz w:val="20"/>
          <w:szCs w:val="20"/>
        </w:rPr>
      </w:pPr>
      <w:r>
        <w:rPr>
          <w:rFonts w:ascii="Arial" w:hAnsi="Arial" w:cs="Arial"/>
          <w:sz w:val="20"/>
          <w:szCs w:val="20"/>
        </w:rPr>
        <w:t xml:space="preserve">As vendas externas de cereais, farinhas e preparações foram de US$ 5,57 bilhões </w:t>
      </w:r>
      <w:r w:rsidR="00E06F84">
        <w:rPr>
          <w:rFonts w:ascii="Arial" w:hAnsi="Arial" w:cs="Arial"/>
          <w:sz w:val="20"/>
          <w:szCs w:val="20"/>
        </w:rPr>
        <w:t>(+1</w:t>
      </w:r>
      <w:r w:rsidR="00FE77E7">
        <w:rPr>
          <w:rFonts w:ascii="Arial" w:hAnsi="Arial" w:cs="Arial"/>
          <w:sz w:val="20"/>
          <w:szCs w:val="20"/>
        </w:rPr>
        <w:t>04</w:t>
      </w:r>
      <w:r w:rsidR="00E06F84">
        <w:rPr>
          <w:rFonts w:ascii="Arial" w:hAnsi="Arial" w:cs="Arial"/>
          <w:sz w:val="20"/>
          <w:szCs w:val="20"/>
        </w:rPr>
        <w:t xml:space="preserve">,4%) </w:t>
      </w:r>
      <w:r>
        <w:rPr>
          <w:rFonts w:ascii="Arial" w:hAnsi="Arial" w:cs="Arial"/>
          <w:sz w:val="20"/>
          <w:szCs w:val="20"/>
        </w:rPr>
        <w:t>sobrepujando as exportações de café, que foram de US$ 4,88 bilhões</w:t>
      </w:r>
      <w:r w:rsidR="00E06F84">
        <w:rPr>
          <w:rFonts w:ascii="Arial" w:hAnsi="Arial" w:cs="Arial"/>
          <w:sz w:val="20"/>
          <w:szCs w:val="20"/>
        </w:rPr>
        <w:t xml:space="preserve"> (-14,4%)</w:t>
      </w:r>
      <w:r>
        <w:rPr>
          <w:rFonts w:ascii="Arial" w:hAnsi="Arial" w:cs="Arial"/>
          <w:sz w:val="20"/>
          <w:szCs w:val="20"/>
        </w:rPr>
        <w:t xml:space="preserve">, o que colocou o setor na quinta posição entre os principais setores exportadores do agronegócio. </w:t>
      </w:r>
      <w:r w:rsidR="00E06F84">
        <w:rPr>
          <w:rFonts w:ascii="Arial" w:hAnsi="Arial" w:cs="Arial"/>
          <w:sz w:val="20"/>
          <w:szCs w:val="20"/>
        </w:rPr>
        <w:t>O milho foi o principal grão exportado pelo setor, com US$ 4,85 bilhões em vendas externas (+123,6%). A quantidade exportada de milho aumentou de 12,8 milhões de toneladas entre julho de 2016 e junho de 2017 para 31,23 milhões de toneladas entre julho de 2017 e junho de 2018 (+144,0%), o que explica em grande parte a elevação das vendas externas do setor.</w:t>
      </w:r>
      <w:r w:rsidR="00BC1972">
        <w:rPr>
          <w:rFonts w:ascii="Arial" w:hAnsi="Arial" w:cs="Arial"/>
          <w:sz w:val="20"/>
          <w:szCs w:val="20"/>
        </w:rPr>
        <w:t xml:space="preserve"> </w:t>
      </w:r>
    </w:p>
    <w:p w:rsidR="00A970A8" w:rsidRDefault="00A970A8" w:rsidP="00E17DA9">
      <w:pPr>
        <w:pStyle w:val="Recuodecorpodetexto"/>
        <w:rPr>
          <w:rFonts w:ascii="Arial" w:hAnsi="Arial" w:cs="Arial"/>
          <w:sz w:val="20"/>
          <w:szCs w:val="20"/>
        </w:rPr>
      </w:pPr>
    </w:p>
    <w:p w:rsidR="00A970A8" w:rsidRDefault="00A970A8" w:rsidP="00E17DA9">
      <w:pPr>
        <w:pStyle w:val="Recuodecorpodetexto"/>
        <w:rPr>
          <w:rFonts w:ascii="Arial" w:hAnsi="Arial" w:cs="Arial"/>
          <w:sz w:val="20"/>
          <w:szCs w:val="20"/>
        </w:rPr>
      </w:pPr>
      <w:r>
        <w:rPr>
          <w:rFonts w:ascii="Arial" w:hAnsi="Arial" w:cs="Arial"/>
          <w:sz w:val="20"/>
          <w:szCs w:val="20"/>
        </w:rPr>
        <w:t xml:space="preserve">Os cinco principais setores do agronegócio, acima analisados, tiveram participação de 79,3% nas exportações brasileiras do agronegócio. Os vinte demais setores contribuíram com 20,7% das vendas externas, o que representou US$ 20,16 bilhões em exportações. Esse valor significou um aumento absoluto de US$ 937,59 milhões nas vendas externas desses vinte setores. </w:t>
      </w:r>
    </w:p>
    <w:p w:rsidR="005A3060" w:rsidRDefault="005A3060" w:rsidP="00E17DA9">
      <w:pPr>
        <w:pStyle w:val="Recuodecorpodetexto"/>
        <w:rPr>
          <w:rFonts w:ascii="Arial" w:hAnsi="Arial" w:cs="Arial"/>
          <w:sz w:val="20"/>
          <w:szCs w:val="20"/>
        </w:rPr>
      </w:pPr>
    </w:p>
    <w:p w:rsidR="005A3060" w:rsidRDefault="005A3060" w:rsidP="00E17DA9">
      <w:pPr>
        <w:pStyle w:val="Recuodecorpodetexto"/>
        <w:rPr>
          <w:rFonts w:ascii="Arial" w:hAnsi="Arial" w:cs="Arial"/>
          <w:sz w:val="20"/>
          <w:szCs w:val="20"/>
        </w:rPr>
      </w:pPr>
      <w:r>
        <w:rPr>
          <w:rFonts w:ascii="Arial" w:hAnsi="Arial" w:cs="Arial"/>
          <w:sz w:val="20"/>
          <w:szCs w:val="20"/>
        </w:rPr>
        <w:t xml:space="preserve">As importações de produtos do agronegócio caíram de US$ 14,83 bilhões entre julho de 2016 e junho de 2017 para US$ 13,89 bilhões entre julho de 2017 e junho de 2018 (-6,4%). Os dez principais produtos importados foram: </w:t>
      </w:r>
      <w:r w:rsidR="00B4158A">
        <w:rPr>
          <w:rFonts w:ascii="Arial" w:hAnsi="Arial" w:cs="Arial"/>
          <w:sz w:val="20"/>
          <w:szCs w:val="20"/>
        </w:rPr>
        <w:t xml:space="preserve"> trigo (US$ 1,22 bilhão; -10,9%); papel (US$ 895,53 milhões; +14,1%); álcool etílico (US$ 772,33 milhões; -14,6%); </w:t>
      </w:r>
      <w:r w:rsidR="00F93728">
        <w:rPr>
          <w:rFonts w:ascii="Arial" w:hAnsi="Arial" w:cs="Arial"/>
          <w:sz w:val="20"/>
          <w:szCs w:val="20"/>
        </w:rPr>
        <w:t xml:space="preserve">vestuário e outros produtos têxteis (US$ </w:t>
      </w:r>
      <w:r w:rsidR="00B0423F">
        <w:rPr>
          <w:rFonts w:ascii="Arial" w:hAnsi="Arial" w:cs="Arial"/>
          <w:sz w:val="20"/>
          <w:szCs w:val="20"/>
        </w:rPr>
        <w:t xml:space="preserve">609,34 milhões; +35,4%); salmões, frescos ou refrigerados (US$ 496,09 milhões; -3,1%); azeite de oliva (US$ 427,11 milhões; +38,9%); malte (US$ 402,62 milhões; -20,2%); vinho (US$ 395,89 milhões; +27,7%); borracha natural (US$ 394,59 milhões; +2,4%); e óleo de palma (US$ 356,83 milhões; -13,6%). </w:t>
      </w:r>
    </w:p>
    <w:p w:rsidR="00B0423F" w:rsidRDefault="00B0423F" w:rsidP="00E17DA9">
      <w:pPr>
        <w:pStyle w:val="Recuodecorpodetexto"/>
        <w:rPr>
          <w:rFonts w:ascii="Arial" w:hAnsi="Arial" w:cs="Arial"/>
          <w:sz w:val="20"/>
          <w:szCs w:val="20"/>
        </w:rPr>
      </w:pPr>
    </w:p>
    <w:p w:rsidR="00B0423F" w:rsidRDefault="00B0423F" w:rsidP="00E17DA9">
      <w:pPr>
        <w:pStyle w:val="Recuodecorpodetexto"/>
        <w:rPr>
          <w:rFonts w:ascii="Arial" w:hAnsi="Arial" w:cs="Arial"/>
          <w:sz w:val="20"/>
          <w:szCs w:val="20"/>
        </w:rPr>
      </w:pPr>
      <w:r>
        <w:rPr>
          <w:rFonts w:ascii="Arial" w:hAnsi="Arial" w:cs="Arial"/>
          <w:sz w:val="20"/>
          <w:szCs w:val="20"/>
        </w:rPr>
        <w:t xml:space="preserve">Os dez principais </w:t>
      </w:r>
      <w:r w:rsidR="00C011D4">
        <w:rPr>
          <w:rFonts w:ascii="Arial" w:hAnsi="Arial" w:cs="Arial"/>
          <w:sz w:val="20"/>
          <w:szCs w:val="20"/>
        </w:rPr>
        <w:t xml:space="preserve">produtos importados representaram 43,0% do valor total importado </w:t>
      </w:r>
      <w:r w:rsidR="004E5270">
        <w:rPr>
          <w:rFonts w:ascii="Arial" w:hAnsi="Arial" w:cs="Arial"/>
          <w:sz w:val="20"/>
          <w:szCs w:val="20"/>
        </w:rPr>
        <w:t>entre o período de julho de 2017 e junho de 2018. Nos doze meses que antecederam o mencionado período, esses mesmos produtos representavam 40,0% do valor total importado. Dessa forma, houve uma concentração das importações brasileiras de produtos do agronegócio entre os dez principais produtos importados.</w:t>
      </w:r>
    </w:p>
    <w:p w:rsidR="004E5270" w:rsidRDefault="004E5270" w:rsidP="00095783">
      <w:pPr>
        <w:pStyle w:val="Recuodecorpodetexto"/>
        <w:ind w:firstLine="0"/>
        <w:rPr>
          <w:rFonts w:ascii="Arial" w:hAnsi="Arial" w:cs="Arial"/>
          <w:sz w:val="20"/>
          <w:szCs w:val="20"/>
        </w:rPr>
      </w:pPr>
    </w:p>
    <w:p w:rsidR="00156CF0" w:rsidRPr="002C1597" w:rsidRDefault="00156CF0" w:rsidP="00496C98">
      <w:pPr>
        <w:pStyle w:val="Recuodecorpodetexto"/>
        <w:ind w:firstLine="0"/>
        <w:rPr>
          <w:rFonts w:ascii="Arial" w:hAnsi="Arial" w:cs="Arial"/>
          <w:color w:val="FF0000"/>
          <w:sz w:val="20"/>
          <w:szCs w:val="20"/>
        </w:rPr>
      </w:pPr>
    </w:p>
    <w:p w:rsidR="00384963" w:rsidRDefault="002C1597" w:rsidP="00CA2C33">
      <w:pPr>
        <w:rPr>
          <w:rFonts w:ascii="Arial" w:hAnsi="Arial" w:cs="Arial"/>
          <w:sz w:val="20"/>
          <w:szCs w:val="20"/>
        </w:rPr>
      </w:pPr>
      <w:r w:rsidRPr="002C1597">
        <w:rPr>
          <w:noProof/>
        </w:rPr>
        <w:drawing>
          <wp:inline distT="0" distB="0" distL="0" distR="0" wp14:anchorId="100E8DBD" wp14:editId="69FF365E">
            <wp:extent cx="6480175" cy="3855085"/>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480175" cy="3855085"/>
                    </a:xfrm>
                    <a:prstGeom prst="rect">
                      <a:avLst/>
                    </a:prstGeom>
                  </pic:spPr>
                </pic:pic>
              </a:graphicData>
            </a:graphic>
          </wp:inline>
        </w:drawing>
      </w:r>
    </w:p>
    <w:p w:rsidR="009A662B" w:rsidRDefault="009A662B" w:rsidP="00CA2C33">
      <w:pPr>
        <w:rPr>
          <w:rFonts w:ascii="Arial" w:hAnsi="Arial" w:cs="Arial"/>
          <w:b/>
          <w:sz w:val="20"/>
          <w:szCs w:val="20"/>
        </w:rPr>
      </w:pPr>
    </w:p>
    <w:p w:rsidR="0001136D" w:rsidRDefault="0001136D" w:rsidP="00CA2C33">
      <w:pPr>
        <w:rPr>
          <w:rFonts w:ascii="Arial" w:hAnsi="Arial" w:cs="Arial"/>
          <w:b/>
          <w:sz w:val="20"/>
          <w:szCs w:val="20"/>
        </w:rPr>
      </w:pPr>
      <w:proofErr w:type="spellStart"/>
      <w:r w:rsidRPr="00384963">
        <w:rPr>
          <w:rFonts w:ascii="Arial" w:hAnsi="Arial" w:cs="Arial"/>
          <w:b/>
          <w:sz w:val="20"/>
          <w:szCs w:val="20"/>
        </w:rPr>
        <w:t>III.b</w:t>
      </w:r>
      <w:proofErr w:type="spellEnd"/>
      <w:r w:rsidRPr="00384963">
        <w:rPr>
          <w:rFonts w:ascii="Arial" w:hAnsi="Arial" w:cs="Arial"/>
          <w:b/>
          <w:sz w:val="20"/>
          <w:szCs w:val="20"/>
        </w:rPr>
        <w:t xml:space="preserve"> – Blocos Econômicos e Regiões Geográficas</w:t>
      </w:r>
    </w:p>
    <w:p w:rsidR="002F6D78" w:rsidRDefault="002F6D78" w:rsidP="00CA2C33">
      <w:pPr>
        <w:rPr>
          <w:rFonts w:ascii="Arial" w:hAnsi="Arial" w:cs="Arial"/>
          <w:b/>
          <w:sz w:val="20"/>
          <w:szCs w:val="20"/>
        </w:rPr>
      </w:pPr>
    </w:p>
    <w:p w:rsidR="00B46A56" w:rsidRDefault="00DA1379" w:rsidP="00E17DA9">
      <w:pPr>
        <w:pStyle w:val="Recuodecorpodetexto"/>
        <w:rPr>
          <w:rFonts w:ascii="Arial" w:hAnsi="Arial" w:cs="Arial"/>
          <w:sz w:val="20"/>
          <w:szCs w:val="20"/>
        </w:rPr>
      </w:pPr>
      <w:r>
        <w:rPr>
          <w:rFonts w:ascii="Arial" w:hAnsi="Arial" w:cs="Arial"/>
          <w:sz w:val="20"/>
          <w:szCs w:val="20"/>
        </w:rPr>
        <w:t>Na</w:t>
      </w:r>
      <w:r w:rsidR="002F6D78" w:rsidRPr="002F6D78">
        <w:rPr>
          <w:rFonts w:ascii="Arial" w:hAnsi="Arial" w:cs="Arial"/>
          <w:sz w:val="20"/>
          <w:szCs w:val="20"/>
        </w:rPr>
        <w:t xml:space="preserve"> análise das regiões geográficas ou blocos econ</w:t>
      </w:r>
      <w:r w:rsidR="002F6D78">
        <w:rPr>
          <w:rFonts w:ascii="Arial" w:hAnsi="Arial" w:cs="Arial"/>
          <w:sz w:val="20"/>
          <w:szCs w:val="20"/>
        </w:rPr>
        <w:t>ômico</w:t>
      </w:r>
      <w:r w:rsidR="002F6D78" w:rsidRPr="002F6D78">
        <w:rPr>
          <w:rFonts w:ascii="Arial" w:hAnsi="Arial" w:cs="Arial"/>
          <w:sz w:val="20"/>
          <w:szCs w:val="20"/>
        </w:rPr>
        <w:t xml:space="preserve">s para os quais o Brasil exporta, </w:t>
      </w:r>
      <w:r w:rsidR="002F6D78">
        <w:rPr>
          <w:rFonts w:ascii="Arial" w:hAnsi="Arial" w:cs="Arial"/>
          <w:sz w:val="20"/>
          <w:szCs w:val="20"/>
        </w:rPr>
        <w:t>cabe destacar a expansão da região asiática no total das exportações brasileiras do agronegócio. A</w:t>
      </w:r>
      <w:r>
        <w:rPr>
          <w:rFonts w:ascii="Arial" w:hAnsi="Arial" w:cs="Arial"/>
          <w:sz w:val="20"/>
          <w:szCs w:val="20"/>
        </w:rPr>
        <w:t>s vendas externas</w:t>
      </w:r>
      <w:r w:rsidR="002F6D78">
        <w:rPr>
          <w:rFonts w:ascii="Arial" w:hAnsi="Arial" w:cs="Arial"/>
          <w:sz w:val="20"/>
          <w:szCs w:val="20"/>
        </w:rPr>
        <w:t xml:space="preserve"> para a Ásia subiram de US$ 39,21 bilhões entre julho de 2016 e junho de 2017 para US$ 45,80 bilhões entre julho de 2017 e junho de 2018</w:t>
      </w:r>
      <w:r w:rsidR="00480D68">
        <w:rPr>
          <w:rFonts w:ascii="Arial" w:hAnsi="Arial" w:cs="Arial"/>
          <w:sz w:val="20"/>
          <w:szCs w:val="20"/>
        </w:rPr>
        <w:t xml:space="preserve"> (+16,8%), enquanto o aumento das exportações do agronegócio foi de 10,6%. E</w:t>
      </w:r>
      <w:r w:rsidR="008025B4">
        <w:rPr>
          <w:rFonts w:ascii="Arial" w:hAnsi="Arial" w:cs="Arial"/>
          <w:sz w:val="20"/>
          <w:szCs w:val="20"/>
        </w:rPr>
        <w:t>sse</w:t>
      </w:r>
      <w:r w:rsidR="00480D68">
        <w:rPr>
          <w:rFonts w:ascii="Arial" w:hAnsi="Arial" w:cs="Arial"/>
          <w:sz w:val="20"/>
          <w:szCs w:val="20"/>
        </w:rPr>
        <w:t xml:space="preserve"> </w:t>
      </w:r>
      <w:r w:rsidR="00B325A3">
        <w:rPr>
          <w:rFonts w:ascii="Arial" w:hAnsi="Arial" w:cs="Arial"/>
          <w:sz w:val="20"/>
          <w:szCs w:val="20"/>
        </w:rPr>
        <w:t>incremento</w:t>
      </w:r>
      <w:r w:rsidR="00480D68">
        <w:rPr>
          <w:rFonts w:ascii="Arial" w:hAnsi="Arial" w:cs="Arial"/>
          <w:sz w:val="20"/>
          <w:szCs w:val="20"/>
        </w:rPr>
        <w:t xml:space="preserve"> das exportaç</w:t>
      </w:r>
      <w:r w:rsidR="00B325A3">
        <w:rPr>
          <w:rFonts w:ascii="Arial" w:hAnsi="Arial" w:cs="Arial"/>
          <w:sz w:val="20"/>
          <w:szCs w:val="20"/>
        </w:rPr>
        <w:t>ões elevou</w:t>
      </w:r>
      <w:r w:rsidR="00480D68">
        <w:rPr>
          <w:rFonts w:ascii="Arial" w:hAnsi="Arial" w:cs="Arial"/>
          <w:sz w:val="20"/>
          <w:szCs w:val="20"/>
        </w:rPr>
        <w:t xml:space="preserve"> a participação da região de 44,5% do total das exportações brasileiras </w:t>
      </w:r>
      <w:r w:rsidR="00B46A56">
        <w:rPr>
          <w:rFonts w:ascii="Arial" w:hAnsi="Arial" w:cs="Arial"/>
          <w:sz w:val="20"/>
          <w:szCs w:val="20"/>
        </w:rPr>
        <w:t>do agronegócio para 47,0%.</w:t>
      </w:r>
    </w:p>
    <w:p w:rsidR="00DC4D61" w:rsidRDefault="00DC4D61" w:rsidP="00E17DA9">
      <w:pPr>
        <w:pStyle w:val="Recuodecorpodetexto"/>
        <w:rPr>
          <w:rFonts w:ascii="Arial" w:hAnsi="Arial" w:cs="Arial"/>
          <w:sz w:val="20"/>
          <w:szCs w:val="20"/>
        </w:rPr>
      </w:pPr>
    </w:p>
    <w:p w:rsidR="007B5980" w:rsidRDefault="003D79D4" w:rsidP="00E17DA9">
      <w:pPr>
        <w:pStyle w:val="Recuodecorpodetexto"/>
        <w:rPr>
          <w:rFonts w:ascii="Arial" w:hAnsi="Arial" w:cs="Arial"/>
          <w:sz w:val="20"/>
          <w:szCs w:val="20"/>
        </w:rPr>
      </w:pPr>
      <w:r>
        <w:rPr>
          <w:rFonts w:ascii="Arial" w:hAnsi="Arial" w:cs="Arial"/>
          <w:sz w:val="20"/>
          <w:szCs w:val="20"/>
        </w:rPr>
        <w:t>A União Europeia continuou na segunda posição dentre as regiões adquirentes de produtos do agronegócio brasilei</w:t>
      </w:r>
      <w:r w:rsidR="00B0587F">
        <w:rPr>
          <w:rFonts w:ascii="Arial" w:hAnsi="Arial" w:cs="Arial"/>
          <w:sz w:val="20"/>
          <w:szCs w:val="20"/>
        </w:rPr>
        <w:t xml:space="preserve">ro. O bloco importou US$ 17,61 </w:t>
      </w:r>
      <w:r>
        <w:rPr>
          <w:rFonts w:ascii="Arial" w:hAnsi="Arial" w:cs="Arial"/>
          <w:sz w:val="20"/>
          <w:szCs w:val="20"/>
        </w:rPr>
        <w:t xml:space="preserve">bilhões em produtos do agronegócio brasileira (+9,0%) e perdeu </w:t>
      </w:r>
      <w:r w:rsidRPr="00E17DA9">
        <w:rPr>
          <w:rFonts w:ascii="Arial" w:hAnsi="Arial" w:cs="Arial"/>
          <w:sz w:val="20"/>
          <w:szCs w:val="20"/>
        </w:rPr>
        <w:t xml:space="preserve">market share </w:t>
      </w:r>
      <w:r w:rsidR="00EF0E64">
        <w:rPr>
          <w:rFonts w:ascii="Arial" w:hAnsi="Arial" w:cs="Arial"/>
          <w:sz w:val="20"/>
          <w:szCs w:val="20"/>
        </w:rPr>
        <w:t>de 18,3% para 18,1%.</w:t>
      </w:r>
    </w:p>
    <w:p w:rsidR="00EF0E64" w:rsidRDefault="00EF0E64" w:rsidP="00E17DA9">
      <w:pPr>
        <w:pStyle w:val="Recuodecorpodetexto"/>
        <w:rPr>
          <w:rFonts w:ascii="Arial" w:hAnsi="Arial" w:cs="Arial"/>
          <w:sz w:val="20"/>
          <w:szCs w:val="20"/>
        </w:rPr>
      </w:pPr>
    </w:p>
    <w:p w:rsidR="00156CF0" w:rsidRDefault="007B5980" w:rsidP="00E17DA9">
      <w:pPr>
        <w:pStyle w:val="Recuodecorpodetexto"/>
        <w:rPr>
          <w:rFonts w:ascii="Arial" w:hAnsi="Arial" w:cs="Arial"/>
          <w:sz w:val="20"/>
          <w:szCs w:val="20"/>
        </w:rPr>
      </w:pPr>
      <w:r>
        <w:rPr>
          <w:rFonts w:ascii="Arial" w:hAnsi="Arial" w:cs="Arial"/>
          <w:sz w:val="20"/>
          <w:szCs w:val="20"/>
        </w:rPr>
        <w:t xml:space="preserve">A maior elevação das exportações, em porcentagem, ocorreu para países da </w:t>
      </w:r>
      <w:r w:rsidR="00622C51">
        <w:rPr>
          <w:rFonts w:ascii="Arial" w:hAnsi="Arial" w:cs="Arial"/>
          <w:sz w:val="20"/>
          <w:szCs w:val="20"/>
        </w:rPr>
        <w:t>A</w:t>
      </w:r>
      <w:r>
        <w:rPr>
          <w:rFonts w:ascii="Arial" w:hAnsi="Arial" w:cs="Arial"/>
          <w:sz w:val="20"/>
          <w:szCs w:val="20"/>
        </w:rPr>
        <w:t xml:space="preserve">mérica </w:t>
      </w:r>
      <w:r w:rsidR="00622C51">
        <w:rPr>
          <w:rFonts w:ascii="Arial" w:hAnsi="Arial" w:cs="Arial"/>
          <w:sz w:val="20"/>
          <w:szCs w:val="20"/>
        </w:rPr>
        <w:t>L</w:t>
      </w:r>
      <w:r>
        <w:rPr>
          <w:rFonts w:ascii="Arial" w:hAnsi="Arial" w:cs="Arial"/>
          <w:sz w:val="20"/>
          <w:szCs w:val="20"/>
        </w:rPr>
        <w:t>atina, exclusive os países da ALADI e MERCOSUL, com aumento de 39,7%. Além dessa região, houve expansão expressiva das vendas externas para os países da ALADI (exclusive MERCOSUL), +19,9%.</w:t>
      </w:r>
    </w:p>
    <w:p w:rsidR="007B5980" w:rsidRDefault="007B5980" w:rsidP="00E17DA9">
      <w:pPr>
        <w:pStyle w:val="Recuodecorpodetexto"/>
        <w:rPr>
          <w:rFonts w:ascii="Arial" w:hAnsi="Arial" w:cs="Arial"/>
          <w:sz w:val="20"/>
          <w:szCs w:val="20"/>
        </w:rPr>
      </w:pPr>
    </w:p>
    <w:p w:rsidR="007B5980" w:rsidRPr="00E17DA9" w:rsidRDefault="007B5980" w:rsidP="00E17DA9">
      <w:pPr>
        <w:pStyle w:val="Recuodecorpodetexto"/>
        <w:rPr>
          <w:rFonts w:ascii="Arial" w:hAnsi="Arial" w:cs="Arial"/>
          <w:sz w:val="20"/>
          <w:szCs w:val="20"/>
        </w:rPr>
      </w:pPr>
      <w:r>
        <w:rPr>
          <w:rFonts w:ascii="Arial" w:hAnsi="Arial" w:cs="Arial"/>
          <w:sz w:val="20"/>
          <w:szCs w:val="20"/>
        </w:rPr>
        <w:t>Em três regiões houve redução das exportações: Europa Oriental (US$ 2,3</w:t>
      </w:r>
      <w:r w:rsidR="00622C51">
        <w:rPr>
          <w:rFonts w:ascii="Arial" w:hAnsi="Arial" w:cs="Arial"/>
          <w:sz w:val="20"/>
          <w:szCs w:val="20"/>
        </w:rPr>
        <w:t>4</w:t>
      </w:r>
      <w:r>
        <w:rPr>
          <w:rFonts w:ascii="Arial" w:hAnsi="Arial" w:cs="Arial"/>
          <w:sz w:val="20"/>
          <w:szCs w:val="20"/>
        </w:rPr>
        <w:t xml:space="preserve"> bilhões; -21,3%); </w:t>
      </w:r>
      <w:r w:rsidR="00DA1379">
        <w:rPr>
          <w:rFonts w:ascii="Arial" w:hAnsi="Arial" w:cs="Arial"/>
          <w:sz w:val="20"/>
          <w:szCs w:val="20"/>
        </w:rPr>
        <w:t>Oriente Médio (US$ 7,7</w:t>
      </w:r>
      <w:r w:rsidR="00622C51">
        <w:rPr>
          <w:rFonts w:ascii="Arial" w:hAnsi="Arial" w:cs="Arial"/>
          <w:sz w:val="20"/>
          <w:szCs w:val="20"/>
        </w:rPr>
        <w:t>9</w:t>
      </w:r>
      <w:r w:rsidR="00DA1379">
        <w:rPr>
          <w:rFonts w:ascii="Arial" w:hAnsi="Arial" w:cs="Arial"/>
          <w:sz w:val="20"/>
          <w:szCs w:val="20"/>
        </w:rPr>
        <w:t xml:space="preserve"> bilhões; -9,6%); e Oceania (US$ 260,64</w:t>
      </w:r>
      <w:r w:rsidR="00622C51">
        <w:rPr>
          <w:rFonts w:ascii="Arial" w:hAnsi="Arial" w:cs="Arial"/>
          <w:sz w:val="20"/>
          <w:szCs w:val="20"/>
        </w:rPr>
        <w:t xml:space="preserve"> milhões</w:t>
      </w:r>
      <w:r w:rsidR="00DA1379">
        <w:rPr>
          <w:rFonts w:ascii="Arial" w:hAnsi="Arial" w:cs="Arial"/>
          <w:sz w:val="20"/>
          <w:szCs w:val="20"/>
        </w:rPr>
        <w:t>; -2,7%).</w:t>
      </w:r>
    </w:p>
    <w:p w:rsidR="004278D4" w:rsidRDefault="004278D4" w:rsidP="002B1A0F">
      <w:pPr>
        <w:pStyle w:val="Recuodecorpodetexto"/>
        <w:ind w:firstLine="0"/>
        <w:rPr>
          <w:rFonts w:ascii="Arial" w:hAnsi="Arial" w:cs="Arial"/>
          <w:sz w:val="20"/>
          <w:szCs w:val="20"/>
        </w:rPr>
      </w:pPr>
    </w:p>
    <w:p w:rsidR="002B1A0F" w:rsidRDefault="002C1597" w:rsidP="002B1A0F">
      <w:pPr>
        <w:pStyle w:val="Recuodecorpodetexto"/>
        <w:ind w:firstLine="0"/>
        <w:rPr>
          <w:rFonts w:ascii="Arial" w:hAnsi="Arial" w:cs="Arial"/>
          <w:sz w:val="20"/>
          <w:szCs w:val="20"/>
        </w:rPr>
      </w:pPr>
      <w:r w:rsidRPr="002C1597">
        <w:rPr>
          <w:noProof/>
        </w:rPr>
        <w:drawing>
          <wp:inline distT="0" distB="0" distL="0" distR="0" wp14:anchorId="2FDD23F6" wp14:editId="1BE4DBF0">
            <wp:extent cx="6480175" cy="2348230"/>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480175" cy="2348230"/>
                    </a:xfrm>
                    <a:prstGeom prst="rect">
                      <a:avLst/>
                    </a:prstGeom>
                  </pic:spPr>
                </pic:pic>
              </a:graphicData>
            </a:graphic>
          </wp:inline>
        </w:drawing>
      </w:r>
    </w:p>
    <w:p w:rsidR="002C1597" w:rsidRDefault="002C1597" w:rsidP="002B1A0F">
      <w:pPr>
        <w:pStyle w:val="Recuodecorpodetexto"/>
        <w:ind w:firstLine="0"/>
        <w:rPr>
          <w:rFonts w:ascii="Arial" w:hAnsi="Arial" w:cs="Arial"/>
          <w:sz w:val="20"/>
          <w:szCs w:val="20"/>
        </w:rPr>
      </w:pPr>
    </w:p>
    <w:p w:rsidR="00E17DA9" w:rsidRDefault="00E17DA9" w:rsidP="002B1A0F">
      <w:pPr>
        <w:pStyle w:val="Recuodecorpodetexto"/>
        <w:ind w:firstLine="0"/>
        <w:rPr>
          <w:rFonts w:ascii="Arial" w:hAnsi="Arial" w:cs="Arial"/>
          <w:sz w:val="20"/>
          <w:szCs w:val="20"/>
        </w:rPr>
      </w:pPr>
    </w:p>
    <w:p w:rsidR="0001136D" w:rsidRDefault="0001136D" w:rsidP="0001136D">
      <w:pPr>
        <w:pStyle w:val="Ttulo5"/>
        <w:autoSpaceDE/>
        <w:autoSpaceDN/>
        <w:adjustRightInd/>
        <w:rPr>
          <w:rFonts w:ascii="Arial" w:hAnsi="Arial" w:cs="Arial"/>
          <w:sz w:val="20"/>
          <w:szCs w:val="20"/>
        </w:rPr>
      </w:pPr>
      <w:proofErr w:type="spellStart"/>
      <w:r w:rsidRPr="00AB3924">
        <w:rPr>
          <w:rFonts w:ascii="Arial" w:hAnsi="Arial" w:cs="Arial"/>
          <w:sz w:val="20"/>
          <w:szCs w:val="20"/>
        </w:rPr>
        <w:t>III.c</w:t>
      </w:r>
      <w:proofErr w:type="spellEnd"/>
      <w:r w:rsidRPr="00AB3924">
        <w:rPr>
          <w:rFonts w:ascii="Arial" w:hAnsi="Arial" w:cs="Arial"/>
          <w:sz w:val="20"/>
          <w:szCs w:val="20"/>
        </w:rPr>
        <w:t xml:space="preserve"> – Países</w:t>
      </w:r>
    </w:p>
    <w:p w:rsidR="00717244" w:rsidRDefault="00717244" w:rsidP="00717244"/>
    <w:p w:rsidR="00A94621" w:rsidRPr="003F5E37" w:rsidRDefault="00717244" w:rsidP="00E17DA9">
      <w:pPr>
        <w:pStyle w:val="Recuodecorpodetexto"/>
        <w:rPr>
          <w:rFonts w:ascii="Arial" w:hAnsi="Arial" w:cs="Arial"/>
          <w:sz w:val="20"/>
          <w:szCs w:val="20"/>
        </w:rPr>
      </w:pPr>
      <w:r w:rsidRPr="00717244">
        <w:rPr>
          <w:rFonts w:ascii="Arial" w:hAnsi="Arial" w:cs="Arial"/>
          <w:sz w:val="20"/>
          <w:szCs w:val="20"/>
        </w:rPr>
        <w:t>A China</w:t>
      </w:r>
      <w:r w:rsidR="009D5908">
        <w:rPr>
          <w:rFonts w:ascii="Arial" w:hAnsi="Arial" w:cs="Arial"/>
          <w:sz w:val="20"/>
          <w:szCs w:val="20"/>
        </w:rPr>
        <w:t xml:space="preserve"> continuou ampliando a sua participação nas aquisições de produtos do agronegócio brasileiro. O país asiático </w:t>
      </w:r>
      <w:r w:rsidR="00697BB4">
        <w:rPr>
          <w:rFonts w:ascii="Arial" w:hAnsi="Arial" w:cs="Arial"/>
          <w:sz w:val="20"/>
          <w:szCs w:val="20"/>
        </w:rPr>
        <w:t xml:space="preserve">aumentou as aquisições de US$ 23,15 bilhões entre julho de 2016 e junho de 2017 para US$ 28,60 bilhões entre julho de 2017 e junho de 2018 (+23,5%). </w:t>
      </w:r>
      <w:r w:rsidR="00A94621">
        <w:rPr>
          <w:rFonts w:ascii="Arial" w:hAnsi="Arial" w:cs="Arial"/>
          <w:sz w:val="20"/>
          <w:szCs w:val="20"/>
        </w:rPr>
        <w:t>Com esse aumento, a participação chinesa nas exportações de produtos do agronegócio brasileiro aumentou de 26,3% para 29,4% no período em análise. Essa expansão nas aquisiç</w:t>
      </w:r>
      <w:r w:rsidR="003F5E37">
        <w:rPr>
          <w:rFonts w:ascii="Arial" w:hAnsi="Arial" w:cs="Arial"/>
          <w:sz w:val="20"/>
          <w:szCs w:val="20"/>
        </w:rPr>
        <w:t>ões ocorreu</w:t>
      </w:r>
      <w:r w:rsidR="005021D7">
        <w:rPr>
          <w:rFonts w:ascii="Arial" w:hAnsi="Arial" w:cs="Arial"/>
          <w:sz w:val="20"/>
          <w:szCs w:val="20"/>
        </w:rPr>
        <w:t xml:space="preserve"> em função, principalmente, </w:t>
      </w:r>
      <w:r w:rsidR="003F5E37">
        <w:rPr>
          <w:rFonts w:ascii="Arial" w:hAnsi="Arial" w:cs="Arial"/>
          <w:sz w:val="20"/>
          <w:szCs w:val="20"/>
        </w:rPr>
        <w:t>da elevação das exportações de soja em grãos para o país asiático. A China aumentou as compras de soja em grão do Brasil de 5</w:t>
      </w:r>
      <w:r w:rsidR="00622C51">
        <w:rPr>
          <w:rFonts w:ascii="Arial" w:hAnsi="Arial" w:cs="Arial"/>
          <w:sz w:val="20"/>
          <w:szCs w:val="20"/>
        </w:rPr>
        <w:t>2,95</w:t>
      </w:r>
      <w:r w:rsidR="003F5E37">
        <w:rPr>
          <w:rFonts w:ascii="Arial" w:hAnsi="Arial" w:cs="Arial"/>
          <w:sz w:val="20"/>
          <w:szCs w:val="20"/>
        </w:rPr>
        <w:t xml:space="preserve"> milhões de toneladas entre julho de 2016 e junho de 2017 para 64,4</w:t>
      </w:r>
      <w:r w:rsidR="00622C51">
        <w:rPr>
          <w:rFonts w:ascii="Arial" w:hAnsi="Arial" w:cs="Arial"/>
          <w:sz w:val="20"/>
          <w:szCs w:val="20"/>
        </w:rPr>
        <w:t>3</w:t>
      </w:r>
      <w:r w:rsidR="003F5E37">
        <w:rPr>
          <w:rFonts w:ascii="Arial" w:hAnsi="Arial" w:cs="Arial"/>
          <w:sz w:val="20"/>
          <w:szCs w:val="20"/>
        </w:rPr>
        <w:t xml:space="preserve"> milhões de toneladas</w:t>
      </w:r>
      <w:r w:rsidR="005021D7">
        <w:rPr>
          <w:rFonts w:ascii="Arial" w:hAnsi="Arial" w:cs="Arial"/>
          <w:sz w:val="20"/>
          <w:szCs w:val="20"/>
        </w:rPr>
        <w:t xml:space="preserve"> entre julho de 2017 e junho de 2018</w:t>
      </w:r>
      <w:r w:rsidR="003F5E37">
        <w:rPr>
          <w:rFonts w:ascii="Arial" w:hAnsi="Arial" w:cs="Arial"/>
          <w:sz w:val="20"/>
          <w:szCs w:val="20"/>
        </w:rPr>
        <w:t xml:space="preserve">. Somente as vendas de soja em grão para a China representaram 76,0% do valor total exportado ao país. Além da soja em grão, houve aumento significativo das exportações de celulose (US$ 3,08 bilhões; +27,2%) e carne bovina </w:t>
      </w:r>
      <w:r w:rsidR="003F5E37" w:rsidRPr="00E17DA9">
        <w:rPr>
          <w:rFonts w:ascii="Arial" w:hAnsi="Arial" w:cs="Arial"/>
          <w:sz w:val="20"/>
          <w:szCs w:val="20"/>
        </w:rPr>
        <w:t>in natura</w:t>
      </w:r>
      <w:r w:rsidR="003F5E37">
        <w:rPr>
          <w:rFonts w:ascii="Arial" w:hAnsi="Arial" w:cs="Arial"/>
          <w:sz w:val="20"/>
          <w:szCs w:val="20"/>
        </w:rPr>
        <w:t xml:space="preserve"> (US$ 1,09 bilhão; +47,7%).</w:t>
      </w:r>
    </w:p>
    <w:p w:rsidR="00DD0277" w:rsidRPr="00E17DA9" w:rsidRDefault="00DD0277" w:rsidP="00E17DA9">
      <w:pPr>
        <w:pStyle w:val="Recuodecorpodetexto"/>
        <w:rPr>
          <w:rFonts w:ascii="Arial" w:hAnsi="Arial" w:cs="Arial"/>
          <w:sz w:val="20"/>
          <w:szCs w:val="20"/>
        </w:rPr>
      </w:pPr>
    </w:p>
    <w:p w:rsidR="00DD0277" w:rsidRDefault="003F5E37" w:rsidP="00E17DA9">
      <w:pPr>
        <w:pStyle w:val="Recuodecorpodetexto"/>
        <w:rPr>
          <w:rFonts w:ascii="Arial" w:hAnsi="Arial" w:cs="Arial"/>
          <w:sz w:val="20"/>
          <w:szCs w:val="20"/>
        </w:rPr>
      </w:pPr>
      <w:r>
        <w:rPr>
          <w:rFonts w:ascii="Arial" w:hAnsi="Arial" w:cs="Arial"/>
          <w:sz w:val="20"/>
          <w:szCs w:val="20"/>
        </w:rPr>
        <w:t>Além da China, outros países apresentados na Tabela 9 e que registraram crescimento acima de 20,0% foram: Egito (68,1%); Espanha (+44,7%); Vietnã (+40,6%)</w:t>
      </w:r>
      <w:r w:rsidR="005021D7">
        <w:rPr>
          <w:rFonts w:ascii="Arial" w:hAnsi="Arial" w:cs="Arial"/>
          <w:sz w:val="20"/>
          <w:szCs w:val="20"/>
        </w:rPr>
        <w:t>; Japão (+25,5%); e Hong Kong (+22,2%).</w:t>
      </w:r>
    </w:p>
    <w:p w:rsidR="00FF5425" w:rsidRDefault="00FF5425" w:rsidP="00E17DA9">
      <w:pPr>
        <w:pStyle w:val="Recuodecorpodetexto"/>
        <w:rPr>
          <w:rFonts w:ascii="Arial" w:hAnsi="Arial" w:cs="Arial"/>
          <w:sz w:val="20"/>
          <w:szCs w:val="20"/>
        </w:rPr>
      </w:pPr>
    </w:p>
    <w:p w:rsidR="00FF5425" w:rsidRPr="0041433C" w:rsidRDefault="00FF5425" w:rsidP="00E17DA9">
      <w:pPr>
        <w:pStyle w:val="Recuodecorpodetexto"/>
        <w:rPr>
          <w:rFonts w:ascii="Arial" w:hAnsi="Arial" w:cs="Arial"/>
          <w:sz w:val="20"/>
          <w:szCs w:val="20"/>
        </w:rPr>
      </w:pPr>
      <w:r>
        <w:rPr>
          <w:rFonts w:ascii="Arial" w:hAnsi="Arial" w:cs="Arial"/>
          <w:sz w:val="20"/>
          <w:szCs w:val="20"/>
        </w:rPr>
        <w:t>Nas exportações para o Egito, a elevação das vendas externas</w:t>
      </w:r>
      <w:r w:rsidR="008E65E1">
        <w:rPr>
          <w:rFonts w:ascii="Arial" w:hAnsi="Arial" w:cs="Arial"/>
          <w:sz w:val="20"/>
          <w:szCs w:val="20"/>
        </w:rPr>
        <w:t xml:space="preserve"> de dois produtos explica em grande</w:t>
      </w:r>
      <w:r w:rsidR="00622C51">
        <w:rPr>
          <w:rFonts w:ascii="Arial" w:hAnsi="Arial" w:cs="Arial"/>
          <w:sz w:val="20"/>
          <w:szCs w:val="20"/>
        </w:rPr>
        <w:t xml:space="preserve"> parte</w:t>
      </w:r>
      <w:r>
        <w:rPr>
          <w:rFonts w:ascii="Arial" w:hAnsi="Arial" w:cs="Arial"/>
          <w:sz w:val="20"/>
          <w:szCs w:val="20"/>
        </w:rPr>
        <w:t xml:space="preserve"> o incremento de 68,1% nas exportações: carne bovina </w:t>
      </w:r>
      <w:r w:rsidRPr="00E17DA9">
        <w:rPr>
          <w:rFonts w:ascii="Arial" w:hAnsi="Arial" w:cs="Arial"/>
          <w:sz w:val="20"/>
          <w:szCs w:val="20"/>
        </w:rPr>
        <w:t xml:space="preserve">in natura </w:t>
      </w:r>
      <w:r>
        <w:rPr>
          <w:rFonts w:ascii="Arial" w:hAnsi="Arial" w:cs="Arial"/>
          <w:sz w:val="20"/>
          <w:szCs w:val="20"/>
        </w:rPr>
        <w:t>(US$ 578,53 milhões; +69,4%) e milho (US$ 545,43 milhões; +374,7%).</w:t>
      </w:r>
      <w:r w:rsidR="00047FF1">
        <w:rPr>
          <w:rFonts w:ascii="Arial" w:hAnsi="Arial" w:cs="Arial"/>
          <w:sz w:val="20"/>
          <w:szCs w:val="20"/>
        </w:rPr>
        <w:t xml:space="preserve"> No caso da Espanha, a explicação para o aumento das exportações ocorreu também em função </w:t>
      </w:r>
      <w:r w:rsidR="005B0EB6">
        <w:rPr>
          <w:rFonts w:ascii="Arial" w:hAnsi="Arial" w:cs="Arial"/>
          <w:sz w:val="20"/>
          <w:szCs w:val="20"/>
        </w:rPr>
        <w:t>de dois produtos: milho (US$ 481,41 milhões; +911,5%) e celulose (US$ 228,74 milhões; +145,5%).</w:t>
      </w:r>
      <w:r w:rsidR="008E65E1">
        <w:rPr>
          <w:rFonts w:ascii="Arial" w:hAnsi="Arial" w:cs="Arial"/>
          <w:sz w:val="20"/>
          <w:szCs w:val="20"/>
        </w:rPr>
        <w:t xml:space="preserve"> As vendas externas para o Vietn</w:t>
      </w:r>
      <w:r w:rsidR="00AC6F45">
        <w:rPr>
          <w:rFonts w:ascii="Arial" w:hAnsi="Arial" w:cs="Arial"/>
          <w:sz w:val="20"/>
          <w:szCs w:val="20"/>
        </w:rPr>
        <w:t>ã foram</w:t>
      </w:r>
      <w:r w:rsidR="008E65E1">
        <w:rPr>
          <w:rFonts w:ascii="Arial" w:hAnsi="Arial" w:cs="Arial"/>
          <w:sz w:val="20"/>
          <w:szCs w:val="20"/>
        </w:rPr>
        <w:t xml:space="preserve"> influenciadas positivamente pelo incremento nas exportações de alguns produtos: milho (US$ 390,71 milhões; +43,1%); algodão não cardado nem penteado (US$ 313,23 milhões; +151,9%); e farelo de soja (US$ 300,24 milhões; +190,9%).</w:t>
      </w:r>
      <w:r w:rsidR="00923FA4">
        <w:rPr>
          <w:rFonts w:ascii="Arial" w:hAnsi="Arial" w:cs="Arial"/>
          <w:sz w:val="20"/>
          <w:szCs w:val="20"/>
        </w:rPr>
        <w:t xml:space="preserve"> No Japão, o destaque nas exportaç</w:t>
      </w:r>
      <w:r w:rsidR="00AF5167">
        <w:rPr>
          <w:rFonts w:ascii="Arial" w:hAnsi="Arial" w:cs="Arial"/>
          <w:sz w:val="20"/>
          <w:szCs w:val="20"/>
        </w:rPr>
        <w:t>ões ficou</w:t>
      </w:r>
      <w:r w:rsidR="00923FA4">
        <w:rPr>
          <w:rFonts w:ascii="Arial" w:hAnsi="Arial" w:cs="Arial"/>
          <w:sz w:val="20"/>
          <w:szCs w:val="20"/>
        </w:rPr>
        <w:t xml:space="preserve"> por conta do milho, que teve expansão das vendas externas de 245,2% e atingiram US$ 459,61 milhões. </w:t>
      </w:r>
      <w:r w:rsidR="0041433C">
        <w:rPr>
          <w:rFonts w:ascii="Arial" w:hAnsi="Arial" w:cs="Arial"/>
          <w:sz w:val="20"/>
          <w:szCs w:val="20"/>
        </w:rPr>
        <w:t xml:space="preserve">Já em Hong Kong, o destaque ficou por conta das exportações de carne bovina </w:t>
      </w:r>
      <w:r w:rsidR="0041433C" w:rsidRPr="00E17DA9">
        <w:rPr>
          <w:rFonts w:ascii="Arial" w:hAnsi="Arial" w:cs="Arial"/>
          <w:sz w:val="20"/>
          <w:szCs w:val="20"/>
        </w:rPr>
        <w:t>in natura</w:t>
      </w:r>
      <w:r w:rsidR="0041433C">
        <w:rPr>
          <w:rFonts w:ascii="Arial" w:hAnsi="Arial" w:cs="Arial"/>
          <w:sz w:val="20"/>
          <w:szCs w:val="20"/>
        </w:rPr>
        <w:t>, que subiram 48,7%, atingindo US$ 1,09 bilhão.</w:t>
      </w:r>
    </w:p>
    <w:p w:rsidR="008E65E1" w:rsidRDefault="008E65E1" w:rsidP="00E17DA9">
      <w:pPr>
        <w:pStyle w:val="Recuodecorpodetexto"/>
        <w:rPr>
          <w:rFonts w:ascii="Arial" w:hAnsi="Arial" w:cs="Arial"/>
          <w:sz w:val="20"/>
          <w:szCs w:val="20"/>
        </w:rPr>
      </w:pPr>
    </w:p>
    <w:p w:rsidR="0001136D" w:rsidRPr="00AB3924" w:rsidRDefault="0001136D" w:rsidP="0001136D">
      <w:pPr>
        <w:rPr>
          <w:rFonts w:ascii="Arial" w:hAnsi="Arial" w:cs="Arial"/>
        </w:rPr>
      </w:pPr>
    </w:p>
    <w:p w:rsidR="00384963" w:rsidRPr="00AB3924" w:rsidRDefault="002C1597" w:rsidP="0001136D">
      <w:pPr>
        <w:rPr>
          <w:rFonts w:ascii="Arial" w:hAnsi="Arial" w:cs="Arial"/>
        </w:rPr>
      </w:pPr>
      <w:r w:rsidRPr="002C1597">
        <w:rPr>
          <w:noProof/>
        </w:rPr>
        <w:drawing>
          <wp:inline distT="0" distB="0" distL="0" distR="0" wp14:anchorId="2CF97C97" wp14:editId="3071DE71">
            <wp:extent cx="6480175" cy="3879215"/>
            <wp:effectExtent l="0" t="0" r="0" b="6985"/>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480175" cy="3879215"/>
                    </a:xfrm>
                    <a:prstGeom prst="rect">
                      <a:avLst/>
                    </a:prstGeom>
                  </pic:spPr>
                </pic:pic>
              </a:graphicData>
            </a:graphic>
          </wp:inline>
        </w:drawing>
      </w:r>
    </w:p>
    <w:p w:rsidR="007D7D4C" w:rsidRDefault="007D7D4C" w:rsidP="00384963">
      <w:pPr>
        <w:pStyle w:val="Recuodecorpodetexto"/>
        <w:ind w:firstLine="0"/>
        <w:rPr>
          <w:rFonts w:ascii="Arial" w:hAnsi="Arial" w:cs="Arial"/>
          <w:sz w:val="20"/>
          <w:szCs w:val="20"/>
        </w:rPr>
      </w:pPr>
    </w:p>
    <w:p w:rsidR="00384963" w:rsidRPr="00826906" w:rsidRDefault="00384963" w:rsidP="00384963">
      <w:pPr>
        <w:pStyle w:val="Recuodecorpodetexto"/>
        <w:ind w:firstLine="0"/>
        <w:rPr>
          <w:rFonts w:ascii="Arial" w:hAnsi="Arial" w:cs="Arial"/>
          <w:sz w:val="20"/>
          <w:szCs w:val="20"/>
        </w:rPr>
      </w:pPr>
    </w:p>
    <w:p w:rsidR="00C87B02" w:rsidRPr="00826906" w:rsidRDefault="00C87B02">
      <w:pPr>
        <w:pStyle w:val="Ttulo4"/>
        <w:pBdr>
          <w:top w:val="single" w:sz="4" w:space="1" w:color="auto"/>
          <w:left w:val="single" w:sz="4" w:space="4" w:color="auto"/>
          <w:bottom w:val="single" w:sz="4" w:space="1" w:color="auto"/>
          <w:right w:val="single" w:sz="4" w:space="4" w:color="auto"/>
        </w:pBdr>
        <w:spacing w:after="80"/>
        <w:ind w:firstLine="0"/>
        <w:rPr>
          <w:i w:val="0"/>
          <w:sz w:val="20"/>
          <w:szCs w:val="20"/>
          <w:lang w:val="pt-BR"/>
        </w:rPr>
      </w:pPr>
      <w:r w:rsidRPr="00826906">
        <w:rPr>
          <w:i w:val="0"/>
          <w:sz w:val="20"/>
          <w:szCs w:val="20"/>
          <w:lang w:val="pt-BR"/>
        </w:rPr>
        <w:t>NOTA METODOLÓGICA</w:t>
      </w:r>
    </w:p>
    <w:p w:rsidR="00C87B02" w:rsidRPr="00826906" w:rsidRDefault="00C87B02" w:rsidP="00E316DA">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r w:rsidRPr="00826906">
        <w:rPr>
          <w:rFonts w:ascii="Arial" w:hAnsi="Arial" w:cs="Arial"/>
          <w:sz w:val="20"/>
          <w:szCs w:val="20"/>
        </w:rPr>
        <w:t xml:space="preserve">A classificação de produtos do agronegócio utilizada nesta nota foi atualizada de acordo com a Resolução CAMEX Nº </w:t>
      </w:r>
      <w:r w:rsidR="00B85556">
        <w:rPr>
          <w:rFonts w:ascii="Arial" w:hAnsi="Arial" w:cs="Arial"/>
          <w:sz w:val="20"/>
          <w:szCs w:val="20"/>
        </w:rPr>
        <w:t>125</w:t>
      </w:r>
      <w:r w:rsidRPr="00826906">
        <w:rPr>
          <w:rFonts w:ascii="Arial" w:hAnsi="Arial" w:cs="Arial"/>
          <w:sz w:val="20"/>
          <w:szCs w:val="20"/>
        </w:rPr>
        <w:t xml:space="preserve">, de </w:t>
      </w:r>
      <w:r w:rsidR="00B85556">
        <w:rPr>
          <w:rFonts w:ascii="Arial" w:hAnsi="Arial" w:cs="Arial"/>
          <w:sz w:val="20"/>
          <w:szCs w:val="20"/>
        </w:rPr>
        <w:t>15</w:t>
      </w:r>
      <w:r w:rsidRPr="00826906">
        <w:rPr>
          <w:rFonts w:ascii="Arial" w:hAnsi="Arial" w:cs="Arial"/>
          <w:sz w:val="20"/>
          <w:szCs w:val="20"/>
        </w:rPr>
        <w:t>/12/201</w:t>
      </w:r>
      <w:r w:rsidR="00B85556">
        <w:rPr>
          <w:rFonts w:ascii="Arial" w:hAnsi="Arial" w:cs="Arial"/>
          <w:sz w:val="20"/>
          <w:szCs w:val="20"/>
        </w:rPr>
        <w:t>6</w:t>
      </w:r>
      <w:r w:rsidRPr="00826906">
        <w:rPr>
          <w:rFonts w:ascii="Arial" w:hAnsi="Arial" w:cs="Arial"/>
          <w:sz w:val="20"/>
          <w:szCs w:val="20"/>
        </w:rPr>
        <w:t>, que alterou a Nomenclatura Comum do MERCOSUL – NCM para adaptá-la em relação às modificações do Sistema Harmonizado de Designação e de Codificação de Mercadorias (SH-201</w:t>
      </w:r>
      <w:r w:rsidR="00B85556">
        <w:rPr>
          <w:rFonts w:ascii="Arial" w:hAnsi="Arial" w:cs="Arial"/>
          <w:sz w:val="20"/>
          <w:szCs w:val="20"/>
        </w:rPr>
        <w:t>7</w:t>
      </w:r>
      <w:r w:rsidRPr="00826906">
        <w:rPr>
          <w:rFonts w:ascii="Arial" w:hAnsi="Arial" w:cs="Arial"/>
          <w:sz w:val="20"/>
          <w:szCs w:val="20"/>
        </w:rPr>
        <w:t>), que estabelece um método internacional para a classificação de mercadorias.</w:t>
      </w:r>
    </w:p>
    <w:p w:rsidR="00C87B02" w:rsidRPr="00826906" w:rsidRDefault="00C87B02" w:rsidP="00E316DA">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p>
    <w:p w:rsidR="00C87B02" w:rsidRPr="00826906" w:rsidRDefault="00C87B02" w:rsidP="00E316DA">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r w:rsidRPr="00826906">
        <w:rPr>
          <w:rFonts w:ascii="Arial" w:hAnsi="Arial" w:cs="Arial"/>
          <w:sz w:val="20"/>
          <w:szCs w:val="20"/>
        </w:rPr>
        <w:lastRenderedPageBreak/>
        <w:t xml:space="preserve">A Balança Comercial do Agronegócio utiliza uma classificação dos produtos do agronegócio que reúne 2.867 </w:t>
      </w:r>
      <w:proofErr w:type="spellStart"/>
      <w:r w:rsidRPr="00826906">
        <w:rPr>
          <w:rFonts w:ascii="Arial" w:hAnsi="Arial" w:cs="Arial"/>
          <w:sz w:val="20"/>
          <w:szCs w:val="20"/>
        </w:rPr>
        <w:t>NCM’s</w:t>
      </w:r>
      <w:proofErr w:type="spellEnd"/>
      <w:r w:rsidRPr="00826906">
        <w:rPr>
          <w:rFonts w:ascii="Arial" w:hAnsi="Arial" w:cs="Arial"/>
          <w:sz w:val="20"/>
          <w:szCs w:val="20"/>
        </w:rPr>
        <w:t xml:space="preserve"> em 25 setores. Essa é a mesma classificação utilizada no AGROSTAT BRASIL - base de dados </w:t>
      </w:r>
      <w:proofErr w:type="spellStart"/>
      <w:r w:rsidRPr="00826906">
        <w:rPr>
          <w:rFonts w:ascii="Arial" w:hAnsi="Arial" w:cs="Arial"/>
          <w:i/>
          <w:sz w:val="20"/>
          <w:szCs w:val="20"/>
        </w:rPr>
        <w:t>on</w:t>
      </w:r>
      <w:proofErr w:type="spellEnd"/>
      <w:r w:rsidRPr="00826906">
        <w:rPr>
          <w:rFonts w:ascii="Arial" w:hAnsi="Arial" w:cs="Arial"/>
          <w:i/>
          <w:sz w:val="20"/>
          <w:szCs w:val="20"/>
        </w:rPr>
        <w:t xml:space="preserve"> </w:t>
      </w:r>
      <w:proofErr w:type="spellStart"/>
      <w:r w:rsidRPr="00826906">
        <w:rPr>
          <w:rFonts w:ascii="Arial" w:hAnsi="Arial" w:cs="Arial"/>
          <w:i/>
          <w:sz w:val="20"/>
          <w:szCs w:val="20"/>
        </w:rPr>
        <w:t>line</w:t>
      </w:r>
      <w:proofErr w:type="spellEnd"/>
      <w:r w:rsidRPr="00826906">
        <w:rPr>
          <w:rFonts w:ascii="Arial" w:hAnsi="Arial" w:cs="Arial"/>
          <w:sz w:val="20"/>
          <w:szCs w:val="20"/>
        </w:rPr>
        <w:t xml:space="preserve"> que oferece uma visão detalhada e atualizada das exportações e importações brasileiras do agronegócio. Mais informações da metodologia e classificação podem ser consultadas no site: </w:t>
      </w:r>
      <w:hyperlink r:id="rId17" w:history="1">
        <w:r w:rsidRPr="00826906">
          <w:rPr>
            <w:rStyle w:val="Hyperlink"/>
            <w:rFonts w:ascii="Arial" w:hAnsi="Arial" w:cs="Arial"/>
            <w:sz w:val="20"/>
            <w:szCs w:val="20"/>
          </w:rPr>
          <w:t>agrostat.agricultura.gov.br</w:t>
        </w:r>
      </w:hyperlink>
      <w:r w:rsidRPr="00826906">
        <w:rPr>
          <w:rFonts w:ascii="Arial" w:hAnsi="Arial" w:cs="Arial"/>
          <w:sz w:val="20"/>
          <w:szCs w:val="20"/>
        </w:rPr>
        <w:t xml:space="preserve"> </w:t>
      </w:r>
    </w:p>
    <w:p w:rsidR="00C87B02" w:rsidRPr="00826906" w:rsidRDefault="00C87B02">
      <w:pPr>
        <w:pBdr>
          <w:top w:val="single" w:sz="4" w:space="1" w:color="auto"/>
          <w:left w:val="single" w:sz="4" w:space="4" w:color="auto"/>
          <w:bottom w:val="single" w:sz="4" w:space="1" w:color="auto"/>
          <w:right w:val="single" w:sz="4" w:space="4" w:color="auto"/>
        </w:pBdr>
        <w:autoSpaceDE w:val="0"/>
        <w:autoSpaceDN w:val="0"/>
        <w:adjustRightInd w:val="0"/>
        <w:ind w:firstLine="708"/>
        <w:jc w:val="both"/>
        <w:rPr>
          <w:rFonts w:ascii="Arial" w:hAnsi="Arial" w:cs="Arial"/>
          <w:sz w:val="20"/>
          <w:szCs w:val="20"/>
        </w:rPr>
      </w:pPr>
    </w:p>
    <w:p w:rsidR="00C87B02" w:rsidRPr="00826906" w:rsidRDefault="00C87B02">
      <w:pPr>
        <w:pStyle w:val="Ttulo2"/>
        <w:jc w:val="right"/>
        <w:rPr>
          <w:rFonts w:ascii="Arial" w:hAnsi="Arial" w:cs="Arial"/>
          <w:b/>
          <w:sz w:val="20"/>
        </w:rPr>
      </w:pPr>
    </w:p>
    <w:p w:rsidR="00C87B02" w:rsidRPr="00826906" w:rsidRDefault="00C87B02">
      <w:pPr>
        <w:pStyle w:val="Ttulo2"/>
        <w:jc w:val="right"/>
        <w:rPr>
          <w:rFonts w:ascii="Arial" w:hAnsi="Arial" w:cs="Arial"/>
          <w:b/>
          <w:sz w:val="20"/>
        </w:rPr>
      </w:pPr>
      <w:r w:rsidRPr="00826906">
        <w:rPr>
          <w:rFonts w:ascii="Arial" w:hAnsi="Arial" w:cs="Arial"/>
          <w:b/>
          <w:sz w:val="20"/>
        </w:rPr>
        <w:t>MAPA/SRI/D</w:t>
      </w:r>
      <w:r w:rsidR="00A87ED0">
        <w:rPr>
          <w:rFonts w:ascii="Arial" w:hAnsi="Arial" w:cs="Arial"/>
          <w:b/>
          <w:sz w:val="20"/>
        </w:rPr>
        <w:t>AC</w:t>
      </w:r>
    </w:p>
    <w:p w:rsidR="00C87B02" w:rsidRPr="00826906" w:rsidRDefault="00C87B02">
      <w:pPr>
        <w:pStyle w:val="Recuodecorpodetexto"/>
        <w:jc w:val="right"/>
        <w:rPr>
          <w:rFonts w:ascii="Arial" w:hAnsi="Arial" w:cs="Arial"/>
          <w:sz w:val="20"/>
          <w:szCs w:val="20"/>
        </w:rPr>
      </w:pPr>
      <w:r w:rsidRPr="00826906">
        <w:rPr>
          <w:rFonts w:ascii="Arial" w:hAnsi="Arial" w:cs="Arial"/>
          <w:sz w:val="20"/>
          <w:szCs w:val="20"/>
        </w:rPr>
        <w:t xml:space="preserve"> </w:t>
      </w:r>
      <w:r w:rsidR="00156CF0">
        <w:rPr>
          <w:rFonts w:ascii="Arial" w:hAnsi="Arial" w:cs="Arial"/>
          <w:sz w:val="20"/>
          <w:szCs w:val="20"/>
        </w:rPr>
        <w:t>1</w:t>
      </w:r>
      <w:r w:rsidR="00E17DA9">
        <w:rPr>
          <w:rFonts w:ascii="Arial" w:hAnsi="Arial" w:cs="Arial"/>
          <w:sz w:val="20"/>
          <w:szCs w:val="20"/>
        </w:rPr>
        <w:t>3</w:t>
      </w:r>
      <w:r w:rsidR="0001136D">
        <w:rPr>
          <w:rFonts w:ascii="Arial" w:hAnsi="Arial" w:cs="Arial"/>
          <w:sz w:val="20"/>
          <w:szCs w:val="20"/>
        </w:rPr>
        <w:t>/0</w:t>
      </w:r>
      <w:r w:rsidR="00B85556">
        <w:rPr>
          <w:rFonts w:ascii="Arial" w:hAnsi="Arial" w:cs="Arial"/>
          <w:sz w:val="20"/>
          <w:szCs w:val="20"/>
        </w:rPr>
        <w:t>7</w:t>
      </w:r>
      <w:r w:rsidR="00826906">
        <w:rPr>
          <w:rFonts w:ascii="Arial" w:hAnsi="Arial" w:cs="Arial"/>
          <w:sz w:val="20"/>
          <w:szCs w:val="20"/>
        </w:rPr>
        <w:t>/201</w:t>
      </w:r>
      <w:r w:rsidR="00A87ED0">
        <w:rPr>
          <w:rFonts w:ascii="Arial" w:hAnsi="Arial" w:cs="Arial"/>
          <w:sz w:val="20"/>
          <w:szCs w:val="20"/>
        </w:rPr>
        <w:t>8</w:t>
      </w:r>
    </w:p>
    <w:sectPr w:rsidR="00C87B02" w:rsidRPr="00826906" w:rsidSect="00C2569A">
      <w:footerReference w:type="even" r:id="rId18"/>
      <w:footerReference w:type="default" r:id="rId19"/>
      <w:pgSz w:w="11907" w:h="16840" w:code="9"/>
      <w:pgMar w:top="851" w:right="851" w:bottom="851" w:left="851" w:header="0" w:footer="0" w:gutter="0"/>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186" w:rsidRDefault="00F35186">
      <w:r>
        <w:separator/>
      </w:r>
    </w:p>
  </w:endnote>
  <w:endnote w:type="continuationSeparator" w:id="0">
    <w:p w:rsidR="00F35186" w:rsidRDefault="00F35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F40" w:rsidRDefault="008F4F40">
    <w:pPr>
      <w:pStyle w:val="Rodap"/>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8F4F40" w:rsidRDefault="008F4F40">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4F40" w:rsidRPr="000754DD" w:rsidRDefault="008F4F40">
    <w:pPr>
      <w:pStyle w:val="Rodap"/>
      <w:framePr w:wrap="around" w:vAnchor="text" w:hAnchor="margin" w:xAlign="center" w:y="1"/>
      <w:rPr>
        <w:rStyle w:val="Nmerodepgina"/>
        <w:rFonts w:ascii="Arial" w:hAnsi="Arial" w:cs="Arial"/>
        <w:sz w:val="16"/>
        <w:szCs w:val="16"/>
      </w:rPr>
    </w:pPr>
    <w:r w:rsidRPr="000754DD">
      <w:rPr>
        <w:rStyle w:val="Nmerodepgina"/>
        <w:rFonts w:ascii="Arial" w:hAnsi="Arial" w:cs="Arial"/>
        <w:sz w:val="16"/>
        <w:szCs w:val="16"/>
      </w:rPr>
      <w:fldChar w:fldCharType="begin"/>
    </w:r>
    <w:r w:rsidRPr="000754DD">
      <w:rPr>
        <w:rStyle w:val="Nmerodepgina"/>
        <w:rFonts w:ascii="Arial" w:hAnsi="Arial" w:cs="Arial"/>
        <w:sz w:val="16"/>
        <w:szCs w:val="16"/>
      </w:rPr>
      <w:instrText xml:space="preserve">PAGE  </w:instrText>
    </w:r>
    <w:r w:rsidRPr="000754DD">
      <w:rPr>
        <w:rStyle w:val="Nmerodepgina"/>
        <w:rFonts w:ascii="Arial" w:hAnsi="Arial" w:cs="Arial"/>
        <w:sz w:val="16"/>
        <w:szCs w:val="16"/>
      </w:rPr>
      <w:fldChar w:fldCharType="separate"/>
    </w:r>
    <w:r w:rsidR="003E2A9B">
      <w:rPr>
        <w:rStyle w:val="Nmerodepgina"/>
        <w:rFonts w:ascii="Arial" w:hAnsi="Arial" w:cs="Arial"/>
        <w:noProof/>
        <w:sz w:val="16"/>
        <w:szCs w:val="16"/>
      </w:rPr>
      <w:t>12</w:t>
    </w:r>
    <w:r w:rsidRPr="000754DD">
      <w:rPr>
        <w:rStyle w:val="Nmerodepgina"/>
        <w:rFonts w:ascii="Arial" w:hAnsi="Arial" w:cs="Arial"/>
        <w:sz w:val="16"/>
        <w:szCs w:val="16"/>
      </w:rPr>
      <w:fldChar w:fldCharType="end"/>
    </w:r>
  </w:p>
  <w:p w:rsidR="008F4F40" w:rsidRDefault="008F4F4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186" w:rsidRDefault="00F35186">
      <w:r>
        <w:separator/>
      </w:r>
    </w:p>
  </w:footnote>
  <w:footnote w:type="continuationSeparator" w:id="0">
    <w:p w:rsidR="00F35186" w:rsidRDefault="00F351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64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2A5"/>
    <w:rsid w:val="000014D2"/>
    <w:rsid w:val="0000209E"/>
    <w:rsid w:val="0000254E"/>
    <w:rsid w:val="000036C3"/>
    <w:rsid w:val="0000402A"/>
    <w:rsid w:val="00004903"/>
    <w:rsid w:val="000054FF"/>
    <w:rsid w:val="00006103"/>
    <w:rsid w:val="00006262"/>
    <w:rsid w:val="00006ECB"/>
    <w:rsid w:val="00007083"/>
    <w:rsid w:val="00007D32"/>
    <w:rsid w:val="00010A70"/>
    <w:rsid w:val="0001136D"/>
    <w:rsid w:val="00012110"/>
    <w:rsid w:val="0001326B"/>
    <w:rsid w:val="00013681"/>
    <w:rsid w:val="00013B15"/>
    <w:rsid w:val="00013C10"/>
    <w:rsid w:val="0001553F"/>
    <w:rsid w:val="000166CF"/>
    <w:rsid w:val="00017D67"/>
    <w:rsid w:val="00017F9E"/>
    <w:rsid w:val="00021202"/>
    <w:rsid w:val="00021AE7"/>
    <w:rsid w:val="00023523"/>
    <w:rsid w:val="00023700"/>
    <w:rsid w:val="00024620"/>
    <w:rsid w:val="000246E5"/>
    <w:rsid w:val="00024774"/>
    <w:rsid w:val="00025562"/>
    <w:rsid w:val="0002567E"/>
    <w:rsid w:val="0002592B"/>
    <w:rsid w:val="00026C30"/>
    <w:rsid w:val="00027B9D"/>
    <w:rsid w:val="00027CD6"/>
    <w:rsid w:val="00027FBF"/>
    <w:rsid w:val="000301F8"/>
    <w:rsid w:val="00030275"/>
    <w:rsid w:val="00030698"/>
    <w:rsid w:val="0003161E"/>
    <w:rsid w:val="00031A57"/>
    <w:rsid w:val="0003291F"/>
    <w:rsid w:val="000329DF"/>
    <w:rsid w:val="0003345D"/>
    <w:rsid w:val="000348EF"/>
    <w:rsid w:val="00034D11"/>
    <w:rsid w:val="000354EE"/>
    <w:rsid w:val="00035920"/>
    <w:rsid w:val="00035927"/>
    <w:rsid w:val="00035E51"/>
    <w:rsid w:val="000400E7"/>
    <w:rsid w:val="00040781"/>
    <w:rsid w:val="00040AAD"/>
    <w:rsid w:val="00040CEE"/>
    <w:rsid w:val="000411F9"/>
    <w:rsid w:val="0004141A"/>
    <w:rsid w:val="00041459"/>
    <w:rsid w:val="0004188A"/>
    <w:rsid w:val="00041926"/>
    <w:rsid w:val="00041C47"/>
    <w:rsid w:val="000421AD"/>
    <w:rsid w:val="00042DA0"/>
    <w:rsid w:val="00043C91"/>
    <w:rsid w:val="00044959"/>
    <w:rsid w:val="00045520"/>
    <w:rsid w:val="00045689"/>
    <w:rsid w:val="000456E0"/>
    <w:rsid w:val="0004621E"/>
    <w:rsid w:val="00047101"/>
    <w:rsid w:val="00047F65"/>
    <w:rsid w:val="00047FF1"/>
    <w:rsid w:val="00050C8F"/>
    <w:rsid w:val="00051416"/>
    <w:rsid w:val="00053736"/>
    <w:rsid w:val="000542D8"/>
    <w:rsid w:val="00055505"/>
    <w:rsid w:val="00056B26"/>
    <w:rsid w:val="00057E53"/>
    <w:rsid w:val="00057F96"/>
    <w:rsid w:val="00060DB6"/>
    <w:rsid w:val="00060E48"/>
    <w:rsid w:val="00060ECE"/>
    <w:rsid w:val="00063D9B"/>
    <w:rsid w:val="00063DE6"/>
    <w:rsid w:val="00065F75"/>
    <w:rsid w:val="00066372"/>
    <w:rsid w:val="00066406"/>
    <w:rsid w:val="000666A5"/>
    <w:rsid w:val="000676F5"/>
    <w:rsid w:val="00067C72"/>
    <w:rsid w:val="000708D1"/>
    <w:rsid w:val="00070FDC"/>
    <w:rsid w:val="0007199F"/>
    <w:rsid w:val="0007208F"/>
    <w:rsid w:val="000728BD"/>
    <w:rsid w:val="00072A5A"/>
    <w:rsid w:val="00072BF1"/>
    <w:rsid w:val="000735F0"/>
    <w:rsid w:val="00073B00"/>
    <w:rsid w:val="0007448A"/>
    <w:rsid w:val="00074CFD"/>
    <w:rsid w:val="00074FEC"/>
    <w:rsid w:val="000754DD"/>
    <w:rsid w:val="00076763"/>
    <w:rsid w:val="000777E6"/>
    <w:rsid w:val="00080CDD"/>
    <w:rsid w:val="0008233D"/>
    <w:rsid w:val="000838F3"/>
    <w:rsid w:val="00084C40"/>
    <w:rsid w:val="000851AD"/>
    <w:rsid w:val="000860D5"/>
    <w:rsid w:val="0008675A"/>
    <w:rsid w:val="00086BE6"/>
    <w:rsid w:val="00087349"/>
    <w:rsid w:val="00091B89"/>
    <w:rsid w:val="00092CA9"/>
    <w:rsid w:val="000930DA"/>
    <w:rsid w:val="00093582"/>
    <w:rsid w:val="00093FC9"/>
    <w:rsid w:val="0009438C"/>
    <w:rsid w:val="00094CD8"/>
    <w:rsid w:val="00094EAB"/>
    <w:rsid w:val="000950D3"/>
    <w:rsid w:val="00095783"/>
    <w:rsid w:val="00096E13"/>
    <w:rsid w:val="000976B6"/>
    <w:rsid w:val="000978BB"/>
    <w:rsid w:val="00097960"/>
    <w:rsid w:val="00097ADA"/>
    <w:rsid w:val="00097AEB"/>
    <w:rsid w:val="000A0879"/>
    <w:rsid w:val="000A0E3C"/>
    <w:rsid w:val="000A12CC"/>
    <w:rsid w:val="000A14AC"/>
    <w:rsid w:val="000A16C5"/>
    <w:rsid w:val="000A3C7F"/>
    <w:rsid w:val="000A412F"/>
    <w:rsid w:val="000A58CA"/>
    <w:rsid w:val="000A6462"/>
    <w:rsid w:val="000A6B29"/>
    <w:rsid w:val="000A7772"/>
    <w:rsid w:val="000B1245"/>
    <w:rsid w:val="000B1599"/>
    <w:rsid w:val="000B2CCF"/>
    <w:rsid w:val="000B4CB7"/>
    <w:rsid w:val="000B617B"/>
    <w:rsid w:val="000B6F56"/>
    <w:rsid w:val="000B778B"/>
    <w:rsid w:val="000C0B2D"/>
    <w:rsid w:val="000C101E"/>
    <w:rsid w:val="000C1354"/>
    <w:rsid w:val="000C4843"/>
    <w:rsid w:val="000C4CA1"/>
    <w:rsid w:val="000C4E0B"/>
    <w:rsid w:val="000C5899"/>
    <w:rsid w:val="000C5BC6"/>
    <w:rsid w:val="000C64AB"/>
    <w:rsid w:val="000C6B89"/>
    <w:rsid w:val="000D0596"/>
    <w:rsid w:val="000D0A1C"/>
    <w:rsid w:val="000D0A49"/>
    <w:rsid w:val="000D1791"/>
    <w:rsid w:val="000D26FA"/>
    <w:rsid w:val="000D279E"/>
    <w:rsid w:val="000D2D61"/>
    <w:rsid w:val="000D39E2"/>
    <w:rsid w:val="000D4068"/>
    <w:rsid w:val="000D5591"/>
    <w:rsid w:val="000D5BE5"/>
    <w:rsid w:val="000E03A7"/>
    <w:rsid w:val="000E0754"/>
    <w:rsid w:val="000E1F98"/>
    <w:rsid w:val="000E2E78"/>
    <w:rsid w:val="000E3005"/>
    <w:rsid w:val="000E33C3"/>
    <w:rsid w:val="000E398E"/>
    <w:rsid w:val="000E39A2"/>
    <w:rsid w:val="000E3FFC"/>
    <w:rsid w:val="000E42AC"/>
    <w:rsid w:val="000E4AF7"/>
    <w:rsid w:val="000E4D0B"/>
    <w:rsid w:val="000E7154"/>
    <w:rsid w:val="000E7667"/>
    <w:rsid w:val="000E7821"/>
    <w:rsid w:val="000F20EC"/>
    <w:rsid w:val="000F2478"/>
    <w:rsid w:val="000F3A73"/>
    <w:rsid w:val="000F4768"/>
    <w:rsid w:val="000F5D88"/>
    <w:rsid w:val="000F67E1"/>
    <w:rsid w:val="000F6FB8"/>
    <w:rsid w:val="000F7529"/>
    <w:rsid w:val="000F7E4B"/>
    <w:rsid w:val="000F7E56"/>
    <w:rsid w:val="001002A5"/>
    <w:rsid w:val="001009DA"/>
    <w:rsid w:val="00102086"/>
    <w:rsid w:val="00102185"/>
    <w:rsid w:val="00102714"/>
    <w:rsid w:val="001028A9"/>
    <w:rsid w:val="00102FA0"/>
    <w:rsid w:val="00103608"/>
    <w:rsid w:val="00103A27"/>
    <w:rsid w:val="00103E4E"/>
    <w:rsid w:val="0010432D"/>
    <w:rsid w:val="00104345"/>
    <w:rsid w:val="00106AE7"/>
    <w:rsid w:val="0011004F"/>
    <w:rsid w:val="0011065F"/>
    <w:rsid w:val="0011143D"/>
    <w:rsid w:val="001120A0"/>
    <w:rsid w:val="0011278C"/>
    <w:rsid w:val="00112CB5"/>
    <w:rsid w:val="0011359A"/>
    <w:rsid w:val="00114060"/>
    <w:rsid w:val="001145E1"/>
    <w:rsid w:val="00114767"/>
    <w:rsid w:val="001148DB"/>
    <w:rsid w:val="00115593"/>
    <w:rsid w:val="00116244"/>
    <w:rsid w:val="00116DF6"/>
    <w:rsid w:val="001172F2"/>
    <w:rsid w:val="00120C53"/>
    <w:rsid w:val="00120FC3"/>
    <w:rsid w:val="001214F0"/>
    <w:rsid w:val="00121674"/>
    <w:rsid w:val="00121B82"/>
    <w:rsid w:val="001230EB"/>
    <w:rsid w:val="00123AEA"/>
    <w:rsid w:val="00123C08"/>
    <w:rsid w:val="00124184"/>
    <w:rsid w:val="00124275"/>
    <w:rsid w:val="00124438"/>
    <w:rsid w:val="001248CD"/>
    <w:rsid w:val="00125976"/>
    <w:rsid w:val="00127EF3"/>
    <w:rsid w:val="001302B1"/>
    <w:rsid w:val="00130896"/>
    <w:rsid w:val="00130BEF"/>
    <w:rsid w:val="00131883"/>
    <w:rsid w:val="00131C03"/>
    <w:rsid w:val="00132734"/>
    <w:rsid w:val="00132CFF"/>
    <w:rsid w:val="001343E9"/>
    <w:rsid w:val="00134A6E"/>
    <w:rsid w:val="00134AB8"/>
    <w:rsid w:val="00135398"/>
    <w:rsid w:val="00135405"/>
    <w:rsid w:val="00135BA2"/>
    <w:rsid w:val="001360B0"/>
    <w:rsid w:val="00136B69"/>
    <w:rsid w:val="00136D9F"/>
    <w:rsid w:val="00137206"/>
    <w:rsid w:val="00137272"/>
    <w:rsid w:val="0013770C"/>
    <w:rsid w:val="00140494"/>
    <w:rsid w:val="00140CC4"/>
    <w:rsid w:val="001410C3"/>
    <w:rsid w:val="00142592"/>
    <w:rsid w:val="00142F1E"/>
    <w:rsid w:val="00143382"/>
    <w:rsid w:val="00144082"/>
    <w:rsid w:val="0014413D"/>
    <w:rsid w:val="00144D60"/>
    <w:rsid w:val="0014572B"/>
    <w:rsid w:val="0014658F"/>
    <w:rsid w:val="0014766D"/>
    <w:rsid w:val="001479CC"/>
    <w:rsid w:val="00147F3E"/>
    <w:rsid w:val="0015012C"/>
    <w:rsid w:val="00150906"/>
    <w:rsid w:val="00150D5F"/>
    <w:rsid w:val="00151988"/>
    <w:rsid w:val="00153702"/>
    <w:rsid w:val="00153E37"/>
    <w:rsid w:val="00155044"/>
    <w:rsid w:val="001553E1"/>
    <w:rsid w:val="0015622C"/>
    <w:rsid w:val="00156437"/>
    <w:rsid w:val="00156CF0"/>
    <w:rsid w:val="00157AFB"/>
    <w:rsid w:val="00161E99"/>
    <w:rsid w:val="001631E2"/>
    <w:rsid w:val="001653C9"/>
    <w:rsid w:val="001654D4"/>
    <w:rsid w:val="00165A56"/>
    <w:rsid w:val="001668BA"/>
    <w:rsid w:val="00166F09"/>
    <w:rsid w:val="00167040"/>
    <w:rsid w:val="00167101"/>
    <w:rsid w:val="00167A20"/>
    <w:rsid w:val="00171552"/>
    <w:rsid w:val="001715EE"/>
    <w:rsid w:val="00171A0D"/>
    <w:rsid w:val="00172239"/>
    <w:rsid w:val="0017334E"/>
    <w:rsid w:val="001737BF"/>
    <w:rsid w:val="001739E0"/>
    <w:rsid w:val="00173C33"/>
    <w:rsid w:val="001740EF"/>
    <w:rsid w:val="0017415F"/>
    <w:rsid w:val="00175DF5"/>
    <w:rsid w:val="00175FD4"/>
    <w:rsid w:val="001765E5"/>
    <w:rsid w:val="001768DC"/>
    <w:rsid w:val="00177C36"/>
    <w:rsid w:val="00180987"/>
    <w:rsid w:val="00181959"/>
    <w:rsid w:val="00181A5E"/>
    <w:rsid w:val="00181F12"/>
    <w:rsid w:val="0018353B"/>
    <w:rsid w:val="001845DB"/>
    <w:rsid w:val="00185460"/>
    <w:rsid w:val="001855B7"/>
    <w:rsid w:val="001877D0"/>
    <w:rsid w:val="00187C56"/>
    <w:rsid w:val="0019065E"/>
    <w:rsid w:val="00191D61"/>
    <w:rsid w:val="00192430"/>
    <w:rsid w:val="00193C52"/>
    <w:rsid w:val="00193F46"/>
    <w:rsid w:val="00194175"/>
    <w:rsid w:val="0019506D"/>
    <w:rsid w:val="001950E2"/>
    <w:rsid w:val="001965D0"/>
    <w:rsid w:val="00196B83"/>
    <w:rsid w:val="001A002C"/>
    <w:rsid w:val="001A0A6C"/>
    <w:rsid w:val="001A0C5C"/>
    <w:rsid w:val="001A0CE7"/>
    <w:rsid w:val="001A1062"/>
    <w:rsid w:val="001A1AD0"/>
    <w:rsid w:val="001A1F94"/>
    <w:rsid w:val="001A29EA"/>
    <w:rsid w:val="001A3C0C"/>
    <w:rsid w:val="001A47BE"/>
    <w:rsid w:val="001A4C12"/>
    <w:rsid w:val="001A551F"/>
    <w:rsid w:val="001A5F2C"/>
    <w:rsid w:val="001A69E4"/>
    <w:rsid w:val="001A7D65"/>
    <w:rsid w:val="001B0348"/>
    <w:rsid w:val="001B15A0"/>
    <w:rsid w:val="001B18D8"/>
    <w:rsid w:val="001B21EA"/>
    <w:rsid w:val="001B23D6"/>
    <w:rsid w:val="001B272C"/>
    <w:rsid w:val="001B290B"/>
    <w:rsid w:val="001B2E81"/>
    <w:rsid w:val="001B48AD"/>
    <w:rsid w:val="001B5153"/>
    <w:rsid w:val="001B5F0E"/>
    <w:rsid w:val="001B7C51"/>
    <w:rsid w:val="001C10B3"/>
    <w:rsid w:val="001C182B"/>
    <w:rsid w:val="001C2AFB"/>
    <w:rsid w:val="001C2BE2"/>
    <w:rsid w:val="001C3C0D"/>
    <w:rsid w:val="001C499D"/>
    <w:rsid w:val="001C75BF"/>
    <w:rsid w:val="001C7639"/>
    <w:rsid w:val="001D02B6"/>
    <w:rsid w:val="001D1357"/>
    <w:rsid w:val="001D3304"/>
    <w:rsid w:val="001D35D6"/>
    <w:rsid w:val="001D3640"/>
    <w:rsid w:val="001D51EE"/>
    <w:rsid w:val="001D5DA7"/>
    <w:rsid w:val="001D5EE4"/>
    <w:rsid w:val="001E005F"/>
    <w:rsid w:val="001E2DBF"/>
    <w:rsid w:val="001E3298"/>
    <w:rsid w:val="001E3EA2"/>
    <w:rsid w:val="001E4FEE"/>
    <w:rsid w:val="001E605F"/>
    <w:rsid w:val="001E649C"/>
    <w:rsid w:val="001F03E4"/>
    <w:rsid w:val="001F1E12"/>
    <w:rsid w:val="001F1E86"/>
    <w:rsid w:val="001F25CA"/>
    <w:rsid w:val="001F304D"/>
    <w:rsid w:val="001F3315"/>
    <w:rsid w:val="001F39C4"/>
    <w:rsid w:val="001F47BF"/>
    <w:rsid w:val="001F59FD"/>
    <w:rsid w:val="001F6377"/>
    <w:rsid w:val="001F6BD9"/>
    <w:rsid w:val="00200422"/>
    <w:rsid w:val="00200C1F"/>
    <w:rsid w:val="00201721"/>
    <w:rsid w:val="00201EB6"/>
    <w:rsid w:val="0020228A"/>
    <w:rsid w:val="00202D83"/>
    <w:rsid w:val="00202E7D"/>
    <w:rsid w:val="002037B1"/>
    <w:rsid w:val="00203C2C"/>
    <w:rsid w:val="00204020"/>
    <w:rsid w:val="00204023"/>
    <w:rsid w:val="002048AD"/>
    <w:rsid w:val="0020496C"/>
    <w:rsid w:val="00204E09"/>
    <w:rsid w:val="00204E55"/>
    <w:rsid w:val="00205177"/>
    <w:rsid w:val="00206CCC"/>
    <w:rsid w:val="0020757C"/>
    <w:rsid w:val="002101DA"/>
    <w:rsid w:val="002104CA"/>
    <w:rsid w:val="002106CF"/>
    <w:rsid w:val="00210CDA"/>
    <w:rsid w:val="0021144F"/>
    <w:rsid w:val="00211702"/>
    <w:rsid w:val="00214201"/>
    <w:rsid w:val="00214566"/>
    <w:rsid w:val="0021521E"/>
    <w:rsid w:val="00215A65"/>
    <w:rsid w:val="0021634D"/>
    <w:rsid w:val="00216841"/>
    <w:rsid w:val="002175BC"/>
    <w:rsid w:val="00217690"/>
    <w:rsid w:val="0021787B"/>
    <w:rsid w:val="00220165"/>
    <w:rsid w:val="00224391"/>
    <w:rsid w:val="00224683"/>
    <w:rsid w:val="0022533F"/>
    <w:rsid w:val="002259FA"/>
    <w:rsid w:val="00230941"/>
    <w:rsid w:val="00230FEE"/>
    <w:rsid w:val="00231034"/>
    <w:rsid w:val="0023186C"/>
    <w:rsid w:val="00232DF4"/>
    <w:rsid w:val="00232F99"/>
    <w:rsid w:val="00233BE6"/>
    <w:rsid w:val="00233C69"/>
    <w:rsid w:val="0023409D"/>
    <w:rsid w:val="00234BDA"/>
    <w:rsid w:val="00235B60"/>
    <w:rsid w:val="00235D7C"/>
    <w:rsid w:val="00235D98"/>
    <w:rsid w:val="002365E6"/>
    <w:rsid w:val="00236C8A"/>
    <w:rsid w:val="0023726D"/>
    <w:rsid w:val="0024071A"/>
    <w:rsid w:val="00240914"/>
    <w:rsid w:val="00243565"/>
    <w:rsid w:val="00244DAD"/>
    <w:rsid w:val="00244FFD"/>
    <w:rsid w:val="00246FFB"/>
    <w:rsid w:val="0024709A"/>
    <w:rsid w:val="0025029B"/>
    <w:rsid w:val="00252568"/>
    <w:rsid w:val="00253BAB"/>
    <w:rsid w:val="00253F6E"/>
    <w:rsid w:val="0025449A"/>
    <w:rsid w:val="00256A85"/>
    <w:rsid w:val="0025703A"/>
    <w:rsid w:val="002575E1"/>
    <w:rsid w:val="002576A8"/>
    <w:rsid w:val="00257972"/>
    <w:rsid w:val="00257CA9"/>
    <w:rsid w:val="00260952"/>
    <w:rsid w:val="00260A3D"/>
    <w:rsid w:val="00262474"/>
    <w:rsid w:val="0026519E"/>
    <w:rsid w:val="00265916"/>
    <w:rsid w:val="00265B91"/>
    <w:rsid w:val="0026638C"/>
    <w:rsid w:val="00266F5A"/>
    <w:rsid w:val="00267384"/>
    <w:rsid w:val="00270FB8"/>
    <w:rsid w:val="00272B5F"/>
    <w:rsid w:val="00273ED5"/>
    <w:rsid w:val="00274325"/>
    <w:rsid w:val="002759C4"/>
    <w:rsid w:val="00275FD2"/>
    <w:rsid w:val="002765C2"/>
    <w:rsid w:val="0027693B"/>
    <w:rsid w:val="00277191"/>
    <w:rsid w:val="00280B61"/>
    <w:rsid w:val="00280D1E"/>
    <w:rsid w:val="00280F43"/>
    <w:rsid w:val="00281796"/>
    <w:rsid w:val="00281CB4"/>
    <w:rsid w:val="00282463"/>
    <w:rsid w:val="002825B3"/>
    <w:rsid w:val="00282A21"/>
    <w:rsid w:val="002834B5"/>
    <w:rsid w:val="002846ED"/>
    <w:rsid w:val="00286307"/>
    <w:rsid w:val="00286682"/>
    <w:rsid w:val="00286980"/>
    <w:rsid w:val="00286EB2"/>
    <w:rsid w:val="0028796C"/>
    <w:rsid w:val="00287BF8"/>
    <w:rsid w:val="00287C5B"/>
    <w:rsid w:val="00290216"/>
    <w:rsid w:val="002905B3"/>
    <w:rsid w:val="00290EE0"/>
    <w:rsid w:val="00292902"/>
    <w:rsid w:val="00292C37"/>
    <w:rsid w:val="00292F48"/>
    <w:rsid w:val="002954AE"/>
    <w:rsid w:val="002954F3"/>
    <w:rsid w:val="0029641D"/>
    <w:rsid w:val="00296626"/>
    <w:rsid w:val="002A0A91"/>
    <w:rsid w:val="002A451B"/>
    <w:rsid w:val="002A4B0B"/>
    <w:rsid w:val="002A50D8"/>
    <w:rsid w:val="002A5A16"/>
    <w:rsid w:val="002A5B80"/>
    <w:rsid w:val="002A5D48"/>
    <w:rsid w:val="002A699C"/>
    <w:rsid w:val="002A69F4"/>
    <w:rsid w:val="002A7051"/>
    <w:rsid w:val="002A707F"/>
    <w:rsid w:val="002A7318"/>
    <w:rsid w:val="002A750D"/>
    <w:rsid w:val="002A7843"/>
    <w:rsid w:val="002B0032"/>
    <w:rsid w:val="002B0264"/>
    <w:rsid w:val="002B0AA4"/>
    <w:rsid w:val="002B0BBC"/>
    <w:rsid w:val="002B1708"/>
    <w:rsid w:val="002B19C3"/>
    <w:rsid w:val="002B1A0F"/>
    <w:rsid w:val="002B225F"/>
    <w:rsid w:val="002B3FF6"/>
    <w:rsid w:val="002B3FFA"/>
    <w:rsid w:val="002B40D1"/>
    <w:rsid w:val="002B4209"/>
    <w:rsid w:val="002B48DF"/>
    <w:rsid w:val="002B4BFF"/>
    <w:rsid w:val="002B5200"/>
    <w:rsid w:val="002B6586"/>
    <w:rsid w:val="002B728E"/>
    <w:rsid w:val="002B76D5"/>
    <w:rsid w:val="002C006D"/>
    <w:rsid w:val="002C0364"/>
    <w:rsid w:val="002C0850"/>
    <w:rsid w:val="002C0938"/>
    <w:rsid w:val="002C1597"/>
    <w:rsid w:val="002C2E49"/>
    <w:rsid w:val="002C2EBD"/>
    <w:rsid w:val="002C2F67"/>
    <w:rsid w:val="002C41FE"/>
    <w:rsid w:val="002C5A64"/>
    <w:rsid w:val="002C61C3"/>
    <w:rsid w:val="002C71CF"/>
    <w:rsid w:val="002C741E"/>
    <w:rsid w:val="002D057E"/>
    <w:rsid w:val="002D15C6"/>
    <w:rsid w:val="002D198F"/>
    <w:rsid w:val="002D2497"/>
    <w:rsid w:val="002D2693"/>
    <w:rsid w:val="002D35B6"/>
    <w:rsid w:val="002D37D5"/>
    <w:rsid w:val="002D4505"/>
    <w:rsid w:val="002D5693"/>
    <w:rsid w:val="002D58E0"/>
    <w:rsid w:val="002D6145"/>
    <w:rsid w:val="002D6B4E"/>
    <w:rsid w:val="002D6E77"/>
    <w:rsid w:val="002D7367"/>
    <w:rsid w:val="002E05B8"/>
    <w:rsid w:val="002E1A76"/>
    <w:rsid w:val="002E1D8A"/>
    <w:rsid w:val="002E2A6B"/>
    <w:rsid w:val="002E3695"/>
    <w:rsid w:val="002E416C"/>
    <w:rsid w:val="002E50B6"/>
    <w:rsid w:val="002E50CA"/>
    <w:rsid w:val="002E5A8C"/>
    <w:rsid w:val="002E64B9"/>
    <w:rsid w:val="002E6B13"/>
    <w:rsid w:val="002E6BC7"/>
    <w:rsid w:val="002E6CA1"/>
    <w:rsid w:val="002E7085"/>
    <w:rsid w:val="002E78F4"/>
    <w:rsid w:val="002F00B6"/>
    <w:rsid w:val="002F2AA2"/>
    <w:rsid w:val="002F2B38"/>
    <w:rsid w:val="002F37D6"/>
    <w:rsid w:val="002F4059"/>
    <w:rsid w:val="002F4822"/>
    <w:rsid w:val="002F4B47"/>
    <w:rsid w:val="002F6408"/>
    <w:rsid w:val="002F69FB"/>
    <w:rsid w:val="002F6A42"/>
    <w:rsid w:val="002F6CE0"/>
    <w:rsid w:val="002F6D78"/>
    <w:rsid w:val="00301071"/>
    <w:rsid w:val="00301BFC"/>
    <w:rsid w:val="00301E82"/>
    <w:rsid w:val="00302D1E"/>
    <w:rsid w:val="0030347E"/>
    <w:rsid w:val="003054FC"/>
    <w:rsid w:val="0030680F"/>
    <w:rsid w:val="0031100B"/>
    <w:rsid w:val="003114C5"/>
    <w:rsid w:val="00311EF8"/>
    <w:rsid w:val="00311F32"/>
    <w:rsid w:val="00312E0B"/>
    <w:rsid w:val="00313A73"/>
    <w:rsid w:val="003143F7"/>
    <w:rsid w:val="003146D2"/>
    <w:rsid w:val="00314BFA"/>
    <w:rsid w:val="00316822"/>
    <w:rsid w:val="00316C31"/>
    <w:rsid w:val="003202FE"/>
    <w:rsid w:val="00320DCF"/>
    <w:rsid w:val="003213EA"/>
    <w:rsid w:val="00321FD3"/>
    <w:rsid w:val="003222A3"/>
    <w:rsid w:val="003224EB"/>
    <w:rsid w:val="00322652"/>
    <w:rsid w:val="00323974"/>
    <w:rsid w:val="00323A54"/>
    <w:rsid w:val="00324262"/>
    <w:rsid w:val="00324322"/>
    <w:rsid w:val="003243CC"/>
    <w:rsid w:val="00324ECE"/>
    <w:rsid w:val="00324F68"/>
    <w:rsid w:val="003259EE"/>
    <w:rsid w:val="00327472"/>
    <w:rsid w:val="00330581"/>
    <w:rsid w:val="003306C9"/>
    <w:rsid w:val="00330A67"/>
    <w:rsid w:val="00330D35"/>
    <w:rsid w:val="00332895"/>
    <w:rsid w:val="00334232"/>
    <w:rsid w:val="00334E38"/>
    <w:rsid w:val="00334ED4"/>
    <w:rsid w:val="00334FCC"/>
    <w:rsid w:val="00335352"/>
    <w:rsid w:val="00335889"/>
    <w:rsid w:val="00335DB5"/>
    <w:rsid w:val="00336A86"/>
    <w:rsid w:val="00341FEA"/>
    <w:rsid w:val="00343ADB"/>
    <w:rsid w:val="00343CAD"/>
    <w:rsid w:val="00345AEE"/>
    <w:rsid w:val="00350F51"/>
    <w:rsid w:val="0035125D"/>
    <w:rsid w:val="00352DE2"/>
    <w:rsid w:val="00353472"/>
    <w:rsid w:val="0035436D"/>
    <w:rsid w:val="00354FF6"/>
    <w:rsid w:val="00355FCD"/>
    <w:rsid w:val="003573B7"/>
    <w:rsid w:val="00361C71"/>
    <w:rsid w:val="003630D6"/>
    <w:rsid w:val="0036317F"/>
    <w:rsid w:val="00364842"/>
    <w:rsid w:val="00365AB9"/>
    <w:rsid w:val="00367D6B"/>
    <w:rsid w:val="00370C77"/>
    <w:rsid w:val="00370F4A"/>
    <w:rsid w:val="00372F4E"/>
    <w:rsid w:val="003734AA"/>
    <w:rsid w:val="003743B9"/>
    <w:rsid w:val="00374794"/>
    <w:rsid w:val="00374A21"/>
    <w:rsid w:val="003766EA"/>
    <w:rsid w:val="0038134C"/>
    <w:rsid w:val="003820BA"/>
    <w:rsid w:val="003823A1"/>
    <w:rsid w:val="00382526"/>
    <w:rsid w:val="00382C83"/>
    <w:rsid w:val="00383C89"/>
    <w:rsid w:val="00383D01"/>
    <w:rsid w:val="00384177"/>
    <w:rsid w:val="00384963"/>
    <w:rsid w:val="003862C2"/>
    <w:rsid w:val="00386C6D"/>
    <w:rsid w:val="003909E2"/>
    <w:rsid w:val="00390CD1"/>
    <w:rsid w:val="00392C3A"/>
    <w:rsid w:val="00392E0F"/>
    <w:rsid w:val="00392FC0"/>
    <w:rsid w:val="003947CB"/>
    <w:rsid w:val="003949D8"/>
    <w:rsid w:val="00394C37"/>
    <w:rsid w:val="00394ED0"/>
    <w:rsid w:val="003952C4"/>
    <w:rsid w:val="0039561C"/>
    <w:rsid w:val="003A0B29"/>
    <w:rsid w:val="003A0E82"/>
    <w:rsid w:val="003A1348"/>
    <w:rsid w:val="003A1858"/>
    <w:rsid w:val="003A2950"/>
    <w:rsid w:val="003A47B8"/>
    <w:rsid w:val="003A510C"/>
    <w:rsid w:val="003A6481"/>
    <w:rsid w:val="003A7A2A"/>
    <w:rsid w:val="003A7F11"/>
    <w:rsid w:val="003B049D"/>
    <w:rsid w:val="003B0ACC"/>
    <w:rsid w:val="003B0D74"/>
    <w:rsid w:val="003B1517"/>
    <w:rsid w:val="003B1EC6"/>
    <w:rsid w:val="003B2B76"/>
    <w:rsid w:val="003B3718"/>
    <w:rsid w:val="003B434D"/>
    <w:rsid w:val="003B5497"/>
    <w:rsid w:val="003B58CD"/>
    <w:rsid w:val="003B6186"/>
    <w:rsid w:val="003B632E"/>
    <w:rsid w:val="003B6A83"/>
    <w:rsid w:val="003B6C9F"/>
    <w:rsid w:val="003B73D5"/>
    <w:rsid w:val="003B7B3B"/>
    <w:rsid w:val="003C13B7"/>
    <w:rsid w:val="003C1449"/>
    <w:rsid w:val="003C3151"/>
    <w:rsid w:val="003C3CF6"/>
    <w:rsid w:val="003C54E1"/>
    <w:rsid w:val="003C59B2"/>
    <w:rsid w:val="003C69D0"/>
    <w:rsid w:val="003D07AA"/>
    <w:rsid w:val="003D11F0"/>
    <w:rsid w:val="003D17C5"/>
    <w:rsid w:val="003D1872"/>
    <w:rsid w:val="003D27B6"/>
    <w:rsid w:val="003D302B"/>
    <w:rsid w:val="003D31BB"/>
    <w:rsid w:val="003D39F3"/>
    <w:rsid w:val="003D3D98"/>
    <w:rsid w:val="003D4CD5"/>
    <w:rsid w:val="003D5633"/>
    <w:rsid w:val="003D5703"/>
    <w:rsid w:val="003D62F6"/>
    <w:rsid w:val="003D71DE"/>
    <w:rsid w:val="003D7895"/>
    <w:rsid w:val="003D79D4"/>
    <w:rsid w:val="003E091B"/>
    <w:rsid w:val="003E146F"/>
    <w:rsid w:val="003E165E"/>
    <w:rsid w:val="003E1EE3"/>
    <w:rsid w:val="003E2A9B"/>
    <w:rsid w:val="003E2AF6"/>
    <w:rsid w:val="003E30EC"/>
    <w:rsid w:val="003E31CD"/>
    <w:rsid w:val="003E367B"/>
    <w:rsid w:val="003E4A98"/>
    <w:rsid w:val="003E53C5"/>
    <w:rsid w:val="003E56D8"/>
    <w:rsid w:val="003E6803"/>
    <w:rsid w:val="003E7039"/>
    <w:rsid w:val="003F07E7"/>
    <w:rsid w:val="003F0A4D"/>
    <w:rsid w:val="003F10A8"/>
    <w:rsid w:val="003F150F"/>
    <w:rsid w:val="003F1C93"/>
    <w:rsid w:val="003F2069"/>
    <w:rsid w:val="003F3106"/>
    <w:rsid w:val="003F3114"/>
    <w:rsid w:val="003F4615"/>
    <w:rsid w:val="003F49CC"/>
    <w:rsid w:val="003F5D9B"/>
    <w:rsid w:val="003F5E37"/>
    <w:rsid w:val="003F71CE"/>
    <w:rsid w:val="003F73EB"/>
    <w:rsid w:val="003F79EF"/>
    <w:rsid w:val="004004D6"/>
    <w:rsid w:val="004005E8"/>
    <w:rsid w:val="004005EF"/>
    <w:rsid w:val="004012D9"/>
    <w:rsid w:val="0040178D"/>
    <w:rsid w:val="00401878"/>
    <w:rsid w:val="00401A32"/>
    <w:rsid w:val="00402BD6"/>
    <w:rsid w:val="004033C1"/>
    <w:rsid w:val="00403F4D"/>
    <w:rsid w:val="00405739"/>
    <w:rsid w:val="0040583E"/>
    <w:rsid w:val="00405BFA"/>
    <w:rsid w:val="00405D60"/>
    <w:rsid w:val="00406822"/>
    <w:rsid w:val="00407255"/>
    <w:rsid w:val="004130A6"/>
    <w:rsid w:val="0041356D"/>
    <w:rsid w:val="00413ADB"/>
    <w:rsid w:val="0041433C"/>
    <w:rsid w:val="00414AB5"/>
    <w:rsid w:val="0041502E"/>
    <w:rsid w:val="00415075"/>
    <w:rsid w:val="004150FC"/>
    <w:rsid w:val="0041600B"/>
    <w:rsid w:val="004169FB"/>
    <w:rsid w:val="004215B4"/>
    <w:rsid w:val="00421D62"/>
    <w:rsid w:val="00422301"/>
    <w:rsid w:val="00422C8B"/>
    <w:rsid w:val="004233BC"/>
    <w:rsid w:val="004238B9"/>
    <w:rsid w:val="00426013"/>
    <w:rsid w:val="0042676A"/>
    <w:rsid w:val="00426779"/>
    <w:rsid w:val="00427339"/>
    <w:rsid w:val="004278D4"/>
    <w:rsid w:val="00430556"/>
    <w:rsid w:val="00431374"/>
    <w:rsid w:val="0043165A"/>
    <w:rsid w:val="00431DFE"/>
    <w:rsid w:val="004320F4"/>
    <w:rsid w:val="00432541"/>
    <w:rsid w:val="00433948"/>
    <w:rsid w:val="00433AE8"/>
    <w:rsid w:val="004343AC"/>
    <w:rsid w:val="00434639"/>
    <w:rsid w:val="00434E4E"/>
    <w:rsid w:val="00435123"/>
    <w:rsid w:val="00435284"/>
    <w:rsid w:val="0043540E"/>
    <w:rsid w:val="004360EB"/>
    <w:rsid w:val="00436328"/>
    <w:rsid w:val="00436E8A"/>
    <w:rsid w:val="004375F6"/>
    <w:rsid w:val="004418ED"/>
    <w:rsid w:val="00443955"/>
    <w:rsid w:val="00445579"/>
    <w:rsid w:val="00445D12"/>
    <w:rsid w:val="0044631C"/>
    <w:rsid w:val="00446752"/>
    <w:rsid w:val="00446BC7"/>
    <w:rsid w:val="0044758F"/>
    <w:rsid w:val="004476F8"/>
    <w:rsid w:val="00447760"/>
    <w:rsid w:val="00450323"/>
    <w:rsid w:val="004515A0"/>
    <w:rsid w:val="00452393"/>
    <w:rsid w:val="00452B1D"/>
    <w:rsid w:val="00452EA9"/>
    <w:rsid w:val="004556F3"/>
    <w:rsid w:val="00457723"/>
    <w:rsid w:val="00457AA1"/>
    <w:rsid w:val="00457DB3"/>
    <w:rsid w:val="00463C85"/>
    <w:rsid w:val="004645F5"/>
    <w:rsid w:val="0046493C"/>
    <w:rsid w:val="00465925"/>
    <w:rsid w:val="00466B47"/>
    <w:rsid w:val="004673C8"/>
    <w:rsid w:val="00470511"/>
    <w:rsid w:val="004717FE"/>
    <w:rsid w:val="004719BB"/>
    <w:rsid w:val="004719DB"/>
    <w:rsid w:val="00471F27"/>
    <w:rsid w:val="004731CC"/>
    <w:rsid w:val="00473237"/>
    <w:rsid w:val="00473532"/>
    <w:rsid w:val="00473872"/>
    <w:rsid w:val="004742BC"/>
    <w:rsid w:val="0047504C"/>
    <w:rsid w:val="0047558D"/>
    <w:rsid w:val="00475ADE"/>
    <w:rsid w:val="004772A2"/>
    <w:rsid w:val="004776F1"/>
    <w:rsid w:val="00480B14"/>
    <w:rsid w:val="00480BCC"/>
    <w:rsid w:val="00480D68"/>
    <w:rsid w:val="00481D08"/>
    <w:rsid w:val="00482630"/>
    <w:rsid w:val="00482E82"/>
    <w:rsid w:val="004830F2"/>
    <w:rsid w:val="004831BB"/>
    <w:rsid w:val="00483AB6"/>
    <w:rsid w:val="00484481"/>
    <w:rsid w:val="0048481F"/>
    <w:rsid w:val="00485744"/>
    <w:rsid w:val="00486ECE"/>
    <w:rsid w:val="00487FB1"/>
    <w:rsid w:val="00492292"/>
    <w:rsid w:val="0049292E"/>
    <w:rsid w:val="00492C73"/>
    <w:rsid w:val="004931C5"/>
    <w:rsid w:val="0049405D"/>
    <w:rsid w:val="0049568A"/>
    <w:rsid w:val="00495E53"/>
    <w:rsid w:val="00496096"/>
    <w:rsid w:val="00496C98"/>
    <w:rsid w:val="004A00D7"/>
    <w:rsid w:val="004A019B"/>
    <w:rsid w:val="004A0AD4"/>
    <w:rsid w:val="004A106D"/>
    <w:rsid w:val="004A12EB"/>
    <w:rsid w:val="004A1E44"/>
    <w:rsid w:val="004A31C4"/>
    <w:rsid w:val="004A4252"/>
    <w:rsid w:val="004A454D"/>
    <w:rsid w:val="004A5CAF"/>
    <w:rsid w:val="004A63D2"/>
    <w:rsid w:val="004A68FB"/>
    <w:rsid w:val="004A6A6F"/>
    <w:rsid w:val="004A77C5"/>
    <w:rsid w:val="004A78A2"/>
    <w:rsid w:val="004A7FE9"/>
    <w:rsid w:val="004B0525"/>
    <w:rsid w:val="004B0DEA"/>
    <w:rsid w:val="004B151F"/>
    <w:rsid w:val="004B1A1C"/>
    <w:rsid w:val="004B289F"/>
    <w:rsid w:val="004B336A"/>
    <w:rsid w:val="004B37C4"/>
    <w:rsid w:val="004B3949"/>
    <w:rsid w:val="004B5C0A"/>
    <w:rsid w:val="004B6007"/>
    <w:rsid w:val="004B63F1"/>
    <w:rsid w:val="004B6A3B"/>
    <w:rsid w:val="004B7D09"/>
    <w:rsid w:val="004C1656"/>
    <w:rsid w:val="004C191A"/>
    <w:rsid w:val="004C1E56"/>
    <w:rsid w:val="004C28BB"/>
    <w:rsid w:val="004C30A8"/>
    <w:rsid w:val="004C38B2"/>
    <w:rsid w:val="004C3A69"/>
    <w:rsid w:val="004C41CC"/>
    <w:rsid w:val="004C4B68"/>
    <w:rsid w:val="004C4B97"/>
    <w:rsid w:val="004C5467"/>
    <w:rsid w:val="004C5F79"/>
    <w:rsid w:val="004C6E0A"/>
    <w:rsid w:val="004C6EE3"/>
    <w:rsid w:val="004D0671"/>
    <w:rsid w:val="004D12C0"/>
    <w:rsid w:val="004D17C2"/>
    <w:rsid w:val="004D46C1"/>
    <w:rsid w:val="004D72DB"/>
    <w:rsid w:val="004E065A"/>
    <w:rsid w:val="004E0700"/>
    <w:rsid w:val="004E0FE6"/>
    <w:rsid w:val="004E10B6"/>
    <w:rsid w:val="004E3415"/>
    <w:rsid w:val="004E3776"/>
    <w:rsid w:val="004E51AB"/>
    <w:rsid w:val="004E5270"/>
    <w:rsid w:val="004E60E3"/>
    <w:rsid w:val="004E71DB"/>
    <w:rsid w:val="004E74B2"/>
    <w:rsid w:val="004F0B9D"/>
    <w:rsid w:val="004F101C"/>
    <w:rsid w:val="004F4B16"/>
    <w:rsid w:val="004F4C23"/>
    <w:rsid w:val="004F5D9D"/>
    <w:rsid w:val="004F68B1"/>
    <w:rsid w:val="004F7037"/>
    <w:rsid w:val="004F70EC"/>
    <w:rsid w:val="004F710D"/>
    <w:rsid w:val="00500160"/>
    <w:rsid w:val="005002E2"/>
    <w:rsid w:val="00500EAF"/>
    <w:rsid w:val="005012E3"/>
    <w:rsid w:val="0050139D"/>
    <w:rsid w:val="00501795"/>
    <w:rsid w:val="00501B3F"/>
    <w:rsid w:val="00502105"/>
    <w:rsid w:val="005021D7"/>
    <w:rsid w:val="00502FFC"/>
    <w:rsid w:val="00503EF2"/>
    <w:rsid w:val="00504C04"/>
    <w:rsid w:val="005052A2"/>
    <w:rsid w:val="0050583C"/>
    <w:rsid w:val="005069AD"/>
    <w:rsid w:val="00506B9A"/>
    <w:rsid w:val="00506D6A"/>
    <w:rsid w:val="0050737E"/>
    <w:rsid w:val="00507E5C"/>
    <w:rsid w:val="005106CE"/>
    <w:rsid w:val="005137DD"/>
    <w:rsid w:val="00513DA7"/>
    <w:rsid w:val="005153C5"/>
    <w:rsid w:val="00515548"/>
    <w:rsid w:val="00515B3A"/>
    <w:rsid w:val="00517835"/>
    <w:rsid w:val="0052020F"/>
    <w:rsid w:val="005209A5"/>
    <w:rsid w:val="00520C74"/>
    <w:rsid w:val="005211A7"/>
    <w:rsid w:val="00522768"/>
    <w:rsid w:val="00522B94"/>
    <w:rsid w:val="00525E76"/>
    <w:rsid w:val="00526112"/>
    <w:rsid w:val="00526F60"/>
    <w:rsid w:val="00527C8F"/>
    <w:rsid w:val="00530B31"/>
    <w:rsid w:val="0053113E"/>
    <w:rsid w:val="00531DCE"/>
    <w:rsid w:val="00531E2F"/>
    <w:rsid w:val="005326B6"/>
    <w:rsid w:val="00532F6C"/>
    <w:rsid w:val="005334B2"/>
    <w:rsid w:val="00533766"/>
    <w:rsid w:val="0053494E"/>
    <w:rsid w:val="00534954"/>
    <w:rsid w:val="0053642E"/>
    <w:rsid w:val="005365A1"/>
    <w:rsid w:val="00537060"/>
    <w:rsid w:val="00540A2B"/>
    <w:rsid w:val="005416D7"/>
    <w:rsid w:val="00542256"/>
    <w:rsid w:val="00543648"/>
    <w:rsid w:val="00543885"/>
    <w:rsid w:val="00544917"/>
    <w:rsid w:val="005474C2"/>
    <w:rsid w:val="005476ED"/>
    <w:rsid w:val="00550BE0"/>
    <w:rsid w:val="00551BF9"/>
    <w:rsid w:val="00551E1E"/>
    <w:rsid w:val="00553174"/>
    <w:rsid w:val="00553574"/>
    <w:rsid w:val="00553C17"/>
    <w:rsid w:val="00554A36"/>
    <w:rsid w:val="00554BA8"/>
    <w:rsid w:val="00554FBD"/>
    <w:rsid w:val="00555759"/>
    <w:rsid w:val="005558D4"/>
    <w:rsid w:val="00556259"/>
    <w:rsid w:val="00560934"/>
    <w:rsid w:val="00561A9B"/>
    <w:rsid w:val="00561C8B"/>
    <w:rsid w:val="00561DCD"/>
    <w:rsid w:val="00562601"/>
    <w:rsid w:val="00562EC0"/>
    <w:rsid w:val="00563206"/>
    <w:rsid w:val="00563922"/>
    <w:rsid w:val="00563E31"/>
    <w:rsid w:val="00564C24"/>
    <w:rsid w:val="00564DCC"/>
    <w:rsid w:val="005656C2"/>
    <w:rsid w:val="00567CF5"/>
    <w:rsid w:val="0057119B"/>
    <w:rsid w:val="0057128D"/>
    <w:rsid w:val="005729B2"/>
    <w:rsid w:val="00573EDD"/>
    <w:rsid w:val="0057461A"/>
    <w:rsid w:val="005747FB"/>
    <w:rsid w:val="00574C37"/>
    <w:rsid w:val="00575079"/>
    <w:rsid w:val="00575363"/>
    <w:rsid w:val="00575449"/>
    <w:rsid w:val="005757C4"/>
    <w:rsid w:val="00575A5D"/>
    <w:rsid w:val="00575EB6"/>
    <w:rsid w:val="005765A4"/>
    <w:rsid w:val="00576A24"/>
    <w:rsid w:val="00576B4D"/>
    <w:rsid w:val="00577DF1"/>
    <w:rsid w:val="00580A75"/>
    <w:rsid w:val="00582727"/>
    <w:rsid w:val="00583441"/>
    <w:rsid w:val="0058410D"/>
    <w:rsid w:val="005842E1"/>
    <w:rsid w:val="00584359"/>
    <w:rsid w:val="0058550E"/>
    <w:rsid w:val="005863B1"/>
    <w:rsid w:val="0058686F"/>
    <w:rsid w:val="00587010"/>
    <w:rsid w:val="00587460"/>
    <w:rsid w:val="0059163E"/>
    <w:rsid w:val="005919DE"/>
    <w:rsid w:val="00592638"/>
    <w:rsid w:val="00592C77"/>
    <w:rsid w:val="00593158"/>
    <w:rsid w:val="00594D75"/>
    <w:rsid w:val="00595490"/>
    <w:rsid w:val="00595A34"/>
    <w:rsid w:val="00595CE1"/>
    <w:rsid w:val="005A04FC"/>
    <w:rsid w:val="005A162D"/>
    <w:rsid w:val="005A1ADA"/>
    <w:rsid w:val="005A1EEF"/>
    <w:rsid w:val="005A2565"/>
    <w:rsid w:val="005A2EF8"/>
    <w:rsid w:val="005A3060"/>
    <w:rsid w:val="005A34B6"/>
    <w:rsid w:val="005A3524"/>
    <w:rsid w:val="005A51F4"/>
    <w:rsid w:val="005A707C"/>
    <w:rsid w:val="005B0013"/>
    <w:rsid w:val="005B04C0"/>
    <w:rsid w:val="005B0A08"/>
    <w:rsid w:val="005B0EB6"/>
    <w:rsid w:val="005B1238"/>
    <w:rsid w:val="005B173D"/>
    <w:rsid w:val="005B1A76"/>
    <w:rsid w:val="005B30F3"/>
    <w:rsid w:val="005B3102"/>
    <w:rsid w:val="005B5B16"/>
    <w:rsid w:val="005B6B2A"/>
    <w:rsid w:val="005C01FF"/>
    <w:rsid w:val="005C1449"/>
    <w:rsid w:val="005C1DBC"/>
    <w:rsid w:val="005C1E38"/>
    <w:rsid w:val="005C1F05"/>
    <w:rsid w:val="005C2FE7"/>
    <w:rsid w:val="005C3C51"/>
    <w:rsid w:val="005C3E04"/>
    <w:rsid w:val="005C4401"/>
    <w:rsid w:val="005C493E"/>
    <w:rsid w:val="005C4D06"/>
    <w:rsid w:val="005C4DF4"/>
    <w:rsid w:val="005C54D4"/>
    <w:rsid w:val="005C62C4"/>
    <w:rsid w:val="005C6E9D"/>
    <w:rsid w:val="005C7E19"/>
    <w:rsid w:val="005D0B74"/>
    <w:rsid w:val="005D0E00"/>
    <w:rsid w:val="005D2202"/>
    <w:rsid w:val="005D2627"/>
    <w:rsid w:val="005D294F"/>
    <w:rsid w:val="005D349E"/>
    <w:rsid w:val="005D3EDB"/>
    <w:rsid w:val="005D497D"/>
    <w:rsid w:val="005D4D9F"/>
    <w:rsid w:val="005D535C"/>
    <w:rsid w:val="005D581A"/>
    <w:rsid w:val="005D71E2"/>
    <w:rsid w:val="005D7673"/>
    <w:rsid w:val="005E00C1"/>
    <w:rsid w:val="005E26F5"/>
    <w:rsid w:val="005E387F"/>
    <w:rsid w:val="005E396F"/>
    <w:rsid w:val="005E4BC9"/>
    <w:rsid w:val="005E4C1C"/>
    <w:rsid w:val="005E67DD"/>
    <w:rsid w:val="005E726E"/>
    <w:rsid w:val="005E783E"/>
    <w:rsid w:val="005F0EDC"/>
    <w:rsid w:val="005F216C"/>
    <w:rsid w:val="005F40B5"/>
    <w:rsid w:val="005F45DB"/>
    <w:rsid w:val="005F507B"/>
    <w:rsid w:val="005F519E"/>
    <w:rsid w:val="005F5266"/>
    <w:rsid w:val="005F529A"/>
    <w:rsid w:val="005F66A0"/>
    <w:rsid w:val="005F69F8"/>
    <w:rsid w:val="005F6A69"/>
    <w:rsid w:val="005F6E44"/>
    <w:rsid w:val="005F7628"/>
    <w:rsid w:val="005F7682"/>
    <w:rsid w:val="005F7990"/>
    <w:rsid w:val="0060206D"/>
    <w:rsid w:val="006020C0"/>
    <w:rsid w:val="006022F2"/>
    <w:rsid w:val="006029F1"/>
    <w:rsid w:val="006033BB"/>
    <w:rsid w:val="00603A63"/>
    <w:rsid w:val="00603C16"/>
    <w:rsid w:val="0060433B"/>
    <w:rsid w:val="00604CE0"/>
    <w:rsid w:val="00604F97"/>
    <w:rsid w:val="00605CCD"/>
    <w:rsid w:val="006063EA"/>
    <w:rsid w:val="00606817"/>
    <w:rsid w:val="006078EA"/>
    <w:rsid w:val="00607CBD"/>
    <w:rsid w:val="00610997"/>
    <w:rsid w:val="006115FE"/>
    <w:rsid w:val="00611A3B"/>
    <w:rsid w:val="00611DCE"/>
    <w:rsid w:val="00613DE1"/>
    <w:rsid w:val="00615182"/>
    <w:rsid w:val="00615F17"/>
    <w:rsid w:val="00616501"/>
    <w:rsid w:val="00616C3F"/>
    <w:rsid w:val="00617839"/>
    <w:rsid w:val="006203F4"/>
    <w:rsid w:val="00622C51"/>
    <w:rsid w:val="00623381"/>
    <w:rsid w:val="006237F7"/>
    <w:rsid w:val="00623A62"/>
    <w:rsid w:val="006248BE"/>
    <w:rsid w:val="00627D41"/>
    <w:rsid w:val="0063124C"/>
    <w:rsid w:val="0063325D"/>
    <w:rsid w:val="006337C9"/>
    <w:rsid w:val="00633D29"/>
    <w:rsid w:val="00634E94"/>
    <w:rsid w:val="00634F64"/>
    <w:rsid w:val="00635D33"/>
    <w:rsid w:val="00636DB1"/>
    <w:rsid w:val="006405ED"/>
    <w:rsid w:val="00640EC4"/>
    <w:rsid w:val="0064101C"/>
    <w:rsid w:val="006416FB"/>
    <w:rsid w:val="00641D1A"/>
    <w:rsid w:val="006425D4"/>
    <w:rsid w:val="006425F1"/>
    <w:rsid w:val="006430B7"/>
    <w:rsid w:val="0064386E"/>
    <w:rsid w:val="00643E9C"/>
    <w:rsid w:val="00645B96"/>
    <w:rsid w:val="00645E6B"/>
    <w:rsid w:val="006467C5"/>
    <w:rsid w:val="006469AF"/>
    <w:rsid w:val="00646F34"/>
    <w:rsid w:val="006479DC"/>
    <w:rsid w:val="00647DA6"/>
    <w:rsid w:val="0065028B"/>
    <w:rsid w:val="006507C0"/>
    <w:rsid w:val="006513EB"/>
    <w:rsid w:val="00651518"/>
    <w:rsid w:val="00653A3C"/>
    <w:rsid w:val="00653E16"/>
    <w:rsid w:val="00653EA3"/>
    <w:rsid w:val="00654F3D"/>
    <w:rsid w:val="00655FE1"/>
    <w:rsid w:val="0065655C"/>
    <w:rsid w:val="006568E2"/>
    <w:rsid w:val="0066066A"/>
    <w:rsid w:val="00660EFB"/>
    <w:rsid w:val="00661356"/>
    <w:rsid w:val="006619F8"/>
    <w:rsid w:val="00661A7D"/>
    <w:rsid w:val="0066245A"/>
    <w:rsid w:val="00664122"/>
    <w:rsid w:val="00664C23"/>
    <w:rsid w:val="00664EDE"/>
    <w:rsid w:val="0066542A"/>
    <w:rsid w:val="00665DC8"/>
    <w:rsid w:val="00666D8F"/>
    <w:rsid w:val="00667067"/>
    <w:rsid w:val="0066714E"/>
    <w:rsid w:val="00670C8A"/>
    <w:rsid w:val="00671808"/>
    <w:rsid w:val="00671FD4"/>
    <w:rsid w:val="00673DE8"/>
    <w:rsid w:val="006749F3"/>
    <w:rsid w:val="00674FDF"/>
    <w:rsid w:val="0067603E"/>
    <w:rsid w:val="00676890"/>
    <w:rsid w:val="00681277"/>
    <w:rsid w:val="00682255"/>
    <w:rsid w:val="00683DAF"/>
    <w:rsid w:val="006843BB"/>
    <w:rsid w:val="00684A7F"/>
    <w:rsid w:val="00684AB5"/>
    <w:rsid w:val="00684DDA"/>
    <w:rsid w:val="00684DEC"/>
    <w:rsid w:val="00684FDD"/>
    <w:rsid w:val="00686432"/>
    <w:rsid w:val="00686CA6"/>
    <w:rsid w:val="006871A0"/>
    <w:rsid w:val="00692C0D"/>
    <w:rsid w:val="0069324B"/>
    <w:rsid w:val="00693F5B"/>
    <w:rsid w:val="00695337"/>
    <w:rsid w:val="006956F2"/>
    <w:rsid w:val="00695E6E"/>
    <w:rsid w:val="006966D5"/>
    <w:rsid w:val="00696EFB"/>
    <w:rsid w:val="00697955"/>
    <w:rsid w:val="00697BB4"/>
    <w:rsid w:val="00697BF0"/>
    <w:rsid w:val="00697D83"/>
    <w:rsid w:val="00697F2A"/>
    <w:rsid w:val="006A01AB"/>
    <w:rsid w:val="006A06D6"/>
    <w:rsid w:val="006A1D97"/>
    <w:rsid w:val="006A2369"/>
    <w:rsid w:val="006A2ED3"/>
    <w:rsid w:val="006A38B2"/>
    <w:rsid w:val="006A5836"/>
    <w:rsid w:val="006A7B5D"/>
    <w:rsid w:val="006B018A"/>
    <w:rsid w:val="006B0E1E"/>
    <w:rsid w:val="006B0E20"/>
    <w:rsid w:val="006B2564"/>
    <w:rsid w:val="006B25D6"/>
    <w:rsid w:val="006B2DCE"/>
    <w:rsid w:val="006B3017"/>
    <w:rsid w:val="006B43BC"/>
    <w:rsid w:val="006B4D07"/>
    <w:rsid w:val="006B53BB"/>
    <w:rsid w:val="006B56A9"/>
    <w:rsid w:val="006B5BF9"/>
    <w:rsid w:val="006C03D7"/>
    <w:rsid w:val="006C1071"/>
    <w:rsid w:val="006C1389"/>
    <w:rsid w:val="006C1BC1"/>
    <w:rsid w:val="006C37DB"/>
    <w:rsid w:val="006C46E0"/>
    <w:rsid w:val="006C4D3E"/>
    <w:rsid w:val="006C5B3E"/>
    <w:rsid w:val="006C615F"/>
    <w:rsid w:val="006C72EB"/>
    <w:rsid w:val="006C7F46"/>
    <w:rsid w:val="006D02DF"/>
    <w:rsid w:val="006D0B36"/>
    <w:rsid w:val="006D35ED"/>
    <w:rsid w:val="006D375E"/>
    <w:rsid w:val="006D3D26"/>
    <w:rsid w:val="006D3DB2"/>
    <w:rsid w:val="006D43E1"/>
    <w:rsid w:val="006D50C1"/>
    <w:rsid w:val="006D5726"/>
    <w:rsid w:val="006D6CC0"/>
    <w:rsid w:val="006D7072"/>
    <w:rsid w:val="006D7274"/>
    <w:rsid w:val="006D7B33"/>
    <w:rsid w:val="006E0361"/>
    <w:rsid w:val="006E1195"/>
    <w:rsid w:val="006E142C"/>
    <w:rsid w:val="006E145A"/>
    <w:rsid w:val="006E15E3"/>
    <w:rsid w:val="006E22EC"/>
    <w:rsid w:val="006E2387"/>
    <w:rsid w:val="006E24AD"/>
    <w:rsid w:val="006E26A0"/>
    <w:rsid w:val="006E4ADA"/>
    <w:rsid w:val="006E510D"/>
    <w:rsid w:val="006E5173"/>
    <w:rsid w:val="006E5200"/>
    <w:rsid w:val="006E672C"/>
    <w:rsid w:val="006E773E"/>
    <w:rsid w:val="006E7AC8"/>
    <w:rsid w:val="006E7BC3"/>
    <w:rsid w:val="006E7BFD"/>
    <w:rsid w:val="006F0571"/>
    <w:rsid w:val="006F182E"/>
    <w:rsid w:val="006F39FB"/>
    <w:rsid w:val="006F3AE3"/>
    <w:rsid w:val="006F5B00"/>
    <w:rsid w:val="006F5D30"/>
    <w:rsid w:val="006F6D8D"/>
    <w:rsid w:val="006F71A9"/>
    <w:rsid w:val="006F7377"/>
    <w:rsid w:val="006F7D59"/>
    <w:rsid w:val="0070000E"/>
    <w:rsid w:val="0070014F"/>
    <w:rsid w:val="00700F57"/>
    <w:rsid w:val="00702E28"/>
    <w:rsid w:val="00703EFC"/>
    <w:rsid w:val="0070415B"/>
    <w:rsid w:val="0070418D"/>
    <w:rsid w:val="007043A6"/>
    <w:rsid w:val="0070444C"/>
    <w:rsid w:val="007051B7"/>
    <w:rsid w:val="00705217"/>
    <w:rsid w:val="007053D4"/>
    <w:rsid w:val="0070567E"/>
    <w:rsid w:val="00705A22"/>
    <w:rsid w:val="00705D3F"/>
    <w:rsid w:val="00706146"/>
    <w:rsid w:val="007066F2"/>
    <w:rsid w:val="00706976"/>
    <w:rsid w:val="00710BD6"/>
    <w:rsid w:val="00710C98"/>
    <w:rsid w:val="007122A8"/>
    <w:rsid w:val="00713508"/>
    <w:rsid w:val="00713608"/>
    <w:rsid w:val="00713659"/>
    <w:rsid w:val="0071396F"/>
    <w:rsid w:val="007140B5"/>
    <w:rsid w:val="00716027"/>
    <w:rsid w:val="007162FA"/>
    <w:rsid w:val="00716332"/>
    <w:rsid w:val="00716BA8"/>
    <w:rsid w:val="00717244"/>
    <w:rsid w:val="00717443"/>
    <w:rsid w:val="00717C33"/>
    <w:rsid w:val="00717EB6"/>
    <w:rsid w:val="007211C8"/>
    <w:rsid w:val="0072273E"/>
    <w:rsid w:val="00724D08"/>
    <w:rsid w:val="00725BD7"/>
    <w:rsid w:val="00726C9C"/>
    <w:rsid w:val="00727264"/>
    <w:rsid w:val="0073050D"/>
    <w:rsid w:val="0073056F"/>
    <w:rsid w:val="0073167F"/>
    <w:rsid w:val="007321B4"/>
    <w:rsid w:val="00732AF2"/>
    <w:rsid w:val="007332D5"/>
    <w:rsid w:val="00734D98"/>
    <w:rsid w:val="00735795"/>
    <w:rsid w:val="0073628B"/>
    <w:rsid w:val="00736449"/>
    <w:rsid w:val="00737BA7"/>
    <w:rsid w:val="00741BBA"/>
    <w:rsid w:val="00741C21"/>
    <w:rsid w:val="00742623"/>
    <w:rsid w:val="00743211"/>
    <w:rsid w:val="0074579E"/>
    <w:rsid w:val="00746225"/>
    <w:rsid w:val="00746768"/>
    <w:rsid w:val="00750B82"/>
    <w:rsid w:val="007511D9"/>
    <w:rsid w:val="007515E8"/>
    <w:rsid w:val="00751CB0"/>
    <w:rsid w:val="00753CD4"/>
    <w:rsid w:val="0075478E"/>
    <w:rsid w:val="0075509A"/>
    <w:rsid w:val="00755E97"/>
    <w:rsid w:val="00756A0B"/>
    <w:rsid w:val="00756B34"/>
    <w:rsid w:val="00756D7C"/>
    <w:rsid w:val="00757359"/>
    <w:rsid w:val="007605D7"/>
    <w:rsid w:val="007625D1"/>
    <w:rsid w:val="00763458"/>
    <w:rsid w:val="007637C1"/>
    <w:rsid w:val="007646E7"/>
    <w:rsid w:val="00766856"/>
    <w:rsid w:val="007669F0"/>
    <w:rsid w:val="00766DEB"/>
    <w:rsid w:val="00770A47"/>
    <w:rsid w:val="00771D2A"/>
    <w:rsid w:val="007722FF"/>
    <w:rsid w:val="00772498"/>
    <w:rsid w:val="007731E5"/>
    <w:rsid w:val="00773A1B"/>
    <w:rsid w:val="0077430C"/>
    <w:rsid w:val="00774D6E"/>
    <w:rsid w:val="00776353"/>
    <w:rsid w:val="007763E4"/>
    <w:rsid w:val="007763E5"/>
    <w:rsid w:val="0077732B"/>
    <w:rsid w:val="00777445"/>
    <w:rsid w:val="0077791D"/>
    <w:rsid w:val="007800C1"/>
    <w:rsid w:val="007801FC"/>
    <w:rsid w:val="00780C12"/>
    <w:rsid w:val="007811A2"/>
    <w:rsid w:val="00781286"/>
    <w:rsid w:val="007815E1"/>
    <w:rsid w:val="00783B2F"/>
    <w:rsid w:val="007840F1"/>
    <w:rsid w:val="0078520D"/>
    <w:rsid w:val="007917AC"/>
    <w:rsid w:val="007919AE"/>
    <w:rsid w:val="00792DC4"/>
    <w:rsid w:val="00792E5A"/>
    <w:rsid w:val="00793F51"/>
    <w:rsid w:val="007944D6"/>
    <w:rsid w:val="0079485F"/>
    <w:rsid w:val="00794E8F"/>
    <w:rsid w:val="00794FFA"/>
    <w:rsid w:val="00796077"/>
    <w:rsid w:val="00796ED6"/>
    <w:rsid w:val="0079756F"/>
    <w:rsid w:val="007A009E"/>
    <w:rsid w:val="007A03C6"/>
    <w:rsid w:val="007A095F"/>
    <w:rsid w:val="007A21EA"/>
    <w:rsid w:val="007A25F1"/>
    <w:rsid w:val="007A33FE"/>
    <w:rsid w:val="007A3900"/>
    <w:rsid w:val="007A3A36"/>
    <w:rsid w:val="007A405C"/>
    <w:rsid w:val="007A4626"/>
    <w:rsid w:val="007A59F1"/>
    <w:rsid w:val="007A5AFF"/>
    <w:rsid w:val="007A5FD1"/>
    <w:rsid w:val="007A62ED"/>
    <w:rsid w:val="007A7222"/>
    <w:rsid w:val="007B075C"/>
    <w:rsid w:val="007B147F"/>
    <w:rsid w:val="007B35B2"/>
    <w:rsid w:val="007B4B22"/>
    <w:rsid w:val="007B5980"/>
    <w:rsid w:val="007B5E02"/>
    <w:rsid w:val="007B654B"/>
    <w:rsid w:val="007B719B"/>
    <w:rsid w:val="007B7637"/>
    <w:rsid w:val="007B7819"/>
    <w:rsid w:val="007C0915"/>
    <w:rsid w:val="007C1C13"/>
    <w:rsid w:val="007C225E"/>
    <w:rsid w:val="007C2E24"/>
    <w:rsid w:val="007C35FD"/>
    <w:rsid w:val="007C3DE5"/>
    <w:rsid w:val="007C4F7F"/>
    <w:rsid w:val="007C541E"/>
    <w:rsid w:val="007C6CBD"/>
    <w:rsid w:val="007C6E1E"/>
    <w:rsid w:val="007C78C4"/>
    <w:rsid w:val="007C7A97"/>
    <w:rsid w:val="007D0604"/>
    <w:rsid w:val="007D152B"/>
    <w:rsid w:val="007D1C11"/>
    <w:rsid w:val="007D310E"/>
    <w:rsid w:val="007D4290"/>
    <w:rsid w:val="007D5905"/>
    <w:rsid w:val="007D5C34"/>
    <w:rsid w:val="007D5E9F"/>
    <w:rsid w:val="007D765E"/>
    <w:rsid w:val="007D7D4C"/>
    <w:rsid w:val="007E0D1C"/>
    <w:rsid w:val="007E153A"/>
    <w:rsid w:val="007E15CE"/>
    <w:rsid w:val="007E195E"/>
    <w:rsid w:val="007E1CC3"/>
    <w:rsid w:val="007E28FE"/>
    <w:rsid w:val="007E3965"/>
    <w:rsid w:val="007E42A0"/>
    <w:rsid w:val="007E4986"/>
    <w:rsid w:val="007E49AF"/>
    <w:rsid w:val="007E58B4"/>
    <w:rsid w:val="007E5FEB"/>
    <w:rsid w:val="007E6383"/>
    <w:rsid w:val="007F0942"/>
    <w:rsid w:val="007F1B75"/>
    <w:rsid w:val="007F2AAD"/>
    <w:rsid w:val="007F39BA"/>
    <w:rsid w:val="007F4F2F"/>
    <w:rsid w:val="007F5863"/>
    <w:rsid w:val="007F63F2"/>
    <w:rsid w:val="007F6D79"/>
    <w:rsid w:val="007F6FE3"/>
    <w:rsid w:val="00800357"/>
    <w:rsid w:val="00800B28"/>
    <w:rsid w:val="008021A1"/>
    <w:rsid w:val="008025B4"/>
    <w:rsid w:val="008027CA"/>
    <w:rsid w:val="008030F9"/>
    <w:rsid w:val="008035E6"/>
    <w:rsid w:val="00805618"/>
    <w:rsid w:val="00807432"/>
    <w:rsid w:val="00810BC5"/>
    <w:rsid w:val="00810D66"/>
    <w:rsid w:val="00813347"/>
    <w:rsid w:val="00813489"/>
    <w:rsid w:val="00814124"/>
    <w:rsid w:val="0081418F"/>
    <w:rsid w:val="008141ED"/>
    <w:rsid w:val="00814700"/>
    <w:rsid w:val="00820347"/>
    <w:rsid w:val="00820F85"/>
    <w:rsid w:val="008229D4"/>
    <w:rsid w:val="008230E8"/>
    <w:rsid w:val="008232CA"/>
    <w:rsid w:val="00823ADA"/>
    <w:rsid w:val="00823B3E"/>
    <w:rsid w:val="00824E01"/>
    <w:rsid w:val="00825103"/>
    <w:rsid w:val="00825B8E"/>
    <w:rsid w:val="00825C2F"/>
    <w:rsid w:val="00826338"/>
    <w:rsid w:val="00826906"/>
    <w:rsid w:val="00826965"/>
    <w:rsid w:val="00827260"/>
    <w:rsid w:val="00830765"/>
    <w:rsid w:val="00830AA3"/>
    <w:rsid w:val="0083136D"/>
    <w:rsid w:val="00831416"/>
    <w:rsid w:val="00833901"/>
    <w:rsid w:val="00833D8C"/>
    <w:rsid w:val="0083425C"/>
    <w:rsid w:val="008351E1"/>
    <w:rsid w:val="008362ED"/>
    <w:rsid w:val="00836903"/>
    <w:rsid w:val="00836E39"/>
    <w:rsid w:val="00836F2A"/>
    <w:rsid w:val="00837798"/>
    <w:rsid w:val="00840E89"/>
    <w:rsid w:val="00842DFB"/>
    <w:rsid w:val="008449F7"/>
    <w:rsid w:val="00845DCD"/>
    <w:rsid w:val="0084665B"/>
    <w:rsid w:val="008474CD"/>
    <w:rsid w:val="00847F55"/>
    <w:rsid w:val="00850AA7"/>
    <w:rsid w:val="00850D44"/>
    <w:rsid w:val="00850E6D"/>
    <w:rsid w:val="00851631"/>
    <w:rsid w:val="0085234F"/>
    <w:rsid w:val="00853282"/>
    <w:rsid w:val="0085401B"/>
    <w:rsid w:val="008549FD"/>
    <w:rsid w:val="00855568"/>
    <w:rsid w:val="00855FFD"/>
    <w:rsid w:val="008560AA"/>
    <w:rsid w:val="00856101"/>
    <w:rsid w:val="00856358"/>
    <w:rsid w:val="0085725D"/>
    <w:rsid w:val="00857CC3"/>
    <w:rsid w:val="008608A3"/>
    <w:rsid w:val="008616E7"/>
    <w:rsid w:val="0086177F"/>
    <w:rsid w:val="00861ADB"/>
    <w:rsid w:val="00861D7A"/>
    <w:rsid w:val="00862470"/>
    <w:rsid w:val="00864322"/>
    <w:rsid w:val="008651E9"/>
    <w:rsid w:val="0086620F"/>
    <w:rsid w:val="00866AF3"/>
    <w:rsid w:val="00866C82"/>
    <w:rsid w:val="008672E6"/>
    <w:rsid w:val="008677E5"/>
    <w:rsid w:val="00867C57"/>
    <w:rsid w:val="00874311"/>
    <w:rsid w:val="00874A6B"/>
    <w:rsid w:val="00874EC5"/>
    <w:rsid w:val="00875741"/>
    <w:rsid w:val="00875B00"/>
    <w:rsid w:val="00875C31"/>
    <w:rsid w:val="00876E75"/>
    <w:rsid w:val="008775EA"/>
    <w:rsid w:val="008775F8"/>
    <w:rsid w:val="0087780F"/>
    <w:rsid w:val="00877CD3"/>
    <w:rsid w:val="008811E5"/>
    <w:rsid w:val="0088215D"/>
    <w:rsid w:val="008826D8"/>
    <w:rsid w:val="00882832"/>
    <w:rsid w:val="008832C1"/>
    <w:rsid w:val="00883EE7"/>
    <w:rsid w:val="00884F3F"/>
    <w:rsid w:val="00885016"/>
    <w:rsid w:val="00885243"/>
    <w:rsid w:val="00885D64"/>
    <w:rsid w:val="008867D4"/>
    <w:rsid w:val="00886823"/>
    <w:rsid w:val="00886BC0"/>
    <w:rsid w:val="00887179"/>
    <w:rsid w:val="008904B6"/>
    <w:rsid w:val="0089075D"/>
    <w:rsid w:val="008913B9"/>
    <w:rsid w:val="008917A2"/>
    <w:rsid w:val="00892E4C"/>
    <w:rsid w:val="008937C6"/>
    <w:rsid w:val="008938BD"/>
    <w:rsid w:val="008938D5"/>
    <w:rsid w:val="0089404D"/>
    <w:rsid w:val="00894718"/>
    <w:rsid w:val="008964DA"/>
    <w:rsid w:val="008965F1"/>
    <w:rsid w:val="0089703E"/>
    <w:rsid w:val="00897ED9"/>
    <w:rsid w:val="008A05B4"/>
    <w:rsid w:val="008A16AF"/>
    <w:rsid w:val="008A1A26"/>
    <w:rsid w:val="008A1D16"/>
    <w:rsid w:val="008A400D"/>
    <w:rsid w:val="008A48EB"/>
    <w:rsid w:val="008A600D"/>
    <w:rsid w:val="008A6118"/>
    <w:rsid w:val="008A7119"/>
    <w:rsid w:val="008A7EBA"/>
    <w:rsid w:val="008B07D3"/>
    <w:rsid w:val="008B131C"/>
    <w:rsid w:val="008B1588"/>
    <w:rsid w:val="008B1E0A"/>
    <w:rsid w:val="008B1E53"/>
    <w:rsid w:val="008B22B6"/>
    <w:rsid w:val="008B3178"/>
    <w:rsid w:val="008B42C0"/>
    <w:rsid w:val="008B5CE8"/>
    <w:rsid w:val="008B5DEB"/>
    <w:rsid w:val="008B600B"/>
    <w:rsid w:val="008B6B63"/>
    <w:rsid w:val="008B7B94"/>
    <w:rsid w:val="008C1980"/>
    <w:rsid w:val="008C1A4B"/>
    <w:rsid w:val="008C1D6E"/>
    <w:rsid w:val="008C390E"/>
    <w:rsid w:val="008C3EC2"/>
    <w:rsid w:val="008C4304"/>
    <w:rsid w:val="008C4C74"/>
    <w:rsid w:val="008C4FFF"/>
    <w:rsid w:val="008C5FC5"/>
    <w:rsid w:val="008C6BCA"/>
    <w:rsid w:val="008C6D79"/>
    <w:rsid w:val="008C71C7"/>
    <w:rsid w:val="008C7941"/>
    <w:rsid w:val="008D0AE2"/>
    <w:rsid w:val="008D0C17"/>
    <w:rsid w:val="008D4D27"/>
    <w:rsid w:val="008D4F19"/>
    <w:rsid w:val="008D6C81"/>
    <w:rsid w:val="008D7021"/>
    <w:rsid w:val="008E09E2"/>
    <w:rsid w:val="008E0F89"/>
    <w:rsid w:val="008E1610"/>
    <w:rsid w:val="008E1E4F"/>
    <w:rsid w:val="008E35C2"/>
    <w:rsid w:val="008E5112"/>
    <w:rsid w:val="008E65E1"/>
    <w:rsid w:val="008E6631"/>
    <w:rsid w:val="008E6DE2"/>
    <w:rsid w:val="008E74FA"/>
    <w:rsid w:val="008E7876"/>
    <w:rsid w:val="008E7C8C"/>
    <w:rsid w:val="008E7F8D"/>
    <w:rsid w:val="008E7FB7"/>
    <w:rsid w:val="008F132E"/>
    <w:rsid w:val="008F13C2"/>
    <w:rsid w:val="008F18DE"/>
    <w:rsid w:val="008F2EF0"/>
    <w:rsid w:val="008F3198"/>
    <w:rsid w:val="008F3F61"/>
    <w:rsid w:val="008F49A9"/>
    <w:rsid w:val="008F4F40"/>
    <w:rsid w:val="008F63CE"/>
    <w:rsid w:val="008F6657"/>
    <w:rsid w:val="008F667F"/>
    <w:rsid w:val="008F7B0E"/>
    <w:rsid w:val="00900716"/>
    <w:rsid w:val="00901136"/>
    <w:rsid w:val="00902407"/>
    <w:rsid w:val="0090272A"/>
    <w:rsid w:val="00902823"/>
    <w:rsid w:val="009031A1"/>
    <w:rsid w:val="009039AC"/>
    <w:rsid w:val="00904EBC"/>
    <w:rsid w:val="00905482"/>
    <w:rsid w:val="009065F0"/>
    <w:rsid w:val="00906693"/>
    <w:rsid w:val="0090713F"/>
    <w:rsid w:val="00907DCF"/>
    <w:rsid w:val="00910995"/>
    <w:rsid w:val="00910A4F"/>
    <w:rsid w:val="00912803"/>
    <w:rsid w:val="009137DC"/>
    <w:rsid w:val="0091402A"/>
    <w:rsid w:val="0091434B"/>
    <w:rsid w:val="00915AB5"/>
    <w:rsid w:val="00915D7D"/>
    <w:rsid w:val="00916501"/>
    <w:rsid w:val="00917C96"/>
    <w:rsid w:val="00920F9E"/>
    <w:rsid w:val="00921058"/>
    <w:rsid w:val="00921199"/>
    <w:rsid w:val="009226A6"/>
    <w:rsid w:val="00923040"/>
    <w:rsid w:val="009233A1"/>
    <w:rsid w:val="0092386C"/>
    <w:rsid w:val="0092388F"/>
    <w:rsid w:val="00923FA4"/>
    <w:rsid w:val="0092470C"/>
    <w:rsid w:val="00924F1E"/>
    <w:rsid w:val="00924F61"/>
    <w:rsid w:val="00925627"/>
    <w:rsid w:val="009256FC"/>
    <w:rsid w:val="009324AF"/>
    <w:rsid w:val="00932E54"/>
    <w:rsid w:val="00933552"/>
    <w:rsid w:val="00935227"/>
    <w:rsid w:val="00940E00"/>
    <w:rsid w:val="009428F3"/>
    <w:rsid w:val="0094410E"/>
    <w:rsid w:val="009451A4"/>
    <w:rsid w:val="00945744"/>
    <w:rsid w:val="00946812"/>
    <w:rsid w:val="00947B6C"/>
    <w:rsid w:val="00947C7C"/>
    <w:rsid w:val="00950C83"/>
    <w:rsid w:val="00950F37"/>
    <w:rsid w:val="00951AB8"/>
    <w:rsid w:val="009524D4"/>
    <w:rsid w:val="0095253D"/>
    <w:rsid w:val="009532F9"/>
    <w:rsid w:val="0095391A"/>
    <w:rsid w:val="0095569D"/>
    <w:rsid w:val="009575C9"/>
    <w:rsid w:val="00957AF1"/>
    <w:rsid w:val="0096015F"/>
    <w:rsid w:val="0096044E"/>
    <w:rsid w:val="0096076D"/>
    <w:rsid w:val="009607F8"/>
    <w:rsid w:val="009613F6"/>
    <w:rsid w:val="009621AF"/>
    <w:rsid w:val="009629AE"/>
    <w:rsid w:val="009629DB"/>
    <w:rsid w:val="00964A83"/>
    <w:rsid w:val="00964B22"/>
    <w:rsid w:val="009667A2"/>
    <w:rsid w:val="00966B28"/>
    <w:rsid w:val="00966F68"/>
    <w:rsid w:val="009676F5"/>
    <w:rsid w:val="00967EBC"/>
    <w:rsid w:val="00967F78"/>
    <w:rsid w:val="00970F1D"/>
    <w:rsid w:val="0097115D"/>
    <w:rsid w:val="009713DE"/>
    <w:rsid w:val="00971EEE"/>
    <w:rsid w:val="00972FC0"/>
    <w:rsid w:val="00974CC4"/>
    <w:rsid w:val="0097555C"/>
    <w:rsid w:val="00975D71"/>
    <w:rsid w:val="00976A55"/>
    <w:rsid w:val="00980252"/>
    <w:rsid w:val="009804B0"/>
    <w:rsid w:val="00980542"/>
    <w:rsid w:val="00980CD5"/>
    <w:rsid w:val="00981CE7"/>
    <w:rsid w:val="00982D21"/>
    <w:rsid w:val="00984915"/>
    <w:rsid w:val="00986F45"/>
    <w:rsid w:val="009872B2"/>
    <w:rsid w:val="009902EA"/>
    <w:rsid w:val="0099046C"/>
    <w:rsid w:val="00990A43"/>
    <w:rsid w:val="00990CD5"/>
    <w:rsid w:val="009919E7"/>
    <w:rsid w:val="0099219C"/>
    <w:rsid w:val="00992989"/>
    <w:rsid w:val="009929C8"/>
    <w:rsid w:val="00992AF4"/>
    <w:rsid w:val="00993241"/>
    <w:rsid w:val="009936C3"/>
    <w:rsid w:val="0099535D"/>
    <w:rsid w:val="00997281"/>
    <w:rsid w:val="009A08B6"/>
    <w:rsid w:val="009A0F29"/>
    <w:rsid w:val="009A17C8"/>
    <w:rsid w:val="009A1E68"/>
    <w:rsid w:val="009A3572"/>
    <w:rsid w:val="009A3692"/>
    <w:rsid w:val="009A499C"/>
    <w:rsid w:val="009A5127"/>
    <w:rsid w:val="009A5547"/>
    <w:rsid w:val="009A6296"/>
    <w:rsid w:val="009A662B"/>
    <w:rsid w:val="009A688D"/>
    <w:rsid w:val="009A695F"/>
    <w:rsid w:val="009A7259"/>
    <w:rsid w:val="009A7774"/>
    <w:rsid w:val="009A7CAB"/>
    <w:rsid w:val="009B020F"/>
    <w:rsid w:val="009B0584"/>
    <w:rsid w:val="009B437D"/>
    <w:rsid w:val="009B58BE"/>
    <w:rsid w:val="009B5C2C"/>
    <w:rsid w:val="009B6260"/>
    <w:rsid w:val="009C053F"/>
    <w:rsid w:val="009C1A09"/>
    <w:rsid w:val="009C1F8A"/>
    <w:rsid w:val="009C2965"/>
    <w:rsid w:val="009C4C42"/>
    <w:rsid w:val="009C6CBA"/>
    <w:rsid w:val="009C6E7A"/>
    <w:rsid w:val="009C7265"/>
    <w:rsid w:val="009C7A13"/>
    <w:rsid w:val="009C7F03"/>
    <w:rsid w:val="009D2063"/>
    <w:rsid w:val="009D2132"/>
    <w:rsid w:val="009D255F"/>
    <w:rsid w:val="009D2FA2"/>
    <w:rsid w:val="009D3F28"/>
    <w:rsid w:val="009D5908"/>
    <w:rsid w:val="009D5DD1"/>
    <w:rsid w:val="009D66B5"/>
    <w:rsid w:val="009D74F5"/>
    <w:rsid w:val="009D7A04"/>
    <w:rsid w:val="009E048A"/>
    <w:rsid w:val="009E31B8"/>
    <w:rsid w:val="009E418C"/>
    <w:rsid w:val="009E4AAC"/>
    <w:rsid w:val="009E526E"/>
    <w:rsid w:val="009E5282"/>
    <w:rsid w:val="009E61B6"/>
    <w:rsid w:val="009E70DC"/>
    <w:rsid w:val="009E7F5C"/>
    <w:rsid w:val="009F0115"/>
    <w:rsid w:val="009F0DD1"/>
    <w:rsid w:val="009F17C4"/>
    <w:rsid w:val="009F1836"/>
    <w:rsid w:val="009F2CA1"/>
    <w:rsid w:val="009F3D33"/>
    <w:rsid w:val="009F402F"/>
    <w:rsid w:val="009F47E4"/>
    <w:rsid w:val="009F4883"/>
    <w:rsid w:val="009F48D9"/>
    <w:rsid w:val="009F4BDE"/>
    <w:rsid w:val="009F5173"/>
    <w:rsid w:val="009F5563"/>
    <w:rsid w:val="009F5924"/>
    <w:rsid w:val="009F610B"/>
    <w:rsid w:val="009F6484"/>
    <w:rsid w:val="00A015D1"/>
    <w:rsid w:val="00A02588"/>
    <w:rsid w:val="00A02BB4"/>
    <w:rsid w:val="00A03186"/>
    <w:rsid w:val="00A054DF"/>
    <w:rsid w:val="00A0558C"/>
    <w:rsid w:val="00A05F29"/>
    <w:rsid w:val="00A0773C"/>
    <w:rsid w:val="00A10502"/>
    <w:rsid w:val="00A114E6"/>
    <w:rsid w:val="00A13A5D"/>
    <w:rsid w:val="00A14063"/>
    <w:rsid w:val="00A15217"/>
    <w:rsid w:val="00A16A06"/>
    <w:rsid w:val="00A16A28"/>
    <w:rsid w:val="00A17AAD"/>
    <w:rsid w:val="00A17CA3"/>
    <w:rsid w:val="00A21722"/>
    <w:rsid w:val="00A22329"/>
    <w:rsid w:val="00A224F9"/>
    <w:rsid w:val="00A235D0"/>
    <w:rsid w:val="00A23781"/>
    <w:rsid w:val="00A23D17"/>
    <w:rsid w:val="00A250FE"/>
    <w:rsid w:val="00A253AC"/>
    <w:rsid w:val="00A2572B"/>
    <w:rsid w:val="00A25E62"/>
    <w:rsid w:val="00A260FA"/>
    <w:rsid w:val="00A26301"/>
    <w:rsid w:val="00A26761"/>
    <w:rsid w:val="00A26CA1"/>
    <w:rsid w:val="00A26DAB"/>
    <w:rsid w:val="00A278AC"/>
    <w:rsid w:val="00A30096"/>
    <w:rsid w:val="00A30794"/>
    <w:rsid w:val="00A30AE2"/>
    <w:rsid w:val="00A319A8"/>
    <w:rsid w:val="00A32233"/>
    <w:rsid w:val="00A324D9"/>
    <w:rsid w:val="00A32704"/>
    <w:rsid w:val="00A32BEE"/>
    <w:rsid w:val="00A334DE"/>
    <w:rsid w:val="00A348F6"/>
    <w:rsid w:val="00A34AFC"/>
    <w:rsid w:val="00A35215"/>
    <w:rsid w:val="00A3632C"/>
    <w:rsid w:val="00A367CC"/>
    <w:rsid w:val="00A369A1"/>
    <w:rsid w:val="00A371D6"/>
    <w:rsid w:val="00A37B26"/>
    <w:rsid w:val="00A40673"/>
    <w:rsid w:val="00A408D1"/>
    <w:rsid w:val="00A41354"/>
    <w:rsid w:val="00A4281D"/>
    <w:rsid w:val="00A43002"/>
    <w:rsid w:val="00A433A3"/>
    <w:rsid w:val="00A44BC8"/>
    <w:rsid w:val="00A44DAA"/>
    <w:rsid w:val="00A4523C"/>
    <w:rsid w:val="00A4551E"/>
    <w:rsid w:val="00A45B45"/>
    <w:rsid w:val="00A45FBA"/>
    <w:rsid w:val="00A52898"/>
    <w:rsid w:val="00A532A2"/>
    <w:rsid w:val="00A5352D"/>
    <w:rsid w:val="00A5428F"/>
    <w:rsid w:val="00A542A3"/>
    <w:rsid w:val="00A54377"/>
    <w:rsid w:val="00A54E5C"/>
    <w:rsid w:val="00A55B7B"/>
    <w:rsid w:val="00A55F87"/>
    <w:rsid w:val="00A560CC"/>
    <w:rsid w:val="00A5783E"/>
    <w:rsid w:val="00A605D2"/>
    <w:rsid w:val="00A61182"/>
    <w:rsid w:val="00A6185B"/>
    <w:rsid w:val="00A61CB6"/>
    <w:rsid w:val="00A627B6"/>
    <w:rsid w:val="00A63084"/>
    <w:rsid w:val="00A64812"/>
    <w:rsid w:val="00A65618"/>
    <w:rsid w:val="00A65B6E"/>
    <w:rsid w:val="00A65F9C"/>
    <w:rsid w:val="00A6651D"/>
    <w:rsid w:val="00A67704"/>
    <w:rsid w:val="00A67F18"/>
    <w:rsid w:val="00A70297"/>
    <w:rsid w:val="00A704A9"/>
    <w:rsid w:val="00A70557"/>
    <w:rsid w:val="00A7066B"/>
    <w:rsid w:val="00A7098B"/>
    <w:rsid w:val="00A717F0"/>
    <w:rsid w:val="00A71E8F"/>
    <w:rsid w:val="00A729AF"/>
    <w:rsid w:val="00A72A3E"/>
    <w:rsid w:val="00A7398C"/>
    <w:rsid w:val="00A739B7"/>
    <w:rsid w:val="00A73A9A"/>
    <w:rsid w:val="00A73AFF"/>
    <w:rsid w:val="00A74508"/>
    <w:rsid w:val="00A76061"/>
    <w:rsid w:val="00A7661C"/>
    <w:rsid w:val="00A7699A"/>
    <w:rsid w:val="00A76A4F"/>
    <w:rsid w:val="00A76F4F"/>
    <w:rsid w:val="00A774BC"/>
    <w:rsid w:val="00A778FF"/>
    <w:rsid w:val="00A80EAF"/>
    <w:rsid w:val="00A81A6E"/>
    <w:rsid w:val="00A823AE"/>
    <w:rsid w:val="00A826FD"/>
    <w:rsid w:val="00A828ED"/>
    <w:rsid w:val="00A83A08"/>
    <w:rsid w:val="00A83D31"/>
    <w:rsid w:val="00A84E18"/>
    <w:rsid w:val="00A8529D"/>
    <w:rsid w:val="00A868FD"/>
    <w:rsid w:val="00A87ED0"/>
    <w:rsid w:val="00A87FD4"/>
    <w:rsid w:val="00A91244"/>
    <w:rsid w:val="00A917EB"/>
    <w:rsid w:val="00A91AF4"/>
    <w:rsid w:val="00A9349C"/>
    <w:rsid w:val="00A93D13"/>
    <w:rsid w:val="00A93F46"/>
    <w:rsid w:val="00A943DA"/>
    <w:rsid w:val="00A94621"/>
    <w:rsid w:val="00A952F3"/>
    <w:rsid w:val="00A95807"/>
    <w:rsid w:val="00A96395"/>
    <w:rsid w:val="00A96693"/>
    <w:rsid w:val="00A970A8"/>
    <w:rsid w:val="00AA18A2"/>
    <w:rsid w:val="00AA19BE"/>
    <w:rsid w:val="00AA2245"/>
    <w:rsid w:val="00AA3730"/>
    <w:rsid w:val="00AA3A8A"/>
    <w:rsid w:val="00AA3E62"/>
    <w:rsid w:val="00AA44D2"/>
    <w:rsid w:val="00AA4A22"/>
    <w:rsid w:val="00AA5B6A"/>
    <w:rsid w:val="00AA6057"/>
    <w:rsid w:val="00AA6899"/>
    <w:rsid w:val="00AA6C14"/>
    <w:rsid w:val="00AB1B3E"/>
    <w:rsid w:val="00AB1FEE"/>
    <w:rsid w:val="00AB2FF5"/>
    <w:rsid w:val="00AB30EB"/>
    <w:rsid w:val="00AB3924"/>
    <w:rsid w:val="00AB3C6A"/>
    <w:rsid w:val="00AB7282"/>
    <w:rsid w:val="00AB7D44"/>
    <w:rsid w:val="00AC0044"/>
    <w:rsid w:val="00AC0945"/>
    <w:rsid w:val="00AC0B82"/>
    <w:rsid w:val="00AC17AF"/>
    <w:rsid w:val="00AC2159"/>
    <w:rsid w:val="00AC296A"/>
    <w:rsid w:val="00AC4B90"/>
    <w:rsid w:val="00AC651B"/>
    <w:rsid w:val="00AC6658"/>
    <w:rsid w:val="00AC6F45"/>
    <w:rsid w:val="00AD02AE"/>
    <w:rsid w:val="00AD06F8"/>
    <w:rsid w:val="00AD1523"/>
    <w:rsid w:val="00AD1BEF"/>
    <w:rsid w:val="00AD316A"/>
    <w:rsid w:val="00AD3B15"/>
    <w:rsid w:val="00AD3D96"/>
    <w:rsid w:val="00AD402A"/>
    <w:rsid w:val="00AD460E"/>
    <w:rsid w:val="00AD47F3"/>
    <w:rsid w:val="00AD636B"/>
    <w:rsid w:val="00AD6967"/>
    <w:rsid w:val="00AD7BDF"/>
    <w:rsid w:val="00AD7EB2"/>
    <w:rsid w:val="00AD7EEA"/>
    <w:rsid w:val="00AE24E6"/>
    <w:rsid w:val="00AE4CB0"/>
    <w:rsid w:val="00AE6298"/>
    <w:rsid w:val="00AE631D"/>
    <w:rsid w:val="00AE6DA6"/>
    <w:rsid w:val="00AE7134"/>
    <w:rsid w:val="00AE74CE"/>
    <w:rsid w:val="00AF0C76"/>
    <w:rsid w:val="00AF0D0C"/>
    <w:rsid w:val="00AF1574"/>
    <w:rsid w:val="00AF2948"/>
    <w:rsid w:val="00AF41A2"/>
    <w:rsid w:val="00AF4EF0"/>
    <w:rsid w:val="00AF5167"/>
    <w:rsid w:val="00AF6167"/>
    <w:rsid w:val="00AF67BC"/>
    <w:rsid w:val="00AF6CB5"/>
    <w:rsid w:val="00AF71FF"/>
    <w:rsid w:val="00AF7227"/>
    <w:rsid w:val="00B01BA2"/>
    <w:rsid w:val="00B01BD6"/>
    <w:rsid w:val="00B01CD0"/>
    <w:rsid w:val="00B02D8A"/>
    <w:rsid w:val="00B03A5D"/>
    <w:rsid w:val="00B0423F"/>
    <w:rsid w:val="00B0431D"/>
    <w:rsid w:val="00B04536"/>
    <w:rsid w:val="00B04E09"/>
    <w:rsid w:val="00B0587F"/>
    <w:rsid w:val="00B068E6"/>
    <w:rsid w:val="00B0766E"/>
    <w:rsid w:val="00B0798C"/>
    <w:rsid w:val="00B10AA6"/>
    <w:rsid w:val="00B114BA"/>
    <w:rsid w:val="00B11845"/>
    <w:rsid w:val="00B11C98"/>
    <w:rsid w:val="00B13141"/>
    <w:rsid w:val="00B1389F"/>
    <w:rsid w:val="00B147A6"/>
    <w:rsid w:val="00B15F52"/>
    <w:rsid w:val="00B161A9"/>
    <w:rsid w:val="00B166FD"/>
    <w:rsid w:val="00B16F17"/>
    <w:rsid w:val="00B17425"/>
    <w:rsid w:val="00B17B5E"/>
    <w:rsid w:val="00B20491"/>
    <w:rsid w:val="00B220B5"/>
    <w:rsid w:val="00B2223C"/>
    <w:rsid w:val="00B226CF"/>
    <w:rsid w:val="00B241FD"/>
    <w:rsid w:val="00B242A3"/>
    <w:rsid w:val="00B24A68"/>
    <w:rsid w:val="00B273A2"/>
    <w:rsid w:val="00B27D3C"/>
    <w:rsid w:val="00B30923"/>
    <w:rsid w:val="00B325A3"/>
    <w:rsid w:val="00B338A0"/>
    <w:rsid w:val="00B33DF4"/>
    <w:rsid w:val="00B355DA"/>
    <w:rsid w:val="00B366ED"/>
    <w:rsid w:val="00B3791F"/>
    <w:rsid w:val="00B4029E"/>
    <w:rsid w:val="00B40438"/>
    <w:rsid w:val="00B40C7D"/>
    <w:rsid w:val="00B4158A"/>
    <w:rsid w:val="00B41E70"/>
    <w:rsid w:val="00B43FC8"/>
    <w:rsid w:val="00B4546D"/>
    <w:rsid w:val="00B456E8"/>
    <w:rsid w:val="00B46A56"/>
    <w:rsid w:val="00B46C39"/>
    <w:rsid w:val="00B512FC"/>
    <w:rsid w:val="00B51F2E"/>
    <w:rsid w:val="00B52321"/>
    <w:rsid w:val="00B53930"/>
    <w:rsid w:val="00B5434B"/>
    <w:rsid w:val="00B54C7D"/>
    <w:rsid w:val="00B552A7"/>
    <w:rsid w:val="00B55ABC"/>
    <w:rsid w:val="00B564E6"/>
    <w:rsid w:val="00B62EFA"/>
    <w:rsid w:val="00B63EED"/>
    <w:rsid w:val="00B659AA"/>
    <w:rsid w:val="00B6710B"/>
    <w:rsid w:val="00B67136"/>
    <w:rsid w:val="00B67968"/>
    <w:rsid w:val="00B70E95"/>
    <w:rsid w:val="00B71106"/>
    <w:rsid w:val="00B72D1A"/>
    <w:rsid w:val="00B732F4"/>
    <w:rsid w:val="00B74506"/>
    <w:rsid w:val="00B77826"/>
    <w:rsid w:val="00B77A9C"/>
    <w:rsid w:val="00B8009C"/>
    <w:rsid w:val="00B80E9D"/>
    <w:rsid w:val="00B81B35"/>
    <w:rsid w:val="00B81E15"/>
    <w:rsid w:val="00B82131"/>
    <w:rsid w:val="00B82ED5"/>
    <w:rsid w:val="00B83088"/>
    <w:rsid w:val="00B836A7"/>
    <w:rsid w:val="00B8451B"/>
    <w:rsid w:val="00B85556"/>
    <w:rsid w:val="00B85C47"/>
    <w:rsid w:val="00B86910"/>
    <w:rsid w:val="00B86C2C"/>
    <w:rsid w:val="00B875C0"/>
    <w:rsid w:val="00B877EB"/>
    <w:rsid w:val="00B87E35"/>
    <w:rsid w:val="00B905EE"/>
    <w:rsid w:val="00B915C7"/>
    <w:rsid w:val="00B916ED"/>
    <w:rsid w:val="00B91E50"/>
    <w:rsid w:val="00B923A7"/>
    <w:rsid w:val="00B93C0D"/>
    <w:rsid w:val="00B93DFE"/>
    <w:rsid w:val="00B9446C"/>
    <w:rsid w:val="00B953FF"/>
    <w:rsid w:val="00B95AF6"/>
    <w:rsid w:val="00B95E59"/>
    <w:rsid w:val="00B96DDE"/>
    <w:rsid w:val="00B9731A"/>
    <w:rsid w:val="00B977F7"/>
    <w:rsid w:val="00B97FD0"/>
    <w:rsid w:val="00BA03E2"/>
    <w:rsid w:val="00BA0E6F"/>
    <w:rsid w:val="00BA14BA"/>
    <w:rsid w:val="00BA36FC"/>
    <w:rsid w:val="00BA3FAE"/>
    <w:rsid w:val="00BA4F13"/>
    <w:rsid w:val="00BA5D03"/>
    <w:rsid w:val="00BA5E67"/>
    <w:rsid w:val="00BA76A4"/>
    <w:rsid w:val="00BA79FF"/>
    <w:rsid w:val="00BB1883"/>
    <w:rsid w:val="00BB1BDA"/>
    <w:rsid w:val="00BB1F9A"/>
    <w:rsid w:val="00BB20F4"/>
    <w:rsid w:val="00BB2338"/>
    <w:rsid w:val="00BB39EE"/>
    <w:rsid w:val="00BB4F2B"/>
    <w:rsid w:val="00BB5469"/>
    <w:rsid w:val="00BB5C4F"/>
    <w:rsid w:val="00BB7744"/>
    <w:rsid w:val="00BB78F6"/>
    <w:rsid w:val="00BC0C4F"/>
    <w:rsid w:val="00BC0CFC"/>
    <w:rsid w:val="00BC0E8B"/>
    <w:rsid w:val="00BC1972"/>
    <w:rsid w:val="00BC1F44"/>
    <w:rsid w:val="00BC2907"/>
    <w:rsid w:val="00BC2AA2"/>
    <w:rsid w:val="00BC2ABD"/>
    <w:rsid w:val="00BC39BA"/>
    <w:rsid w:val="00BC698D"/>
    <w:rsid w:val="00BC72C6"/>
    <w:rsid w:val="00BC793E"/>
    <w:rsid w:val="00BC7B26"/>
    <w:rsid w:val="00BD0CEA"/>
    <w:rsid w:val="00BD0DBF"/>
    <w:rsid w:val="00BD224F"/>
    <w:rsid w:val="00BD22B7"/>
    <w:rsid w:val="00BD3AB6"/>
    <w:rsid w:val="00BD5176"/>
    <w:rsid w:val="00BD60FF"/>
    <w:rsid w:val="00BD75B3"/>
    <w:rsid w:val="00BE1894"/>
    <w:rsid w:val="00BE1A5B"/>
    <w:rsid w:val="00BE1CDE"/>
    <w:rsid w:val="00BE2F01"/>
    <w:rsid w:val="00BE37EC"/>
    <w:rsid w:val="00BE5DD4"/>
    <w:rsid w:val="00BE6491"/>
    <w:rsid w:val="00BE7A0F"/>
    <w:rsid w:val="00BF0523"/>
    <w:rsid w:val="00BF0BC8"/>
    <w:rsid w:val="00BF145F"/>
    <w:rsid w:val="00BF23EF"/>
    <w:rsid w:val="00BF273A"/>
    <w:rsid w:val="00BF3424"/>
    <w:rsid w:val="00BF44A8"/>
    <w:rsid w:val="00BF59E7"/>
    <w:rsid w:val="00BF5EC6"/>
    <w:rsid w:val="00BF6BDE"/>
    <w:rsid w:val="00BF74B7"/>
    <w:rsid w:val="00BF7D0E"/>
    <w:rsid w:val="00BF7DEC"/>
    <w:rsid w:val="00BF7E78"/>
    <w:rsid w:val="00C00500"/>
    <w:rsid w:val="00C011D4"/>
    <w:rsid w:val="00C02B98"/>
    <w:rsid w:val="00C05101"/>
    <w:rsid w:val="00C05376"/>
    <w:rsid w:val="00C05E57"/>
    <w:rsid w:val="00C065DD"/>
    <w:rsid w:val="00C06932"/>
    <w:rsid w:val="00C06FA5"/>
    <w:rsid w:val="00C07BAD"/>
    <w:rsid w:val="00C07CCA"/>
    <w:rsid w:val="00C1036A"/>
    <w:rsid w:val="00C10663"/>
    <w:rsid w:val="00C11378"/>
    <w:rsid w:val="00C11396"/>
    <w:rsid w:val="00C11866"/>
    <w:rsid w:val="00C13E72"/>
    <w:rsid w:val="00C15A13"/>
    <w:rsid w:val="00C16370"/>
    <w:rsid w:val="00C16A03"/>
    <w:rsid w:val="00C16B6D"/>
    <w:rsid w:val="00C16C19"/>
    <w:rsid w:val="00C16D18"/>
    <w:rsid w:val="00C17059"/>
    <w:rsid w:val="00C17262"/>
    <w:rsid w:val="00C17ABB"/>
    <w:rsid w:val="00C200AA"/>
    <w:rsid w:val="00C200CA"/>
    <w:rsid w:val="00C206BD"/>
    <w:rsid w:val="00C209EA"/>
    <w:rsid w:val="00C20C09"/>
    <w:rsid w:val="00C21551"/>
    <w:rsid w:val="00C2360C"/>
    <w:rsid w:val="00C23F69"/>
    <w:rsid w:val="00C24095"/>
    <w:rsid w:val="00C24A23"/>
    <w:rsid w:val="00C24C03"/>
    <w:rsid w:val="00C2569A"/>
    <w:rsid w:val="00C25D09"/>
    <w:rsid w:val="00C30902"/>
    <w:rsid w:val="00C31116"/>
    <w:rsid w:val="00C34305"/>
    <w:rsid w:val="00C35649"/>
    <w:rsid w:val="00C35A16"/>
    <w:rsid w:val="00C35D86"/>
    <w:rsid w:val="00C402DE"/>
    <w:rsid w:val="00C40451"/>
    <w:rsid w:val="00C4088D"/>
    <w:rsid w:val="00C40936"/>
    <w:rsid w:val="00C41375"/>
    <w:rsid w:val="00C41A2B"/>
    <w:rsid w:val="00C41B5D"/>
    <w:rsid w:val="00C41B73"/>
    <w:rsid w:val="00C423D7"/>
    <w:rsid w:val="00C424D3"/>
    <w:rsid w:val="00C424DE"/>
    <w:rsid w:val="00C4362E"/>
    <w:rsid w:val="00C44248"/>
    <w:rsid w:val="00C44ACB"/>
    <w:rsid w:val="00C44D23"/>
    <w:rsid w:val="00C44EAB"/>
    <w:rsid w:val="00C459CE"/>
    <w:rsid w:val="00C46DE0"/>
    <w:rsid w:val="00C46E79"/>
    <w:rsid w:val="00C47091"/>
    <w:rsid w:val="00C51706"/>
    <w:rsid w:val="00C51C28"/>
    <w:rsid w:val="00C53C75"/>
    <w:rsid w:val="00C5454F"/>
    <w:rsid w:val="00C55C3C"/>
    <w:rsid w:val="00C55CB5"/>
    <w:rsid w:val="00C56D48"/>
    <w:rsid w:val="00C60339"/>
    <w:rsid w:val="00C60938"/>
    <w:rsid w:val="00C6094B"/>
    <w:rsid w:val="00C609CE"/>
    <w:rsid w:val="00C61D05"/>
    <w:rsid w:val="00C61F48"/>
    <w:rsid w:val="00C62CD8"/>
    <w:rsid w:val="00C64AD4"/>
    <w:rsid w:val="00C656DC"/>
    <w:rsid w:val="00C667C2"/>
    <w:rsid w:val="00C66DAC"/>
    <w:rsid w:val="00C70734"/>
    <w:rsid w:val="00C70FFC"/>
    <w:rsid w:val="00C71BD8"/>
    <w:rsid w:val="00C7217B"/>
    <w:rsid w:val="00C748F8"/>
    <w:rsid w:val="00C748FD"/>
    <w:rsid w:val="00C7675B"/>
    <w:rsid w:val="00C80349"/>
    <w:rsid w:val="00C8049A"/>
    <w:rsid w:val="00C814C7"/>
    <w:rsid w:val="00C81E5A"/>
    <w:rsid w:val="00C82054"/>
    <w:rsid w:val="00C83394"/>
    <w:rsid w:val="00C8455F"/>
    <w:rsid w:val="00C8507B"/>
    <w:rsid w:val="00C861D7"/>
    <w:rsid w:val="00C86259"/>
    <w:rsid w:val="00C866A8"/>
    <w:rsid w:val="00C86785"/>
    <w:rsid w:val="00C879D6"/>
    <w:rsid w:val="00C87B02"/>
    <w:rsid w:val="00C91B28"/>
    <w:rsid w:val="00C925D1"/>
    <w:rsid w:val="00C92606"/>
    <w:rsid w:val="00C92B75"/>
    <w:rsid w:val="00C9339A"/>
    <w:rsid w:val="00C93955"/>
    <w:rsid w:val="00C9450C"/>
    <w:rsid w:val="00C949CA"/>
    <w:rsid w:val="00C9538D"/>
    <w:rsid w:val="00C954C7"/>
    <w:rsid w:val="00C95757"/>
    <w:rsid w:val="00C95BD6"/>
    <w:rsid w:val="00C96290"/>
    <w:rsid w:val="00C96292"/>
    <w:rsid w:val="00C96BB8"/>
    <w:rsid w:val="00CA1B9E"/>
    <w:rsid w:val="00CA1DF3"/>
    <w:rsid w:val="00CA2B15"/>
    <w:rsid w:val="00CA2C33"/>
    <w:rsid w:val="00CA3624"/>
    <w:rsid w:val="00CA3EDC"/>
    <w:rsid w:val="00CA487E"/>
    <w:rsid w:val="00CA601A"/>
    <w:rsid w:val="00CA67BF"/>
    <w:rsid w:val="00CA6E26"/>
    <w:rsid w:val="00CB0A29"/>
    <w:rsid w:val="00CB0CEE"/>
    <w:rsid w:val="00CB3CE5"/>
    <w:rsid w:val="00CB3FEA"/>
    <w:rsid w:val="00CB46A6"/>
    <w:rsid w:val="00CB47CC"/>
    <w:rsid w:val="00CB5EA1"/>
    <w:rsid w:val="00CB6869"/>
    <w:rsid w:val="00CB70F2"/>
    <w:rsid w:val="00CB7354"/>
    <w:rsid w:val="00CC0922"/>
    <w:rsid w:val="00CC0E59"/>
    <w:rsid w:val="00CC17B5"/>
    <w:rsid w:val="00CC1901"/>
    <w:rsid w:val="00CC2450"/>
    <w:rsid w:val="00CC55CC"/>
    <w:rsid w:val="00CC5754"/>
    <w:rsid w:val="00CC5B7D"/>
    <w:rsid w:val="00CC6A38"/>
    <w:rsid w:val="00CC7814"/>
    <w:rsid w:val="00CD009E"/>
    <w:rsid w:val="00CD0380"/>
    <w:rsid w:val="00CD063B"/>
    <w:rsid w:val="00CD0F10"/>
    <w:rsid w:val="00CD15A0"/>
    <w:rsid w:val="00CD1675"/>
    <w:rsid w:val="00CD2285"/>
    <w:rsid w:val="00CD256C"/>
    <w:rsid w:val="00CD3C33"/>
    <w:rsid w:val="00CD3E89"/>
    <w:rsid w:val="00CD44D9"/>
    <w:rsid w:val="00CD556D"/>
    <w:rsid w:val="00CD5E39"/>
    <w:rsid w:val="00CD678A"/>
    <w:rsid w:val="00CD7B80"/>
    <w:rsid w:val="00CD7D63"/>
    <w:rsid w:val="00CE04FD"/>
    <w:rsid w:val="00CE1073"/>
    <w:rsid w:val="00CE13E8"/>
    <w:rsid w:val="00CE1B3B"/>
    <w:rsid w:val="00CE246A"/>
    <w:rsid w:val="00CE2617"/>
    <w:rsid w:val="00CE2C57"/>
    <w:rsid w:val="00CE3D39"/>
    <w:rsid w:val="00CE45A5"/>
    <w:rsid w:val="00CE49EA"/>
    <w:rsid w:val="00CE5997"/>
    <w:rsid w:val="00CE673C"/>
    <w:rsid w:val="00CE6752"/>
    <w:rsid w:val="00CE68F0"/>
    <w:rsid w:val="00CE70C8"/>
    <w:rsid w:val="00CE7243"/>
    <w:rsid w:val="00CE7FE8"/>
    <w:rsid w:val="00CF132A"/>
    <w:rsid w:val="00CF1547"/>
    <w:rsid w:val="00CF1599"/>
    <w:rsid w:val="00CF168B"/>
    <w:rsid w:val="00CF1EA8"/>
    <w:rsid w:val="00CF29CF"/>
    <w:rsid w:val="00CF3602"/>
    <w:rsid w:val="00CF37F3"/>
    <w:rsid w:val="00CF562A"/>
    <w:rsid w:val="00CF5D17"/>
    <w:rsid w:val="00D0188B"/>
    <w:rsid w:val="00D024F9"/>
    <w:rsid w:val="00D02BCE"/>
    <w:rsid w:val="00D02C19"/>
    <w:rsid w:val="00D039CD"/>
    <w:rsid w:val="00D03F91"/>
    <w:rsid w:val="00D05AF3"/>
    <w:rsid w:val="00D0618A"/>
    <w:rsid w:val="00D06350"/>
    <w:rsid w:val="00D0682E"/>
    <w:rsid w:val="00D07798"/>
    <w:rsid w:val="00D102D6"/>
    <w:rsid w:val="00D12C0B"/>
    <w:rsid w:val="00D13501"/>
    <w:rsid w:val="00D13BBD"/>
    <w:rsid w:val="00D13FA4"/>
    <w:rsid w:val="00D14615"/>
    <w:rsid w:val="00D1492D"/>
    <w:rsid w:val="00D161CE"/>
    <w:rsid w:val="00D167B2"/>
    <w:rsid w:val="00D16801"/>
    <w:rsid w:val="00D17753"/>
    <w:rsid w:val="00D17D50"/>
    <w:rsid w:val="00D20539"/>
    <w:rsid w:val="00D20F23"/>
    <w:rsid w:val="00D21447"/>
    <w:rsid w:val="00D21B83"/>
    <w:rsid w:val="00D22583"/>
    <w:rsid w:val="00D2361C"/>
    <w:rsid w:val="00D256BD"/>
    <w:rsid w:val="00D25FCA"/>
    <w:rsid w:val="00D261B1"/>
    <w:rsid w:val="00D26D23"/>
    <w:rsid w:val="00D27180"/>
    <w:rsid w:val="00D31267"/>
    <w:rsid w:val="00D31975"/>
    <w:rsid w:val="00D31BCF"/>
    <w:rsid w:val="00D31E7C"/>
    <w:rsid w:val="00D324E9"/>
    <w:rsid w:val="00D34B67"/>
    <w:rsid w:val="00D4012C"/>
    <w:rsid w:val="00D40203"/>
    <w:rsid w:val="00D40D7C"/>
    <w:rsid w:val="00D41833"/>
    <w:rsid w:val="00D42C77"/>
    <w:rsid w:val="00D437F1"/>
    <w:rsid w:val="00D439AE"/>
    <w:rsid w:val="00D43BB8"/>
    <w:rsid w:val="00D44B92"/>
    <w:rsid w:val="00D468DD"/>
    <w:rsid w:val="00D47493"/>
    <w:rsid w:val="00D479D1"/>
    <w:rsid w:val="00D479F0"/>
    <w:rsid w:val="00D50BB5"/>
    <w:rsid w:val="00D50C65"/>
    <w:rsid w:val="00D50DED"/>
    <w:rsid w:val="00D52743"/>
    <w:rsid w:val="00D535A8"/>
    <w:rsid w:val="00D53ADD"/>
    <w:rsid w:val="00D53C30"/>
    <w:rsid w:val="00D547DA"/>
    <w:rsid w:val="00D54F2D"/>
    <w:rsid w:val="00D551BC"/>
    <w:rsid w:val="00D5766C"/>
    <w:rsid w:val="00D576E9"/>
    <w:rsid w:val="00D577AD"/>
    <w:rsid w:val="00D5795A"/>
    <w:rsid w:val="00D60379"/>
    <w:rsid w:val="00D60812"/>
    <w:rsid w:val="00D610E6"/>
    <w:rsid w:val="00D6187C"/>
    <w:rsid w:val="00D61CD7"/>
    <w:rsid w:val="00D62110"/>
    <w:rsid w:val="00D630EF"/>
    <w:rsid w:val="00D643BB"/>
    <w:rsid w:val="00D643F6"/>
    <w:rsid w:val="00D66C33"/>
    <w:rsid w:val="00D66F0E"/>
    <w:rsid w:val="00D67D96"/>
    <w:rsid w:val="00D7119E"/>
    <w:rsid w:val="00D72256"/>
    <w:rsid w:val="00D73C27"/>
    <w:rsid w:val="00D75BB1"/>
    <w:rsid w:val="00D76560"/>
    <w:rsid w:val="00D76FC9"/>
    <w:rsid w:val="00D773BD"/>
    <w:rsid w:val="00D774E2"/>
    <w:rsid w:val="00D779FC"/>
    <w:rsid w:val="00D80247"/>
    <w:rsid w:val="00D81C64"/>
    <w:rsid w:val="00D81EBF"/>
    <w:rsid w:val="00D82D93"/>
    <w:rsid w:val="00D8514E"/>
    <w:rsid w:val="00D85A42"/>
    <w:rsid w:val="00D85F3D"/>
    <w:rsid w:val="00D8652F"/>
    <w:rsid w:val="00D8680A"/>
    <w:rsid w:val="00D86FDF"/>
    <w:rsid w:val="00D918B7"/>
    <w:rsid w:val="00D93958"/>
    <w:rsid w:val="00D94957"/>
    <w:rsid w:val="00D958BA"/>
    <w:rsid w:val="00D9596D"/>
    <w:rsid w:val="00D95C18"/>
    <w:rsid w:val="00D9706F"/>
    <w:rsid w:val="00D97177"/>
    <w:rsid w:val="00D971B8"/>
    <w:rsid w:val="00D97ECD"/>
    <w:rsid w:val="00DA06EB"/>
    <w:rsid w:val="00DA1379"/>
    <w:rsid w:val="00DA391F"/>
    <w:rsid w:val="00DA59DE"/>
    <w:rsid w:val="00DA6A61"/>
    <w:rsid w:val="00DA78BF"/>
    <w:rsid w:val="00DB23FD"/>
    <w:rsid w:val="00DB3669"/>
    <w:rsid w:val="00DB4519"/>
    <w:rsid w:val="00DB6DCE"/>
    <w:rsid w:val="00DC135E"/>
    <w:rsid w:val="00DC25AE"/>
    <w:rsid w:val="00DC26A2"/>
    <w:rsid w:val="00DC307F"/>
    <w:rsid w:val="00DC393B"/>
    <w:rsid w:val="00DC3DA7"/>
    <w:rsid w:val="00DC4BD3"/>
    <w:rsid w:val="00DC4D61"/>
    <w:rsid w:val="00DC6411"/>
    <w:rsid w:val="00DC69A6"/>
    <w:rsid w:val="00DC7048"/>
    <w:rsid w:val="00DC7211"/>
    <w:rsid w:val="00DC72E0"/>
    <w:rsid w:val="00DC7ECE"/>
    <w:rsid w:val="00DD0277"/>
    <w:rsid w:val="00DD1D74"/>
    <w:rsid w:val="00DD2444"/>
    <w:rsid w:val="00DD3051"/>
    <w:rsid w:val="00DD3216"/>
    <w:rsid w:val="00DD322B"/>
    <w:rsid w:val="00DD3FD8"/>
    <w:rsid w:val="00DD5278"/>
    <w:rsid w:val="00DD5B09"/>
    <w:rsid w:val="00DD61AB"/>
    <w:rsid w:val="00DD6B4A"/>
    <w:rsid w:val="00DD7BC2"/>
    <w:rsid w:val="00DE0530"/>
    <w:rsid w:val="00DE128E"/>
    <w:rsid w:val="00DE236C"/>
    <w:rsid w:val="00DE29AA"/>
    <w:rsid w:val="00DE2E3E"/>
    <w:rsid w:val="00DE3C1D"/>
    <w:rsid w:val="00DE541B"/>
    <w:rsid w:val="00DE5439"/>
    <w:rsid w:val="00DE5EA2"/>
    <w:rsid w:val="00DE65B2"/>
    <w:rsid w:val="00DE6948"/>
    <w:rsid w:val="00DE6BAA"/>
    <w:rsid w:val="00DE7351"/>
    <w:rsid w:val="00DF00BD"/>
    <w:rsid w:val="00DF01C2"/>
    <w:rsid w:val="00DF0C4E"/>
    <w:rsid w:val="00DF1D05"/>
    <w:rsid w:val="00DF2151"/>
    <w:rsid w:val="00DF22D3"/>
    <w:rsid w:val="00DF2B56"/>
    <w:rsid w:val="00DF300B"/>
    <w:rsid w:val="00DF3023"/>
    <w:rsid w:val="00DF5EA3"/>
    <w:rsid w:val="00DF6078"/>
    <w:rsid w:val="00DF6300"/>
    <w:rsid w:val="00DF6F33"/>
    <w:rsid w:val="00E003CF"/>
    <w:rsid w:val="00E00B0B"/>
    <w:rsid w:val="00E040DC"/>
    <w:rsid w:val="00E041D9"/>
    <w:rsid w:val="00E04FAF"/>
    <w:rsid w:val="00E050CD"/>
    <w:rsid w:val="00E062DE"/>
    <w:rsid w:val="00E06F84"/>
    <w:rsid w:val="00E128DD"/>
    <w:rsid w:val="00E13F1A"/>
    <w:rsid w:val="00E173B4"/>
    <w:rsid w:val="00E178CF"/>
    <w:rsid w:val="00E17DA9"/>
    <w:rsid w:val="00E207EB"/>
    <w:rsid w:val="00E214A2"/>
    <w:rsid w:val="00E214C6"/>
    <w:rsid w:val="00E21D9C"/>
    <w:rsid w:val="00E22DAA"/>
    <w:rsid w:val="00E2435E"/>
    <w:rsid w:val="00E24955"/>
    <w:rsid w:val="00E25659"/>
    <w:rsid w:val="00E26546"/>
    <w:rsid w:val="00E269D2"/>
    <w:rsid w:val="00E27B8C"/>
    <w:rsid w:val="00E304BD"/>
    <w:rsid w:val="00E30B81"/>
    <w:rsid w:val="00E314F8"/>
    <w:rsid w:val="00E316DA"/>
    <w:rsid w:val="00E3212C"/>
    <w:rsid w:val="00E34A2F"/>
    <w:rsid w:val="00E34CA2"/>
    <w:rsid w:val="00E35739"/>
    <w:rsid w:val="00E35872"/>
    <w:rsid w:val="00E40143"/>
    <w:rsid w:val="00E40910"/>
    <w:rsid w:val="00E41D96"/>
    <w:rsid w:val="00E4250F"/>
    <w:rsid w:val="00E4284B"/>
    <w:rsid w:val="00E439F2"/>
    <w:rsid w:val="00E43C09"/>
    <w:rsid w:val="00E449B9"/>
    <w:rsid w:val="00E456A0"/>
    <w:rsid w:val="00E45A1C"/>
    <w:rsid w:val="00E4771A"/>
    <w:rsid w:val="00E50020"/>
    <w:rsid w:val="00E51113"/>
    <w:rsid w:val="00E51357"/>
    <w:rsid w:val="00E51427"/>
    <w:rsid w:val="00E51827"/>
    <w:rsid w:val="00E52223"/>
    <w:rsid w:val="00E53D3B"/>
    <w:rsid w:val="00E54628"/>
    <w:rsid w:val="00E547CD"/>
    <w:rsid w:val="00E555B7"/>
    <w:rsid w:val="00E555E2"/>
    <w:rsid w:val="00E5560C"/>
    <w:rsid w:val="00E56368"/>
    <w:rsid w:val="00E60068"/>
    <w:rsid w:val="00E6011C"/>
    <w:rsid w:val="00E61834"/>
    <w:rsid w:val="00E61AD0"/>
    <w:rsid w:val="00E634D7"/>
    <w:rsid w:val="00E647E3"/>
    <w:rsid w:val="00E647F8"/>
    <w:rsid w:val="00E6549E"/>
    <w:rsid w:val="00E65628"/>
    <w:rsid w:val="00E658AF"/>
    <w:rsid w:val="00E66230"/>
    <w:rsid w:val="00E66711"/>
    <w:rsid w:val="00E67187"/>
    <w:rsid w:val="00E70A91"/>
    <w:rsid w:val="00E72607"/>
    <w:rsid w:val="00E73C29"/>
    <w:rsid w:val="00E745DD"/>
    <w:rsid w:val="00E74995"/>
    <w:rsid w:val="00E74D87"/>
    <w:rsid w:val="00E76F7E"/>
    <w:rsid w:val="00E81687"/>
    <w:rsid w:val="00E81DAA"/>
    <w:rsid w:val="00E82655"/>
    <w:rsid w:val="00E8349A"/>
    <w:rsid w:val="00E834D5"/>
    <w:rsid w:val="00E85942"/>
    <w:rsid w:val="00E85EF8"/>
    <w:rsid w:val="00E8721F"/>
    <w:rsid w:val="00E878A2"/>
    <w:rsid w:val="00E87B2C"/>
    <w:rsid w:val="00E902CC"/>
    <w:rsid w:val="00E90587"/>
    <w:rsid w:val="00E905A1"/>
    <w:rsid w:val="00E9073B"/>
    <w:rsid w:val="00E90D7F"/>
    <w:rsid w:val="00E919C9"/>
    <w:rsid w:val="00E92125"/>
    <w:rsid w:val="00E92688"/>
    <w:rsid w:val="00E93284"/>
    <w:rsid w:val="00E94854"/>
    <w:rsid w:val="00E95F2A"/>
    <w:rsid w:val="00E96154"/>
    <w:rsid w:val="00E96794"/>
    <w:rsid w:val="00E97DE6"/>
    <w:rsid w:val="00EA291F"/>
    <w:rsid w:val="00EA414E"/>
    <w:rsid w:val="00EA46E1"/>
    <w:rsid w:val="00EA4A1D"/>
    <w:rsid w:val="00EA4EC6"/>
    <w:rsid w:val="00EA4F37"/>
    <w:rsid w:val="00EA56F1"/>
    <w:rsid w:val="00EA594D"/>
    <w:rsid w:val="00EA59B1"/>
    <w:rsid w:val="00EA5D55"/>
    <w:rsid w:val="00EA655C"/>
    <w:rsid w:val="00EA7386"/>
    <w:rsid w:val="00EA7896"/>
    <w:rsid w:val="00EA7D2D"/>
    <w:rsid w:val="00EB0B3E"/>
    <w:rsid w:val="00EB15DA"/>
    <w:rsid w:val="00EB24F2"/>
    <w:rsid w:val="00EB27E9"/>
    <w:rsid w:val="00EB2DEE"/>
    <w:rsid w:val="00EB5922"/>
    <w:rsid w:val="00EB5C51"/>
    <w:rsid w:val="00EB65FD"/>
    <w:rsid w:val="00EB6796"/>
    <w:rsid w:val="00EB6E5F"/>
    <w:rsid w:val="00EC0CBF"/>
    <w:rsid w:val="00EC14DF"/>
    <w:rsid w:val="00EC21B0"/>
    <w:rsid w:val="00EC2923"/>
    <w:rsid w:val="00EC29F7"/>
    <w:rsid w:val="00EC4744"/>
    <w:rsid w:val="00EC66ED"/>
    <w:rsid w:val="00EC6A17"/>
    <w:rsid w:val="00EC6B62"/>
    <w:rsid w:val="00EC6E73"/>
    <w:rsid w:val="00EC74E4"/>
    <w:rsid w:val="00ED05D8"/>
    <w:rsid w:val="00ED0926"/>
    <w:rsid w:val="00ED10DD"/>
    <w:rsid w:val="00ED15FC"/>
    <w:rsid w:val="00ED25C3"/>
    <w:rsid w:val="00ED3931"/>
    <w:rsid w:val="00ED4265"/>
    <w:rsid w:val="00ED48FF"/>
    <w:rsid w:val="00ED4F1D"/>
    <w:rsid w:val="00ED50BF"/>
    <w:rsid w:val="00ED65E0"/>
    <w:rsid w:val="00ED6B8E"/>
    <w:rsid w:val="00ED6D95"/>
    <w:rsid w:val="00ED6F02"/>
    <w:rsid w:val="00ED72C1"/>
    <w:rsid w:val="00EE1C1D"/>
    <w:rsid w:val="00EE3DC2"/>
    <w:rsid w:val="00EE3E01"/>
    <w:rsid w:val="00EE4DCA"/>
    <w:rsid w:val="00EE5189"/>
    <w:rsid w:val="00EE545E"/>
    <w:rsid w:val="00EE59E7"/>
    <w:rsid w:val="00EE5CB3"/>
    <w:rsid w:val="00EE6D33"/>
    <w:rsid w:val="00EE7350"/>
    <w:rsid w:val="00EE766B"/>
    <w:rsid w:val="00EE77CD"/>
    <w:rsid w:val="00EE7C36"/>
    <w:rsid w:val="00EF02C4"/>
    <w:rsid w:val="00EF0E64"/>
    <w:rsid w:val="00EF193B"/>
    <w:rsid w:val="00EF1ECE"/>
    <w:rsid w:val="00EF201E"/>
    <w:rsid w:val="00EF610A"/>
    <w:rsid w:val="00EF68EE"/>
    <w:rsid w:val="00EF77AD"/>
    <w:rsid w:val="00F01400"/>
    <w:rsid w:val="00F0192F"/>
    <w:rsid w:val="00F027B2"/>
    <w:rsid w:val="00F0355B"/>
    <w:rsid w:val="00F04080"/>
    <w:rsid w:val="00F05AA4"/>
    <w:rsid w:val="00F05DE3"/>
    <w:rsid w:val="00F06512"/>
    <w:rsid w:val="00F07935"/>
    <w:rsid w:val="00F10108"/>
    <w:rsid w:val="00F14B47"/>
    <w:rsid w:val="00F154E9"/>
    <w:rsid w:val="00F165C5"/>
    <w:rsid w:val="00F175F1"/>
    <w:rsid w:val="00F17D24"/>
    <w:rsid w:val="00F21327"/>
    <w:rsid w:val="00F23814"/>
    <w:rsid w:val="00F23AC8"/>
    <w:rsid w:val="00F2598E"/>
    <w:rsid w:val="00F26372"/>
    <w:rsid w:val="00F26462"/>
    <w:rsid w:val="00F26E93"/>
    <w:rsid w:val="00F27298"/>
    <w:rsid w:val="00F27530"/>
    <w:rsid w:val="00F3061D"/>
    <w:rsid w:val="00F32065"/>
    <w:rsid w:val="00F35186"/>
    <w:rsid w:val="00F36F25"/>
    <w:rsid w:val="00F37217"/>
    <w:rsid w:val="00F3742E"/>
    <w:rsid w:val="00F40CD7"/>
    <w:rsid w:val="00F40D52"/>
    <w:rsid w:val="00F40D6D"/>
    <w:rsid w:val="00F41BB6"/>
    <w:rsid w:val="00F420A4"/>
    <w:rsid w:val="00F42173"/>
    <w:rsid w:val="00F43948"/>
    <w:rsid w:val="00F43B2E"/>
    <w:rsid w:val="00F44458"/>
    <w:rsid w:val="00F44BDA"/>
    <w:rsid w:val="00F45F98"/>
    <w:rsid w:val="00F46B51"/>
    <w:rsid w:val="00F46E5F"/>
    <w:rsid w:val="00F47E44"/>
    <w:rsid w:val="00F506C7"/>
    <w:rsid w:val="00F50BB2"/>
    <w:rsid w:val="00F50ECD"/>
    <w:rsid w:val="00F51399"/>
    <w:rsid w:val="00F52E21"/>
    <w:rsid w:val="00F537A6"/>
    <w:rsid w:val="00F544E4"/>
    <w:rsid w:val="00F548BB"/>
    <w:rsid w:val="00F54FCD"/>
    <w:rsid w:val="00F559EF"/>
    <w:rsid w:val="00F561B7"/>
    <w:rsid w:val="00F565E1"/>
    <w:rsid w:val="00F56AE7"/>
    <w:rsid w:val="00F577FF"/>
    <w:rsid w:val="00F60A3C"/>
    <w:rsid w:val="00F60C61"/>
    <w:rsid w:val="00F6237C"/>
    <w:rsid w:val="00F62D4C"/>
    <w:rsid w:val="00F62E24"/>
    <w:rsid w:val="00F652DB"/>
    <w:rsid w:val="00F65A0C"/>
    <w:rsid w:val="00F6622B"/>
    <w:rsid w:val="00F66E4D"/>
    <w:rsid w:val="00F7114A"/>
    <w:rsid w:val="00F7116F"/>
    <w:rsid w:val="00F7120A"/>
    <w:rsid w:val="00F71ABF"/>
    <w:rsid w:val="00F71B38"/>
    <w:rsid w:val="00F722B4"/>
    <w:rsid w:val="00F72364"/>
    <w:rsid w:val="00F734AA"/>
    <w:rsid w:val="00F7391E"/>
    <w:rsid w:val="00F73C63"/>
    <w:rsid w:val="00F749CF"/>
    <w:rsid w:val="00F75541"/>
    <w:rsid w:val="00F75E56"/>
    <w:rsid w:val="00F772CE"/>
    <w:rsid w:val="00F772D4"/>
    <w:rsid w:val="00F80D22"/>
    <w:rsid w:val="00F81771"/>
    <w:rsid w:val="00F81E67"/>
    <w:rsid w:val="00F82959"/>
    <w:rsid w:val="00F8331E"/>
    <w:rsid w:val="00F839CD"/>
    <w:rsid w:val="00F83CCF"/>
    <w:rsid w:val="00F83D62"/>
    <w:rsid w:val="00F8449A"/>
    <w:rsid w:val="00F84581"/>
    <w:rsid w:val="00F85552"/>
    <w:rsid w:val="00F856F0"/>
    <w:rsid w:val="00F86BE9"/>
    <w:rsid w:val="00F8728D"/>
    <w:rsid w:val="00F87CF3"/>
    <w:rsid w:val="00F917BF"/>
    <w:rsid w:val="00F91B79"/>
    <w:rsid w:val="00F92FF8"/>
    <w:rsid w:val="00F93242"/>
    <w:rsid w:val="00F93728"/>
    <w:rsid w:val="00F93D21"/>
    <w:rsid w:val="00F95783"/>
    <w:rsid w:val="00F96DFD"/>
    <w:rsid w:val="00F97AC4"/>
    <w:rsid w:val="00F97EC8"/>
    <w:rsid w:val="00FA2BAB"/>
    <w:rsid w:val="00FA32B7"/>
    <w:rsid w:val="00FA40A1"/>
    <w:rsid w:val="00FA5348"/>
    <w:rsid w:val="00FA7038"/>
    <w:rsid w:val="00FA7BC4"/>
    <w:rsid w:val="00FB0D2E"/>
    <w:rsid w:val="00FB1206"/>
    <w:rsid w:val="00FB150C"/>
    <w:rsid w:val="00FB1AF0"/>
    <w:rsid w:val="00FB2168"/>
    <w:rsid w:val="00FB2399"/>
    <w:rsid w:val="00FB281B"/>
    <w:rsid w:val="00FB3B79"/>
    <w:rsid w:val="00FB58A2"/>
    <w:rsid w:val="00FB685E"/>
    <w:rsid w:val="00FB6AD2"/>
    <w:rsid w:val="00FB75E4"/>
    <w:rsid w:val="00FB7616"/>
    <w:rsid w:val="00FB79C0"/>
    <w:rsid w:val="00FC1388"/>
    <w:rsid w:val="00FC28CD"/>
    <w:rsid w:val="00FC2900"/>
    <w:rsid w:val="00FC2E48"/>
    <w:rsid w:val="00FC30BF"/>
    <w:rsid w:val="00FC3144"/>
    <w:rsid w:val="00FC3EE0"/>
    <w:rsid w:val="00FC4003"/>
    <w:rsid w:val="00FC4006"/>
    <w:rsid w:val="00FC4F13"/>
    <w:rsid w:val="00FC57BC"/>
    <w:rsid w:val="00FC5A03"/>
    <w:rsid w:val="00FC6B73"/>
    <w:rsid w:val="00FD0DF1"/>
    <w:rsid w:val="00FD346C"/>
    <w:rsid w:val="00FD3B47"/>
    <w:rsid w:val="00FD3FF5"/>
    <w:rsid w:val="00FD50AD"/>
    <w:rsid w:val="00FD57B4"/>
    <w:rsid w:val="00FD5A2F"/>
    <w:rsid w:val="00FD65F5"/>
    <w:rsid w:val="00FE0482"/>
    <w:rsid w:val="00FE0998"/>
    <w:rsid w:val="00FE0E4B"/>
    <w:rsid w:val="00FE1325"/>
    <w:rsid w:val="00FE1986"/>
    <w:rsid w:val="00FE20A0"/>
    <w:rsid w:val="00FE25A3"/>
    <w:rsid w:val="00FE278F"/>
    <w:rsid w:val="00FE2879"/>
    <w:rsid w:val="00FE2A9A"/>
    <w:rsid w:val="00FE378D"/>
    <w:rsid w:val="00FE37FA"/>
    <w:rsid w:val="00FE3F90"/>
    <w:rsid w:val="00FE68EE"/>
    <w:rsid w:val="00FE77E7"/>
    <w:rsid w:val="00FF079F"/>
    <w:rsid w:val="00FF1039"/>
    <w:rsid w:val="00FF17BE"/>
    <w:rsid w:val="00FF1B7C"/>
    <w:rsid w:val="00FF1DF3"/>
    <w:rsid w:val="00FF2437"/>
    <w:rsid w:val="00FF2BC6"/>
    <w:rsid w:val="00FF37BE"/>
    <w:rsid w:val="00FF466B"/>
    <w:rsid w:val="00FF5425"/>
    <w:rsid w:val="00FF5D96"/>
    <w:rsid w:val="00FF66AB"/>
    <w:rsid w:val="00FF6E73"/>
    <w:rsid w:val="00FF79B4"/>
    <w:rsid w:val="00FF7E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799950-5A6B-4FC5-8D51-440D928F9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2569A"/>
    <w:rPr>
      <w:sz w:val="24"/>
      <w:szCs w:val="24"/>
    </w:rPr>
  </w:style>
  <w:style w:type="paragraph" w:styleId="Ttulo1">
    <w:name w:val="heading 1"/>
    <w:basedOn w:val="Normal"/>
    <w:next w:val="Normal"/>
    <w:link w:val="Ttulo1Char"/>
    <w:uiPriority w:val="99"/>
    <w:qFormat/>
    <w:rsid w:val="00C2569A"/>
    <w:pPr>
      <w:keepNext/>
      <w:outlineLvl w:val="0"/>
    </w:pPr>
    <w:rPr>
      <w:b/>
      <w:bCs/>
    </w:rPr>
  </w:style>
  <w:style w:type="paragraph" w:styleId="Ttulo2">
    <w:name w:val="heading 2"/>
    <w:basedOn w:val="Normal"/>
    <w:next w:val="Normal"/>
    <w:link w:val="Ttulo2Char"/>
    <w:uiPriority w:val="99"/>
    <w:qFormat/>
    <w:rsid w:val="00C2569A"/>
    <w:pPr>
      <w:keepNext/>
      <w:jc w:val="both"/>
      <w:outlineLvl w:val="1"/>
    </w:pPr>
    <w:rPr>
      <w:szCs w:val="20"/>
    </w:rPr>
  </w:style>
  <w:style w:type="paragraph" w:styleId="Ttulo3">
    <w:name w:val="heading 3"/>
    <w:basedOn w:val="Normal"/>
    <w:next w:val="Normal"/>
    <w:link w:val="Ttulo3Char"/>
    <w:uiPriority w:val="99"/>
    <w:qFormat/>
    <w:rsid w:val="00C2569A"/>
    <w:pPr>
      <w:keepNext/>
      <w:ind w:firstLine="136"/>
      <w:outlineLvl w:val="2"/>
    </w:pPr>
    <w:rPr>
      <w:rFonts w:ascii="Arial" w:hAnsi="Arial" w:cs="Arial"/>
      <w:i/>
      <w:iCs/>
      <w:sz w:val="16"/>
      <w:szCs w:val="14"/>
    </w:rPr>
  </w:style>
  <w:style w:type="paragraph" w:styleId="Ttulo4">
    <w:name w:val="heading 4"/>
    <w:basedOn w:val="Normal"/>
    <w:next w:val="Normal"/>
    <w:link w:val="Ttulo4Char"/>
    <w:uiPriority w:val="99"/>
    <w:qFormat/>
    <w:rsid w:val="00C2569A"/>
    <w:pPr>
      <w:keepNext/>
      <w:ind w:firstLine="136"/>
      <w:jc w:val="center"/>
      <w:outlineLvl w:val="3"/>
    </w:pPr>
    <w:rPr>
      <w:rFonts w:ascii="Arial" w:hAnsi="Arial" w:cs="Arial"/>
      <w:b/>
      <w:bCs/>
      <w:i/>
      <w:iCs/>
      <w:sz w:val="16"/>
      <w:szCs w:val="14"/>
      <w:lang w:val="en-US"/>
    </w:rPr>
  </w:style>
  <w:style w:type="paragraph" w:styleId="Ttulo5">
    <w:name w:val="heading 5"/>
    <w:basedOn w:val="Normal"/>
    <w:next w:val="Normal"/>
    <w:link w:val="Ttulo5Char"/>
    <w:uiPriority w:val="99"/>
    <w:qFormat/>
    <w:rsid w:val="00C2569A"/>
    <w:pPr>
      <w:keepNext/>
      <w:autoSpaceDE w:val="0"/>
      <w:autoSpaceDN w:val="0"/>
      <w:adjustRightInd w:val="0"/>
      <w:jc w:val="both"/>
      <w:outlineLvl w:val="4"/>
    </w:pPr>
    <w:rPr>
      <w:b/>
    </w:rPr>
  </w:style>
  <w:style w:type="paragraph" w:styleId="Ttulo6">
    <w:name w:val="heading 6"/>
    <w:basedOn w:val="Normal"/>
    <w:next w:val="Normal"/>
    <w:link w:val="Ttulo6Char"/>
    <w:uiPriority w:val="99"/>
    <w:qFormat/>
    <w:rsid w:val="00C2569A"/>
    <w:pPr>
      <w:keepNext/>
      <w:outlineLvl w:val="5"/>
    </w:pPr>
    <w:rPr>
      <w:rFonts w:ascii="Arial" w:hAnsi="Arial" w:cs="Arial"/>
      <w:b/>
      <w:bCs/>
      <w:sz w:val="16"/>
      <w:szCs w:val="1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1214F0"/>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1214F0"/>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1214F0"/>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1214F0"/>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1214F0"/>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1214F0"/>
    <w:rPr>
      <w:rFonts w:ascii="Calibri" w:hAnsi="Calibri" w:cs="Times New Roman"/>
      <w:b/>
      <w:bCs/>
    </w:rPr>
  </w:style>
  <w:style w:type="paragraph" w:styleId="Recuodecorpodetexto3">
    <w:name w:val="Body Text Indent 3"/>
    <w:basedOn w:val="Normal"/>
    <w:link w:val="Recuodecorpodetexto3Char"/>
    <w:uiPriority w:val="99"/>
    <w:rsid w:val="00C2569A"/>
    <w:pPr>
      <w:ind w:left="3060"/>
    </w:pPr>
    <w:rPr>
      <w:b/>
      <w:bCs/>
      <w:i/>
      <w:iCs/>
    </w:rPr>
  </w:style>
  <w:style w:type="character" w:customStyle="1" w:styleId="Recuodecorpodetexto3Char">
    <w:name w:val="Recuo de corpo de texto 3 Char"/>
    <w:basedOn w:val="Fontepargpadro"/>
    <w:link w:val="Recuodecorpodetexto3"/>
    <w:uiPriority w:val="99"/>
    <w:semiHidden/>
    <w:locked/>
    <w:rsid w:val="001214F0"/>
    <w:rPr>
      <w:rFonts w:cs="Times New Roman"/>
      <w:sz w:val="16"/>
      <w:szCs w:val="16"/>
    </w:rPr>
  </w:style>
  <w:style w:type="paragraph" w:styleId="Cabealho">
    <w:name w:val="header"/>
    <w:basedOn w:val="Normal"/>
    <w:link w:val="CabealhoChar"/>
    <w:uiPriority w:val="99"/>
    <w:rsid w:val="00C2569A"/>
    <w:pPr>
      <w:widowControl w:val="0"/>
      <w:tabs>
        <w:tab w:val="center" w:pos="4419"/>
        <w:tab w:val="right" w:pos="8838"/>
      </w:tabs>
    </w:pPr>
    <w:rPr>
      <w:sz w:val="20"/>
      <w:szCs w:val="20"/>
      <w:lang w:eastAsia="en-US"/>
    </w:rPr>
  </w:style>
  <w:style w:type="character" w:customStyle="1" w:styleId="CabealhoChar">
    <w:name w:val="Cabeçalho Char"/>
    <w:basedOn w:val="Fontepargpadro"/>
    <w:link w:val="Cabealho"/>
    <w:uiPriority w:val="99"/>
    <w:semiHidden/>
    <w:locked/>
    <w:rsid w:val="001214F0"/>
    <w:rPr>
      <w:rFonts w:cs="Times New Roman"/>
      <w:sz w:val="24"/>
      <w:szCs w:val="24"/>
    </w:rPr>
  </w:style>
  <w:style w:type="paragraph" w:styleId="Recuodecorpodetexto">
    <w:name w:val="Body Text Indent"/>
    <w:basedOn w:val="Normal"/>
    <w:link w:val="RecuodecorpodetextoChar"/>
    <w:rsid w:val="00C2569A"/>
    <w:pPr>
      <w:ind w:firstLine="708"/>
      <w:jc w:val="both"/>
    </w:pPr>
  </w:style>
  <w:style w:type="character" w:customStyle="1" w:styleId="RecuodecorpodetextoChar">
    <w:name w:val="Recuo de corpo de texto Char"/>
    <w:basedOn w:val="Fontepargpadro"/>
    <w:link w:val="Recuodecorpodetexto"/>
    <w:locked/>
    <w:rsid w:val="00563922"/>
    <w:rPr>
      <w:rFonts w:cs="Times New Roman"/>
      <w:sz w:val="24"/>
      <w:szCs w:val="24"/>
    </w:rPr>
  </w:style>
  <w:style w:type="paragraph" w:styleId="Recuodecorpodetexto2">
    <w:name w:val="Body Text Indent 2"/>
    <w:basedOn w:val="Normal"/>
    <w:link w:val="Recuodecorpodetexto2Char"/>
    <w:uiPriority w:val="99"/>
    <w:rsid w:val="00C2569A"/>
    <w:pPr>
      <w:spacing w:after="120"/>
      <w:ind w:firstLine="709"/>
      <w:jc w:val="both"/>
    </w:pPr>
    <w:rPr>
      <w:szCs w:val="20"/>
    </w:rPr>
  </w:style>
  <w:style w:type="character" w:customStyle="1" w:styleId="Recuodecorpodetexto2Char">
    <w:name w:val="Recuo de corpo de texto 2 Char"/>
    <w:basedOn w:val="Fontepargpadro"/>
    <w:link w:val="Recuodecorpodetexto2"/>
    <w:uiPriority w:val="99"/>
    <w:locked/>
    <w:rsid w:val="00332895"/>
    <w:rPr>
      <w:rFonts w:cs="Times New Roman"/>
      <w:sz w:val="24"/>
    </w:rPr>
  </w:style>
  <w:style w:type="paragraph" w:customStyle="1" w:styleId="xl29">
    <w:name w:val="xl29"/>
    <w:basedOn w:val="Normal"/>
    <w:uiPriority w:val="99"/>
    <w:rsid w:val="00C2569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0">
    <w:name w:val="xl30"/>
    <w:basedOn w:val="Normal"/>
    <w:uiPriority w:val="99"/>
    <w:rsid w:val="00C2569A"/>
    <w:pPr>
      <w:pBdr>
        <w:top w:val="single" w:sz="4" w:space="0" w:color="auto"/>
        <w:lef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1">
    <w:name w:val="xl31"/>
    <w:basedOn w:val="Normal"/>
    <w:uiPriority w:val="99"/>
    <w:rsid w:val="00C2569A"/>
    <w:pPr>
      <w:pBdr>
        <w:top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2">
    <w:name w:val="xl32"/>
    <w:basedOn w:val="Normal"/>
    <w:uiPriority w:val="99"/>
    <w:rsid w:val="00C2569A"/>
    <w:pPr>
      <w:pBdr>
        <w:top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3">
    <w:name w:val="xl33"/>
    <w:basedOn w:val="Normal"/>
    <w:uiPriority w:val="99"/>
    <w:rsid w:val="00C2569A"/>
    <w:pPr>
      <w:pBdr>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4">
    <w:name w:val="xl34"/>
    <w:basedOn w:val="Normal"/>
    <w:uiPriority w:val="99"/>
    <w:rsid w:val="00C2569A"/>
    <w:pPr>
      <w:pBdr>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5">
    <w:name w:val="xl35"/>
    <w:basedOn w:val="Normal"/>
    <w:uiPriority w:val="99"/>
    <w:rsid w:val="00C2569A"/>
    <w:pPr>
      <w:pBdr>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6">
    <w:name w:val="xl36"/>
    <w:basedOn w:val="Normal"/>
    <w:uiPriority w:val="99"/>
    <w:rsid w:val="00C256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7">
    <w:name w:val="xl37"/>
    <w:basedOn w:val="Normal"/>
    <w:uiPriority w:val="99"/>
    <w:rsid w:val="00C256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8">
    <w:name w:val="xl38"/>
    <w:basedOn w:val="Normal"/>
    <w:uiPriority w:val="99"/>
    <w:rsid w:val="00C2569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i/>
      <w:iCs/>
      <w:sz w:val="14"/>
      <w:szCs w:val="14"/>
    </w:rPr>
  </w:style>
  <w:style w:type="paragraph" w:customStyle="1" w:styleId="xl39">
    <w:name w:val="xl39"/>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0">
    <w:name w:val="xl40"/>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1">
    <w:name w:val="xl41"/>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42">
    <w:name w:val="xl42"/>
    <w:basedOn w:val="Normal"/>
    <w:uiPriority w:val="99"/>
    <w:rsid w:val="00C2569A"/>
    <w:pPr>
      <w:pBdr>
        <w:top w:val="single" w:sz="4" w:space="0" w:color="auto"/>
        <w:bottom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3">
    <w:name w:val="xl43"/>
    <w:basedOn w:val="Normal"/>
    <w:uiPriority w:val="99"/>
    <w:rsid w:val="00C2569A"/>
    <w:pPr>
      <w:pBdr>
        <w:top w:val="single" w:sz="4" w:space="0" w:color="auto"/>
        <w:bottom w:val="single" w:sz="4" w:space="0" w:color="auto"/>
      </w:pBdr>
      <w:spacing w:before="100" w:beforeAutospacing="1" w:after="100" w:afterAutospacing="1"/>
      <w:textAlignment w:val="center"/>
    </w:pPr>
    <w:rPr>
      <w:rFonts w:ascii="Arial" w:eastAsia="Arial Unicode MS" w:hAnsi="Arial" w:cs="Arial"/>
      <w:b/>
      <w:bCs/>
      <w:sz w:val="14"/>
      <w:szCs w:val="14"/>
    </w:rPr>
  </w:style>
  <w:style w:type="paragraph" w:customStyle="1" w:styleId="xl44">
    <w:name w:val="xl44"/>
    <w:basedOn w:val="Normal"/>
    <w:uiPriority w:val="99"/>
    <w:rsid w:val="00C2569A"/>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b/>
      <w:bCs/>
      <w:sz w:val="14"/>
      <w:szCs w:val="14"/>
    </w:rPr>
  </w:style>
  <w:style w:type="paragraph" w:customStyle="1" w:styleId="xl27">
    <w:name w:val="xl27"/>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customStyle="1" w:styleId="xl28">
    <w:name w:val="xl28"/>
    <w:basedOn w:val="Normal"/>
    <w:uiPriority w:val="99"/>
    <w:rsid w:val="00C2569A"/>
    <w:pPr>
      <w:spacing w:before="100" w:beforeAutospacing="1" w:after="100" w:afterAutospacing="1"/>
      <w:textAlignment w:val="center"/>
    </w:pPr>
    <w:rPr>
      <w:rFonts w:ascii="Arial" w:eastAsia="Arial Unicode MS" w:hAnsi="Arial" w:cs="Arial"/>
      <w:sz w:val="14"/>
      <w:szCs w:val="14"/>
    </w:rPr>
  </w:style>
  <w:style w:type="paragraph" w:styleId="Rodap">
    <w:name w:val="footer"/>
    <w:basedOn w:val="Normal"/>
    <w:link w:val="RodapChar"/>
    <w:uiPriority w:val="99"/>
    <w:rsid w:val="00C2569A"/>
    <w:pPr>
      <w:tabs>
        <w:tab w:val="center" w:pos="4419"/>
        <w:tab w:val="right" w:pos="8838"/>
      </w:tabs>
    </w:pPr>
  </w:style>
  <w:style w:type="character" w:customStyle="1" w:styleId="RodapChar">
    <w:name w:val="Rodapé Char"/>
    <w:basedOn w:val="Fontepargpadro"/>
    <w:link w:val="Rodap"/>
    <w:uiPriority w:val="99"/>
    <w:semiHidden/>
    <w:locked/>
    <w:rsid w:val="001214F0"/>
    <w:rPr>
      <w:rFonts w:cs="Times New Roman"/>
      <w:sz w:val="24"/>
      <w:szCs w:val="24"/>
    </w:rPr>
  </w:style>
  <w:style w:type="character" w:styleId="Nmerodepgina">
    <w:name w:val="page number"/>
    <w:basedOn w:val="Fontepargpadro"/>
    <w:uiPriority w:val="99"/>
    <w:rsid w:val="00C2569A"/>
    <w:rPr>
      <w:rFonts w:cs="Times New Roman"/>
    </w:rPr>
  </w:style>
  <w:style w:type="paragraph" w:styleId="Corpodetexto">
    <w:name w:val="Body Text"/>
    <w:basedOn w:val="Normal"/>
    <w:link w:val="CorpodetextoChar"/>
    <w:uiPriority w:val="99"/>
    <w:rsid w:val="00C2569A"/>
    <w:pPr>
      <w:jc w:val="both"/>
    </w:pPr>
    <w:rPr>
      <w:szCs w:val="20"/>
    </w:rPr>
  </w:style>
  <w:style w:type="character" w:customStyle="1" w:styleId="CorpodetextoChar">
    <w:name w:val="Corpo de texto Char"/>
    <w:basedOn w:val="Fontepargpadro"/>
    <w:link w:val="Corpodetexto"/>
    <w:uiPriority w:val="99"/>
    <w:semiHidden/>
    <w:locked/>
    <w:rsid w:val="001214F0"/>
    <w:rPr>
      <w:rFonts w:cs="Times New Roman"/>
      <w:sz w:val="24"/>
      <w:szCs w:val="24"/>
    </w:rPr>
  </w:style>
  <w:style w:type="paragraph" w:styleId="Textodenotaderodap">
    <w:name w:val="footnote text"/>
    <w:basedOn w:val="Normal"/>
    <w:link w:val="TextodenotaderodapChar"/>
    <w:uiPriority w:val="99"/>
    <w:semiHidden/>
    <w:rsid w:val="00C2569A"/>
    <w:rPr>
      <w:sz w:val="20"/>
      <w:szCs w:val="20"/>
    </w:rPr>
  </w:style>
  <w:style w:type="character" w:customStyle="1" w:styleId="TextodenotaderodapChar">
    <w:name w:val="Texto de nota de rodapé Char"/>
    <w:basedOn w:val="Fontepargpadro"/>
    <w:link w:val="Textodenotaderodap"/>
    <w:uiPriority w:val="99"/>
    <w:semiHidden/>
    <w:locked/>
    <w:rsid w:val="001214F0"/>
    <w:rPr>
      <w:rFonts w:cs="Times New Roman"/>
      <w:sz w:val="20"/>
      <w:szCs w:val="20"/>
    </w:rPr>
  </w:style>
  <w:style w:type="paragraph" w:customStyle="1" w:styleId="xl24">
    <w:name w:val="xl24"/>
    <w:basedOn w:val="Normal"/>
    <w:uiPriority w:val="99"/>
    <w:rsid w:val="00C2569A"/>
    <w:pPr>
      <w:pBdr>
        <w:top w:val="single" w:sz="4" w:space="0" w:color="auto"/>
        <w:right w:val="single" w:sz="4" w:space="0" w:color="auto"/>
      </w:pBdr>
      <w:spacing w:before="100" w:beforeAutospacing="1" w:after="100" w:afterAutospacing="1"/>
      <w:jc w:val="center"/>
      <w:textAlignment w:val="center"/>
    </w:pPr>
    <w:rPr>
      <w:rFonts w:ascii="Arial" w:eastAsia="Arial Unicode MS" w:hAnsi="Arial" w:cs="Arial"/>
      <w:b/>
      <w:bCs/>
      <w:i/>
      <w:iCs/>
      <w:color w:val="000000"/>
      <w:sz w:val="14"/>
      <w:szCs w:val="14"/>
    </w:rPr>
  </w:style>
  <w:style w:type="paragraph" w:customStyle="1" w:styleId="xl25">
    <w:name w:val="xl25"/>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b/>
      <w:bCs/>
      <w:i/>
      <w:iCs/>
      <w:color w:val="000000"/>
      <w:sz w:val="18"/>
      <w:szCs w:val="18"/>
    </w:rPr>
  </w:style>
  <w:style w:type="paragraph" w:customStyle="1" w:styleId="xl26">
    <w:name w:val="xl26"/>
    <w:basedOn w:val="Normal"/>
    <w:uiPriority w:val="99"/>
    <w:rsid w:val="00C2569A"/>
    <w:pPr>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color w:val="000000"/>
      <w:sz w:val="18"/>
      <w:szCs w:val="18"/>
    </w:rPr>
  </w:style>
  <w:style w:type="paragraph" w:customStyle="1" w:styleId="xl45">
    <w:name w:val="xl45"/>
    <w:basedOn w:val="Normal"/>
    <w:uiPriority w:val="99"/>
    <w:rsid w:val="00C2569A"/>
    <w:pPr>
      <w:pBdr>
        <w:bottom w:val="single" w:sz="4" w:space="0" w:color="auto"/>
      </w:pBdr>
      <w:spacing w:before="100" w:beforeAutospacing="1" w:after="100" w:afterAutospacing="1"/>
    </w:pPr>
    <w:rPr>
      <w:rFonts w:ascii="Arial" w:eastAsia="Arial Unicode MS" w:hAnsi="Arial" w:cs="Arial"/>
      <w:color w:val="000000"/>
      <w:sz w:val="16"/>
      <w:szCs w:val="16"/>
    </w:rPr>
  </w:style>
  <w:style w:type="paragraph" w:customStyle="1" w:styleId="xl46">
    <w:name w:val="xl46"/>
    <w:basedOn w:val="Normal"/>
    <w:uiPriority w:val="99"/>
    <w:rsid w:val="00C2569A"/>
    <w:pPr>
      <w:pBdr>
        <w:bottom w:val="single" w:sz="4" w:space="0" w:color="auto"/>
      </w:pBdr>
      <w:spacing w:before="100" w:beforeAutospacing="1" w:after="100" w:afterAutospacing="1"/>
      <w:jc w:val="right"/>
    </w:pPr>
    <w:rPr>
      <w:rFonts w:ascii="Arial" w:eastAsia="Arial Unicode MS" w:hAnsi="Arial" w:cs="Arial"/>
      <w:sz w:val="16"/>
      <w:szCs w:val="16"/>
    </w:rPr>
  </w:style>
  <w:style w:type="paragraph" w:customStyle="1" w:styleId="xl47">
    <w:name w:val="xl47"/>
    <w:basedOn w:val="Normal"/>
    <w:uiPriority w:val="99"/>
    <w:rsid w:val="00C2569A"/>
    <w:pPr>
      <w:pBdr>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48">
    <w:name w:val="xl48"/>
    <w:basedOn w:val="Normal"/>
    <w:uiPriority w:val="99"/>
    <w:rsid w:val="00C2569A"/>
    <w:pPr>
      <w:pBdr>
        <w:bottom w:val="single" w:sz="4" w:space="0" w:color="auto"/>
      </w:pBdr>
      <w:spacing w:before="100" w:beforeAutospacing="1" w:after="100" w:afterAutospacing="1"/>
      <w:jc w:val="center"/>
      <w:textAlignment w:val="center"/>
    </w:pPr>
    <w:rPr>
      <w:rFonts w:ascii="Arial" w:eastAsia="Arial Unicode MS" w:hAnsi="Arial" w:cs="Arial"/>
      <w:b/>
      <w:bCs/>
      <w:sz w:val="16"/>
      <w:szCs w:val="16"/>
    </w:rPr>
  </w:style>
  <w:style w:type="paragraph" w:customStyle="1" w:styleId="xl49">
    <w:name w:val="xl49"/>
    <w:basedOn w:val="Normal"/>
    <w:uiPriority w:val="99"/>
    <w:rsid w:val="00C2569A"/>
    <w:pPr>
      <w:pBdr>
        <w:bottom w:val="single" w:sz="4" w:space="0" w:color="auto"/>
      </w:pBdr>
      <w:spacing w:before="100" w:beforeAutospacing="1" w:after="100" w:afterAutospacing="1"/>
      <w:jc w:val="right"/>
      <w:textAlignment w:val="center"/>
    </w:pPr>
    <w:rPr>
      <w:rFonts w:ascii="Arial" w:eastAsia="Arial Unicode MS" w:hAnsi="Arial" w:cs="Arial"/>
      <w:sz w:val="16"/>
      <w:szCs w:val="16"/>
    </w:rPr>
  </w:style>
  <w:style w:type="paragraph" w:customStyle="1" w:styleId="xl50">
    <w:name w:val="xl50"/>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51">
    <w:name w:val="xl51"/>
    <w:basedOn w:val="Normal"/>
    <w:uiPriority w:val="99"/>
    <w:rsid w:val="00C2569A"/>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sz w:val="16"/>
      <w:szCs w:val="16"/>
    </w:rPr>
  </w:style>
  <w:style w:type="paragraph" w:customStyle="1" w:styleId="xl52">
    <w:name w:val="xl52"/>
    <w:basedOn w:val="Normal"/>
    <w:uiPriority w:val="99"/>
    <w:rsid w:val="00C2569A"/>
    <w:pPr>
      <w:pBdr>
        <w:top w:val="single" w:sz="4" w:space="0" w:color="auto"/>
        <w:bottom w:val="single" w:sz="4" w:space="0" w:color="auto"/>
      </w:pBdr>
      <w:spacing w:before="100" w:beforeAutospacing="1" w:after="100" w:afterAutospacing="1"/>
      <w:jc w:val="right"/>
      <w:textAlignment w:val="center"/>
    </w:pPr>
    <w:rPr>
      <w:rFonts w:ascii="Arial" w:eastAsia="Arial Unicode MS" w:hAnsi="Arial" w:cs="Arial"/>
      <w:sz w:val="16"/>
      <w:szCs w:val="16"/>
    </w:rPr>
  </w:style>
  <w:style w:type="paragraph" w:customStyle="1" w:styleId="xl53">
    <w:name w:val="xl53"/>
    <w:basedOn w:val="Normal"/>
    <w:uiPriority w:val="99"/>
    <w:rsid w:val="00C2569A"/>
    <w:pPr>
      <w:pBdr>
        <w:top w:val="single" w:sz="4" w:space="0" w:color="auto"/>
        <w:bottom w:val="single" w:sz="4" w:space="0" w:color="auto"/>
      </w:pBdr>
      <w:spacing w:before="100" w:beforeAutospacing="1" w:after="100" w:afterAutospacing="1"/>
      <w:jc w:val="center"/>
    </w:pPr>
    <w:rPr>
      <w:rFonts w:ascii="Arial" w:eastAsia="Arial Unicode MS" w:hAnsi="Arial" w:cs="Arial"/>
      <w:sz w:val="16"/>
      <w:szCs w:val="16"/>
    </w:rPr>
  </w:style>
  <w:style w:type="paragraph" w:customStyle="1" w:styleId="xl54">
    <w:name w:val="xl54"/>
    <w:basedOn w:val="Normal"/>
    <w:uiPriority w:val="99"/>
    <w:rsid w:val="00C2569A"/>
    <w:pPr>
      <w:spacing w:before="100" w:beforeAutospacing="1" w:after="100" w:afterAutospacing="1"/>
      <w:jc w:val="center"/>
    </w:pPr>
    <w:rPr>
      <w:rFonts w:ascii="Arial" w:eastAsia="Arial Unicode MS" w:hAnsi="Arial" w:cs="Arial"/>
      <w:sz w:val="16"/>
      <w:szCs w:val="16"/>
    </w:rPr>
  </w:style>
  <w:style w:type="paragraph" w:customStyle="1" w:styleId="xl55">
    <w:name w:val="xl55"/>
    <w:basedOn w:val="Normal"/>
    <w:uiPriority w:val="99"/>
    <w:rsid w:val="00C2569A"/>
    <w:pPr>
      <w:spacing w:before="100" w:beforeAutospacing="1" w:after="100" w:afterAutospacing="1"/>
    </w:pPr>
    <w:rPr>
      <w:rFonts w:eastAsia="Arial Unicode MS"/>
    </w:rPr>
  </w:style>
  <w:style w:type="paragraph" w:styleId="Textodebalo">
    <w:name w:val="Balloon Text"/>
    <w:basedOn w:val="Normal"/>
    <w:link w:val="TextodebaloChar"/>
    <w:uiPriority w:val="99"/>
    <w:semiHidden/>
    <w:rsid w:val="00C2569A"/>
    <w:rPr>
      <w:rFonts w:ascii="Tahoma" w:hAnsi="Tahoma" w:cs="Tahoma"/>
      <w:sz w:val="16"/>
      <w:szCs w:val="16"/>
    </w:rPr>
  </w:style>
  <w:style w:type="character" w:customStyle="1" w:styleId="TextodebaloChar">
    <w:name w:val="Texto de balão Char"/>
    <w:basedOn w:val="Fontepargpadro"/>
    <w:link w:val="Textodebalo"/>
    <w:uiPriority w:val="99"/>
    <w:semiHidden/>
    <w:locked/>
    <w:rsid w:val="001214F0"/>
    <w:rPr>
      <w:rFonts w:cs="Times New Roman"/>
      <w:sz w:val="2"/>
    </w:rPr>
  </w:style>
  <w:style w:type="character" w:styleId="Hyperlink">
    <w:name w:val="Hyperlink"/>
    <w:basedOn w:val="Fontepargpadro"/>
    <w:uiPriority w:val="99"/>
    <w:rsid w:val="00C2569A"/>
    <w:rPr>
      <w:rFonts w:cs="Times New Roman"/>
      <w:color w:val="0000FF"/>
      <w:u w:val="single"/>
    </w:rPr>
  </w:style>
  <w:style w:type="character" w:styleId="HiperlinkVisitado">
    <w:name w:val="FollowedHyperlink"/>
    <w:basedOn w:val="Fontepargpadro"/>
    <w:uiPriority w:val="99"/>
    <w:rsid w:val="00C2569A"/>
    <w:rPr>
      <w:rFonts w:cs="Times New Roman"/>
      <w:color w:val="606420"/>
      <w:u w:val="single"/>
    </w:rPr>
  </w:style>
  <w:style w:type="character" w:styleId="Refdenotaderodap">
    <w:name w:val="footnote reference"/>
    <w:basedOn w:val="Fontepargpadro"/>
    <w:uiPriority w:val="99"/>
    <w:semiHidden/>
    <w:unhideWhenUsed/>
    <w:rsid w:val="003B63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261365">
      <w:bodyDiv w:val="1"/>
      <w:marLeft w:val="0"/>
      <w:marRight w:val="0"/>
      <w:marTop w:val="0"/>
      <w:marBottom w:val="0"/>
      <w:divBdr>
        <w:top w:val="none" w:sz="0" w:space="0" w:color="auto"/>
        <w:left w:val="none" w:sz="0" w:space="0" w:color="auto"/>
        <w:bottom w:val="none" w:sz="0" w:space="0" w:color="auto"/>
        <w:right w:val="none" w:sz="0" w:space="0" w:color="auto"/>
      </w:divBdr>
    </w:div>
    <w:div w:id="303974828">
      <w:bodyDiv w:val="1"/>
      <w:marLeft w:val="0"/>
      <w:marRight w:val="0"/>
      <w:marTop w:val="0"/>
      <w:marBottom w:val="0"/>
      <w:divBdr>
        <w:top w:val="none" w:sz="0" w:space="0" w:color="auto"/>
        <w:left w:val="none" w:sz="0" w:space="0" w:color="auto"/>
        <w:bottom w:val="none" w:sz="0" w:space="0" w:color="auto"/>
        <w:right w:val="none" w:sz="0" w:space="0" w:color="auto"/>
      </w:divBdr>
    </w:div>
    <w:div w:id="531378346">
      <w:bodyDiv w:val="1"/>
      <w:marLeft w:val="0"/>
      <w:marRight w:val="0"/>
      <w:marTop w:val="0"/>
      <w:marBottom w:val="0"/>
      <w:divBdr>
        <w:top w:val="none" w:sz="0" w:space="0" w:color="auto"/>
        <w:left w:val="none" w:sz="0" w:space="0" w:color="auto"/>
        <w:bottom w:val="none" w:sz="0" w:space="0" w:color="auto"/>
        <w:right w:val="none" w:sz="0" w:space="0" w:color="auto"/>
      </w:divBdr>
    </w:div>
    <w:div w:id="901676486">
      <w:marLeft w:val="0"/>
      <w:marRight w:val="0"/>
      <w:marTop w:val="0"/>
      <w:marBottom w:val="0"/>
      <w:divBdr>
        <w:top w:val="none" w:sz="0" w:space="0" w:color="auto"/>
        <w:left w:val="none" w:sz="0" w:space="0" w:color="auto"/>
        <w:bottom w:val="none" w:sz="0" w:space="0" w:color="auto"/>
        <w:right w:val="none" w:sz="0" w:space="0" w:color="auto"/>
      </w:divBdr>
    </w:div>
    <w:div w:id="901676487">
      <w:marLeft w:val="0"/>
      <w:marRight w:val="0"/>
      <w:marTop w:val="0"/>
      <w:marBottom w:val="0"/>
      <w:divBdr>
        <w:top w:val="none" w:sz="0" w:space="0" w:color="auto"/>
        <w:left w:val="none" w:sz="0" w:space="0" w:color="auto"/>
        <w:bottom w:val="none" w:sz="0" w:space="0" w:color="auto"/>
        <w:right w:val="none" w:sz="0" w:space="0" w:color="auto"/>
      </w:divBdr>
    </w:div>
    <w:div w:id="901676488">
      <w:marLeft w:val="0"/>
      <w:marRight w:val="0"/>
      <w:marTop w:val="0"/>
      <w:marBottom w:val="0"/>
      <w:divBdr>
        <w:top w:val="none" w:sz="0" w:space="0" w:color="auto"/>
        <w:left w:val="none" w:sz="0" w:space="0" w:color="auto"/>
        <w:bottom w:val="none" w:sz="0" w:space="0" w:color="auto"/>
        <w:right w:val="none" w:sz="0" w:space="0" w:color="auto"/>
      </w:divBdr>
    </w:div>
    <w:div w:id="901676489">
      <w:marLeft w:val="0"/>
      <w:marRight w:val="0"/>
      <w:marTop w:val="0"/>
      <w:marBottom w:val="0"/>
      <w:divBdr>
        <w:top w:val="none" w:sz="0" w:space="0" w:color="auto"/>
        <w:left w:val="none" w:sz="0" w:space="0" w:color="auto"/>
        <w:bottom w:val="none" w:sz="0" w:space="0" w:color="auto"/>
        <w:right w:val="none" w:sz="0" w:space="0" w:color="auto"/>
      </w:divBdr>
    </w:div>
    <w:div w:id="901676490">
      <w:marLeft w:val="0"/>
      <w:marRight w:val="0"/>
      <w:marTop w:val="0"/>
      <w:marBottom w:val="0"/>
      <w:divBdr>
        <w:top w:val="none" w:sz="0" w:space="0" w:color="auto"/>
        <w:left w:val="none" w:sz="0" w:space="0" w:color="auto"/>
        <w:bottom w:val="none" w:sz="0" w:space="0" w:color="auto"/>
        <w:right w:val="none" w:sz="0" w:space="0" w:color="auto"/>
      </w:divBdr>
    </w:div>
    <w:div w:id="901676491">
      <w:marLeft w:val="0"/>
      <w:marRight w:val="0"/>
      <w:marTop w:val="0"/>
      <w:marBottom w:val="0"/>
      <w:divBdr>
        <w:top w:val="none" w:sz="0" w:space="0" w:color="auto"/>
        <w:left w:val="none" w:sz="0" w:space="0" w:color="auto"/>
        <w:bottom w:val="none" w:sz="0" w:space="0" w:color="auto"/>
        <w:right w:val="none" w:sz="0" w:space="0" w:color="auto"/>
      </w:divBdr>
    </w:div>
    <w:div w:id="901676492">
      <w:marLeft w:val="0"/>
      <w:marRight w:val="0"/>
      <w:marTop w:val="0"/>
      <w:marBottom w:val="0"/>
      <w:divBdr>
        <w:top w:val="none" w:sz="0" w:space="0" w:color="auto"/>
        <w:left w:val="none" w:sz="0" w:space="0" w:color="auto"/>
        <w:bottom w:val="none" w:sz="0" w:space="0" w:color="auto"/>
        <w:right w:val="none" w:sz="0" w:space="0" w:color="auto"/>
      </w:divBdr>
    </w:div>
    <w:div w:id="901676493">
      <w:marLeft w:val="0"/>
      <w:marRight w:val="0"/>
      <w:marTop w:val="0"/>
      <w:marBottom w:val="0"/>
      <w:divBdr>
        <w:top w:val="none" w:sz="0" w:space="0" w:color="auto"/>
        <w:left w:val="none" w:sz="0" w:space="0" w:color="auto"/>
        <w:bottom w:val="none" w:sz="0" w:space="0" w:color="auto"/>
        <w:right w:val="none" w:sz="0" w:space="0" w:color="auto"/>
      </w:divBdr>
    </w:div>
    <w:div w:id="901676494">
      <w:marLeft w:val="0"/>
      <w:marRight w:val="0"/>
      <w:marTop w:val="0"/>
      <w:marBottom w:val="0"/>
      <w:divBdr>
        <w:top w:val="none" w:sz="0" w:space="0" w:color="auto"/>
        <w:left w:val="none" w:sz="0" w:space="0" w:color="auto"/>
        <w:bottom w:val="none" w:sz="0" w:space="0" w:color="auto"/>
        <w:right w:val="none" w:sz="0" w:space="0" w:color="auto"/>
      </w:divBdr>
    </w:div>
    <w:div w:id="901676495">
      <w:marLeft w:val="0"/>
      <w:marRight w:val="0"/>
      <w:marTop w:val="0"/>
      <w:marBottom w:val="0"/>
      <w:divBdr>
        <w:top w:val="none" w:sz="0" w:space="0" w:color="auto"/>
        <w:left w:val="none" w:sz="0" w:space="0" w:color="auto"/>
        <w:bottom w:val="none" w:sz="0" w:space="0" w:color="auto"/>
        <w:right w:val="none" w:sz="0" w:space="0" w:color="auto"/>
      </w:divBdr>
    </w:div>
    <w:div w:id="901676496">
      <w:marLeft w:val="0"/>
      <w:marRight w:val="0"/>
      <w:marTop w:val="0"/>
      <w:marBottom w:val="0"/>
      <w:divBdr>
        <w:top w:val="none" w:sz="0" w:space="0" w:color="auto"/>
        <w:left w:val="none" w:sz="0" w:space="0" w:color="auto"/>
        <w:bottom w:val="none" w:sz="0" w:space="0" w:color="auto"/>
        <w:right w:val="none" w:sz="0" w:space="0" w:color="auto"/>
      </w:divBdr>
    </w:div>
    <w:div w:id="901676497">
      <w:marLeft w:val="0"/>
      <w:marRight w:val="0"/>
      <w:marTop w:val="0"/>
      <w:marBottom w:val="0"/>
      <w:divBdr>
        <w:top w:val="none" w:sz="0" w:space="0" w:color="auto"/>
        <w:left w:val="none" w:sz="0" w:space="0" w:color="auto"/>
        <w:bottom w:val="none" w:sz="0" w:space="0" w:color="auto"/>
        <w:right w:val="none" w:sz="0" w:space="0" w:color="auto"/>
      </w:divBdr>
    </w:div>
    <w:div w:id="901676498">
      <w:marLeft w:val="0"/>
      <w:marRight w:val="0"/>
      <w:marTop w:val="0"/>
      <w:marBottom w:val="0"/>
      <w:divBdr>
        <w:top w:val="none" w:sz="0" w:space="0" w:color="auto"/>
        <w:left w:val="none" w:sz="0" w:space="0" w:color="auto"/>
        <w:bottom w:val="none" w:sz="0" w:space="0" w:color="auto"/>
        <w:right w:val="none" w:sz="0" w:space="0" w:color="auto"/>
      </w:divBdr>
    </w:div>
    <w:div w:id="901676499">
      <w:marLeft w:val="0"/>
      <w:marRight w:val="0"/>
      <w:marTop w:val="0"/>
      <w:marBottom w:val="0"/>
      <w:divBdr>
        <w:top w:val="none" w:sz="0" w:space="0" w:color="auto"/>
        <w:left w:val="none" w:sz="0" w:space="0" w:color="auto"/>
        <w:bottom w:val="none" w:sz="0" w:space="0" w:color="auto"/>
        <w:right w:val="none" w:sz="0" w:space="0" w:color="auto"/>
      </w:divBdr>
    </w:div>
    <w:div w:id="901676500">
      <w:marLeft w:val="0"/>
      <w:marRight w:val="0"/>
      <w:marTop w:val="0"/>
      <w:marBottom w:val="0"/>
      <w:divBdr>
        <w:top w:val="none" w:sz="0" w:space="0" w:color="auto"/>
        <w:left w:val="none" w:sz="0" w:space="0" w:color="auto"/>
        <w:bottom w:val="none" w:sz="0" w:space="0" w:color="auto"/>
        <w:right w:val="none" w:sz="0" w:space="0" w:color="auto"/>
      </w:divBdr>
    </w:div>
    <w:div w:id="901676501">
      <w:marLeft w:val="0"/>
      <w:marRight w:val="0"/>
      <w:marTop w:val="0"/>
      <w:marBottom w:val="0"/>
      <w:divBdr>
        <w:top w:val="none" w:sz="0" w:space="0" w:color="auto"/>
        <w:left w:val="none" w:sz="0" w:space="0" w:color="auto"/>
        <w:bottom w:val="none" w:sz="0" w:space="0" w:color="auto"/>
        <w:right w:val="none" w:sz="0" w:space="0" w:color="auto"/>
      </w:divBdr>
    </w:div>
    <w:div w:id="901676502">
      <w:marLeft w:val="0"/>
      <w:marRight w:val="0"/>
      <w:marTop w:val="0"/>
      <w:marBottom w:val="0"/>
      <w:divBdr>
        <w:top w:val="none" w:sz="0" w:space="0" w:color="auto"/>
        <w:left w:val="none" w:sz="0" w:space="0" w:color="auto"/>
        <w:bottom w:val="none" w:sz="0" w:space="0" w:color="auto"/>
        <w:right w:val="none" w:sz="0" w:space="0" w:color="auto"/>
      </w:divBdr>
    </w:div>
    <w:div w:id="901676503">
      <w:marLeft w:val="0"/>
      <w:marRight w:val="0"/>
      <w:marTop w:val="0"/>
      <w:marBottom w:val="0"/>
      <w:divBdr>
        <w:top w:val="none" w:sz="0" w:space="0" w:color="auto"/>
        <w:left w:val="none" w:sz="0" w:space="0" w:color="auto"/>
        <w:bottom w:val="none" w:sz="0" w:space="0" w:color="auto"/>
        <w:right w:val="none" w:sz="0" w:space="0" w:color="auto"/>
      </w:divBdr>
    </w:div>
    <w:div w:id="901676504">
      <w:marLeft w:val="0"/>
      <w:marRight w:val="0"/>
      <w:marTop w:val="0"/>
      <w:marBottom w:val="0"/>
      <w:divBdr>
        <w:top w:val="none" w:sz="0" w:space="0" w:color="auto"/>
        <w:left w:val="none" w:sz="0" w:space="0" w:color="auto"/>
        <w:bottom w:val="none" w:sz="0" w:space="0" w:color="auto"/>
        <w:right w:val="none" w:sz="0" w:space="0" w:color="auto"/>
      </w:divBdr>
    </w:div>
    <w:div w:id="901676505">
      <w:marLeft w:val="0"/>
      <w:marRight w:val="0"/>
      <w:marTop w:val="0"/>
      <w:marBottom w:val="0"/>
      <w:divBdr>
        <w:top w:val="none" w:sz="0" w:space="0" w:color="auto"/>
        <w:left w:val="none" w:sz="0" w:space="0" w:color="auto"/>
        <w:bottom w:val="none" w:sz="0" w:space="0" w:color="auto"/>
        <w:right w:val="none" w:sz="0" w:space="0" w:color="auto"/>
      </w:divBdr>
    </w:div>
    <w:div w:id="901676506">
      <w:marLeft w:val="0"/>
      <w:marRight w:val="0"/>
      <w:marTop w:val="0"/>
      <w:marBottom w:val="0"/>
      <w:divBdr>
        <w:top w:val="none" w:sz="0" w:space="0" w:color="auto"/>
        <w:left w:val="none" w:sz="0" w:space="0" w:color="auto"/>
        <w:bottom w:val="none" w:sz="0" w:space="0" w:color="auto"/>
        <w:right w:val="none" w:sz="0" w:space="0" w:color="auto"/>
      </w:divBdr>
    </w:div>
    <w:div w:id="901676507">
      <w:marLeft w:val="0"/>
      <w:marRight w:val="0"/>
      <w:marTop w:val="0"/>
      <w:marBottom w:val="0"/>
      <w:divBdr>
        <w:top w:val="none" w:sz="0" w:space="0" w:color="auto"/>
        <w:left w:val="none" w:sz="0" w:space="0" w:color="auto"/>
        <w:bottom w:val="none" w:sz="0" w:space="0" w:color="auto"/>
        <w:right w:val="none" w:sz="0" w:space="0" w:color="auto"/>
      </w:divBdr>
    </w:div>
    <w:div w:id="901676508">
      <w:marLeft w:val="0"/>
      <w:marRight w:val="0"/>
      <w:marTop w:val="0"/>
      <w:marBottom w:val="0"/>
      <w:divBdr>
        <w:top w:val="none" w:sz="0" w:space="0" w:color="auto"/>
        <w:left w:val="none" w:sz="0" w:space="0" w:color="auto"/>
        <w:bottom w:val="none" w:sz="0" w:space="0" w:color="auto"/>
        <w:right w:val="none" w:sz="0" w:space="0" w:color="auto"/>
      </w:divBdr>
    </w:div>
    <w:div w:id="901676509">
      <w:marLeft w:val="0"/>
      <w:marRight w:val="0"/>
      <w:marTop w:val="0"/>
      <w:marBottom w:val="0"/>
      <w:divBdr>
        <w:top w:val="none" w:sz="0" w:space="0" w:color="auto"/>
        <w:left w:val="none" w:sz="0" w:space="0" w:color="auto"/>
        <w:bottom w:val="none" w:sz="0" w:space="0" w:color="auto"/>
        <w:right w:val="none" w:sz="0" w:space="0" w:color="auto"/>
      </w:divBdr>
    </w:div>
    <w:div w:id="901676510">
      <w:marLeft w:val="0"/>
      <w:marRight w:val="0"/>
      <w:marTop w:val="0"/>
      <w:marBottom w:val="0"/>
      <w:divBdr>
        <w:top w:val="none" w:sz="0" w:space="0" w:color="auto"/>
        <w:left w:val="none" w:sz="0" w:space="0" w:color="auto"/>
        <w:bottom w:val="none" w:sz="0" w:space="0" w:color="auto"/>
        <w:right w:val="none" w:sz="0" w:space="0" w:color="auto"/>
      </w:divBdr>
    </w:div>
    <w:div w:id="901676511">
      <w:marLeft w:val="0"/>
      <w:marRight w:val="0"/>
      <w:marTop w:val="0"/>
      <w:marBottom w:val="0"/>
      <w:divBdr>
        <w:top w:val="none" w:sz="0" w:space="0" w:color="auto"/>
        <w:left w:val="none" w:sz="0" w:space="0" w:color="auto"/>
        <w:bottom w:val="none" w:sz="0" w:space="0" w:color="auto"/>
        <w:right w:val="none" w:sz="0" w:space="0" w:color="auto"/>
      </w:divBdr>
    </w:div>
    <w:div w:id="901676512">
      <w:marLeft w:val="0"/>
      <w:marRight w:val="0"/>
      <w:marTop w:val="0"/>
      <w:marBottom w:val="0"/>
      <w:divBdr>
        <w:top w:val="none" w:sz="0" w:space="0" w:color="auto"/>
        <w:left w:val="none" w:sz="0" w:space="0" w:color="auto"/>
        <w:bottom w:val="none" w:sz="0" w:space="0" w:color="auto"/>
        <w:right w:val="none" w:sz="0" w:space="0" w:color="auto"/>
      </w:divBdr>
    </w:div>
    <w:div w:id="901676513">
      <w:marLeft w:val="0"/>
      <w:marRight w:val="0"/>
      <w:marTop w:val="0"/>
      <w:marBottom w:val="0"/>
      <w:divBdr>
        <w:top w:val="none" w:sz="0" w:space="0" w:color="auto"/>
        <w:left w:val="none" w:sz="0" w:space="0" w:color="auto"/>
        <w:bottom w:val="none" w:sz="0" w:space="0" w:color="auto"/>
        <w:right w:val="none" w:sz="0" w:space="0" w:color="auto"/>
      </w:divBdr>
    </w:div>
    <w:div w:id="901676514">
      <w:marLeft w:val="0"/>
      <w:marRight w:val="0"/>
      <w:marTop w:val="0"/>
      <w:marBottom w:val="0"/>
      <w:divBdr>
        <w:top w:val="none" w:sz="0" w:space="0" w:color="auto"/>
        <w:left w:val="none" w:sz="0" w:space="0" w:color="auto"/>
        <w:bottom w:val="none" w:sz="0" w:space="0" w:color="auto"/>
        <w:right w:val="none" w:sz="0" w:space="0" w:color="auto"/>
      </w:divBdr>
    </w:div>
    <w:div w:id="901676515">
      <w:marLeft w:val="0"/>
      <w:marRight w:val="0"/>
      <w:marTop w:val="0"/>
      <w:marBottom w:val="0"/>
      <w:divBdr>
        <w:top w:val="none" w:sz="0" w:space="0" w:color="auto"/>
        <w:left w:val="none" w:sz="0" w:space="0" w:color="auto"/>
        <w:bottom w:val="none" w:sz="0" w:space="0" w:color="auto"/>
        <w:right w:val="none" w:sz="0" w:space="0" w:color="auto"/>
      </w:divBdr>
    </w:div>
    <w:div w:id="901676516">
      <w:marLeft w:val="0"/>
      <w:marRight w:val="0"/>
      <w:marTop w:val="0"/>
      <w:marBottom w:val="0"/>
      <w:divBdr>
        <w:top w:val="none" w:sz="0" w:space="0" w:color="auto"/>
        <w:left w:val="none" w:sz="0" w:space="0" w:color="auto"/>
        <w:bottom w:val="none" w:sz="0" w:space="0" w:color="auto"/>
        <w:right w:val="none" w:sz="0" w:space="0" w:color="auto"/>
      </w:divBdr>
    </w:div>
    <w:div w:id="9016765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www.agrostat.agricultura.gov.br" TargetMode="Externa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D4D076-175D-486F-83B5-7D611544F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652</TotalTime>
  <Pages>12</Pages>
  <Words>5396</Words>
  <Characters>28895</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Resultados do mês</vt:lpstr>
    </vt:vector>
  </TitlesOfParts>
  <Company>.</Company>
  <LinksUpToDate>false</LinksUpToDate>
  <CharactersWithSpaces>34223</CharactersWithSpaces>
  <SharedDoc>false</SharedDoc>
  <HLinks>
    <vt:vector size="6" baseType="variant">
      <vt:variant>
        <vt:i4>6553635</vt:i4>
      </vt:variant>
      <vt:variant>
        <vt:i4>0</vt:i4>
      </vt:variant>
      <vt:variant>
        <vt:i4>0</vt:i4>
      </vt:variant>
      <vt:variant>
        <vt:i4>5</vt:i4>
      </vt:variant>
      <vt:variant>
        <vt:lpwstr>http://www.agrostat.agricultura.gov.br/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Resultados do mês</dc:title>
  <dc:subject/>
  <dc:creator>.</dc:creator>
  <cp:keywords/>
  <cp:lastModifiedBy>Fabricio Bentes Simoes</cp:lastModifiedBy>
  <cp:revision>105</cp:revision>
  <cp:lastPrinted>2015-01-09T11:18:00Z</cp:lastPrinted>
  <dcterms:created xsi:type="dcterms:W3CDTF">2018-06-08T12:57:00Z</dcterms:created>
  <dcterms:modified xsi:type="dcterms:W3CDTF">2018-07-13T15:04:00Z</dcterms:modified>
</cp:coreProperties>
</file>