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1D2" w:rsidRPr="003A2037" w:rsidRDefault="001361D2" w:rsidP="001361D2">
      <w:pPr>
        <w:ind w:right="-522"/>
        <w:outlineLvl w:val="0"/>
        <w:rPr>
          <w:rFonts w:ascii="Arial" w:hAnsi="Arial" w:cs="Arial"/>
          <w:b/>
        </w:rPr>
      </w:pPr>
    </w:p>
    <w:p w:rsidR="001361D2" w:rsidRPr="003A2037" w:rsidRDefault="001361D2" w:rsidP="00474CA3">
      <w:pPr>
        <w:jc w:val="right"/>
        <w:outlineLvl w:val="0"/>
        <w:rPr>
          <w:rFonts w:ascii="Arial" w:hAnsi="Arial" w:cs="Arial"/>
        </w:rPr>
      </w:pPr>
      <w:r w:rsidRPr="003A2037">
        <w:rPr>
          <w:rFonts w:ascii="Arial" w:hAnsi="Arial" w:cs="Arial"/>
        </w:rPr>
        <w:t xml:space="preserve">Brasília, </w:t>
      </w:r>
      <w:r w:rsidR="003A2037" w:rsidRPr="003A2037">
        <w:rPr>
          <w:rFonts w:ascii="Arial" w:hAnsi="Arial" w:cs="Arial"/>
        </w:rPr>
        <w:t>0</w:t>
      </w:r>
      <w:r w:rsidR="003463FE" w:rsidRPr="003A2037">
        <w:rPr>
          <w:rFonts w:ascii="Arial" w:hAnsi="Arial" w:cs="Arial"/>
        </w:rPr>
        <w:t xml:space="preserve">5 </w:t>
      </w:r>
      <w:r w:rsidRPr="003A2037">
        <w:rPr>
          <w:rFonts w:ascii="Arial" w:hAnsi="Arial" w:cs="Arial"/>
        </w:rPr>
        <w:t xml:space="preserve">de </w:t>
      </w:r>
      <w:r w:rsidR="00674473" w:rsidRPr="003A2037">
        <w:rPr>
          <w:rFonts w:ascii="Arial" w:hAnsi="Arial" w:cs="Arial"/>
        </w:rPr>
        <w:t>fevereiro</w:t>
      </w:r>
      <w:r w:rsidRPr="003A2037">
        <w:rPr>
          <w:rFonts w:ascii="Arial" w:hAnsi="Arial" w:cs="Arial"/>
        </w:rPr>
        <w:t xml:space="preserve"> de 201</w:t>
      </w:r>
      <w:r w:rsidR="000E1CDB" w:rsidRPr="003A2037">
        <w:rPr>
          <w:rFonts w:ascii="Arial" w:hAnsi="Arial" w:cs="Arial"/>
        </w:rPr>
        <w:t>9</w:t>
      </w:r>
      <w:r w:rsidRPr="003A2037">
        <w:rPr>
          <w:rFonts w:ascii="Arial" w:hAnsi="Arial" w:cs="Arial"/>
        </w:rPr>
        <w:t>.</w:t>
      </w:r>
    </w:p>
    <w:p w:rsidR="001361D2" w:rsidRPr="003A2037" w:rsidRDefault="001361D2" w:rsidP="00474CA3">
      <w:pPr>
        <w:jc w:val="right"/>
        <w:rPr>
          <w:rFonts w:ascii="Arial" w:hAnsi="Arial" w:cs="Arial"/>
        </w:rPr>
      </w:pPr>
    </w:p>
    <w:p w:rsidR="001361D2" w:rsidRPr="003A2037" w:rsidRDefault="001361D2" w:rsidP="00474CA3">
      <w:pPr>
        <w:jc w:val="right"/>
        <w:rPr>
          <w:rFonts w:ascii="Arial" w:hAnsi="Arial" w:cs="Arial"/>
        </w:rPr>
      </w:pPr>
    </w:p>
    <w:p w:rsidR="001361D2" w:rsidRPr="003A2037" w:rsidRDefault="006F22BD" w:rsidP="005A3056">
      <w:pPr>
        <w:jc w:val="center"/>
        <w:rPr>
          <w:rFonts w:ascii="Arial" w:hAnsi="Arial" w:cs="Arial"/>
          <w:b/>
        </w:rPr>
      </w:pPr>
      <w:r w:rsidRPr="003A2037">
        <w:rPr>
          <w:rFonts w:ascii="Arial" w:hAnsi="Arial" w:cs="Arial"/>
        </w:rPr>
        <w:t xml:space="preserve">Nota: </w:t>
      </w:r>
      <w:r w:rsidR="00674473" w:rsidRPr="003A2037">
        <w:rPr>
          <w:rFonts w:ascii="Arial" w:hAnsi="Arial" w:cs="Arial"/>
          <w:b/>
        </w:rPr>
        <w:t>Produtividade da Agricultura Brasileira – algumas atualizações</w:t>
      </w:r>
    </w:p>
    <w:p w:rsidR="006F22BD" w:rsidRPr="003A2037" w:rsidRDefault="006F22BD" w:rsidP="005A3056">
      <w:pPr>
        <w:jc w:val="center"/>
        <w:rPr>
          <w:rFonts w:ascii="Arial" w:hAnsi="Arial" w:cs="Arial"/>
          <w:b/>
        </w:rPr>
      </w:pPr>
    </w:p>
    <w:p w:rsidR="00FD5B29" w:rsidRPr="003A2037" w:rsidRDefault="00FD5B29" w:rsidP="00FD5B29">
      <w:pPr>
        <w:jc w:val="right"/>
        <w:rPr>
          <w:rFonts w:ascii="Arial" w:hAnsi="Arial" w:cs="Arial"/>
        </w:rPr>
      </w:pPr>
      <w:r w:rsidRPr="003A2037">
        <w:rPr>
          <w:rFonts w:ascii="Arial" w:hAnsi="Arial" w:cs="Arial"/>
        </w:rPr>
        <w:t>José G. Gasques (Mapa e IPEA)</w:t>
      </w:r>
    </w:p>
    <w:p w:rsidR="00FD5B29" w:rsidRPr="003A2037" w:rsidRDefault="00FD5B29" w:rsidP="00FD5B29">
      <w:pPr>
        <w:jc w:val="right"/>
        <w:rPr>
          <w:rFonts w:ascii="Arial" w:hAnsi="Arial" w:cs="Arial"/>
          <w:lang w:val="en-US"/>
        </w:rPr>
      </w:pPr>
      <w:r w:rsidRPr="003A2037">
        <w:rPr>
          <w:rFonts w:ascii="Arial" w:hAnsi="Arial" w:cs="Arial"/>
          <w:lang w:val="en-US"/>
        </w:rPr>
        <w:t>Mirian R. P. Bacchi (Cepea-USP)</w:t>
      </w:r>
    </w:p>
    <w:p w:rsidR="00FD5B29" w:rsidRPr="003A2037" w:rsidRDefault="00FD5B29" w:rsidP="00FD5B29">
      <w:pPr>
        <w:jc w:val="right"/>
        <w:rPr>
          <w:rFonts w:ascii="Arial" w:hAnsi="Arial" w:cs="Arial"/>
        </w:rPr>
      </w:pPr>
      <w:r w:rsidRPr="003A2037">
        <w:rPr>
          <w:rFonts w:ascii="Arial" w:hAnsi="Arial" w:cs="Arial"/>
        </w:rPr>
        <w:t>Eliana Teles Bastos (Mapa)</w:t>
      </w:r>
    </w:p>
    <w:p w:rsidR="00FD5B29" w:rsidRPr="003A2037" w:rsidRDefault="00FD5B29" w:rsidP="00FD5B29">
      <w:pPr>
        <w:jc w:val="right"/>
        <w:rPr>
          <w:rFonts w:ascii="Arial" w:hAnsi="Arial" w:cs="Arial"/>
        </w:rPr>
      </w:pPr>
      <w:r w:rsidRPr="003A2037">
        <w:rPr>
          <w:rFonts w:ascii="Arial" w:hAnsi="Arial" w:cs="Arial"/>
        </w:rPr>
        <w:t>Constança Valdes (USDA/ERS)</w:t>
      </w:r>
    </w:p>
    <w:p w:rsidR="00474CA3" w:rsidRPr="003A2037" w:rsidRDefault="00474CA3" w:rsidP="00185E31">
      <w:pPr>
        <w:spacing w:after="240"/>
        <w:ind w:firstLine="709"/>
        <w:jc w:val="both"/>
        <w:rPr>
          <w:rFonts w:ascii="Arial" w:hAnsi="Arial" w:cs="Arial"/>
        </w:rPr>
      </w:pPr>
    </w:p>
    <w:p w:rsidR="00674473" w:rsidRPr="003A2037" w:rsidRDefault="00674473" w:rsidP="00FD5B29">
      <w:pPr>
        <w:pStyle w:val="PargrafodaLista"/>
        <w:numPr>
          <w:ilvl w:val="0"/>
          <w:numId w:val="5"/>
        </w:numPr>
        <w:spacing w:after="240"/>
        <w:jc w:val="both"/>
        <w:rPr>
          <w:rFonts w:ascii="Arial" w:hAnsi="Arial" w:cs="Arial"/>
          <w:b/>
        </w:rPr>
      </w:pPr>
      <w:r w:rsidRPr="003A2037">
        <w:rPr>
          <w:rFonts w:ascii="Arial" w:hAnsi="Arial" w:cs="Arial"/>
          <w:b/>
        </w:rPr>
        <w:t xml:space="preserve">Introdução </w:t>
      </w:r>
    </w:p>
    <w:p w:rsidR="000A455E" w:rsidRPr="003A2037" w:rsidRDefault="000A455E" w:rsidP="000A455E">
      <w:pPr>
        <w:spacing w:after="240"/>
        <w:ind w:firstLine="709"/>
        <w:jc w:val="both"/>
        <w:rPr>
          <w:rFonts w:ascii="Arial" w:hAnsi="Arial" w:cs="Arial"/>
        </w:rPr>
      </w:pPr>
      <w:r w:rsidRPr="003A2037">
        <w:rPr>
          <w:rFonts w:ascii="Arial" w:hAnsi="Arial" w:cs="Arial"/>
        </w:rPr>
        <w:t>Esta Nota tem por objetivo atualizar uma série de dados sobre produtividade total dos fatores (PTF), incorporando nessa tarefa uma revisão de algumas variáveis utilizadas.</w:t>
      </w:r>
      <w:r w:rsidR="00B53637" w:rsidRPr="003A2037">
        <w:rPr>
          <w:rFonts w:ascii="Arial" w:hAnsi="Arial" w:cs="Arial"/>
        </w:rPr>
        <w:t xml:space="preserve"> </w:t>
      </w:r>
      <w:r w:rsidR="00D1424E" w:rsidRPr="003A2037">
        <w:rPr>
          <w:rFonts w:ascii="Arial" w:hAnsi="Arial" w:cs="Arial"/>
        </w:rPr>
        <w:t>A Produtividade Total dos Fatores pode ser entendida como um aumento do produto que não é explicado pelo aumento da quantidade do insumo, mas pelos ganhos de produtividade.</w:t>
      </w:r>
      <w:r w:rsidRPr="003A2037">
        <w:rPr>
          <w:rFonts w:ascii="Arial" w:hAnsi="Arial" w:cs="Arial"/>
        </w:rPr>
        <w:t xml:space="preserve"> Com a divulgação pelo IBGE, em 2018 das pesquisas anuais, Produção Agrícola Municipal - PAM e Pesquisa da Pecuária Municipal</w:t>
      </w:r>
      <w:r w:rsidR="00EB7212" w:rsidRPr="003A2037">
        <w:rPr>
          <w:rFonts w:ascii="Arial" w:hAnsi="Arial" w:cs="Arial"/>
        </w:rPr>
        <w:t xml:space="preserve"> </w:t>
      </w:r>
      <w:r w:rsidRPr="003A2037">
        <w:rPr>
          <w:rFonts w:ascii="Arial" w:hAnsi="Arial" w:cs="Arial"/>
        </w:rPr>
        <w:t xml:space="preserve">- PPM, foi possível atualizar a série de produtividade até o ano de 2017. Importantes mudanças tornaram-se possíveis com a divulgação preliminar do Censo Agro 2017, através do qual revisamos séries de tratores e área de pastagens. </w:t>
      </w:r>
    </w:p>
    <w:p w:rsidR="000A455E" w:rsidRPr="003A2037" w:rsidRDefault="000A455E" w:rsidP="000A455E">
      <w:pPr>
        <w:spacing w:after="240"/>
        <w:ind w:firstLine="709"/>
        <w:jc w:val="both"/>
        <w:rPr>
          <w:rFonts w:ascii="Arial" w:hAnsi="Arial" w:cs="Arial"/>
        </w:rPr>
      </w:pPr>
      <w:r w:rsidRPr="003A2037">
        <w:rPr>
          <w:rFonts w:ascii="Arial" w:hAnsi="Arial" w:cs="Arial"/>
        </w:rPr>
        <w:t xml:space="preserve">Outro ponto que justifica a atualização dessas informações é conhecer pouco mais os impactos sobre o crescimento da produtividade da enorme safra de grãos obtida em 2017 que foi de 237,8 milhões de toneladas. Essa foi a maior registrada pela CONAB e IBGE em seus levantamentos de safras. Esse ano foi o oposto do que fora observado em 2016, onde fortes secas trouxeram acentuada quebra de produção de grãos, principalmente o milho </w:t>
      </w:r>
      <w:r w:rsidR="0077100E" w:rsidRPr="003A2037">
        <w:rPr>
          <w:rFonts w:ascii="Arial" w:hAnsi="Arial" w:cs="Arial"/>
        </w:rPr>
        <w:t>cultivado nas áreas de Cerrado.</w:t>
      </w:r>
    </w:p>
    <w:p w:rsidR="000A455E" w:rsidRDefault="000A455E" w:rsidP="000A455E">
      <w:pPr>
        <w:spacing w:after="240"/>
        <w:ind w:firstLine="709"/>
        <w:jc w:val="both"/>
        <w:rPr>
          <w:rFonts w:ascii="Arial" w:hAnsi="Arial" w:cs="Arial"/>
        </w:rPr>
      </w:pPr>
      <w:r w:rsidRPr="003A2037">
        <w:rPr>
          <w:rFonts w:ascii="Arial" w:hAnsi="Arial" w:cs="Arial"/>
        </w:rPr>
        <w:t xml:space="preserve">Na próxima parte serão destacados alguns recentes trabalhos sobre produtividade total dos fatores. Na parte seguinte são indicadas algumas mudanças ocorridas nos dados utilizados em relação a trabalhos anteriores como Gasques, et alii </w:t>
      </w:r>
      <w:r w:rsidR="005B3302" w:rsidRPr="003A2037">
        <w:rPr>
          <w:rFonts w:ascii="Arial" w:hAnsi="Arial" w:cs="Arial"/>
        </w:rPr>
        <w:t>(</w:t>
      </w:r>
      <w:r w:rsidRPr="003A2037">
        <w:rPr>
          <w:rFonts w:ascii="Arial" w:hAnsi="Arial" w:cs="Arial"/>
        </w:rPr>
        <w:t>2016). Na outra parte são apresentados os resultados e alguma discussão sendo que finalmente são feitas algumas observações finais.</w:t>
      </w:r>
    </w:p>
    <w:p w:rsidR="00F360C0" w:rsidRPr="003A2037" w:rsidRDefault="00F360C0" w:rsidP="000A455E">
      <w:pPr>
        <w:spacing w:after="240"/>
        <w:ind w:firstLine="709"/>
        <w:jc w:val="both"/>
        <w:rPr>
          <w:rFonts w:ascii="Arial" w:hAnsi="Arial" w:cs="Arial"/>
        </w:rPr>
      </w:pPr>
    </w:p>
    <w:p w:rsidR="000A455E" w:rsidRPr="003A2037" w:rsidRDefault="000A455E" w:rsidP="00A936BC">
      <w:pPr>
        <w:pStyle w:val="PargrafodaLista"/>
        <w:numPr>
          <w:ilvl w:val="0"/>
          <w:numId w:val="5"/>
        </w:numPr>
        <w:spacing w:after="240"/>
        <w:jc w:val="both"/>
        <w:rPr>
          <w:rFonts w:ascii="Arial" w:hAnsi="Arial" w:cs="Arial"/>
          <w:b/>
        </w:rPr>
      </w:pPr>
      <w:r w:rsidRPr="003A2037">
        <w:rPr>
          <w:rFonts w:ascii="Arial" w:hAnsi="Arial" w:cs="Arial"/>
          <w:b/>
        </w:rPr>
        <w:t>Breve revisão dos trabalhos sobre produtividade</w:t>
      </w:r>
    </w:p>
    <w:p w:rsidR="000A455E" w:rsidRPr="003A2037" w:rsidRDefault="000A455E" w:rsidP="000A455E">
      <w:pPr>
        <w:spacing w:after="240"/>
        <w:ind w:firstLine="709"/>
        <w:jc w:val="both"/>
        <w:rPr>
          <w:rFonts w:ascii="Arial" w:hAnsi="Arial" w:cs="Arial"/>
        </w:rPr>
      </w:pPr>
      <w:r w:rsidRPr="003A2037">
        <w:rPr>
          <w:rFonts w:ascii="Arial" w:hAnsi="Arial" w:cs="Arial"/>
        </w:rPr>
        <w:t>Tem sido observado em vários trabalhos que a produtividade tem garantido o crescimento da agricultura brasileira nos últimos anos, e tem sido responsável por cerca de 80,0% do crescimento do produto. Os outros 20,0% são devidos ao uso de insumos (</w:t>
      </w:r>
      <w:bookmarkStart w:id="0" w:name="_Hlk188889"/>
      <w:r w:rsidRPr="003A2037">
        <w:rPr>
          <w:rFonts w:ascii="Arial" w:hAnsi="Arial" w:cs="Arial"/>
        </w:rPr>
        <w:t>Gasques, Bacchi e Bastos, 2018)</w:t>
      </w:r>
      <w:bookmarkEnd w:id="0"/>
      <w:r w:rsidRPr="003A2037">
        <w:rPr>
          <w:rFonts w:ascii="Arial" w:hAnsi="Arial" w:cs="Arial"/>
        </w:rPr>
        <w:t>. Vieira Filho e Fishlow (2017) ressaltaram que as inovações tecnologias trouxeram aumento acentuado da produtiv</w:t>
      </w:r>
      <w:r w:rsidR="00A936BC" w:rsidRPr="003A2037">
        <w:rPr>
          <w:rFonts w:ascii="Arial" w:hAnsi="Arial" w:cs="Arial"/>
        </w:rPr>
        <w:t>idade.</w:t>
      </w:r>
    </w:p>
    <w:p w:rsidR="000A455E" w:rsidRPr="003A2037" w:rsidRDefault="000A455E" w:rsidP="000A455E">
      <w:pPr>
        <w:spacing w:after="240"/>
        <w:ind w:firstLine="709"/>
        <w:jc w:val="both"/>
        <w:rPr>
          <w:rFonts w:ascii="Arial" w:hAnsi="Arial" w:cs="Arial"/>
        </w:rPr>
      </w:pPr>
      <w:r w:rsidRPr="003A2037">
        <w:rPr>
          <w:rFonts w:ascii="Arial" w:hAnsi="Arial" w:cs="Arial"/>
        </w:rPr>
        <w:t xml:space="preserve">Fuglie e </w:t>
      </w:r>
      <w:proofErr w:type="spellStart"/>
      <w:r w:rsidRPr="003A2037">
        <w:rPr>
          <w:rFonts w:ascii="Arial" w:hAnsi="Arial" w:cs="Arial"/>
        </w:rPr>
        <w:t>Heisey</w:t>
      </w:r>
      <w:proofErr w:type="spellEnd"/>
      <w:r w:rsidR="00A47BC3">
        <w:rPr>
          <w:rFonts w:ascii="Arial" w:hAnsi="Arial" w:cs="Arial"/>
        </w:rPr>
        <w:t xml:space="preserve"> (2007)</w:t>
      </w:r>
      <w:r w:rsidRPr="003A2037">
        <w:rPr>
          <w:rFonts w:ascii="Arial" w:hAnsi="Arial" w:cs="Arial"/>
        </w:rPr>
        <w:t xml:space="preserve"> notam que analistas encontraram forte ligação entre investimentos em pesquisa e inovação e crescimento da produtividade. Esses autores referem-se a estudos realizados no Departamento de Agricultura dos Estados Unidos (USDA) que analisaram o retorno econômico da pesquisa pública e verificaram elevados retornos sobre a p</w:t>
      </w:r>
      <w:r w:rsidR="00A936BC" w:rsidRPr="003A2037">
        <w:rPr>
          <w:rFonts w:ascii="Arial" w:hAnsi="Arial" w:cs="Arial"/>
        </w:rPr>
        <w:t>rodutividade total dos fatores.</w:t>
      </w:r>
    </w:p>
    <w:p w:rsidR="000A455E" w:rsidRDefault="000A455E" w:rsidP="000A455E">
      <w:pPr>
        <w:spacing w:after="240"/>
        <w:ind w:firstLine="709"/>
        <w:jc w:val="both"/>
        <w:rPr>
          <w:rFonts w:ascii="Arial" w:hAnsi="Arial" w:cs="Arial"/>
        </w:rPr>
      </w:pPr>
      <w:r w:rsidRPr="003A2037">
        <w:rPr>
          <w:rFonts w:ascii="Arial" w:hAnsi="Arial" w:cs="Arial"/>
        </w:rPr>
        <w:t>Outro resultado foi que os estados brasileiros que lideram a produção agropecuária e as exportações também são os que apresentam as maiores taxas de crescimento da produtividade. Podem ser citados, Mato Grosso, Minas Gerais, Goiás, Bahia e outros (Gasques, Bacchi e Bastos, 2018). Finalmente, um trabalho do Banco Mundial analisa a produtividade da agricultura brasileira e apont</w:t>
      </w:r>
      <w:r w:rsidR="00413EBA" w:rsidRPr="003A2037">
        <w:rPr>
          <w:rFonts w:ascii="Arial" w:hAnsi="Arial" w:cs="Arial"/>
        </w:rPr>
        <w:t>a</w:t>
      </w:r>
      <w:r w:rsidRPr="003A2037">
        <w:rPr>
          <w:rFonts w:ascii="Arial" w:hAnsi="Arial" w:cs="Arial"/>
        </w:rPr>
        <w:t xml:space="preserve"> várias tendências de crescimento (</w:t>
      </w:r>
      <w:r w:rsidR="00423E22" w:rsidRPr="003A2037">
        <w:rPr>
          <w:rFonts w:ascii="Arial" w:hAnsi="Arial" w:cs="Arial"/>
        </w:rPr>
        <w:t>World Bank</w:t>
      </w:r>
      <w:r w:rsidRPr="003A2037">
        <w:rPr>
          <w:rFonts w:ascii="Arial" w:hAnsi="Arial" w:cs="Arial"/>
        </w:rPr>
        <w:t>, 2017).</w:t>
      </w:r>
    </w:p>
    <w:p w:rsidR="00F360C0" w:rsidRPr="003A2037" w:rsidRDefault="00F360C0" w:rsidP="000A455E">
      <w:pPr>
        <w:spacing w:after="240"/>
        <w:ind w:firstLine="709"/>
        <w:jc w:val="both"/>
        <w:rPr>
          <w:rFonts w:ascii="Arial" w:hAnsi="Arial" w:cs="Arial"/>
        </w:rPr>
      </w:pPr>
    </w:p>
    <w:p w:rsidR="000A455E" w:rsidRPr="003A2037" w:rsidRDefault="000A455E" w:rsidP="00413EBA">
      <w:pPr>
        <w:pStyle w:val="PargrafodaLista"/>
        <w:numPr>
          <w:ilvl w:val="0"/>
          <w:numId w:val="5"/>
        </w:numPr>
        <w:spacing w:after="240"/>
        <w:jc w:val="both"/>
        <w:rPr>
          <w:rFonts w:ascii="Arial" w:hAnsi="Arial" w:cs="Arial"/>
          <w:b/>
        </w:rPr>
      </w:pPr>
      <w:r w:rsidRPr="003A2037">
        <w:rPr>
          <w:rFonts w:ascii="Arial" w:hAnsi="Arial" w:cs="Arial"/>
          <w:b/>
        </w:rPr>
        <w:t>Cálculo da PTF e Dados</w:t>
      </w:r>
    </w:p>
    <w:p w:rsidR="000A455E" w:rsidRPr="003A2037" w:rsidRDefault="000A455E" w:rsidP="000A455E">
      <w:pPr>
        <w:spacing w:after="240"/>
        <w:ind w:firstLine="709"/>
        <w:jc w:val="both"/>
        <w:rPr>
          <w:rFonts w:ascii="Arial" w:hAnsi="Arial" w:cs="Arial"/>
        </w:rPr>
      </w:pPr>
      <w:r w:rsidRPr="003A2037">
        <w:rPr>
          <w:rFonts w:ascii="Arial" w:hAnsi="Arial" w:cs="Arial"/>
        </w:rPr>
        <w:t xml:space="preserve">O cálculo da PTF será realizado como tem-se feito em trabalhos anteriores. Será usado o Índice de </w:t>
      </w:r>
      <w:proofErr w:type="spellStart"/>
      <w:r w:rsidRPr="003A2037">
        <w:rPr>
          <w:rFonts w:ascii="Arial" w:hAnsi="Arial" w:cs="Arial"/>
        </w:rPr>
        <w:t>Tornq</w:t>
      </w:r>
      <w:r w:rsidR="007C7DA8" w:rsidRPr="003A2037">
        <w:rPr>
          <w:rFonts w:ascii="Arial" w:hAnsi="Arial" w:cs="Arial"/>
        </w:rPr>
        <w:t>v</w:t>
      </w:r>
      <w:r w:rsidRPr="003A2037">
        <w:rPr>
          <w:rFonts w:ascii="Arial" w:hAnsi="Arial" w:cs="Arial"/>
        </w:rPr>
        <w:t>ist</w:t>
      </w:r>
      <w:proofErr w:type="spellEnd"/>
      <w:r w:rsidRPr="003A2037">
        <w:rPr>
          <w:rFonts w:ascii="Arial" w:hAnsi="Arial" w:cs="Arial"/>
        </w:rPr>
        <w:t xml:space="preserve">, através do qual obtém-se a Produtividade total dos fatores, os Índices de Insumos e Produto, e índices referentes à terra, trabalho e capital. Como a produtividade é definida pela relação entre produto e insumo, e neste caso abrange todos os produtos e insumos, os dados devem cobrir essa definição. </w:t>
      </w:r>
    </w:p>
    <w:p w:rsidR="000A455E" w:rsidRPr="003A2037" w:rsidRDefault="000A455E" w:rsidP="000A455E">
      <w:pPr>
        <w:spacing w:after="240"/>
        <w:ind w:firstLine="709"/>
        <w:jc w:val="both"/>
        <w:rPr>
          <w:rFonts w:ascii="Arial" w:hAnsi="Arial" w:cs="Arial"/>
        </w:rPr>
      </w:pPr>
      <w:r w:rsidRPr="003A2037">
        <w:rPr>
          <w:rFonts w:ascii="Arial" w:hAnsi="Arial" w:cs="Arial"/>
        </w:rPr>
        <w:t>O índice do Produto, compreende as lavouras temporárias, num total de 31, publicadas pelo IBGE através da Produção agrícola municipal</w:t>
      </w:r>
      <w:r w:rsidR="00413EBA" w:rsidRPr="003A2037">
        <w:rPr>
          <w:rFonts w:ascii="Arial" w:hAnsi="Arial" w:cs="Arial"/>
        </w:rPr>
        <w:t xml:space="preserve"> - PAM</w:t>
      </w:r>
      <w:r w:rsidRPr="003A2037">
        <w:rPr>
          <w:rFonts w:ascii="Arial" w:hAnsi="Arial" w:cs="Arial"/>
        </w:rPr>
        <w:t>; as lavouras permanentes, com 3</w:t>
      </w:r>
      <w:r w:rsidR="00413EBA" w:rsidRPr="003A2037">
        <w:rPr>
          <w:rFonts w:ascii="Arial" w:hAnsi="Arial" w:cs="Arial"/>
        </w:rPr>
        <w:t>2</w:t>
      </w:r>
      <w:r w:rsidRPr="003A2037">
        <w:rPr>
          <w:rFonts w:ascii="Arial" w:hAnsi="Arial" w:cs="Arial"/>
        </w:rPr>
        <w:t xml:space="preserve"> atividades; produção animal, cujos dados são publicados pelo IBGE em Pesquisa da Pecuária Municipal – PPM, e carnes também do IBGE, cujos dados estão em Pesquisa Trimestral de Abates. Esses dados são agregados através do índice de </w:t>
      </w:r>
      <w:proofErr w:type="spellStart"/>
      <w:r w:rsidRPr="003A2037">
        <w:rPr>
          <w:rFonts w:ascii="Arial" w:hAnsi="Arial" w:cs="Arial"/>
        </w:rPr>
        <w:t>Tornq</w:t>
      </w:r>
      <w:r w:rsidR="007C7DA8" w:rsidRPr="003A2037">
        <w:rPr>
          <w:rFonts w:ascii="Arial" w:hAnsi="Arial" w:cs="Arial"/>
        </w:rPr>
        <w:t>v</w:t>
      </w:r>
      <w:r w:rsidRPr="003A2037">
        <w:rPr>
          <w:rFonts w:ascii="Arial" w:hAnsi="Arial" w:cs="Arial"/>
        </w:rPr>
        <w:t>is</w:t>
      </w:r>
      <w:r w:rsidR="00D16B4A" w:rsidRPr="003A2037">
        <w:rPr>
          <w:rFonts w:ascii="Arial" w:hAnsi="Arial" w:cs="Arial"/>
        </w:rPr>
        <w:t>t</w:t>
      </w:r>
      <w:proofErr w:type="spellEnd"/>
      <w:r w:rsidR="00D16B4A" w:rsidRPr="003A2037">
        <w:rPr>
          <w:rFonts w:ascii="Arial" w:hAnsi="Arial" w:cs="Arial"/>
        </w:rPr>
        <w:t xml:space="preserve"> e formam o Índice de Produto.</w:t>
      </w:r>
    </w:p>
    <w:p w:rsidR="000A455E" w:rsidRPr="003A2037" w:rsidRDefault="000A455E" w:rsidP="000A455E">
      <w:pPr>
        <w:spacing w:after="240"/>
        <w:ind w:firstLine="709"/>
        <w:jc w:val="both"/>
        <w:rPr>
          <w:rFonts w:ascii="Arial" w:hAnsi="Arial" w:cs="Arial"/>
        </w:rPr>
      </w:pPr>
      <w:r w:rsidRPr="003A2037">
        <w:rPr>
          <w:rFonts w:ascii="Arial" w:hAnsi="Arial" w:cs="Arial"/>
        </w:rPr>
        <w:t xml:space="preserve">Note-se que esse índice é bastante abrangente, embora não inclua algumas atividades como as florestais e outras. O índice de produto no período analisado que é de 1975 a 2017, sofreu acentuada modificação em sua composição. Uma lista de produtos como soja, milho, cana-de-açúcar, laranja, uva, tomate, leite e outros apresentaram acentuado aumento em suas quantidades produzidas e na qualidade. Essas mudanças na composição podem ser captadas pelo índice de </w:t>
      </w:r>
      <w:proofErr w:type="spellStart"/>
      <w:r w:rsidRPr="003A2037">
        <w:rPr>
          <w:rFonts w:ascii="Arial" w:hAnsi="Arial" w:cs="Arial"/>
        </w:rPr>
        <w:t>Tornq</w:t>
      </w:r>
      <w:r w:rsidR="007C7DA8" w:rsidRPr="003A2037">
        <w:rPr>
          <w:rFonts w:ascii="Arial" w:hAnsi="Arial" w:cs="Arial"/>
        </w:rPr>
        <w:t>v</w:t>
      </w:r>
      <w:r w:rsidRPr="003A2037">
        <w:rPr>
          <w:rFonts w:ascii="Arial" w:hAnsi="Arial" w:cs="Arial"/>
        </w:rPr>
        <w:t>ist</w:t>
      </w:r>
      <w:proofErr w:type="spellEnd"/>
      <w:r w:rsidRPr="003A2037">
        <w:rPr>
          <w:rFonts w:ascii="Arial" w:hAnsi="Arial" w:cs="Arial"/>
        </w:rPr>
        <w:t xml:space="preserve"> o que o torna um índice bastante flexível e superior.</w:t>
      </w:r>
    </w:p>
    <w:p w:rsidR="00BF2C12" w:rsidRDefault="000A455E" w:rsidP="000A455E">
      <w:pPr>
        <w:spacing w:after="240"/>
        <w:ind w:firstLine="709"/>
        <w:jc w:val="both"/>
        <w:rPr>
          <w:rFonts w:ascii="Arial" w:hAnsi="Arial" w:cs="Arial"/>
        </w:rPr>
      </w:pPr>
      <w:r w:rsidRPr="003A2037">
        <w:rPr>
          <w:rFonts w:ascii="Arial" w:hAnsi="Arial" w:cs="Arial"/>
        </w:rPr>
        <w:t>O Índice de Insumos, é formado por pessoal ocupado, terra, tratores, fertilizantes e defensivos</w:t>
      </w:r>
      <w:r w:rsidR="00D16B4A" w:rsidRPr="003A2037">
        <w:rPr>
          <w:rFonts w:ascii="Arial" w:hAnsi="Arial" w:cs="Arial"/>
        </w:rPr>
        <w:t>.</w:t>
      </w:r>
      <w:r w:rsidRPr="003A2037">
        <w:rPr>
          <w:rFonts w:ascii="Arial" w:hAnsi="Arial" w:cs="Arial"/>
        </w:rPr>
        <w:t xml:space="preserve"> Estes últimos três foram reunidos em capital. Assim como para a construção do Índice de Produto, para a obtenção do Índice de Insumos, é necessário dispor de todas as quantidades e também dos preços. Isso, às vezes pode tornar mais restritivo o seu uso</w:t>
      </w:r>
      <w:r w:rsidR="00674473" w:rsidRPr="003A2037">
        <w:rPr>
          <w:rFonts w:ascii="Arial" w:hAnsi="Arial" w:cs="Arial"/>
        </w:rPr>
        <w:t>.</w:t>
      </w:r>
    </w:p>
    <w:p w:rsidR="00F360C0" w:rsidRDefault="00F360C0" w:rsidP="000A455E">
      <w:pPr>
        <w:spacing w:after="240"/>
        <w:ind w:firstLine="709"/>
        <w:jc w:val="both"/>
        <w:rPr>
          <w:rFonts w:ascii="Arial" w:hAnsi="Arial" w:cs="Arial"/>
        </w:rPr>
      </w:pPr>
    </w:p>
    <w:p w:rsidR="00F360C0" w:rsidRDefault="00F360C0" w:rsidP="000A455E">
      <w:pPr>
        <w:spacing w:after="240"/>
        <w:ind w:firstLine="709"/>
        <w:jc w:val="both"/>
        <w:rPr>
          <w:rFonts w:ascii="Arial" w:hAnsi="Arial" w:cs="Arial"/>
        </w:rPr>
      </w:pPr>
    </w:p>
    <w:p w:rsidR="00F360C0" w:rsidRPr="003A2037" w:rsidRDefault="00F360C0" w:rsidP="000A455E">
      <w:pPr>
        <w:spacing w:after="240"/>
        <w:ind w:firstLine="709"/>
        <w:jc w:val="both"/>
        <w:rPr>
          <w:rFonts w:ascii="Arial" w:hAnsi="Arial" w:cs="Arial"/>
        </w:rPr>
      </w:pPr>
    </w:p>
    <w:p w:rsidR="00C544BB" w:rsidRPr="003A2037" w:rsidRDefault="00C544BB" w:rsidP="000A455E">
      <w:pPr>
        <w:spacing w:after="240"/>
        <w:ind w:firstLine="709"/>
        <w:jc w:val="both"/>
        <w:rPr>
          <w:rFonts w:ascii="Arial" w:hAnsi="Arial" w:cs="Arial"/>
        </w:rPr>
      </w:pPr>
      <w:r w:rsidRPr="003A2037">
        <w:rPr>
          <w:rFonts w:ascii="Arial" w:hAnsi="Arial" w:cs="Arial"/>
        </w:rPr>
        <w:t xml:space="preserve">Fórmula do Índice de </w:t>
      </w:r>
      <w:proofErr w:type="spellStart"/>
      <w:r w:rsidRPr="003A2037">
        <w:rPr>
          <w:rFonts w:ascii="Arial" w:hAnsi="Arial" w:cs="Arial"/>
        </w:rPr>
        <w:t>Tornqvist</w:t>
      </w:r>
      <w:proofErr w:type="spellEnd"/>
    </w:p>
    <w:p w:rsidR="00C544BB" w:rsidRDefault="002449A6" w:rsidP="000A455E">
      <w:pPr>
        <w:spacing w:after="240"/>
        <w:ind w:firstLine="709"/>
        <w:jc w:val="both"/>
        <w:rPr>
          <w:rFonts w:ascii="Arial" w:hAnsi="Arial" w:cs="Arial"/>
        </w:rPr>
      </w:pPr>
      <w:r w:rsidRPr="003A2037">
        <w:rPr>
          <w:rFonts w:ascii="Arial" w:hAnsi="Arial" w:cs="Arial"/>
        </w:rPr>
        <w:object w:dxaOrig="3420" w:dyaOrig="1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98.25pt" o:ole="">
            <v:imagedata r:id="rId7" o:title=""/>
          </v:shape>
          <o:OLEObject Type="Embed" ProgID="Equation.3" ShapeID="_x0000_i1025" DrawAspect="Content" ObjectID="_1610957075" r:id="rId8"/>
        </w:object>
      </w:r>
    </w:p>
    <w:p w:rsidR="00A47BC3" w:rsidRDefault="00A47BC3" w:rsidP="000A455E">
      <w:pPr>
        <w:spacing w:after="24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Nessa fórmula temos:</w:t>
      </w:r>
    </w:p>
    <w:p w:rsidR="00A47BC3" w:rsidRPr="00A47BC3" w:rsidRDefault="00A47BC3" w:rsidP="00A47BC3">
      <w:pPr>
        <w:spacing w:line="360" w:lineRule="auto"/>
        <w:ind w:firstLine="709"/>
        <w:jc w:val="both"/>
        <w:rPr>
          <w:rFonts w:ascii="Arial" w:hAnsi="Arial" w:cs="Arial"/>
          <w:i/>
        </w:rPr>
      </w:pPr>
      <w:r w:rsidRPr="00A47BC3">
        <w:rPr>
          <w:rFonts w:ascii="Arial" w:hAnsi="Arial" w:cs="Arial"/>
          <w:i/>
        </w:rPr>
        <w:t>PTF = Produtividade Total dos Fatores</w:t>
      </w:r>
    </w:p>
    <w:p w:rsidR="00A47BC3" w:rsidRPr="00A47BC3" w:rsidRDefault="00A47BC3" w:rsidP="00A47BC3">
      <w:pPr>
        <w:spacing w:line="360" w:lineRule="auto"/>
        <w:ind w:firstLine="709"/>
        <w:jc w:val="both"/>
        <w:rPr>
          <w:rFonts w:ascii="Arial" w:hAnsi="Arial" w:cs="Arial"/>
          <w:i/>
        </w:rPr>
      </w:pPr>
      <w:r w:rsidRPr="00A47BC3">
        <w:rPr>
          <w:rFonts w:ascii="Arial" w:hAnsi="Arial" w:cs="Arial"/>
          <w:i/>
        </w:rPr>
        <w:t>Y = Quantidade de Produto</w:t>
      </w:r>
    </w:p>
    <w:p w:rsidR="00A47BC3" w:rsidRPr="00A47BC3" w:rsidRDefault="00A47BC3" w:rsidP="00A47BC3">
      <w:pPr>
        <w:spacing w:line="360" w:lineRule="auto"/>
        <w:ind w:firstLine="709"/>
        <w:jc w:val="both"/>
        <w:rPr>
          <w:rFonts w:ascii="Arial" w:hAnsi="Arial" w:cs="Arial"/>
          <w:i/>
        </w:rPr>
      </w:pPr>
      <w:r w:rsidRPr="00A47BC3">
        <w:rPr>
          <w:rFonts w:ascii="Arial" w:hAnsi="Arial" w:cs="Arial"/>
          <w:i/>
        </w:rPr>
        <w:t>X = Quantidade de Insumo</w:t>
      </w:r>
    </w:p>
    <w:p w:rsidR="00A47BC3" w:rsidRPr="00A47BC3" w:rsidRDefault="00A47BC3" w:rsidP="00A47BC3">
      <w:pPr>
        <w:spacing w:line="360" w:lineRule="auto"/>
        <w:ind w:firstLine="709"/>
        <w:jc w:val="both"/>
        <w:rPr>
          <w:rFonts w:ascii="Arial" w:hAnsi="Arial" w:cs="Arial"/>
          <w:i/>
        </w:rPr>
      </w:pPr>
      <w:r w:rsidRPr="00A47BC3">
        <w:rPr>
          <w:rFonts w:ascii="Arial" w:hAnsi="Arial" w:cs="Arial"/>
          <w:i/>
        </w:rPr>
        <w:t>S = Participação do produto no valor total</w:t>
      </w:r>
    </w:p>
    <w:p w:rsidR="00A47BC3" w:rsidRPr="00A47BC3" w:rsidRDefault="00A47BC3" w:rsidP="00A47BC3">
      <w:pPr>
        <w:spacing w:line="360" w:lineRule="auto"/>
        <w:ind w:firstLine="709"/>
        <w:jc w:val="both"/>
        <w:rPr>
          <w:rFonts w:ascii="Arial" w:hAnsi="Arial" w:cs="Arial"/>
          <w:i/>
        </w:rPr>
      </w:pPr>
      <w:r w:rsidRPr="00A47BC3">
        <w:rPr>
          <w:rFonts w:ascii="Arial" w:hAnsi="Arial" w:cs="Arial"/>
          <w:i/>
        </w:rPr>
        <w:t>C = Participação do insumo no custo total</w:t>
      </w:r>
    </w:p>
    <w:p w:rsidR="00C544BB" w:rsidRPr="003A2037" w:rsidRDefault="00C544BB" w:rsidP="000A455E">
      <w:pPr>
        <w:spacing w:after="240"/>
        <w:ind w:firstLine="709"/>
        <w:jc w:val="both"/>
        <w:rPr>
          <w:rFonts w:ascii="Arial" w:hAnsi="Arial" w:cs="Arial"/>
        </w:rPr>
      </w:pPr>
    </w:p>
    <w:p w:rsidR="00F456D0" w:rsidRDefault="00F456D0" w:rsidP="00F456D0">
      <w:pPr>
        <w:spacing w:after="240"/>
        <w:ind w:firstLine="709"/>
        <w:jc w:val="both"/>
        <w:rPr>
          <w:rFonts w:ascii="Arial" w:hAnsi="Arial" w:cs="Arial"/>
        </w:rPr>
      </w:pPr>
      <w:r w:rsidRPr="003A2037">
        <w:rPr>
          <w:rFonts w:ascii="Arial" w:hAnsi="Arial" w:cs="Arial"/>
        </w:rPr>
        <w:t>Alterações foram realizadas nos preços de terras, onde passamos a combinar uma série inicial da FGV com as taxas de variação do preço médio de terras publicado pelo</w:t>
      </w:r>
      <w:r w:rsidR="002449A6" w:rsidRPr="003A2037">
        <w:rPr>
          <w:rFonts w:ascii="Arial" w:hAnsi="Arial" w:cs="Arial"/>
        </w:rPr>
        <w:t xml:space="preserve"> Instituto de Economia Agrícola do Estado de São Paulo - IEA</w:t>
      </w:r>
      <w:r w:rsidRPr="003A2037">
        <w:rPr>
          <w:rFonts w:ascii="Arial" w:hAnsi="Arial" w:cs="Arial"/>
        </w:rPr>
        <w:t xml:space="preserve">. Revisamos a série de quantidade de tratores computando as informações do Censo Agro 2017. Com essa mudança deixamos de usar os dados da ANFAVEA referente às unidades vendidas internamente. O número de tratores corresponde ao levantado nos anos de Censo, e os valores intermediários são calculados por interpolação através de taxas geométricas. Também </w:t>
      </w:r>
      <w:proofErr w:type="gramStart"/>
      <w:r w:rsidRPr="003A2037">
        <w:rPr>
          <w:rFonts w:ascii="Arial" w:hAnsi="Arial" w:cs="Arial"/>
        </w:rPr>
        <w:t>atualizou-se</w:t>
      </w:r>
      <w:proofErr w:type="gramEnd"/>
      <w:r w:rsidRPr="003A2037">
        <w:rPr>
          <w:rFonts w:ascii="Arial" w:hAnsi="Arial" w:cs="Arial"/>
        </w:rPr>
        <w:t xml:space="preserve"> com o Censo Agro 2017, as informações sobre áreas de pastagem. </w:t>
      </w:r>
    </w:p>
    <w:p w:rsidR="00F360C0" w:rsidRPr="003A2037" w:rsidRDefault="00F360C0" w:rsidP="00F456D0">
      <w:pPr>
        <w:spacing w:after="240"/>
        <w:ind w:firstLine="709"/>
        <w:jc w:val="both"/>
        <w:rPr>
          <w:rFonts w:ascii="Arial" w:hAnsi="Arial" w:cs="Arial"/>
        </w:rPr>
      </w:pPr>
    </w:p>
    <w:p w:rsidR="00F456D0" w:rsidRPr="003A2037" w:rsidRDefault="00F456D0" w:rsidP="002449A6">
      <w:pPr>
        <w:pStyle w:val="PargrafodaLista"/>
        <w:numPr>
          <w:ilvl w:val="0"/>
          <w:numId w:val="5"/>
        </w:numPr>
        <w:spacing w:after="240"/>
        <w:jc w:val="both"/>
        <w:rPr>
          <w:rFonts w:ascii="Arial" w:hAnsi="Arial" w:cs="Arial"/>
          <w:b/>
        </w:rPr>
      </w:pPr>
      <w:r w:rsidRPr="003A2037">
        <w:rPr>
          <w:rFonts w:ascii="Arial" w:hAnsi="Arial" w:cs="Arial"/>
          <w:b/>
        </w:rPr>
        <w:t>Produtividade e Crescimento - Resultados</w:t>
      </w:r>
    </w:p>
    <w:p w:rsidR="00F456D0" w:rsidRPr="003A2037" w:rsidRDefault="00F456D0" w:rsidP="00F456D0">
      <w:pPr>
        <w:spacing w:after="240"/>
        <w:ind w:firstLine="709"/>
        <w:jc w:val="both"/>
        <w:rPr>
          <w:rFonts w:ascii="Arial" w:hAnsi="Arial" w:cs="Arial"/>
        </w:rPr>
      </w:pPr>
      <w:r w:rsidRPr="003A2037">
        <w:rPr>
          <w:rFonts w:ascii="Arial" w:hAnsi="Arial" w:cs="Arial"/>
        </w:rPr>
        <w:t>A taxa anual de crescimento da PTF nos últimos 42 anos, tem sido de 3,</w:t>
      </w:r>
      <w:r w:rsidR="00B7285F">
        <w:rPr>
          <w:rFonts w:ascii="Arial" w:hAnsi="Arial" w:cs="Arial"/>
        </w:rPr>
        <w:t>43</w:t>
      </w:r>
      <w:r w:rsidRPr="003A2037">
        <w:rPr>
          <w:rFonts w:ascii="Arial" w:hAnsi="Arial" w:cs="Arial"/>
        </w:rPr>
        <w:t xml:space="preserve">%. Esse crescimento eleva um pouco a taxa histórica que temos observado, e isso deve ser devido ao forte crescimento da agricultura nas últimas duas décadas. A taxa obtida para a agricultura brasileira pode ser considerada elevada. A taxa histórica nos Estados Unidos é de 1,38% a.a., e para o período 2007-2015, de 0,53% (USDA/ERS, 2018). </w:t>
      </w:r>
    </w:p>
    <w:p w:rsidR="00F456D0" w:rsidRPr="003A2037" w:rsidRDefault="00F456D0" w:rsidP="00F456D0">
      <w:pPr>
        <w:spacing w:after="240"/>
        <w:ind w:firstLine="709"/>
        <w:jc w:val="both"/>
        <w:rPr>
          <w:rFonts w:ascii="Arial" w:hAnsi="Arial" w:cs="Arial"/>
        </w:rPr>
      </w:pPr>
      <w:r w:rsidRPr="003A2037">
        <w:rPr>
          <w:rFonts w:ascii="Arial" w:hAnsi="Arial" w:cs="Arial"/>
        </w:rPr>
        <w:t xml:space="preserve">O crescimento do produto também tem sido superior ao da agricultura americana. </w:t>
      </w:r>
    </w:p>
    <w:p w:rsidR="00F456D0" w:rsidRPr="003A2037" w:rsidRDefault="00F456D0" w:rsidP="00F456D0">
      <w:pPr>
        <w:spacing w:after="240"/>
        <w:ind w:firstLine="709"/>
        <w:jc w:val="both"/>
        <w:rPr>
          <w:rFonts w:ascii="Arial" w:hAnsi="Arial" w:cs="Arial"/>
        </w:rPr>
      </w:pPr>
      <w:r w:rsidRPr="003A2037">
        <w:rPr>
          <w:rFonts w:ascii="Arial" w:hAnsi="Arial" w:cs="Arial"/>
        </w:rPr>
        <w:t>Os resultados mostram uma taxa anual média de crescimento do produto agropecuário de 3,82% no período 1975-2017. Essa taxa corresponde a um aumento de quase 5 vezes do produto, que passou de 100 para 475,0 no período. Esse aumento se deve ao crescimento da quantidade produzida de diversos produtos como antes mencionado, e também à inclusão de produtos que apresentam maior valor agregado como carnes, frutas, produtos do setor sucroalcooleiro e grãos.</w:t>
      </w:r>
    </w:p>
    <w:p w:rsidR="00F456D0" w:rsidRPr="003A2037" w:rsidRDefault="00F456D0" w:rsidP="00F456D0">
      <w:pPr>
        <w:spacing w:after="240"/>
        <w:ind w:firstLine="709"/>
        <w:jc w:val="both"/>
        <w:rPr>
          <w:rFonts w:ascii="Arial" w:hAnsi="Arial" w:cs="Arial"/>
        </w:rPr>
      </w:pPr>
      <w:r w:rsidRPr="003A2037">
        <w:rPr>
          <w:rFonts w:ascii="Arial" w:hAnsi="Arial" w:cs="Arial"/>
        </w:rPr>
        <w:t>A tendência de menor crescimento do uso de insumos continua. A tabela mostra que a taxa de crescimento de insumos foi de 0,38%. Mas têm diminuído sistematicamente ao longo das décadas. No Período 2000-2017 a taxa foi de 0,22% ao ano, enquanto que o produto cresceu 4,06% a.a. Nesse período a quantidade de insumos para produzir um</w:t>
      </w:r>
      <w:r w:rsidR="007C7DA8" w:rsidRPr="003A2037">
        <w:rPr>
          <w:rFonts w:ascii="Arial" w:hAnsi="Arial" w:cs="Arial"/>
        </w:rPr>
        <w:t>a</w:t>
      </w:r>
      <w:r w:rsidRPr="003A2037">
        <w:rPr>
          <w:rFonts w:ascii="Arial" w:hAnsi="Arial" w:cs="Arial"/>
        </w:rPr>
        <w:t xml:space="preserve"> unidade de produto caiu de 20,0 pontos percentuais (variação da relação entre os índices de insumo e produto em 2000 e 2017).</w:t>
      </w:r>
    </w:p>
    <w:p w:rsidR="00F456D0" w:rsidRPr="003A2037" w:rsidRDefault="00F456D0" w:rsidP="00F456D0">
      <w:pPr>
        <w:spacing w:after="240"/>
        <w:ind w:firstLine="709"/>
        <w:jc w:val="both"/>
        <w:rPr>
          <w:rFonts w:ascii="Arial" w:hAnsi="Arial" w:cs="Arial"/>
        </w:rPr>
      </w:pPr>
      <w:r w:rsidRPr="003A2037">
        <w:rPr>
          <w:rFonts w:ascii="Arial" w:hAnsi="Arial" w:cs="Arial"/>
        </w:rPr>
        <w:t>Em trabalho anterior notou-se que a agricultura brasileira tem - se destacado pelo uso crescente de capital. Isso fica claro ao observar as taxas de crescimento do índice de capital, formado por tratores, defensivos e fertilizantes. Os efeitos sobre a produtividade ocorrem menos pelo aumento de quantidade desses fatores, mas principalmente pela melhoria de qualidade incorporada nos insumos, chamada de tecnologia cristalizada nos insumos (</w:t>
      </w:r>
      <w:r w:rsidR="00090F93" w:rsidRPr="003A2037">
        <w:rPr>
          <w:rFonts w:ascii="Arial" w:hAnsi="Arial" w:cs="Arial"/>
        </w:rPr>
        <w:t>Alves, 2004</w:t>
      </w:r>
      <w:r w:rsidRPr="003A2037">
        <w:rPr>
          <w:rFonts w:ascii="Arial" w:hAnsi="Arial" w:cs="Arial"/>
        </w:rPr>
        <w:t>).</w:t>
      </w:r>
    </w:p>
    <w:p w:rsidR="00F456D0" w:rsidRPr="003A2037" w:rsidRDefault="00F456D0" w:rsidP="00F456D0">
      <w:pPr>
        <w:spacing w:after="240"/>
        <w:ind w:firstLine="709"/>
        <w:jc w:val="both"/>
        <w:rPr>
          <w:rFonts w:ascii="Arial" w:hAnsi="Arial" w:cs="Arial"/>
        </w:rPr>
      </w:pPr>
      <w:r w:rsidRPr="003A2037">
        <w:rPr>
          <w:rFonts w:ascii="Arial" w:hAnsi="Arial" w:cs="Arial"/>
        </w:rPr>
        <w:t xml:space="preserve">Há uma forte tendência de redução do pessoal ocupado e da área plantada. Isso pode ser observado pelo crescimento a taxas negativas da mão de obra e terra. Ao mesmo tempo, a produtividade de ambos tem crescido a taxas elevadas. No período 1975 a 2017, o crescimento anual da produtividade do trabalho foi de 4,23% e da terra, 3,83%. </w:t>
      </w:r>
    </w:p>
    <w:p w:rsidR="00CB7BAC" w:rsidRPr="003A2037" w:rsidRDefault="00F456D0" w:rsidP="00F456D0">
      <w:pPr>
        <w:spacing w:after="240"/>
        <w:ind w:firstLine="709"/>
        <w:jc w:val="both"/>
        <w:rPr>
          <w:rFonts w:ascii="Arial" w:hAnsi="Arial" w:cs="Arial"/>
        </w:rPr>
      </w:pPr>
      <w:r w:rsidRPr="003A2037">
        <w:rPr>
          <w:rFonts w:ascii="Arial" w:hAnsi="Arial" w:cs="Arial"/>
        </w:rPr>
        <w:t>O aumento da produtividade do pessoal ocupado ocorre por dois motivos principais, que são, nível de qualificação formal e informal e dotação de instrumentos de trabalho. A produtividade da terra se eleva pelos investimentos em pesquisa. No Censo agropecuário há registros que mostram melhoria da qualificação do pessoal ocupado na agricultura, mas de uma forma lenta</w:t>
      </w:r>
      <w:r w:rsidR="00091691" w:rsidRPr="003A2037">
        <w:rPr>
          <w:rFonts w:ascii="Arial" w:hAnsi="Arial" w:cs="Arial"/>
        </w:rPr>
        <w:t xml:space="preserve"> </w:t>
      </w:r>
      <w:r w:rsidRPr="003A2037">
        <w:rPr>
          <w:rFonts w:ascii="Arial" w:hAnsi="Arial" w:cs="Arial"/>
        </w:rPr>
        <w:t>(IBGE, Censos Agro 2006 e 2017). Por essa razão, o aumento da dotação de equipamentos para o trabalho, como o uso de tratores e colheitadeiras deve ter sido decisivo (</w:t>
      </w:r>
      <w:r w:rsidR="00091691" w:rsidRPr="003A2037">
        <w:rPr>
          <w:rFonts w:ascii="Arial" w:hAnsi="Arial" w:cs="Arial"/>
        </w:rPr>
        <w:t>v</w:t>
      </w:r>
      <w:r w:rsidRPr="003A2037">
        <w:rPr>
          <w:rFonts w:ascii="Arial" w:hAnsi="Arial" w:cs="Arial"/>
        </w:rPr>
        <w:t xml:space="preserve">er </w:t>
      </w:r>
      <w:r w:rsidR="00091691" w:rsidRPr="003A2037">
        <w:rPr>
          <w:rFonts w:ascii="Arial" w:hAnsi="Arial" w:cs="Arial"/>
        </w:rPr>
        <w:t>f</w:t>
      </w:r>
      <w:r w:rsidRPr="003A2037">
        <w:rPr>
          <w:rFonts w:ascii="Arial" w:hAnsi="Arial" w:cs="Arial"/>
        </w:rPr>
        <w:t>igura). Essa figura mostra que o pico do pessoal ocupado foi em 1985. Daí até 2017 houve uma redução de 8 358 mil pessoas ocupadas, passando de 23,4 milhões para 15,0 milhões.</w:t>
      </w:r>
    </w:p>
    <w:tbl>
      <w:tblPr>
        <w:tblW w:w="9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132"/>
        <w:gridCol w:w="1120"/>
        <w:gridCol w:w="1120"/>
        <w:gridCol w:w="1120"/>
        <w:gridCol w:w="1120"/>
        <w:gridCol w:w="1122"/>
      </w:tblGrid>
      <w:tr w:rsidR="00674473" w:rsidRPr="003A2037" w:rsidTr="00E27ADA">
        <w:trPr>
          <w:trHeight w:val="349"/>
        </w:trPr>
        <w:tc>
          <w:tcPr>
            <w:tcW w:w="91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037">
              <w:rPr>
                <w:rFonts w:ascii="Arial" w:hAnsi="Arial" w:cs="Arial"/>
                <w:b/>
                <w:bCs/>
                <w:sz w:val="20"/>
                <w:szCs w:val="20"/>
              </w:rPr>
              <w:t>Produto, Insumos e Produtividade Total dos Fatores</w:t>
            </w:r>
          </w:p>
        </w:tc>
      </w:tr>
      <w:tr w:rsidR="00674473" w:rsidRPr="003A2037" w:rsidTr="00E27ADA">
        <w:trPr>
          <w:trHeight w:val="349"/>
        </w:trPr>
        <w:tc>
          <w:tcPr>
            <w:tcW w:w="91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037">
              <w:rPr>
                <w:rFonts w:ascii="Arial" w:hAnsi="Arial" w:cs="Arial"/>
                <w:b/>
                <w:bCs/>
                <w:sz w:val="20"/>
                <w:szCs w:val="20"/>
              </w:rPr>
              <w:t>Taxa anual de crescimento (%)</w:t>
            </w:r>
          </w:p>
        </w:tc>
      </w:tr>
      <w:tr w:rsidR="00674473" w:rsidRPr="003A2037" w:rsidTr="00E27ADA">
        <w:trPr>
          <w:trHeight w:val="349"/>
        </w:trPr>
        <w:tc>
          <w:tcPr>
            <w:tcW w:w="241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73" w:rsidRPr="003A2037" w:rsidRDefault="00674473" w:rsidP="003907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037">
              <w:rPr>
                <w:rFonts w:ascii="Arial" w:hAnsi="Arial" w:cs="Arial"/>
                <w:b/>
                <w:bCs/>
                <w:sz w:val="20"/>
                <w:szCs w:val="20"/>
              </w:rPr>
              <w:t>PERÍODO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037">
              <w:rPr>
                <w:rFonts w:ascii="Arial" w:hAnsi="Arial" w:cs="Arial"/>
                <w:b/>
                <w:bCs/>
                <w:sz w:val="20"/>
                <w:szCs w:val="20"/>
              </w:rPr>
              <w:t>1975-2017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037">
              <w:rPr>
                <w:rFonts w:ascii="Arial" w:hAnsi="Arial" w:cs="Arial"/>
                <w:b/>
                <w:bCs/>
                <w:sz w:val="20"/>
                <w:szCs w:val="20"/>
              </w:rPr>
              <w:t>1975-1979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037">
              <w:rPr>
                <w:rFonts w:ascii="Arial" w:hAnsi="Arial" w:cs="Arial"/>
                <w:b/>
                <w:bCs/>
                <w:sz w:val="20"/>
                <w:szCs w:val="20"/>
              </w:rPr>
              <w:t>1980-1989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037">
              <w:rPr>
                <w:rFonts w:ascii="Arial" w:hAnsi="Arial" w:cs="Arial"/>
                <w:b/>
                <w:bCs/>
                <w:sz w:val="20"/>
                <w:szCs w:val="20"/>
              </w:rPr>
              <w:t>1990-1999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037">
              <w:rPr>
                <w:rFonts w:ascii="Arial" w:hAnsi="Arial" w:cs="Arial"/>
                <w:b/>
                <w:bCs/>
                <w:sz w:val="20"/>
                <w:szCs w:val="20"/>
              </w:rPr>
              <w:t>2000-2009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037">
              <w:rPr>
                <w:rFonts w:ascii="Arial" w:hAnsi="Arial" w:cs="Arial"/>
                <w:b/>
                <w:bCs/>
                <w:sz w:val="20"/>
                <w:szCs w:val="20"/>
              </w:rPr>
              <w:t>2000-2017</w:t>
            </w:r>
          </w:p>
        </w:tc>
      </w:tr>
      <w:tr w:rsidR="00674473" w:rsidRPr="003A2037" w:rsidTr="00E27ADA">
        <w:trPr>
          <w:trHeight w:hRule="exact" w:val="340"/>
        </w:trPr>
        <w:tc>
          <w:tcPr>
            <w:tcW w:w="914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037">
              <w:rPr>
                <w:rFonts w:ascii="Arial" w:hAnsi="Arial" w:cs="Arial"/>
                <w:b/>
                <w:bCs/>
                <w:sz w:val="20"/>
                <w:szCs w:val="20"/>
              </w:rPr>
              <w:t>ÍNDICE</w:t>
            </w:r>
          </w:p>
        </w:tc>
      </w:tr>
      <w:tr w:rsidR="00674473" w:rsidRPr="003A2037" w:rsidTr="00E27ADA">
        <w:trPr>
          <w:trHeight w:hRule="exact" w:val="340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73" w:rsidRPr="003A2037" w:rsidRDefault="00674473" w:rsidP="003907FF">
            <w:pPr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ÍNDICE PRODUTO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3,82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4,35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3,38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3,02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5,18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4,06</w:t>
            </w:r>
          </w:p>
        </w:tc>
      </w:tr>
      <w:tr w:rsidR="00674473" w:rsidRPr="003A2037" w:rsidTr="00E27ADA">
        <w:trPr>
          <w:trHeight w:hRule="exact" w:val="340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73" w:rsidRPr="003A2037" w:rsidRDefault="00674473" w:rsidP="003907FF">
            <w:pPr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ÍNDICE INSUMOS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0,38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1,52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1,15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0,23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1,03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0,22</w:t>
            </w:r>
          </w:p>
        </w:tc>
      </w:tr>
      <w:tr w:rsidR="00674473" w:rsidRPr="003A2037" w:rsidTr="00E27ADA">
        <w:trPr>
          <w:trHeight w:hRule="exact" w:val="340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74473" w:rsidRPr="003A2037" w:rsidRDefault="00674473" w:rsidP="003907FF">
            <w:pPr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PTF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3,43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2,79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2,21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2,78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4,11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3,83</w:t>
            </w:r>
          </w:p>
        </w:tc>
      </w:tr>
      <w:tr w:rsidR="00674473" w:rsidRPr="003A2037" w:rsidTr="00E27ADA">
        <w:trPr>
          <w:trHeight w:hRule="exact" w:val="340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73" w:rsidRPr="003A2037" w:rsidRDefault="00674473" w:rsidP="003907FF">
            <w:pPr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ÍNDICE MÃO-DE-OBRA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-0,39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0,06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0,60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-0,22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-0,06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-0,90</w:t>
            </w:r>
          </w:p>
        </w:tc>
      </w:tr>
      <w:tr w:rsidR="00674473" w:rsidRPr="003A2037" w:rsidTr="00E27ADA">
        <w:trPr>
          <w:trHeight w:hRule="exact" w:val="340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73" w:rsidRPr="003A2037" w:rsidRDefault="00674473" w:rsidP="003907FF">
            <w:pPr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ÍNDICE TERRA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-0,01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0,72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0,29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-0,32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-0,19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-0,07</w:t>
            </w:r>
          </w:p>
        </w:tc>
      </w:tr>
      <w:tr w:rsidR="00674473" w:rsidRPr="003A2037" w:rsidTr="00E27ADA">
        <w:trPr>
          <w:trHeight w:hRule="exact" w:val="340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73" w:rsidRPr="003A2037" w:rsidRDefault="00674473" w:rsidP="003907FF">
            <w:pPr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ÍNDICE CAPITAL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0,78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0,74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0,77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1,28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1,20</w:t>
            </w:r>
          </w:p>
        </w:tc>
      </w:tr>
      <w:tr w:rsidR="00674473" w:rsidRPr="003A2037" w:rsidTr="00E27ADA">
        <w:trPr>
          <w:trHeight w:hRule="exact" w:val="340"/>
        </w:trPr>
        <w:tc>
          <w:tcPr>
            <w:tcW w:w="9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037">
              <w:rPr>
                <w:rFonts w:ascii="Arial" w:hAnsi="Arial" w:cs="Arial"/>
                <w:b/>
                <w:bCs/>
                <w:sz w:val="20"/>
                <w:szCs w:val="20"/>
              </w:rPr>
              <w:t>PRODUTIVIDADE</w:t>
            </w:r>
          </w:p>
        </w:tc>
      </w:tr>
      <w:tr w:rsidR="00674473" w:rsidRPr="003A2037" w:rsidTr="00E27ADA">
        <w:trPr>
          <w:trHeight w:hRule="exact" w:val="340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73" w:rsidRPr="003A2037" w:rsidRDefault="00674473" w:rsidP="003907FF">
            <w:pPr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PROD.  MÃO-DE-OBRA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4,23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4,30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2,77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3,25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5,24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</w:tr>
      <w:tr w:rsidR="00674473" w:rsidRPr="003A2037" w:rsidTr="00E27ADA">
        <w:trPr>
          <w:trHeight w:hRule="exact" w:val="340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73" w:rsidRPr="003A2037" w:rsidRDefault="00674473" w:rsidP="003907FF">
            <w:pPr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PROD. TERRA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3,83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3,61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3,09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3,35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5,39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4,14</w:t>
            </w:r>
          </w:p>
        </w:tc>
      </w:tr>
      <w:tr w:rsidR="00674473" w:rsidRPr="003A2037" w:rsidTr="00E27ADA">
        <w:trPr>
          <w:trHeight w:hRule="exact" w:val="340"/>
        </w:trPr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73" w:rsidRPr="003A2037" w:rsidRDefault="00674473" w:rsidP="003907FF">
            <w:pPr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PROD. CAPITAL</w:t>
            </w:r>
          </w:p>
        </w:tc>
        <w:tc>
          <w:tcPr>
            <w:tcW w:w="11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3,01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3,58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3,12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2,23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3,85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73" w:rsidRPr="003A2037" w:rsidRDefault="00674473" w:rsidP="00390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2,82</w:t>
            </w:r>
          </w:p>
        </w:tc>
      </w:tr>
      <w:tr w:rsidR="00674473" w:rsidRPr="003A2037" w:rsidTr="00E27ADA">
        <w:trPr>
          <w:trHeight w:val="349"/>
        </w:trPr>
        <w:tc>
          <w:tcPr>
            <w:tcW w:w="91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Pr="003A2037" w:rsidRDefault="00674473" w:rsidP="003907FF">
            <w:pPr>
              <w:rPr>
                <w:rFonts w:ascii="Arial" w:hAnsi="Arial" w:cs="Arial"/>
                <w:sz w:val="20"/>
                <w:szCs w:val="20"/>
              </w:rPr>
            </w:pPr>
            <w:r w:rsidRPr="003A2037">
              <w:rPr>
                <w:rFonts w:ascii="Arial" w:hAnsi="Arial" w:cs="Arial"/>
                <w:sz w:val="20"/>
                <w:szCs w:val="20"/>
              </w:rPr>
              <w:t>Fonte: Gasques, J. G.; Bacchi, M. R</w:t>
            </w:r>
            <w:r w:rsidR="00E27ADA" w:rsidRPr="003A2037">
              <w:rPr>
                <w:rFonts w:ascii="Arial" w:hAnsi="Arial" w:cs="Arial"/>
                <w:sz w:val="20"/>
                <w:szCs w:val="20"/>
              </w:rPr>
              <w:t>.</w:t>
            </w:r>
            <w:r w:rsidRPr="003A2037">
              <w:rPr>
                <w:rFonts w:ascii="Arial" w:hAnsi="Arial" w:cs="Arial"/>
                <w:sz w:val="20"/>
                <w:szCs w:val="20"/>
              </w:rPr>
              <w:t xml:space="preserve">; Bastos, E. T.; Valdes, C. </w:t>
            </w:r>
          </w:p>
        </w:tc>
      </w:tr>
    </w:tbl>
    <w:p w:rsidR="00674473" w:rsidRPr="003A2037" w:rsidRDefault="00674473" w:rsidP="00674473">
      <w:pPr>
        <w:rPr>
          <w:rFonts w:ascii="Arial" w:hAnsi="Arial" w:cs="Arial"/>
        </w:rPr>
      </w:pPr>
    </w:p>
    <w:p w:rsidR="00674473" w:rsidRPr="003A2037" w:rsidRDefault="00674473" w:rsidP="00674473">
      <w:pPr>
        <w:rPr>
          <w:rFonts w:ascii="Arial" w:hAnsi="Arial" w:cs="Arial"/>
        </w:rPr>
      </w:pPr>
      <w:r w:rsidRPr="003A2037">
        <w:rPr>
          <w:rFonts w:ascii="Arial" w:hAnsi="Arial" w:cs="Arial"/>
        </w:rPr>
        <w:t>Número de Pessoas Ocupadas e estoque de tratores nos estabelecimentos, 1975-2017</w:t>
      </w:r>
    </w:p>
    <w:p w:rsidR="00674473" w:rsidRPr="003A2037" w:rsidRDefault="00674473" w:rsidP="00674473">
      <w:pPr>
        <w:rPr>
          <w:rFonts w:ascii="Arial" w:hAnsi="Arial" w:cs="Arial"/>
        </w:rPr>
      </w:pPr>
      <w:r w:rsidRPr="003A2037">
        <w:rPr>
          <w:rFonts w:ascii="Arial" w:hAnsi="Arial" w:cs="Arial"/>
          <w:noProof/>
        </w:rPr>
        <w:drawing>
          <wp:inline distT="0" distB="0" distL="0" distR="0" wp14:anchorId="2FB2E425" wp14:editId="7CE72FD6">
            <wp:extent cx="5021580" cy="2686264"/>
            <wp:effectExtent l="0" t="0" r="762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166" cy="26876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4473" w:rsidRPr="003A2037" w:rsidRDefault="00674473" w:rsidP="008A0668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3A2037">
        <w:rPr>
          <w:rFonts w:ascii="Arial" w:hAnsi="Arial" w:cs="Arial"/>
          <w:sz w:val="20"/>
          <w:szCs w:val="20"/>
        </w:rPr>
        <w:t>Fonte: IBGE - Censo Agro 2017</w:t>
      </w:r>
    </w:p>
    <w:p w:rsidR="00A27E22" w:rsidRPr="003A2037" w:rsidRDefault="00674473" w:rsidP="00674473">
      <w:pPr>
        <w:spacing w:after="240"/>
        <w:ind w:firstLine="709"/>
        <w:jc w:val="both"/>
        <w:rPr>
          <w:rFonts w:ascii="Arial" w:hAnsi="Arial" w:cs="Arial"/>
        </w:rPr>
      </w:pPr>
      <w:r w:rsidRPr="003A2037">
        <w:rPr>
          <w:rFonts w:ascii="Arial" w:hAnsi="Arial" w:cs="Arial"/>
        </w:rPr>
        <w:t>As informações preliminares do Censo Agro2017, mostram evidências adicionais sobre o aumento da produtividade nos últimos anos, especialmente a do trabalho.</w:t>
      </w:r>
    </w:p>
    <w:p w:rsidR="00674473" w:rsidRPr="003A2037" w:rsidRDefault="00674473" w:rsidP="00674473">
      <w:pPr>
        <w:rPr>
          <w:rFonts w:ascii="Arial" w:hAnsi="Arial" w:cs="Arial"/>
        </w:rPr>
      </w:pPr>
      <w:r w:rsidRPr="003A2037">
        <w:rPr>
          <w:rFonts w:ascii="Arial" w:hAnsi="Arial" w:cs="Arial"/>
          <w:noProof/>
        </w:rPr>
        <w:drawing>
          <wp:inline distT="0" distB="0" distL="0" distR="0" wp14:anchorId="27C224EF" wp14:editId="5E0FBD2A">
            <wp:extent cx="5501640" cy="3094997"/>
            <wp:effectExtent l="0" t="0" r="381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12101" cy="3100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455E" w:rsidRPr="003A2037" w:rsidRDefault="000A455E" w:rsidP="000A455E">
      <w:pPr>
        <w:spacing w:after="240"/>
        <w:ind w:firstLine="709"/>
        <w:jc w:val="both"/>
        <w:rPr>
          <w:rFonts w:ascii="Arial" w:hAnsi="Arial" w:cs="Arial"/>
        </w:rPr>
      </w:pPr>
      <w:r w:rsidRPr="003A2037">
        <w:rPr>
          <w:rFonts w:ascii="Arial" w:hAnsi="Arial" w:cs="Arial"/>
        </w:rPr>
        <w:t xml:space="preserve">As últimas duas décadas têm sido relevantes em ganhos de produtividade total dos fatores. A década de 2000 mostra a maior taxa de crescimento da PTF, 4,11 ao longo dos últimos 40 anos. Em 2000-2017, a taxa anual é pouco menor, </w:t>
      </w:r>
      <w:proofErr w:type="gramStart"/>
      <w:r w:rsidRPr="003A2037">
        <w:rPr>
          <w:rFonts w:ascii="Arial" w:hAnsi="Arial" w:cs="Arial"/>
        </w:rPr>
        <w:t>3,83%</w:t>
      </w:r>
      <w:proofErr w:type="gramEnd"/>
      <w:r w:rsidRPr="003A2037">
        <w:rPr>
          <w:rFonts w:ascii="Arial" w:hAnsi="Arial" w:cs="Arial"/>
        </w:rPr>
        <w:t xml:space="preserve"> mas também elevada. Um conjunto de fatores influenciou esse crescimento. Os mais importantes foram as políticas setoriais que possibilitaram aumento dos investimentos, o financiamento através do crédito rural, a abertura da agricultura para o mercado internacional e a adoção de novos sistemas de produção (Gasques,</w:t>
      </w:r>
      <w:r w:rsidR="00091691" w:rsidRPr="003A2037">
        <w:rPr>
          <w:rFonts w:ascii="Arial" w:hAnsi="Arial" w:cs="Arial"/>
        </w:rPr>
        <w:t xml:space="preserve"> </w:t>
      </w:r>
      <w:r w:rsidRPr="003A2037">
        <w:rPr>
          <w:rFonts w:ascii="Arial" w:hAnsi="Arial" w:cs="Arial"/>
        </w:rPr>
        <w:t>2017)</w:t>
      </w:r>
    </w:p>
    <w:p w:rsidR="000A455E" w:rsidRPr="003A2037" w:rsidRDefault="000A455E" w:rsidP="000A455E">
      <w:pPr>
        <w:spacing w:after="240"/>
        <w:ind w:firstLine="709"/>
        <w:jc w:val="both"/>
        <w:rPr>
          <w:rFonts w:ascii="Arial" w:hAnsi="Arial" w:cs="Arial"/>
        </w:rPr>
      </w:pPr>
      <w:r w:rsidRPr="003A2037">
        <w:rPr>
          <w:rFonts w:ascii="Arial" w:hAnsi="Arial" w:cs="Arial"/>
        </w:rPr>
        <w:t>Os resultados mostraram, também, que a produtividade é muito sensível a eventos da natureza. A seca ocorrida em 2016 afetou a produtividade total dos fatores, que caiu 1,5%. Felizmente atingindo apenas algumas áreas, embora vários estados do Nordeste tenham sido bastante prejudicados. Por outro lado, a elevada safra colhida em 2017, onde houve recorde na produção de grãos, o aumento da PTF foi de 7,4% nesse ano, bastante superior à média anual.</w:t>
      </w:r>
    </w:p>
    <w:p w:rsidR="000A455E" w:rsidRPr="003A2037" w:rsidRDefault="000A455E" w:rsidP="000A455E">
      <w:pPr>
        <w:spacing w:after="240"/>
        <w:ind w:firstLine="709"/>
        <w:jc w:val="both"/>
        <w:rPr>
          <w:rFonts w:ascii="Arial" w:hAnsi="Arial" w:cs="Arial"/>
        </w:rPr>
      </w:pPr>
    </w:p>
    <w:p w:rsidR="000A455E" w:rsidRPr="003A2037" w:rsidRDefault="000A455E" w:rsidP="00091691">
      <w:pPr>
        <w:pStyle w:val="PargrafodaLista"/>
        <w:numPr>
          <w:ilvl w:val="0"/>
          <w:numId w:val="5"/>
        </w:numPr>
        <w:spacing w:after="240"/>
        <w:jc w:val="both"/>
        <w:rPr>
          <w:rFonts w:ascii="Arial" w:hAnsi="Arial" w:cs="Arial"/>
          <w:b/>
        </w:rPr>
      </w:pPr>
      <w:r w:rsidRPr="003A2037">
        <w:rPr>
          <w:rFonts w:ascii="Arial" w:hAnsi="Arial" w:cs="Arial"/>
          <w:b/>
        </w:rPr>
        <w:t>Referências</w:t>
      </w:r>
    </w:p>
    <w:p w:rsidR="00423E22" w:rsidRPr="003A2037" w:rsidRDefault="00423E22" w:rsidP="00423E22">
      <w:pPr>
        <w:spacing w:after="240"/>
        <w:jc w:val="both"/>
        <w:rPr>
          <w:rFonts w:ascii="Arial" w:hAnsi="Arial" w:cs="Arial"/>
        </w:rPr>
      </w:pPr>
      <w:r w:rsidRPr="003A2037">
        <w:rPr>
          <w:rFonts w:ascii="Arial" w:hAnsi="Arial" w:cs="Arial"/>
        </w:rPr>
        <w:t>Alves, E; Tecnologia cristalizada e produtividade total dos fatores. Revista de Economia e Agronegócio, Viçosa, MG, v.2, n.4, p. 547-60, 2004.</w:t>
      </w:r>
    </w:p>
    <w:p w:rsidR="00423E22" w:rsidRPr="003A2037" w:rsidRDefault="00423E22" w:rsidP="00423E22">
      <w:pPr>
        <w:spacing w:after="240"/>
        <w:jc w:val="both"/>
        <w:rPr>
          <w:rFonts w:ascii="Arial" w:hAnsi="Arial" w:cs="Arial"/>
        </w:rPr>
      </w:pPr>
      <w:r w:rsidRPr="003A2037">
        <w:rPr>
          <w:rFonts w:ascii="Arial" w:hAnsi="Arial" w:cs="Arial"/>
        </w:rPr>
        <w:t>CONAB – www.conab.gov.br</w:t>
      </w:r>
    </w:p>
    <w:p w:rsidR="00423E22" w:rsidRPr="003A2037" w:rsidRDefault="00423E22" w:rsidP="00423E22">
      <w:pPr>
        <w:spacing w:after="240"/>
        <w:jc w:val="both"/>
        <w:rPr>
          <w:rFonts w:ascii="Arial" w:hAnsi="Arial" w:cs="Arial"/>
        </w:rPr>
      </w:pPr>
      <w:r w:rsidRPr="003A2037">
        <w:rPr>
          <w:rFonts w:ascii="Arial" w:hAnsi="Arial" w:cs="Arial"/>
        </w:rPr>
        <w:t>Florido, A. Censo Agro 2017. Divulgação Preliminar, Rio de Janeiro, 26/07/2018</w:t>
      </w:r>
    </w:p>
    <w:p w:rsidR="00423E22" w:rsidRPr="003A2037" w:rsidRDefault="00423E22" w:rsidP="00423E22">
      <w:pPr>
        <w:spacing w:after="240"/>
        <w:jc w:val="both"/>
        <w:rPr>
          <w:rFonts w:ascii="Arial" w:hAnsi="Arial" w:cs="Arial"/>
          <w:lang w:val="en-US"/>
        </w:rPr>
      </w:pPr>
      <w:r w:rsidRPr="003A2037">
        <w:rPr>
          <w:rFonts w:ascii="Arial" w:hAnsi="Arial" w:cs="Arial"/>
          <w:lang w:val="en-US"/>
        </w:rPr>
        <w:t>FUGLIE, K. O.; HEISEY, P. W. Economic Returns to Public Agricultural Research, USDA/ERS. Economic Brief 10, September 2007.</w:t>
      </w:r>
    </w:p>
    <w:p w:rsidR="00423E22" w:rsidRPr="003A2037" w:rsidRDefault="00423E22" w:rsidP="00423E22">
      <w:pPr>
        <w:spacing w:after="240"/>
        <w:jc w:val="both"/>
        <w:rPr>
          <w:rFonts w:ascii="Arial" w:hAnsi="Arial" w:cs="Arial"/>
        </w:rPr>
      </w:pPr>
      <w:r w:rsidRPr="003A2037">
        <w:rPr>
          <w:rFonts w:ascii="Arial" w:hAnsi="Arial" w:cs="Arial"/>
          <w:lang w:val="en-US"/>
        </w:rPr>
        <w:t xml:space="preserve">GASQUES, J. G. Sources of Growth in Brazilian Agriculture: Total Factor Productivity. </w:t>
      </w:r>
      <w:proofErr w:type="spellStart"/>
      <w:r w:rsidRPr="003A2037">
        <w:rPr>
          <w:rFonts w:ascii="Arial" w:hAnsi="Arial" w:cs="Arial"/>
          <w:lang w:val="en-US"/>
        </w:rPr>
        <w:t>Parlons</w:t>
      </w:r>
      <w:proofErr w:type="spellEnd"/>
      <w:r w:rsidRPr="003A2037">
        <w:rPr>
          <w:rFonts w:ascii="Arial" w:hAnsi="Arial" w:cs="Arial"/>
          <w:lang w:val="en-US"/>
        </w:rPr>
        <w:t xml:space="preserve"> </w:t>
      </w:r>
      <w:proofErr w:type="spellStart"/>
      <w:r w:rsidRPr="003A2037">
        <w:rPr>
          <w:rFonts w:ascii="Arial" w:hAnsi="Arial" w:cs="Arial"/>
          <w:lang w:val="en-US"/>
        </w:rPr>
        <w:t>Graphiques</w:t>
      </w:r>
      <w:proofErr w:type="spellEnd"/>
      <w:r w:rsidRPr="003A2037">
        <w:rPr>
          <w:rFonts w:ascii="Arial" w:hAnsi="Arial" w:cs="Arial"/>
          <w:lang w:val="en-US"/>
        </w:rPr>
        <w:t xml:space="preserve">, </w:t>
      </w:r>
      <w:proofErr w:type="spellStart"/>
      <w:r w:rsidRPr="003A2037">
        <w:rPr>
          <w:rFonts w:ascii="Arial" w:hAnsi="Arial" w:cs="Arial"/>
          <w:lang w:val="en-US"/>
        </w:rPr>
        <w:t>Eurochoices</w:t>
      </w:r>
      <w:proofErr w:type="spellEnd"/>
      <w:r w:rsidRPr="003A2037">
        <w:rPr>
          <w:rFonts w:ascii="Arial" w:hAnsi="Arial" w:cs="Arial"/>
          <w:lang w:val="en-US"/>
        </w:rPr>
        <w:t>, Volume16, Issue1. Special Issue on The Brazilian Agri</w:t>
      </w:r>
      <w:r w:rsidRPr="003A2037">
        <w:rPr>
          <w:rFonts w:ascii="Cambria Math" w:hAnsi="Cambria Math" w:cs="Cambria Math"/>
          <w:lang w:val="en-US"/>
        </w:rPr>
        <w:t>‐</w:t>
      </w:r>
      <w:r w:rsidRPr="003A2037">
        <w:rPr>
          <w:rFonts w:ascii="Arial" w:hAnsi="Arial" w:cs="Arial"/>
          <w:lang w:val="en-US"/>
        </w:rPr>
        <w:t xml:space="preserve">food Sector. </w:t>
      </w:r>
      <w:proofErr w:type="spellStart"/>
      <w:r w:rsidRPr="003A2037">
        <w:rPr>
          <w:rFonts w:ascii="Arial" w:hAnsi="Arial" w:cs="Arial"/>
        </w:rPr>
        <w:t>April</w:t>
      </w:r>
      <w:proofErr w:type="spellEnd"/>
      <w:r w:rsidRPr="003A2037">
        <w:rPr>
          <w:rFonts w:ascii="Arial" w:hAnsi="Arial" w:cs="Arial"/>
        </w:rPr>
        <w:t xml:space="preserve"> 2017, </w:t>
      </w:r>
      <w:proofErr w:type="spellStart"/>
      <w:r w:rsidRPr="003A2037">
        <w:rPr>
          <w:rFonts w:ascii="Arial" w:hAnsi="Arial" w:cs="Arial"/>
        </w:rPr>
        <w:t>Pages</w:t>
      </w:r>
      <w:proofErr w:type="spellEnd"/>
      <w:r w:rsidRPr="003A2037">
        <w:rPr>
          <w:rFonts w:ascii="Arial" w:hAnsi="Arial" w:cs="Arial"/>
        </w:rPr>
        <w:t xml:space="preserve"> 24-25.</w:t>
      </w:r>
    </w:p>
    <w:p w:rsidR="00423E22" w:rsidRPr="003A2037" w:rsidRDefault="00423E22" w:rsidP="00423E22">
      <w:pPr>
        <w:spacing w:after="240"/>
        <w:jc w:val="both"/>
        <w:rPr>
          <w:rFonts w:ascii="Arial" w:hAnsi="Arial" w:cs="Arial"/>
        </w:rPr>
      </w:pPr>
      <w:r w:rsidRPr="003A2037">
        <w:rPr>
          <w:rFonts w:ascii="Arial" w:hAnsi="Arial" w:cs="Arial"/>
        </w:rPr>
        <w:t>GASQUES, J. G.; BACCHI, M. R. P.; RODRIGUES, L.; BASTOS, E. T.; VALDES, C. Produtividade da Agricultura Brasileira: A Hipótese da Desaceleração In. Vieira Filho, J. E. R. e Gasques, J. G. (</w:t>
      </w:r>
      <w:proofErr w:type="spellStart"/>
      <w:r w:rsidRPr="003A2037">
        <w:rPr>
          <w:rFonts w:ascii="Arial" w:hAnsi="Arial" w:cs="Arial"/>
        </w:rPr>
        <w:t>Orgs</w:t>
      </w:r>
      <w:proofErr w:type="spellEnd"/>
      <w:r w:rsidRPr="003A2037">
        <w:rPr>
          <w:rFonts w:ascii="Arial" w:hAnsi="Arial" w:cs="Arial"/>
        </w:rPr>
        <w:t>) Agricultura, Transformação Produtiva e Sustentabilidade. Brasília, IPEA/ABAG, 2016.</w:t>
      </w:r>
    </w:p>
    <w:p w:rsidR="00423E22" w:rsidRPr="003A2037" w:rsidRDefault="00423E22" w:rsidP="00423E22">
      <w:pPr>
        <w:spacing w:after="240"/>
        <w:jc w:val="both"/>
        <w:rPr>
          <w:rFonts w:ascii="Arial" w:hAnsi="Arial" w:cs="Arial"/>
        </w:rPr>
      </w:pPr>
      <w:r w:rsidRPr="003A2037">
        <w:rPr>
          <w:rFonts w:ascii="Arial" w:hAnsi="Arial" w:cs="Arial"/>
        </w:rPr>
        <w:t>IBGE – Censo Agropecuário 2017. Disponível em: &lt;https://sidra.ibge.gov.br/acervo#/S/CA/A/Q&gt;. Acesso em janeiro/2019.</w:t>
      </w:r>
    </w:p>
    <w:p w:rsidR="00423E22" w:rsidRPr="003A2037" w:rsidRDefault="00423E22" w:rsidP="00423E22">
      <w:pPr>
        <w:spacing w:after="240"/>
        <w:jc w:val="both"/>
        <w:rPr>
          <w:rFonts w:ascii="Arial" w:hAnsi="Arial" w:cs="Arial"/>
        </w:rPr>
      </w:pPr>
      <w:r w:rsidRPr="003A2037">
        <w:rPr>
          <w:rFonts w:ascii="Arial" w:hAnsi="Arial" w:cs="Arial"/>
        </w:rPr>
        <w:t>IBGE- Censo Agropecuário 2006. Disponível em: &lt;https://sidra.ibge.gov.br/acervo#/S/CA/A/Q&gt;. Acesso em janeiro/2019.</w:t>
      </w:r>
    </w:p>
    <w:p w:rsidR="00423E22" w:rsidRPr="003A2037" w:rsidRDefault="00423E22" w:rsidP="00423E22">
      <w:pPr>
        <w:spacing w:after="240"/>
        <w:jc w:val="both"/>
        <w:rPr>
          <w:rFonts w:ascii="Arial" w:hAnsi="Arial" w:cs="Arial"/>
        </w:rPr>
      </w:pPr>
      <w:r w:rsidRPr="003A2037">
        <w:rPr>
          <w:rFonts w:ascii="Arial" w:hAnsi="Arial" w:cs="Arial"/>
        </w:rPr>
        <w:t>IBGE- Pesquisa da Pecuária Municipal, 2017. Disponível em: &lt;https://sidra.ibge.gov.br/acervo#/S/PP/A/Q&gt;. Acesso em janeiro/2019.</w:t>
      </w:r>
    </w:p>
    <w:p w:rsidR="00423E22" w:rsidRPr="003A2037" w:rsidRDefault="00423E22" w:rsidP="00423E22">
      <w:pPr>
        <w:spacing w:after="240"/>
        <w:jc w:val="both"/>
        <w:rPr>
          <w:rFonts w:ascii="Arial" w:hAnsi="Arial" w:cs="Arial"/>
        </w:rPr>
      </w:pPr>
      <w:r w:rsidRPr="003A2037">
        <w:rPr>
          <w:rFonts w:ascii="Arial" w:hAnsi="Arial" w:cs="Arial"/>
        </w:rPr>
        <w:t>IBGE- Produção Agrícola Municipal, 2017. Disponível em: &lt;https://sidra.ibge.gov.br/acervo#/S/PA/A/Q&gt;. Acesso em janeiro/2019.</w:t>
      </w:r>
    </w:p>
    <w:p w:rsidR="00423E22" w:rsidRPr="003A2037" w:rsidRDefault="00423E22" w:rsidP="00423E22">
      <w:pPr>
        <w:spacing w:after="240"/>
        <w:jc w:val="both"/>
        <w:rPr>
          <w:rFonts w:ascii="Arial" w:hAnsi="Arial" w:cs="Arial"/>
        </w:rPr>
      </w:pPr>
      <w:r w:rsidRPr="003A2037">
        <w:rPr>
          <w:rFonts w:ascii="Arial" w:hAnsi="Arial" w:cs="Arial"/>
        </w:rPr>
        <w:t>USDA/ERS – Informações recebidas por solicitação a Fuglie O. Keith em 2018</w:t>
      </w:r>
    </w:p>
    <w:p w:rsidR="00423E22" w:rsidRPr="003A2037" w:rsidRDefault="00423E22" w:rsidP="00423E22">
      <w:pPr>
        <w:spacing w:after="240"/>
        <w:jc w:val="both"/>
        <w:rPr>
          <w:rFonts w:ascii="Arial" w:hAnsi="Arial" w:cs="Arial"/>
        </w:rPr>
      </w:pPr>
      <w:r w:rsidRPr="003A2037">
        <w:rPr>
          <w:rFonts w:ascii="Arial" w:hAnsi="Arial" w:cs="Arial"/>
        </w:rPr>
        <w:t>VIEIRA FILHO, J. E. R e FISHLOW, A. Agricultura e Indústria no Brasil: inovação e competitividade. Brasília, Ipea, 2017.</w:t>
      </w:r>
    </w:p>
    <w:p w:rsidR="005A3056" w:rsidRPr="003A2037" w:rsidRDefault="00423E22" w:rsidP="00A02908">
      <w:pPr>
        <w:spacing w:after="240"/>
        <w:jc w:val="both"/>
        <w:rPr>
          <w:rFonts w:ascii="Arial" w:hAnsi="Arial" w:cs="Arial"/>
        </w:rPr>
      </w:pPr>
      <w:r w:rsidRPr="003A2037">
        <w:rPr>
          <w:rFonts w:ascii="Arial" w:hAnsi="Arial" w:cs="Arial"/>
        </w:rPr>
        <w:t xml:space="preserve">World Bank. ARIAS, Diego; VIEIRA, Pedro Abel; CONTINI, Elisio; NORONHA FARINELLI, Barbara Cristina; MORRIS, Michael. </w:t>
      </w:r>
      <w:r w:rsidRPr="003A2037">
        <w:rPr>
          <w:rFonts w:ascii="Arial" w:hAnsi="Arial" w:cs="Arial"/>
          <w:lang w:val="en-US"/>
        </w:rPr>
        <w:t xml:space="preserve">2017. Agriculture productivity growth in Brazil: recent trends and </w:t>
      </w:r>
      <w:proofErr w:type="gramStart"/>
      <w:r w:rsidRPr="003A2037">
        <w:rPr>
          <w:rFonts w:ascii="Arial" w:hAnsi="Arial" w:cs="Arial"/>
          <w:lang w:val="en-US"/>
        </w:rPr>
        <w:t>future prospects</w:t>
      </w:r>
      <w:proofErr w:type="gramEnd"/>
      <w:r w:rsidRPr="003A2037">
        <w:rPr>
          <w:rFonts w:ascii="Arial" w:hAnsi="Arial" w:cs="Arial"/>
          <w:lang w:val="en-US"/>
        </w:rPr>
        <w:t xml:space="preserve"> (English). Washington, D.C.: World Bank Group. </w:t>
      </w:r>
      <w:proofErr w:type="spellStart"/>
      <w:r w:rsidRPr="003A2037">
        <w:rPr>
          <w:rFonts w:ascii="Arial" w:hAnsi="Arial" w:cs="Arial"/>
          <w:lang w:val="en-US"/>
        </w:rPr>
        <w:t>Disponível</w:t>
      </w:r>
      <w:proofErr w:type="spellEnd"/>
      <w:r w:rsidRPr="003A2037">
        <w:rPr>
          <w:rFonts w:ascii="Arial" w:hAnsi="Arial" w:cs="Arial"/>
          <w:lang w:val="en-US"/>
        </w:rPr>
        <w:t xml:space="preserve"> </w:t>
      </w:r>
      <w:proofErr w:type="spellStart"/>
      <w:r w:rsidRPr="003A2037">
        <w:rPr>
          <w:rFonts w:ascii="Arial" w:hAnsi="Arial" w:cs="Arial"/>
          <w:lang w:val="en-US"/>
        </w:rPr>
        <w:t>em</w:t>
      </w:r>
      <w:proofErr w:type="spellEnd"/>
      <w:r w:rsidRPr="003A2037">
        <w:rPr>
          <w:rFonts w:ascii="Arial" w:hAnsi="Arial" w:cs="Arial"/>
          <w:lang w:val="en-US"/>
        </w:rPr>
        <w:t xml:space="preserve">: &lt;http://documents.worldbank.org/curated/en/268351520343354377/Agriculture-productivity-growth-in-Brazil-recent-trends-and-future-prospects&gt;. </w:t>
      </w:r>
      <w:r w:rsidRPr="003A2037">
        <w:rPr>
          <w:rFonts w:ascii="Arial" w:hAnsi="Arial" w:cs="Arial"/>
        </w:rPr>
        <w:t>Acesso em janeiro/2019</w:t>
      </w:r>
      <w:r w:rsidR="005A3056" w:rsidRPr="003A2037">
        <w:rPr>
          <w:rFonts w:ascii="Arial" w:hAnsi="Arial" w:cs="Arial"/>
        </w:rPr>
        <w:br w:type="page"/>
      </w:r>
    </w:p>
    <w:p w:rsidR="00A27E22" w:rsidRPr="00A02908" w:rsidRDefault="00674473" w:rsidP="00A02908">
      <w:pPr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A02908">
        <w:rPr>
          <w:rFonts w:ascii="Arial" w:hAnsi="Arial" w:cs="Arial"/>
          <w:sz w:val="22"/>
          <w:szCs w:val="22"/>
        </w:rPr>
        <w:t>APENDICE</w:t>
      </w:r>
    </w:p>
    <w:tbl>
      <w:tblPr>
        <w:tblW w:w="94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"/>
        <w:gridCol w:w="992"/>
        <w:gridCol w:w="913"/>
        <w:gridCol w:w="980"/>
        <w:gridCol w:w="980"/>
        <w:gridCol w:w="980"/>
        <w:gridCol w:w="980"/>
        <w:gridCol w:w="980"/>
        <w:gridCol w:w="980"/>
        <w:gridCol w:w="985"/>
      </w:tblGrid>
      <w:tr w:rsidR="00674473" w:rsidRPr="00A02908" w:rsidTr="00A02908">
        <w:trPr>
          <w:trHeight w:val="324"/>
        </w:trPr>
        <w:tc>
          <w:tcPr>
            <w:tcW w:w="9461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Pr="00A02908" w:rsidRDefault="0067447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029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ÍNDICE DE PRODUTIVIDADE TOTAL DOS FATORES E PRODUTOS</w:t>
            </w:r>
          </w:p>
        </w:tc>
      </w:tr>
      <w:tr w:rsidR="00674473" w:rsidTr="00A02908">
        <w:trPr>
          <w:trHeight w:val="689"/>
        </w:trPr>
        <w:tc>
          <w:tcPr>
            <w:tcW w:w="696" w:type="dxa"/>
            <w:tcBorders>
              <w:top w:val="nil"/>
              <w:left w:val="single" w:sz="8" w:space="0" w:color="D96A75"/>
              <w:bottom w:val="double" w:sz="6" w:space="0" w:color="auto"/>
              <w:right w:val="nil"/>
            </w:tcBorders>
            <w:shd w:val="clear" w:color="000000" w:fill="9F2936"/>
            <w:vAlign w:val="center"/>
            <w:hideMark/>
          </w:tcPr>
          <w:p w:rsidR="00674473" w:rsidRDefault="00674473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9F2936"/>
            <w:vAlign w:val="center"/>
            <w:hideMark/>
          </w:tcPr>
          <w:p w:rsidR="00674473" w:rsidRDefault="00674473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</w:rPr>
              <w:t>Prod. Mão de Obra</w:t>
            </w:r>
          </w:p>
        </w:tc>
        <w:tc>
          <w:tcPr>
            <w:tcW w:w="91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9F2936"/>
            <w:vAlign w:val="center"/>
            <w:hideMark/>
          </w:tcPr>
          <w:p w:rsidR="00674473" w:rsidRDefault="00674473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</w:rPr>
              <w:t>Prod. Terra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9F2936"/>
            <w:vAlign w:val="center"/>
            <w:hideMark/>
          </w:tcPr>
          <w:p w:rsidR="00674473" w:rsidRDefault="00674473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</w:rPr>
              <w:t>Prod. Capital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9F2936"/>
            <w:vAlign w:val="center"/>
            <w:hideMark/>
          </w:tcPr>
          <w:p w:rsidR="00674473" w:rsidRDefault="00674473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</w:rPr>
              <w:t>PTF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9F2936"/>
            <w:vAlign w:val="center"/>
            <w:hideMark/>
          </w:tcPr>
          <w:p w:rsidR="00674473" w:rsidRDefault="00674473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</w:rPr>
              <w:t>Índice Produto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9F2936"/>
            <w:vAlign w:val="center"/>
            <w:hideMark/>
          </w:tcPr>
          <w:p w:rsidR="00674473" w:rsidRDefault="00674473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</w:rPr>
              <w:t>Índice Insumo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9F2936"/>
            <w:vAlign w:val="center"/>
            <w:hideMark/>
          </w:tcPr>
          <w:p w:rsidR="00674473" w:rsidRDefault="00674473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</w:rPr>
              <w:t>Índice MO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9F2936"/>
            <w:vAlign w:val="center"/>
            <w:hideMark/>
          </w:tcPr>
          <w:p w:rsidR="00674473" w:rsidRDefault="00674473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</w:rPr>
              <w:t>Índice Terra</w:t>
            </w:r>
          </w:p>
        </w:tc>
        <w:tc>
          <w:tcPr>
            <w:tcW w:w="985" w:type="dxa"/>
            <w:tcBorders>
              <w:top w:val="nil"/>
              <w:left w:val="nil"/>
              <w:bottom w:val="double" w:sz="6" w:space="0" w:color="auto"/>
              <w:right w:val="single" w:sz="8" w:space="0" w:color="D96A75"/>
            </w:tcBorders>
            <w:shd w:val="clear" w:color="000000" w:fill="9F2936"/>
            <w:vAlign w:val="center"/>
            <w:hideMark/>
          </w:tcPr>
          <w:p w:rsidR="00674473" w:rsidRDefault="00674473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</w:rPr>
              <w:t>Índice Capital</w:t>
            </w:r>
          </w:p>
        </w:tc>
      </w:tr>
      <w:tr w:rsidR="00674473" w:rsidTr="00A02908">
        <w:trPr>
          <w:trHeight w:hRule="exact" w:val="284"/>
        </w:trPr>
        <w:tc>
          <w:tcPr>
            <w:tcW w:w="696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A0290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  <w:r w:rsidR="00674473"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674473" w:rsidTr="00A02908">
        <w:trPr>
          <w:trHeight w:hRule="exact" w:val="284"/>
        </w:trPr>
        <w:tc>
          <w:tcPr>
            <w:tcW w:w="696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A0290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  <w:r w:rsidR="00674473">
              <w:rPr>
                <w:rFonts w:ascii="Calibri" w:hAnsi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99,03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98,17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98,13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97,29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100,87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100,91</w:t>
            </w:r>
          </w:p>
        </w:tc>
      </w:tr>
      <w:tr w:rsidR="00674473" w:rsidTr="00A02908">
        <w:trPr>
          <w:trHeight w:hRule="exact" w:val="284"/>
        </w:trPr>
        <w:tc>
          <w:tcPr>
            <w:tcW w:w="696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A0290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  <w:r w:rsidR="00674473">
              <w:rPr>
                <w:rFonts w:ascii="Calibri" w:hAnsi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110,35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111,75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111,49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106,56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113,59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106,59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101,64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101,88</w:t>
            </w:r>
          </w:p>
        </w:tc>
      </w:tr>
      <w:tr w:rsidR="00674473" w:rsidTr="00A02908">
        <w:trPr>
          <w:trHeight w:hRule="exact" w:val="284"/>
        </w:trPr>
        <w:tc>
          <w:tcPr>
            <w:tcW w:w="696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A0290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  <w:r w:rsidR="00674473">
              <w:rPr>
                <w:rFonts w:ascii="Calibri" w:hAnsi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110,89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111,37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102,38</w:t>
            </w:r>
          </w:p>
        </w:tc>
      </w:tr>
      <w:tr w:rsidR="00674473" w:rsidTr="00A02908">
        <w:trPr>
          <w:trHeight w:hRule="exact" w:val="284"/>
        </w:trPr>
        <w:tc>
          <w:tcPr>
            <w:tcW w:w="696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A0290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  <w:r w:rsidR="00674473">
              <w:rPr>
                <w:rFonts w:ascii="Calibri" w:hAnsi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116,62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113,94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113,26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110,53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116,69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102,41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103,03</w:t>
            </w:r>
          </w:p>
        </w:tc>
      </w:tr>
      <w:tr w:rsidR="00674473" w:rsidTr="00A02908">
        <w:trPr>
          <w:trHeight w:hRule="exact" w:val="284"/>
        </w:trPr>
        <w:tc>
          <w:tcPr>
            <w:tcW w:w="696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A0290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  <w:r w:rsidR="00674473">
              <w:rPr>
                <w:rFonts w:ascii="Calibri" w:hAnsi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134,22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121,56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120,59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125,61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125,16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93,25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102,96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103,79</w:t>
            </w:r>
          </w:p>
        </w:tc>
      </w:tr>
      <w:tr w:rsidR="00674473" w:rsidTr="00A02908">
        <w:trPr>
          <w:trHeight w:hRule="exact" w:val="284"/>
        </w:trPr>
        <w:tc>
          <w:tcPr>
            <w:tcW w:w="696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A0290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  <w:r w:rsidR="00674473">
              <w:rPr>
                <w:rFonts w:ascii="Calibri" w:hAnsi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139,62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129,85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129,92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131,7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133,73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102,99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102,93</w:t>
            </w:r>
          </w:p>
        </w:tc>
      </w:tr>
      <w:tr w:rsidR="00674473" w:rsidTr="00A02908">
        <w:trPr>
          <w:trHeight w:hRule="exact" w:val="284"/>
        </w:trPr>
        <w:tc>
          <w:tcPr>
            <w:tcW w:w="696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A0290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  <w:r w:rsidR="00674473">
              <w:rPr>
                <w:rFonts w:ascii="Calibri" w:hAnsi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134,48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128,4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129,73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126,59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133,03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98,92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102,54</w:t>
            </w:r>
          </w:p>
        </w:tc>
      </w:tr>
      <w:tr w:rsidR="00674473" w:rsidTr="00A02908">
        <w:trPr>
          <w:trHeight w:hRule="exact" w:val="284"/>
        </w:trPr>
        <w:tc>
          <w:tcPr>
            <w:tcW w:w="696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A0290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  <w:r w:rsidR="00674473">
              <w:rPr>
                <w:rFonts w:ascii="Calibri" w:hAnsi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140,11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129,68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129,96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133,13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133,18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102,48</w:t>
            </w:r>
          </w:p>
        </w:tc>
      </w:tr>
      <w:tr w:rsidR="00674473" w:rsidTr="00A02908">
        <w:trPr>
          <w:trHeight w:hRule="exact" w:val="284"/>
        </w:trPr>
        <w:tc>
          <w:tcPr>
            <w:tcW w:w="696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A0290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  <w:r w:rsidR="00674473">
              <w:rPr>
                <w:rFonts w:ascii="Calibri" w:hAnsi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136,94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134,75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134,91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127,55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139,71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103,68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103,56</w:t>
            </w:r>
          </w:p>
        </w:tc>
      </w:tr>
      <w:tr w:rsidR="00674473" w:rsidTr="00A02908">
        <w:trPr>
          <w:trHeight w:hRule="exact" w:val="284"/>
        </w:trPr>
        <w:tc>
          <w:tcPr>
            <w:tcW w:w="696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A0290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  <w:r w:rsidR="00674473">
              <w:rPr>
                <w:rFonts w:ascii="Calibri" w:hAnsi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153,73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151,56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153,07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142,99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157,93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110,44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103,17</w:t>
            </w:r>
          </w:p>
        </w:tc>
      </w:tr>
      <w:tr w:rsidR="00674473" w:rsidTr="00A02908">
        <w:trPr>
          <w:trHeight w:hRule="exact" w:val="284"/>
        </w:trPr>
        <w:tc>
          <w:tcPr>
            <w:tcW w:w="696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A0290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  <w:r w:rsidR="00674473">
              <w:rPr>
                <w:rFonts w:ascii="Calibri" w:hAnsi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142,76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136,55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135,69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129,9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142,7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105,17</w:t>
            </w:r>
          </w:p>
        </w:tc>
      </w:tr>
      <w:tr w:rsidR="00674473" w:rsidTr="00A02908">
        <w:trPr>
          <w:trHeight w:hRule="exact" w:val="284"/>
        </w:trPr>
        <w:tc>
          <w:tcPr>
            <w:tcW w:w="696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A0290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  <w:r w:rsidR="00674473">
              <w:rPr>
                <w:rFonts w:ascii="Calibri" w:hAnsi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159,19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151,28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150,15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144,79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158,04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104,47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105,25</w:t>
            </w:r>
          </w:p>
        </w:tc>
      </w:tr>
      <w:tr w:rsidR="00674473" w:rsidTr="00A02908">
        <w:trPr>
          <w:trHeight w:hRule="exact" w:val="284"/>
        </w:trPr>
        <w:tc>
          <w:tcPr>
            <w:tcW w:w="696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A0290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  <w:r w:rsidR="00674473">
              <w:rPr>
                <w:rFonts w:ascii="Calibri" w:hAnsi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165,01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156,81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156,72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164,37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104,82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104,88</w:t>
            </w:r>
          </w:p>
        </w:tc>
      </w:tr>
      <w:tr w:rsidR="00674473" w:rsidTr="00A02908">
        <w:trPr>
          <w:trHeight w:hRule="exact" w:val="284"/>
        </w:trPr>
        <w:tc>
          <w:tcPr>
            <w:tcW w:w="696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A0290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  <w:r w:rsidR="00674473">
              <w:rPr>
                <w:rFonts w:ascii="Calibri" w:hAnsi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173,51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164,1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164,06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158,11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171,88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104,74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104,77</w:t>
            </w:r>
          </w:p>
        </w:tc>
      </w:tr>
      <w:tr w:rsidR="00674473" w:rsidTr="00A02908">
        <w:trPr>
          <w:trHeight w:hRule="exact" w:val="284"/>
        </w:trPr>
        <w:tc>
          <w:tcPr>
            <w:tcW w:w="696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A0290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  <w:r w:rsidR="00674473">
              <w:rPr>
                <w:rFonts w:ascii="Calibri" w:hAnsi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165,8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159,07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157,55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152,65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164,99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103,72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104,72</w:t>
            </w:r>
          </w:p>
        </w:tc>
      </w:tr>
      <w:tr w:rsidR="00674473" w:rsidTr="00A02908">
        <w:trPr>
          <w:trHeight w:hRule="exact" w:val="284"/>
        </w:trPr>
        <w:tc>
          <w:tcPr>
            <w:tcW w:w="696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A0290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  <w:r w:rsidR="00674473">
              <w:rPr>
                <w:rFonts w:ascii="Calibri" w:hAnsi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180,22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164,02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162,37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165,84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170,12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103,72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104,78</w:t>
            </w:r>
          </w:p>
        </w:tc>
      </w:tr>
      <w:tr w:rsidR="00674473" w:rsidTr="00A02908">
        <w:trPr>
          <w:trHeight w:hRule="exact" w:val="284"/>
        </w:trPr>
        <w:tc>
          <w:tcPr>
            <w:tcW w:w="696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A0290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  <w:r w:rsidR="00674473">
              <w:rPr>
                <w:rFonts w:ascii="Calibri" w:hAnsi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178,63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174,01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171,6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163,82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180,44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110,14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105,15</w:t>
            </w:r>
          </w:p>
        </w:tc>
      </w:tr>
      <w:tr w:rsidR="00674473" w:rsidTr="00A02908">
        <w:trPr>
          <w:trHeight w:hRule="exact" w:val="284"/>
        </w:trPr>
        <w:tc>
          <w:tcPr>
            <w:tcW w:w="696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A02908" w:rsidP="00A0290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  <w:r w:rsidR="00674473">
              <w:rPr>
                <w:rFonts w:ascii="Calibri" w:hAnsi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176,88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173,32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168,3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163,2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177,81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102,59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105,65</w:t>
            </w:r>
          </w:p>
        </w:tc>
      </w:tr>
      <w:tr w:rsidR="00674473" w:rsidTr="00A02908">
        <w:trPr>
          <w:trHeight w:hRule="exact" w:val="284"/>
        </w:trPr>
        <w:tc>
          <w:tcPr>
            <w:tcW w:w="696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A0290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  <w:r w:rsidR="00674473">
              <w:rPr>
                <w:rFonts w:ascii="Calibri" w:hAnsi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194,5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184,78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180,76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176,61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191,79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98,61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103,79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106,1</w:t>
            </w:r>
          </w:p>
        </w:tc>
      </w:tr>
      <w:tr w:rsidR="00674473" w:rsidTr="00A02908">
        <w:trPr>
          <w:trHeight w:hRule="exact" w:val="284"/>
        </w:trPr>
        <w:tc>
          <w:tcPr>
            <w:tcW w:w="696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A0290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  <w:r w:rsidR="00674473">
              <w:rPr>
                <w:rFonts w:ascii="Calibri" w:hAnsi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195,4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189,63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185,5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178,02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196,5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110,38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103,62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105,93</w:t>
            </w:r>
          </w:p>
        </w:tc>
      </w:tr>
      <w:tr w:rsidR="00674473" w:rsidTr="00A02908">
        <w:trPr>
          <w:trHeight w:hRule="exact" w:val="284"/>
        </w:trPr>
        <w:tc>
          <w:tcPr>
            <w:tcW w:w="696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A0290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  <w:r w:rsidR="00674473">
              <w:rPr>
                <w:rFonts w:ascii="Calibri" w:hAnsi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199,95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188,98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180,11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181,9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193,43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106,34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102,35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107,39</w:t>
            </w:r>
          </w:p>
        </w:tc>
      </w:tr>
      <w:tr w:rsidR="00674473" w:rsidTr="00A02908">
        <w:trPr>
          <w:trHeight w:hRule="exact" w:val="284"/>
        </w:trPr>
        <w:tc>
          <w:tcPr>
            <w:tcW w:w="696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A0290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  <w:r w:rsidR="00674473">
              <w:rPr>
                <w:rFonts w:ascii="Calibri" w:hAnsi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206,84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195,66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181,51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183,02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200,33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102,39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110,37</w:t>
            </w:r>
          </w:p>
        </w:tc>
      </w:tr>
      <w:tr w:rsidR="00674473" w:rsidTr="00A02908">
        <w:trPr>
          <w:trHeight w:hRule="exact" w:val="284"/>
        </w:trPr>
        <w:tc>
          <w:tcPr>
            <w:tcW w:w="696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A0290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  <w:r w:rsidR="00674473">
              <w:rPr>
                <w:rFonts w:ascii="Calibri" w:hAnsi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216,94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203,01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186,12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191,26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207,02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101,97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111,23</w:t>
            </w:r>
          </w:p>
        </w:tc>
      </w:tr>
      <w:tr w:rsidR="00674473" w:rsidTr="00A02908">
        <w:trPr>
          <w:trHeight w:hRule="exact" w:val="284"/>
        </w:trPr>
        <w:tc>
          <w:tcPr>
            <w:tcW w:w="696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A0290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  <w:r w:rsidR="00674473">
              <w:rPr>
                <w:rFonts w:ascii="Calibri" w:hAnsi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228,03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219,04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200,36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200,21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223,57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111,67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98,05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102,07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111,58</w:t>
            </w:r>
          </w:p>
        </w:tc>
      </w:tr>
      <w:tr w:rsidR="00674473" w:rsidTr="00A02908">
        <w:trPr>
          <w:trHeight w:hRule="exact" w:val="284"/>
        </w:trPr>
        <w:tc>
          <w:tcPr>
            <w:tcW w:w="696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A0290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  <w:r w:rsidR="00674473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257,66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228,31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205,6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223,03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232,87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90,38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113,27</w:t>
            </w:r>
          </w:p>
        </w:tc>
      </w:tr>
      <w:tr w:rsidR="00674473" w:rsidTr="00A02908">
        <w:trPr>
          <w:trHeight w:hRule="exact" w:val="284"/>
        </w:trPr>
        <w:tc>
          <w:tcPr>
            <w:tcW w:w="696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A0290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  <w:r w:rsidR="00674473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271,25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248,12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220,71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233,09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252,44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93,07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101,74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114,38</w:t>
            </w:r>
          </w:p>
        </w:tc>
      </w:tr>
      <w:tr w:rsidR="00674473" w:rsidTr="00A02908">
        <w:trPr>
          <w:trHeight w:hRule="exact" w:val="284"/>
        </w:trPr>
        <w:tc>
          <w:tcPr>
            <w:tcW w:w="696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A0290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  <w:r w:rsidR="00674473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277,07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257,95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229,19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236,81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263,01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111,06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94,92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101,96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114,75</w:t>
            </w:r>
          </w:p>
        </w:tc>
      </w:tr>
      <w:tr w:rsidR="00674473" w:rsidTr="00A02908">
        <w:trPr>
          <w:trHeight w:hRule="exact" w:val="284"/>
        </w:trPr>
        <w:tc>
          <w:tcPr>
            <w:tcW w:w="696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A0290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  <w:r w:rsidR="00674473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300,94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279,21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240,34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246,68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286,12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115,99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102,48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119,05</w:t>
            </w:r>
          </w:p>
        </w:tc>
      </w:tr>
      <w:tr w:rsidR="00674473" w:rsidTr="00A02908">
        <w:trPr>
          <w:trHeight w:hRule="exact" w:val="284"/>
        </w:trPr>
        <w:tc>
          <w:tcPr>
            <w:tcW w:w="696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A0290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  <w:r w:rsidR="00674473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309,85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295,1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249,98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247,68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303,78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122,65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98,04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102,94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121,52</w:t>
            </w:r>
          </w:p>
        </w:tc>
      </w:tr>
      <w:tr w:rsidR="00674473" w:rsidTr="00A02908">
        <w:trPr>
          <w:trHeight w:hRule="exact" w:val="284"/>
        </w:trPr>
        <w:tc>
          <w:tcPr>
            <w:tcW w:w="696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A0290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  <w:r w:rsidR="00674473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317,73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299,82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253,32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254,22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308,1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102,76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121,63</w:t>
            </w:r>
          </w:p>
        </w:tc>
      </w:tr>
      <w:tr w:rsidR="00674473" w:rsidTr="00A02908">
        <w:trPr>
          <w:trHeight w:hRule="exact" w:val="284"/>
        </w:trPr>
        <w:tc>
          <w:tcPr>
            <w:tcW w:w="696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A0290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  <w:r w:rsidR="00674473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341,69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317,34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265,39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273,18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324,56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118,81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94,99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102,28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122,29</w:t>
            </w:r>
          </w:p>
        </w:tc>
      </w:tr>
      <w:tr w:rsidR="00674473" w:rsidTr="00A02908">
        <w:trPr>
          <w:trHeight w:hRule="exact" w:val="284"/>
        </w:trPr>
        <w:tc>
          <w:tcPr>
            <w:tcW w:w="696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A0290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370,66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338,45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273,8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286,47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346,27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120,88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93,42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102,31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126,47</w:t>
            </w:r>
          </w:p>
        </w:tc>
      </w:tr>
      <w:tr w:rsidR="00674473" w:rsidTr="00A02908">
        <w:trPr>
          <w:trHeight w:hRule="exact" w:val="284"/>
        </w:trPr>
        <w:tc>
          <w:tcPr>
            <w:tcW w:w="696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A0290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  <w:r w:rsidR="00674473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400,93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357,98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291,5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309,11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367,89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119,02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91,76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102,77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126,21</w:t>
            </w:r>
          </w:p>
        </w:tc>
      </w:tr>
      <w:tr w:rsidR="00674473" w:rsidTr="00A02908">
        <w:trPr>
          <w:trHeight w:hRule="exact" w:val="284"/>
        </w:trPr>
        <w:tc>
          <w:tcPr>
            <w:tcW w:w="696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A0290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  <w:r w:rsidR="00674473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350,93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289,24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307,6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360,57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117,22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91,52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102,75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124,66</w:t>
            </w:r>
          </w:p>
        </w:tc>
      </w:tr>
      <w:tr w:rsidR="00674473" w:rsidTr="00A02908">
        <w:trPr>
          <w:trHeight w:hRule="exact" w:val="284"/>
        </w:trPr>
        <w:tc>
          <w:tcPr>
            <w:tcW w:w="696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A0290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  <w:r w:rsidR="00674473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420,12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374,91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300,53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319,16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385,12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120,67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91,67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102,72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128,15</w:t>
            </w:r>
          </w:p>
        </w:tc>
      </w:tr>
      <w:tr w:rsidR="00674473" w:rsidTr="00A02908">
        <w:trPr>
          <w:trHeight w:hRule="exact" w:val="284"/>
        </w:trPr>
        <w:tc>
          <w:tcPr>
            <w:tcW w:w="696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A0290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  <w:r w:rsidR="00674473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457,67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392,13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310,9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340,83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404,61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118,71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103,18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130,14</w:t>
            </w:r>
          </w:p>
        </w:tc>
      </w:tr>
      <w:tr w:rsidR="00674473" w:rsidTr="00A02908">
        <w:trPr>
          <w:trHeight w:hRule="exact" w:val="284"/>
        </w:trPr>
        <w:tc>
          <w:tcPr>
            <w:tcW w:w="696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A0290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  <w:r w:rsidR="00674473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466,78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389,52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305,49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343,92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401,88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116,85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103,17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131,55</w:t>
            </w:r>
          </w:p>
        </w:tc>
      </w:tr>
      <w:tr w:rsidR="00674473" w:rsidTr="00A02908">
        <w:trPr>
          <w:trHeight w:hRule="exact" w:val="284"/>
        </w:trPr>
        <w:tc>
          <w:tcPr>
            <w:tcW w:w="696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A0290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  <w:r w:rsidR="00674473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508,5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415,04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322,54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366,5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430,97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117,59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84,75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103,84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133,62</w:t>
            </w:r>
          </w:p>
        </w:tc>
      </w:tr>
      <w:tr w:rsidR="00674473" w:rsidTr="00A02908">
        <w:trPr>
          <w:trHeight w:hRule="exact" w:val="284"/>
        </w:trPr>
        <w:tc>
          <w:tcPr>
            <w:tcW w:w="696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A0290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  <w:r w:rsidR="00674473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515,88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422,25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329,52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368,63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441,27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119,71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85,54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133,91</w:t>
            </w:r>
          </w:p>
        </w:tc>
      </w:tr>
      <w:tr w:rsidR="00674473" w:rsidTr="00A02908">
        <w:trPr>
          <w:trHeight w:hRule="exact" w:val="284"/>
        </w:trPr>
        <w:tc>
          <w:tcPr>
            <w:tcW w:w="696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A0290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  <w:r w:rsidR="00674473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532,67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431,16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331,21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374,24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450,84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120,47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84,64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104,56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136,12</w:t>
            </w:r>
          </w:p>
        </w:tc>
      </w:tr>
      <w:tr w:rsidR="00674473" w:rsidTr="00A02908">
        <w:trPr>
          <w:trHeight w:hRule="exact" w:val="284"/>
        </w:trPr>
        <w:tc>
          <w:tcPr>
            <w:tcW w:w="696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A0290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  <w:r w:rsidR="00674473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526,51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419,01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320,21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368,74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437,69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83,13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104,46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auto" w:fill="auto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136,69</w:t>
            </w:r>
          </w:p>
        </w:tc>
      </w:tr>
      <w:tr w:rsidR="00674473" w:rsidTr="00A02908">
        <w:trPr>
          <w:trHeight w:hRule="exact" w:val="284"/>
        </w:trPr>
        <w:tc>
          <w:tcPr>
            <w:tcW w:w="696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A0290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  <w:r w:rsidR="00674473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582,7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452,62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338,89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396,03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475,07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119,96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81,53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104,96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000000" w:fill="F2CCD0"/>
            <w:noWrap/>
            <w:vAlign w:val="center"/>
            <w:hideMark/>
          </w:tcPr>
          <w:p w:rsidR="00674473" w:rsidRDefault="006744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140,18</w:t>
            </w:r>
          </w:p>
        </w:tc>
      </w:tr>
    </w:tbl>
    <w:p w:rsidR="00DF480F" w:rsidRPr="00A02908" w:rsidRDefault="00DF480F" w:rsidP="005A3056">
      <w:pPr>
        <w:spacing w:after="240"/>
        <w:jc w:val="both"/>
        <w:rPr>
          <w:rFonts w:asciiTheme="minorHAnsi" w:hAnsiTheme="minorHAnsi" w:cs="Arial"/>
          <w:sz w:val="4"/>
          <w:szCs w:val="4"/>
        </w:rPr>
      </w:pPr>
    </w:p>
    <w:sectPr w:rsidR="00DF480F" w:rsidRPr="00A02908" w:rsidSect="00474C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701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F4E" w:rsidRDefault="00100F4E">
      <w:r>
        <w:separator/>
      </w:r>
    </w:p>
  </w:endnote>
  <w:endnote w:type="continuationSeparator" w:id="0">
    <w:p w:rsidR="00100F4E" w:rsidRDefault="00100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0C0" w:rsidRDefault="00F360C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0C0" w:rsidRPr="003D33D5" w:rsidRDefault="00F360C0" w:rsidP="00011011">
    <w:pPr>
      <w:jc w:val="center"/>
      <w:rPr>
        <w:sz w:val="10"/>
        <w:szCs w:val="10"/>
      </w:rPr>
    </w:pPr>
  </w:p>
  <w:p w:rsidR="00F360C0" w:rsidRPr="003D747F" w:rsidRDefault="00F360C0" w:rsidP="00011011">
    <w:pPr>
      <w:jc w:val="center"/>
      <w:rPr>
        <w:rFonts w:ascii="Arial" w:hAnsi="Arial" w:cs="Arial"/>
        <w:sz w:val="20"/>
        <w:szCs w:val="20"/>
      </w:rPr>
    </w:pPr>
    <w:r w:rsidRPr="003D747F">
      <w:rPr>
        <w:rFonts w:ascii="Arial" w:hAnsi="Arial" w:cs="Arial"/>
        <w:sz w:val="20"/>
        <w:szCs w:val="20"/>
      </w:rPr>
      <w:t>Esplanada dos Ministérios, Bloco D, Edifício Sede, 5º andar, Brasília/DF</w:t>
    </w:r>
  </w:p>
  <w:p w:rsidR="00F360C0" w:rsidRPr="003D747F" w:rsidRDefault="00F360C0" w:rsidP="00011011">
    <w:pPr>
      <w:jc w:val="center"/>
      <w:rPr>
        <w:rFonts w:ascii="Arial" w:hAnsi="Arial" w:cs="Arial"/>
        <w:sz w:val="20"/>
        <w:szCs w:val="20"/>
      </w:rPr>
    </w:pPr>
    <w:r w:rsidRPr="003D747F">
      <w:rPr>
        <w:rFonts w:ascii="Arial" w:hAnsi="Arial" w:cs="Arial"/>
        <w:sz w:val="20"/>
        <w:szCs w:val="20"/>
      </w:rPr>
      <w:t>spa@agricultura.gov.br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0C0" w:rsidRDefault="00F360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F4E" w:rsidRDefault="00100F4E">
      <w:r>
        <w:separator/>
      </w:r>
    </w:p>
  </w:footnote>
  <w:footnote w:type="continuationSeparator" w:id="0">
    <w:p w:rsidR="00100F4E" w:rsidRDefault="00100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0C0" w:rsidRDefault="00F360C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0C0" w:rsidRPr="003D747F" w:rsidRDefault="00F360C0" w:rsidP="00326C85">
    <w:pPr>
      <w:jc w:val="center"/>
      <w:rPr>
        <w:rFonts w:ascii="Arial" w:hAnsi="Arial" w:cs="Arial"/>
        <w:sz w:val="20"/>
        <w:szCs w:val="20"/>
      </w:rPr>
    </w:pPr>
    <w:r w:rsidRPr="003D747F">
      <w:rPr>
        <w:rFonts w:ascii="Arial" w:hAnsi="Arial" w:cs="Arial"/>
        <w:sz w:val="20"/>
        <w:szCs w:val="20"/>
      </w:rPr>
      <w:t>MINISTÉRIO DA AGRICULTURA, PECUÁRIA E ABASTECIMENTO</w:t>
    </w:r>
  </w:p>
  <w:p w:rsidR="00F360C0" w:rsidRPr="003D747F" w:rsidRDefault="00F360C0" w:rsidP="00326C85">
    <w:pPr>
      <w:jc w:val="center"/>
      <w:rPr>
        <w:rFonts w:ascii="Arial" w:hAnsi="Arial" w:cs="Arial"/>
        <w:sz w:val="22"/>
        <w:szCs w:val="22"/>
      </w:rPr>
    </w:pPr>
    <w:r w:rsidRPr="003D747F">
      <w:rPr>
        <w:rFonts w:ascii="Arial" w:hAnsi="Arial" w:cs="Arial"/>
        <w:sz w:val="22"/>
        <w:szCs w:val="22"/>
      </w:rPr>
      <w:t>Secretaria de Política Agrícola - SPA</w:t>
    </w:r>
  </w:p>
  <w:p w:rsidR="00F360C0" w:rsidRPr="003D747F" w:rsidRDefault="00F360C0" w:rsidP="00326C85">
    <w:pPr>
      <w:jc w:val="center"/>
      <w:rPr>
        <w:rFonts w:ascii="Arial" w:hAnsi="Arial" w:cs="Arial"/>
        <w:sz w:val="22"/>
        <w:szCs w:val="22"/>
      </w:rPr>
    </w:pPr>
    <w:r w:rsidRPr="003D747F">
      <w:rPr>
        <w:rFonts w:ascii="Arial" w:hAnsi="Arial" w:cs="Arial"/>
        <w:sz w:val="22"/>
        <w:szCs w:val="22"/>
      </w:rPr>
      <w:t>Departamento de Estudos Econômicos – DEEC</w:t>
    </w:r>
  </w:p>
  <w:p w:rsidR="00F360C0" w:rsidRPr="003D747F" w:rsidRDefault="00F360C0" w:rsidP="009828FB">
    <w:pPr>
      <w:jc w:val="center"/>
      <w:rPr>
        <w:rFonts w:ascii="Arial" w:hAnsi="Arial" w:cs="Arial"/>
        <w:szCs w:val="22"/>
      </w:rPr>
    </w:pPr>
    <w:r w:rsidRPr="003D747F">
      <w:rPr>
        <w:rFonts w:ascii="Arial" w:hAnsi="Arial" w:cs="Arial"/>
        <w:sz w:val="22"/>
        <w:szCs w:val="22"/>
      </w:rPr>
      <w:t>Coordenação-Geral de Estudos e Análises - CGEA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0C0" w:rsidRDefault="00F360C0" w:rsidP="00B87F71">
    <w:pPr>
      <w:jc w:val="cent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776" behindDoc="1" locked="0" layoutInCell="1" allowOverlap="1" wp14:anchorId="448F112C" wp14:editId="3F92A51E">
          <wp:simplePos x="0" y="0"/>
          <wp:positionH relativeFrom="column">
            <wp:posOffset>2514600</wp:posOffset>
          </wp:positionH>
          <wp:positionV relativeFrom="paragraph">
            <wp:posOffset>58420</wp:posOffset>
          </wp:positionV>
          <wp:extent cx="933450" cy="933450"/>
          <wp:effectExtent l="0" t="0" r="0" b="0"/>
          <wp:wrapNone/>
          <wp:docPr id="6" name="Imagem 6" descr="LOGO_147_ME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147_ME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360C0" w:rsidRDefault="00F360C0" w:rsidP="00B87F71">
    <w:pPr>
      <w:jc w:val="center"/>
      <w:rPr>
        <w:sz w:val="20"/>
        <w:szCs w:val="20"/>
      </w:rPr>
    </w:pPr>
  </w:p>
  <w:p w:rsidR="00F360C0" w:rsidRDefault="00F360C0" w:rsidP="00B87F71">
    <w:pPr>
      <w:jc w:val="center"/>
      <w:rPr>
        <w:sz w:val="20"/>
        <w:szCs w:val="20"/>
      </w:rPr>
    </w:pPr>
  </w:p>
  <w:p w:rsidR="00F360C0" w:rsidRDefault="00F360C0" w:rsidP="00B87F71">
    <w:pPr>
      <w:jc w:val="center"/>
      <w:rPr>
        <w:sz w:val="20"/>
        <w:szCs w:val="20"/>
      </w:rPr>
    </w:pPr>
  </w:p>
  <w:p w:rsidR="00F360C0" w:rsidRDefault="00F360C0" w:rsidP="00B87F71">
    <w:pPr>
      <w:jc w:val="center"/>
      <w:rPr>
        <w:sz w:val="20"/>
        <w:szCs w:val="20"/>
      </w:rPr>
    </w:pPr>
  </w:p>
  <w:p w:rsidR="00F360C0" w:rsidRDefault="00F360C0" w:rsidP="00B87F71">
    <w:pPr>
      <w:jc w:val="center"/>
      <w:rPr>
        <w:sz w:val="20"/>
        <w:szCs w:val="20"/>
      </w:rPr>
    </w:pPr>
  </w:p>
  <w:p w:rsidR="00F360C0" w:rsidRDefault="00F360C0" w:rsidP="00B87F71">
    <w:pPr>
      <w:jc w:val="center"/>
      <w:rPr>
        <w:sz w:val="20"/>
        <w:szCs w:val="20"/>
      </w:rPr>
    </w:pPr>
  </w:p>
  <w:p w:rsidR="00F360C0" w:rsidRPr="003D747F" w:rsidRDefault="00F360C0" w:rsidP="00B87F71">
    <w:pPr>
      <w:jc w:val="center"/>
      <w:rPr>
        <w:rFonts w:ascii="Arial" w:hAnsi="Arial" w:cs="Arial"/>
        <w:sz w:val="20"/>
        <w:szCs w:val="20"/>
      </w:rPr>
    </w:pPr>
    <w:r w:rsidRPr="003D747F">
      <w:rPr>
        <w:rFonts w:ascii="Arial" w:hAnsi="Arial" w:cs="Arial"/>
        <w:sz w:val="20"/>
        <w:szCs w:val="20"/>
      </w:rPr>
      <w:t>MINISTÉRIO DA AGRICULTURA, PECUÁRIA E ABASTECIMENTO</w:t>
    </w:r>
  </w:p>
  <w:p w:rsidR="00F360C0" w:rsidRPr="003D747F" w:rsidRDefault="00F360C0" w:rsidP="00B87F71">
    <w:pPr>
      <w:jc w:val="center"/>
      <w:rPr>
        <w:rFonts w:ascii="Arial" w:hAnsi="Arial" w:cs="Arial"/>
        <w:sz w:val="22"/>
        <w:szCs w:val="22"/>
      </w:rPr>
    </w:pPr>
    <w:r w:rsidRPr="003D747F">
      <w:rPr>
        <w:rFonts w:ascii="Arial" w:hAnsi="Arial" w:cs="Arial"/>
        <w:sz w:val="22"/>
        <w:szCs w:val="22"/>
      </w:rPr>
      <w:t>Secretaria de Política Agrícola - SPA</w:t>
    </w:r>
  </w:p>
  <w:p w:rsidR="00F360C0" w:rsidRDefault="00F360C0" w:rsidP="00B87F71">
    <w:pPr>
      <w:jc w:val="center"/>
      <w:rPr>
        <w:rFonts w:ascii="Arial" w:hAnsi="Arial" w:cs="Arial"/>
        <w:sz w:val="22"/>
        <w:szCs w:val="22"/>
      </w:rPr>
    </w:pPr>
    <w:r w:rsidRPr="00E876A2">
      <w:rPr>
        <w:rFonts w:ascii="Arial" w:hAnsi="Arial" w:cs="Arial"/>
        <w:sz w:val="22"/>
        <w:szCs w:val="22"/>
      </w:rPr>
      <w:t xml:space="preserve">Departamento </w:t>
    </w:r>
    <w:r>
      <w:rPr>
        <w:rFonts w:ascii="Arial" w:hAnsi="Arial" w:cs="Arial"/>
        <w:sz w:val="22"/>
        <w:szCs w:val="22"/>
      </w:rPr>
      <w:t>d</w:t>
    </w:r>
    <w:r w:rsidRPr="00E876A2">
      <w:rPr>
        <w:rFonts w:ascii="Arial" w:hAnsi="Arial" w:cs="Arial"/>
        <w:sz w:val="22"/>
        <w:szCs w:val="22"/>
      </w:rPr>
      <w:t xml:space="preserve">e Crédito </w:t>
    </w:r>
    <w:r>
      <w:rPr>
        <w:rFonts w:ascii="Arial" w:hAnsi="Arial" w:cs="Arial"/>
        <w:sz w:val="22"/>
        <w:szCs w:val="22"/>
      </w:rPr>
      <w:t>e</w:t>
    </w:r>
    <w:r w:rsidRPr="00E876A2">
      <w:rPr>
        <w:rFonts w:ascii="Arial" w:hAnsi="Arial" w:cs="Arial"/>
        <w:sz w:val="22"/>
        <w:szCs w:val="22"/>
      </w:rPr>
      <w:t xml:space="preserve"> Estudos Econômicos </w:t>
    </w:r>
    <w:r>
      <w:rPr>
        <w:rFonts w:ascii="Arial" w:hAnsi="Arial" w:cs="Arial"/>
        <w:sz w:val="22"/>
        <w:szCs w:val="22"/>
      </w:rPr>
      <w:t>–</w:t>
    </w:r>
    <w:r w:rsidRPr="00E876A2">
      <w:rPr>
        <w:rFonts w:ascii="Arial" w:hAnsi="Arial" w:cs="Arial"/>
        <w:sz w:val="22"/>
        <w:szCs w:val="22"/>
      </w:rPr>
      <w:t xml:space="preserve"> DCEE</w:t>
    </w:r>
  </w:p>
  <w:p w:rsidR="00F360C0" w:rsidRPr="003D747F" w:rsidRDefault="00F360C0" w:rsidP="00B87F71">
    <w:pPr>
      <w:jc w:val="center"/>
      <w:rPr>
        <w:rFonts w:ascii="Arial" w:hAnsi="Arial" w:cs="Arial"/>
        <w:sz w:val="22"/>
        <w:szCs w:val="22"/>
      </w:rPr>
    </w:pPr>
    <w:r w:rsidRPr="003D747F">
      <w:rPr>
        <w:rFonts w:ascii="Arial" w:hAnsi="Arial" w:cs="Arial"/>
        <w:sz w:val="22"/>
        <w:szCs w:val="22"/>
      </w:rPr>
      <w:t>Coordenação-Geral de Estudos e Análises - CGEA</w:t>
    </w:r>
  </w:p>
  <w:p w:rsidR="00F360C0" w:rsidRDefault="00F360C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87187"/>
    <w:multiLevelType w:val="hybridMultilevel"/>
    <w:tmpl w:val="1172C62C"/>
    <w:lvl w:ilvl="0" w:tplc="0416000F">
      <w:start w:val="1"/>
      <w:numFmt w:val="decimal"/>
      <w:lvlText w:val="%1."/>
      <w:lvlJc w:val="left"/>
      <w:pPr>
        <w:ind w:left="2846" w:hanging="360"/>
      </w:pPr>
    </w:lvl>
    <w:lvl w:ilvl="1" w:tplc="04160019" w:tentative="1">
      <w:start w:val="1"/>
      <w:numFmt w:val="lowerLetter"/>
      <w:lvlText w:val="%2."/>
      <w:lvlJc w:val="left"/>
      <w:pPr>
        <w:ind w:left="3566" w:hanging="360"/>
      </w:pPr>
    </w:lvl>
    <w:lvl w:ilvl="2" w:tplc="0416001B" w:tentative="1">
      <w:start w:val="1"/>
      <w:numFmt w:val="lowerRoman"/>
      <w:lvlText w:val="%3."/>
      <w:lvlJc w:val="right"/>
      <w:pPr>
        <w:ind w:left="4286" w:hanging="180"/>
      </w:pPr>
    </w:lvl>
    <w:lvl w:ilvl="3" w:tplc="0416000F" w:tentative="1">
      <w:start w:val="1"/>
      <w:numFmt w:val="decimal"/>
      <w:lvlText w:val="%4."/>
      <w:lvlJc w:val="left"/>
      <w:pPr>
        <w:ind w:left="5006" w:hanging="360"/>
      </w:pPr>
    </w:lvl>
    <w:lvl w:ilvl="4" w:tplc="04160019" w:tentative="1">
      <w:start w:val="1"/>
      <w:numFmt w:val="lowerLetter"/>
      <w:lvlText w:val="%5."/>
      <w:lvlJc w:val="left"/>
      <w:pPr>
        <w:ind w:left="5726" w:hanging="360"/>
      </w:pPr>
    </w:lvl>
    <w:lvl w:ilvl="5" w:tplc="0416001B" w:tentative="1">
      <w:start w:val="1"/>
      <w:numFmt w:val="lowerRoman"/>
      <w:lvlText w:val="%6."/>
      <w:lvlJc w:val="right"/>
      <w:pPr>
        <w:ind w:left="6446" w:hanging="180"/>
      </w:pPr>
    </w:lvl>
    <w:lvl w:ilvl="6" w:tplc="0416000F" w:tentative="1">
      <w:start w:val="1"/>
      <w:numFmt w:val="decimal"/>
      <w:lvlText w:val="%7."/>
      <w:lvlJc w:val="left"/>
      <w:pPr>
        <w:ind w:left="7166" w:hanging="360"/>
      </w:pPr>
    </w:lvl>
    <w:lvl w:ilvl="7" w:tplc="04160019" w:tentative="1">
      <w:start w:val="1"/>
      <w:numFmt w:val="lowerLetter"/>
      <w:lvlText w:val="%8."/>
      <w:lvlJc w:val="left"/>
      <w:pPr>
        <w:ind w:left="7886" w:hanging="360"/>
      </w:pPr>
    </w:lvl>
    <w:lvl w:ilvl="8" w:tplc="0416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1" w15:restartNumberingAfterBreak="0">
    <w:nsid w:val="08A4324E"/>
    <w:multiLevelType w:val="hybridMultilevel"/>
    <w:tmpl w:val="2B9C473A"/>
    <w:lvl w:ilvl="0" w:tplc="041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52D4C52"/>
    <w:multiLevelType w:val="hybridMultilevel"/>
    <w:tmpl w:val="396A24FA"/>
    <w:lvl w:ilvl="0" w:tplc="0416000F">
      <w:start w:val="1"/>
      <w:numFmt w:val="decimal"/>
      <w:lvlText w:val="%1."/>
      <w:lvlJc w:val="left"/>
      <w:pPr>
        <w:ind w:left="3554" w:hanging="360"/>
      </w:pPr>
    </w:lvl>
    <w:lvl w:ilvl="1" w:tplc="04160019" w:tentative="1">
      <w:start w:val="1"/>
      <w:numFmt w:val="lowerLetter"/>
      <w:lvlText w:val="%2."/>
      <w:lvlJc w:val="left"/>
      <w:pPr>
        <w:ind w:left="4274" w:hanging="360"/>
      </w:pPr>
    </w:lvl>
    <w:lvl w:ilvl="2" w:tplc="0416001B" w:tentative="1">
      <w:start w:val="1"/>
      <w:numFmt w:val="lowerRoman"/>
      <w:lvlText w:val="%3."/>
      <w:lvlJc w:val="right"/>
      <w:pPr>
        <w:ind w:left="4994" w:hanging="180"/>
      </w:pPr>
    </w:lvl>
    <w:lvl w:ilvl="3" w:tplc="0416000F" w:tentative="1">
      <w:start w:val="1"/>
      <w:numFmt w:val="decimal"/>
      <w:lvlText w:val="%4."/>
      <w:lvlJc w:val="left"/>
      <w:pPr>
        <w:ind w:left="5714" w:hanging="360"/>
      </w:pPr>
    </w:lvl>
    <w:lvl w:ilvl="4" w:tplc="04160019" w:tentative="1">
      <w:start w:val="1"/>
      <w:numFmt w:val="lowerLetter"/>
      <w:lvlText w:val="%5."/>
      <w:lvlJc w:val="left"/>
      <w:pPr>
        <w:ind w:left="6434" w:hanging="360"/>
      </w:pPr>
    </w:lvl>
    <w:lvl w:ilvl="5" w:tplc="0416001B" w:tentative="1">
      <w:start w:val="1"/>
      <w:numFmt w:val="lowerRoman"/>
      <w:lvlText w:val="%6."/>
      <w:lvlJc w:val="right"/>
      <w:pPr>
        <w:ind w:left="7154" w:hanging="180"/>
      </w:pPr>
    </w:lvl>
    <w:lvl w:ilvl="6" w:tplc="0416000F" w:tentative="1">
      <w:start w:val="1"/>
      <w:numFmt w:val="decimal"/>
      <w:lvlText w:val="%7."/>
      <w:lvlJc w:val="left"/>
      <w:pPr>
        <w:ind w:left="7874" w:hanging="360"/>
      </w:pPr>
    </w:lvl>
    <w:lvl w:ilvl="7" w:tplc="04160019" w:tentative="1">
      <w:start w:val="1"/>
      <w:numFmt w:val="lowerLetter"/>
      <w:lvlText w:val="%8."/>
      <w:lvlJc w:val="left"/>
      <w:pPr>
        <w:ind w:left="8594" w:hanging="360"/>
      </w:pPr>
    </w:lvl>
    <w:lvl w:ilvl="8" w:tplc="0416001B" w:tentative="1">
      <w:start w:val="1"/>
      <w:numFmt w:val="lowerRoman"/>
      <w:lvlText w:val="%9."/>
      <w:lvlJc w:val="right"/>
      <w:pPr>
        <w:ind w:left="9314" w:hanging="180"/>
      </w:pPr>
    </w:lvl>
  </w:abstractNum>
  <w:abstractNum w:abstractNumId="3" w15:restartNumberingAfterBreak="0">
    <w:nsid w:val="38A133F9"/>
    <w:multiLevelType w:val="hybridMultilevel"/>
    <w:tmpl w:val="398AC14C"/>
    <w:lvl w:ilvl="0" w:tplc="0416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4" w15:restartNumberingAfterBreak="0">
    <w:nsid w:val="3F4F0D7D"/>
    <w:multiLevelType w:val="hybridMultilevel"/>
    <w:tmpl w:val="A36A9D44"/>
    <w:lvl w:ilvl="0" w:tplc="F10012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B8D"/>
    <w:rsid w:val="00000476"/>
    <w:rsid w:val="00002B61"/>
    <w:rsid w:val="00007450"/>
    <w:rsid w:val="00011011"/>
    <w:rsid w:val="00015B1E"/>
    <w:rsid w:val="00024D22"/>
    <w:rsid w:val="000265EC"/>
    <w:rsid w:val="0003104C"/>
    <w:rsid w:val="0004005A"/>
    <w:rsid w:val="0006103B"/>
    <w:rsid w:val="00081376"/>
    <w:rsid w:val="00082FC0"/>
    <w:rsid w:val="00090F93"/>
    <w:rsid w:val="00091691"/>
    <w:rsid w:val="000A455E"/>
    <w:rsid w:val="000A5DF0"/>
    <w:rsid w:val="000C2DD0"/>
    <w:rsid w:val="000C63B4"/>
    <w:rsid w:val="000D163C"/>
    <w:rsid w:val="000E1CDB"/>
    <w:rsid w:val="000E5751"/>
    <w:rsid w:val="000F776B"/>
    <w:rsid w:val="00100F4E"/>
    <w:rsid w:val="00133DF2"/>
    <w:rsid w:val="001361D2"/>
    <w:rsid w:val="00142399"/>
    <w:rsid w:val="00154DB0"/>
    <w:rsid w:val="00175A5B"/>
    <w:rsid w:val="00180DDA"/>
    <w:rsid w:val="00185E31"/>
    <w:rsid w:val="00190D87"/>
    <w:rsid w:val="00192101"/>
    <w:rsid w:val="001966B1"/>
    <w:rsid w:val="001A04ED"/>
    <w:rsid w:val="001B7005"/>
    <w:rsid w:val="001B7F16"/>
    <w:rsid w:val="001C0B21"/>
    <w:rsid w:val="001D0386"/>
    <w:rsid w:val="001D1182"/>
    <w:rsid w:val="001E6275"/>
    <w:rsid w:val="001F2A31"/>
    <w:rsid w:val="0020309E"/>
    <w:rsid w:val="00204DD3"/>
    <w:rsid w:val="00207F60"/>
    <w:rsid w:val="00217539"/>
    <w:rsid w:val="00223A12"/>
    <w:rsid w:val="00223A27"/>
    <w:rsid w:val="00225545"/>
    <w:rsid w:val="002357EB"/>
    <w:rsid w:val="002365D9"/>
    <w:rsid w:val="002427F1"/>
    <w:rsid w:val="00244395"/>
    <w:rsid w:val="002449A6"/>
    <w:rsid w:val="00246581"/>
    <w:rsid w:val="0025198E"/>
    <w:rsid w:val="00262853"/>
    <w:rsid w:val="00266344"/>
    <w:rsid w:val="00276EC7"/>
    <w:rsid w:val="00280ADC"/>
    <w:rsid w:val="00292910"/>
    <w:rsid w:val="002932FB"/>
    <w:rsid w:val="00295D72"/>
    <w:rsid w:val="002B5338"/>
    <w:rsid w:val="002C0100"/>
    <w:rsid w:val="002C38D7"/>
    <w:rsid w:val="002D2864"/>
    <w:rsid w:val="002D601A"/>
    <w:rsid w:val="002D755A"/>
    <w:rsid w:val="002F1D03"/>
    <w:rsid w:val="002F52CD"/>
    <w:rsid w:val="002F6BFC"/>
    <w:rsid w:val="002F79A7"/>
    <w:rsid w:val="003006E5"/>
    <w:rsid w:val="003039BE"/>
    <w:rsid w:val="003163AF"/>
    <w:rsid w:val="00326C85"/>
    <w:rsid w:val="00336EC9"/>
    <w:rsid w:val="003401E3"/>
    <w:rsid w:val="00346199"/>
    <w:rsid w:val="003463FE"/>
    <w:rsid w:val="003907FF"/>
    <w:rsid w:val="003915C8"/>
    <w:rsid w:val="0039341E"/>
    <w:rsid w:val="003A2037"/>
    <w:rsid w:val="003D33D5"/>
    <w:rsid w:val="003D747F"/>
    <w:rsid w:val="003E0AE1"/>
    <w:rsid w:val="003E2DBC"/>
    <w:rsid w:val="003E56D4"/>
    <w:rsid w:val="003E5AF9"/>
    <w:rsid w:val="003F7EFF"/>
    <w:rsid w:val="00403BB3"/>
    <w:rsid w:val="0040501B"/>
    <w:rsid w:val="00413EBA"/>
    <w:rsid w:val="00423E22"/>
    <w:rsid w:val="00427B0F"/>
    <w:rsid w:val="0043294D"/>
    <w:rsid w:val="00441C68"/>
    <w:rsid w:val="00442D8C"/>
    <w:rsid w:val="004454FD"/>
    <w:rsid w:val="00463812"/>
    <w:rsid w:val="00467DB2"/>
    <w:rsid w:val="00474CA3"/>
    <w:rsid w:val="004752ED"/>
    <w:rsid w:val="00485034"/>
    <w:rsid w:val="00486464"/>
    <w:rsid w:val="004A2DB8"/>
    <w:rsid w:val="004A4ACC"/>
    <w:rsid w:val="004A681A"/>
    <w:rsid w:val="004B3690"/>
    <w:rsid w:val="004B43A1"/>
    <w:rsid w:val="004C22F7"/>
    <w:rsid w:val="004C3B4B"/>
    <w:rsid w:val="004D11B7"/>
    <w:rsid w:val="004D549E"/>
    <w:rsid w:val="004E24AF"/>
    <w:rsid w:val="004E4B65"/>
    <w:rsid w:val="004E65F0"/>
    <w:rsid w:val="004E6FE8"/>
    <w:rsid w:val="004F0582"/>
    <w:rsid w:val="004F5AED"/>
    <w:rsid w:val="004F6F8F"/>
    <w:rsid w:val="00506F06"/>
    <w:rsid w:val="00510658"/>
    <w:rsid w:val="005230BE"/>
    <w:rsid w:val="00525330"/>
    <w:rsid w:val="00527330"/>
    <w:rsid w:val="00530468"/>
    <w:rsid w:val="005370AA"/>
    <w:rsid w:val="005405E7"/>
    <w:rsid w:val="0056622D"/>
    <w:rsid w:val="005801A7"/>
    <w:rsid w:val="005870DC"/>
    <w:rsid w:val="00594136"/>
    <w:rsid w:val="00597F17"/>
    <w:rsid w:val="005A3056"/>
    <w:rsid w:val="005B3302"/>
    <w:rsid w:val="005B612F"/>
    <w:rsid w:val="005C59D5"/>
    <w:rsid w:val="005D1987"/>
    <w:rsid w:val="005D6FAD"/>
    <w:rsid w:val="00603393"/>
    <w:rsid w:val="006042E2"/>
    <w:rsid w:val="00613490"/>
    <w:rsid w:val="006159F4"/>
    <w:rsid w:val="00615B17"/>
    <w:rsid w:val="006173A9"/>
    <w:rsid w:val="0062337E"/>
    <w:rsid w:val="00640E4B"/>
    <w:rsid w:val="0064156F"/>
    <w:rsid w:val="006451F3"/>
    <w:rsid w:val="006457DD"/>
    <w:rsid w:val="006571EE"/>
    <w:rsid w:val="00661A49"/>
    <w:rsid w:val="00674473"/>
    <w:rsid w:val="00676C2E"/>
    <w:rsid w:val="00687C2F"/>
    <w:rsid w:val="006A6261"/>
    <w:rsid w:val="006B15BA"/>
    <w:rsid w:val="006B2B73"/>
    <w:rsid w:val="006C0AE6"/>
    <w:rsid w:val="006C75F4"/>
    <w:rsid w:val="006E5948"/>
    <w:rsid w:val="006F22BD"/>
    <w:rsid w:val="006F31C8"/>
    <w:rsid w:val="006F668B"/>
    <w:rsid w:val="007032A8"/>
    <w:rsid w:val="00723812"/>
    <w:rsid w:val="0072466D"/>
    <w:rsid w:val="00734879"/>
    <w:rsid w:val="007377E6"/>
    <w:rsid w:val="007637ED"/>
    <w:rsid w:val="007647F7"/>
    <w:rsid w:val="00766F7D"/>
    <w:rsid w:val="0077100E"/>
    <w:rsid w:val="00787C48"/>
    <w:rsid w:val="00797D36"/>
    <w:rsid w:val="007A4DFC"/>
    <w:rsid w:val="007C281E"/>
    <w:rsid w:val="007C30DD"/>
    <w:rsid w:val="007C7DA8"/>
    <w:rsid w:val="007E0310"/>
    <w:rsid w:val="007E606B"/>
    <w:rsid w:val="007E6C75"/>
    <w:rsid w:val="007E72CE"/>
    <w:rsid w:val="007F13D5"/>
    <w:rsid w:val="007F4378"/>
    <w:rsid w:val="007F615A"/>
    <w:rsid w:val="00800FDE"/>
    <w:rsid w:val="008018AA"/>
    <w:rsid w:val="00814978"/>
    <w:rsid w:val="00831119"/>
    <w:rsid w:val="00853EA6"/>
    <w:rsid w:val="00885176"/>
    <w:rsid w:val="00885B0C"/>
    <w:rsid w:val="00893F00"/>
    <w:rsid w:val="008A0668"/>
    <w:rsid w:val="008A1C03"/>
    <w:rsid w:val="008A3E41"/>
    <w:rsid w:val="008B38C7"/>
    <w:rsid w:val="008B64D1"/>
    <w:rsid w:val="008B7B91"/>
    <w:rsid w:val="008C5EF3"/>
    <w:rsid w:val="008D6700"/>
    <w:rsid w:val="008E71EC"/>
    <w:rsid w:val="008F63C4"/>
    <w:rsid w:val="0091306A"/>
    <w:rsid w:val="00931881"/>
    <w:rsid w:val="0093234C"/>
    <w:rsid w:val="00934CAA"/>
    <w:rsid w:val="00953355"/>
    <w:rsid w:val="0096613B"/>
    <w:rsid w:val="00975EDD"/>
    <w:rsid w:val="009828FB"/>
    <w:rsid w:val="00994A1F"/>
    <w:rsid w:val="009A5F57"/>
    <w:rsid w:val="009C1797"/>
    <w:rsid w:val="009C1CFC"/>
    <w:rsid w:val="009C6022"/>
    <w:rsid w:val="009D38E0"/>
    <w:rsid w:val="009F1350"/>
    <w:rsid w:val="00A000D2"/>
    <w:rsid w:val="00A00A44"/>
    <w:rsid w:val="00A02908"/>
    <w:rsid w:val="00A10EAE"/>
    <w:rsid w:val="00A24DB7"/>
    <w:rsid w:val="00A27E22"/>
    <w:rsid w:val="00A41434"/>
    <w:rsid w:val="00A47BC3"/>
    <w:rsid w:val="00A51123"/>
    <w:rsid w:val="00A627AD"/>
    <w:rsid w:val="00A7049A"/>
    <w:rsid w:val="00A87F88"/>
    <w:rsid w:val="00A936BC"/>
    <w:rsid w:val="00AB7023"/>
    <w:rsid w:val="00AC0536"/>
    <w:rsid w:val="00AD103D"/>
    <w:rsid w:val="00AD7F54"/>
    <w:rsid w:val="00AE7855"/>
    <w:rsid w:val="00B0009A"/>
    <w:rsid w:val="00B077D7"/>
    <w:rsid w:val="00B257A4"/>
    <w:rsid w:val="00B26893"/>
    <w:rsid w:val="00B420F2"/>
    <w:rsid w:val="00B422A5"/>
    <w:rsid w:val="00B53637"/>
    <w:rsid w:val="00B567EC"/>
    <w:rsid w:val="00B57DFE"/>
    <w:rsid w:val="00B7285F"/>
    <w:rsid w:val="00B741C3"/>
    <w:rsid w:val="00B7719A"/>
    <w:rsid w:val="00B81B66"/>
    <w:rsid w:val="00B84AE7"/>
    <w:rsid w:val="00B87F71"/>
    <w:rsid w:val="00B964BB"/>
    <w:rsid w:val="00BA2E53"/>
    <w:rsid w:val="00BB454C"/>
    <w:rsid w:val="00BB4A02"/>
    <w:rsid w:val="00BB5F0E"/>
    <w:rsid w:val="00BC5DB8"/>
    <w:rsid w:val="00BC783F"/>
    <w:rsid w:val="00BC7EEA"/>
    <w:rsid w:val="00BD1FD4"/>
    <w:rsid w:val="00BD64D4"/>
    <w:rsid w:val="00BE3F5A"/>
    <w:rsid w:val="00BE5BAD"/>
    <w:rsid w:val="00BF2C12"/>
    <w:rsid w:val="00C0317A"/>
    <w:rsid w:val="00C07076"/>
    <w:rsid w:val="00C22594"/>
    <w:rsid w:val="00C23FF3"/>
    <w:rsid w:val="00C346BE"/>
    <w:rsid w:val="00C41238"/>
    <w:rsid w:val="00C518FF"/>
    <w:rsid w:val="00C544BB"/>
    <w:rsid w:val="00C5542C"/>
    <w:rsid w:val="00C606D5"/>
    <w:rsid w:val="00C65BF1"/>
    <w:rsid w:val="00C73B8D"/>
    <w:rsid w:val="00C93607"/>
    <w:rsid w:val="00C97627"/>
    <w:rsid w:val="00CB351A"/>
    <w:rsid w:val="00CB5957"/>
    <w:rsid w:val="00CB737D"/>
    <w:rsid w:val="00CB7BAC"/>
    <w:rsid w:val="00CE1F31"/>
    <w:rsid w:val="00D030A0"/>
    <w:rsid w:val="00D1424E"/>
    <w:rsid w:val="00D16B4A"/>
    <w:rsid w:val="00D17C12"/>
    <w:rsid w:val="00D42683"/>
    <w:rsid w:val="00D46BA6"/>
    <w:rsid w:val="00D50C05"/>
    <w:rsid w:val="00D532CF"/>
    <w:rsid w:val="00D5693F"/>
    <w:rsid w:val="00D614D0"/>
    <w:rsid w:val="00D6441F"/>
    <w:rsid w:val="00D728EC"/>
    <w:rsid w:val="00D7732B"/>
    <w:rsid w:val="00D82C86"/>
    <w:rsid w:val="00D86160"/>
    <w:rsid w:val="00DA2122"/>
    <w:rsid w:val="00DB182C"/>
    <w:rsid w:val="00DB6371"/>
    <w:rsid w:val="00DC5F12"/>
    <w:rsid w:val="00DF19FA"/>
    <w:rsid w:val="00DF2CE0"/>
    <w:rsid w:val="00DF480F"/>
    <w:rsid w:val="00E0144F"/>
    <w:rsid w:val="00E03A2D"/>
    <w:rsid w:val="00E1427D"/>
    <w:rsid w:val="00E27ADA"/>
    <w:rsid w:val="00E36EFA"/>
    <w:rsid w:val="00E4437C"/>
    <w:rsid w:val="00E64EE7"/>
    <w:rsid w:val="00E67377"/>
    <w:rsid w:val="00E75EB3"/>
    <w:rsid w:val="00E8358C"/>
    <w:rsid w:val="00E876A2"/>
    <w:rsid w:val="00E87E37"/>
    <w:rsid w:val="00E91028"/>
    <w:rsid w:val="00E91BEF"/>
    <w:rsid w:val="00E93746"/>
    <w:rsid w:val="00E95F67"/>
    <w:rsid w:val="00E965CC"/>
    <w:rsid w:val="00EA2ABC"/>
    <w:rsid w:val="00EA360C"/>
    <w:rsid w:val="00EB3AB0"/>
    <w:rsid w:val="00EB476C"/>
    <w:rsid w:val="00EB7212"/>
    <w:rsid w:val="00EC3062"/>
    <w:rsid w:val="00EE46B1"/>
    <w:rsid w:val="00EE5410"/>
    <w:rsid w:val="00EF00BC"/>
    <w:rsid w:val="00EF33C2"/>
    <w:rsid w:val="00EF4263"/>
    <w:rsid w:val="00EF4798"/>
    <w:rsid w:val="00F123E7"/>
    <w:rsid w:val="00F16AE3"/>
    <w:rsid w:val="00F360C0"/>
    <w:rsid w:val="00F438B9"/>
    <w:rsid w:val="00F456D0"/>
    <w:rsid w:val="00F615DA"/>
    <w:rsid w:val="00F6189E"/>
    <w:rsid w:val="00F6368C"/>
    <w:rsid w:val="00F72965"/>
    <w:rsid w:val="00F73E09"/>
    <w:rsid w:val="00F833B8"/>
    <w:rsid w:val="00FA1EFF"/>
    <w:rsid w:val="00FB6B6E"/>
    <w:rsid w:val="00FC1290"/>
    <w:rsid w:val="00FD5B29"/>
    <w:rsid w:val="00FE3E21"/>
    <w:rsid w:val="00FF1AC5"/>
    <w:rsid w:val="00FF5ACF"/>
    <w:rsid w:val="00FF6DAC"/>
    <w:rsid w:val="00FF6DCD"/>
    <w:rsid w:val="00FF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C02722"/>
  <w15:chartTrackingRefBased/>
  <w15:docId w15:val="{69D45861-FE3F-407E-9FFE-E9665E9E0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F2C1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326C85"/>
    <w:pPr>
      <w:ind w:firstLine="708"/>
      <w:jc w:val="both"/>
    </w:pPr>
    <w:rPr>
      <w:rFonts w:ascii="Arial" w:hAnsi="Arial" w:cs="Arial"/>
    </w:rPr>
  </w:style>
  <w:style w:type="paragraph" w:styleId="Cabealho">
    <w:name w:val="header"/>
    <w:basedOn w:val="Normal"/>
    <w:rsid w:val="00326C8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26C85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800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B476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2030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0309E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semiHidden/>
    <w:rsid w:val="003D33D5"/>
    <w:rPr>
      <w:sz w:val="20"/>
      <w:szCs w:val="20"/>
    </w:rPr>
  </w:style>
  <w:style w:type="character" w:styleId="Refdenotaderodap">
    <w:name w:val="footnote reference"/>
    <w:basedOn w:val="Fontepargpadro"/>
    <w:semiHidden/>
    <w:rsid w:val="003D33D5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FD5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ana.bastos\Documents\Modelos%20Personalizados%20do%20Office\NOTA%202019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 2019.dotx</Template>
  <TotalTime>0</TotalTime>
  <Pages>1</Pages>
  <Words>2435</Words>
  <Characters>13152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MEMO/COSIS/CGTI/SPOA/SE/MAPA – Nº         /2011</vt:lpstr>
    </vt:vector>
  </TitlesOfParts>
  <Company>MAPA</Company>
  <LinksUpToDate>false</LinksUpToDate>
  <CharactersWithSpaces>15556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MEMO/COSIS/CGTI/SPOA/SE/MAPA – Nº         /2011</dc:title>
  <dc:subject/>
  <dc:creator>Eliana Teles Bastos</dc:creator>
  <cp:keywords/>
  <cp:lastModifiedBy>Jose Garcia Gasques</cp:lastModifiedBy>
  <cp:revision>2</cp:revision>
  <cp:lastPrinted>2019-02-05T11:45:00Z</cp:lastPrinted>
  <dcterms:created xsi:type="dcterms:W3CDTF">2019-02-06T13:18:00Z</dcterms:created>
  <dcterms:modified xsi:type="dcterms:W3CDTF">2019-02-06T13:18:00Z</dcterms:modified>
</cp:coreProperties>
</file>