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FB6AD2">
        <w:rPr>
          <w:rFonts w:ascii="Arial" w:hAnsi="Arial" w:cs="Arial"/>
          <w:sz w:val="20"/>
          <w:szCs w:val="20"/>
        </w:rPr>
        <w:t>Junho</w:t>
      </w:r>
      <w:r w:rsidR="004215B4">
        <w:rPr>
          <w:rFonts w:ascii="Arial" w:hAnsi="Arial" w:cs="Arial"/>
          <w:sz w:val="20"/>
          <w:szCs w:val="20"/>
        </w:rPr>
        <w:t>/2017</w:t>
      </w:r>
    </w:p>
    <w:p w:rsidR="008035E6" w:rsidRDefault="008035E6" w:rsidP="008035E6"/>
    <w:p w:rsidR="008035E6" w:rsidRDefault="00FB6AD2" w:rsidP="008035E6">
      <w:r>
        <w:rPr>
          <w:noProof/>
        </w:rPr>
        <w:drawing>
          <wp:inline distT="0" distB="0" distL="0" distR="0" wp14:anchorId="2DB80003" wp14:editId="4B91274F">
            <wp:extent cx="6678295" cy="3597203"/>
            <wp:effectExtent l="0" t="0" r="8255" b="381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87B02" w:rsidRPr="003C54E1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4215B4">
        <w:rPr>
          <w:rFonts w:ascii="Arial" w:hAnsi="Arial" w:cs="Arial"/>
          <w:sz w:val="20"/>
          <w:szCs w:val="20"/>
        </w:rPr>
        <w:t xml:space="preserve"> (comparativo </w:t>
      </w:r>
      <w:r w:rsidR="00FB6AD2">
        <w:rPr>
          <w:rFonts w:ascii="Arial" w:hAnsi="Arial" w:cs="Arial"/>
          <w:sz w:val="20"/>
          <w:szCs w:val="20"/>
        </w:rPr>
        <w:t>Junho</w:t>
      </w:r>
      <w:r w:rsidR="004215B4">
        <w:rPr>
          <w:rFonts w:ascii="Arial" w:hAnsi="Arial" w:cs="Arial"/>
          <w:sz w:val="20"/>
          <w:szCs w:val="20"/>
        </w:rPr>
        <w:t>/2017</w:t>
      </w:r>
      <w:r w:rsidR="00D50BB5">
        <w:rPr>
          <w:rFonts w:ascii="Arial" w:hAnsi="Arial" w:cs="Arial"/>
          <w:sz w:val="20"/>
          <w:szCs w:val="20"/>
        </w:rPr>
        <w:t xml:space="preserve"> – </w:t>
      </w:r>
      <w:r w:rsidR="00FB6AD2">
        <w:rPr>
          <w:rFonts w:ascii="Arial" w:hAnsi="Arial" w:cs="Arial"/>
          <w:sz w:val="20"/>
          <w:szCs w:val="20"/>
        </w:rPr>
        <w:t>Junho</w:t>
      </w:r>
      <w:r w:rsidR="004215B4">
        <w:rPr>
          <w:rFonts w:ascii="Arial" w:hAnsi="Arial" w:cs="Arial"/>
          <w:sz w:val="20"/>
          <w:szCs w:val="20"/>
        </w:rPr>
        <w:t>2016</w:t>
      </w:r>
      <w:r w:rsidR="001D51EE">
        <w:rPr>
          <w:rFonts w:ascii="Arial" w:hAnsi="Arial" w:cs="Arial"/>
          <w:sz w:val="20"/>
          <w:szCs w:val="20"/>
        </w:rPr>
        <w:t>)</w:t>
      </w:r>
    </w:p>
    <w:p w:rsidR="00A16A28" w:rsidRDefault="00A16A28" w:rsidP="00A16A28"/>
    <w:p w:rsidR="005F69F8" w:rsidRPr="00A16A2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junho</w:t>
      </w:r>
      <w:r w:rsidRPr="00A16A28">
        <w:rPr>
          <w:rFonts w:ascii="Arial" w:hAnsi="Arial" w:cs="Arial"/>
          <w:sz w:val="20"/>
          <w:szCs w:val="20"/>
        </w:rPr>
        <w:t xml:space="preserve"> de 2017, as exportações brasileiras do agronegócio atingiram US$ 9,</w:t>
      </w:r>
      <w:r>
        <w:rPr>
          <w:rFonts w:ascii="Arial" w:hAnsi="Arial" w:cs="Arial"/>
          <w:sz w:val="20"/>
          <w:szCs w:val="20"/>
        </w:rPr>
        <w:t>27</w:t>
      </w:r>
      <w:r w:rsidRPr="00A16A28">
        <w:rPr>
          <w:rFonts w:ascii="Arial" w:hAnsi="Arial" w:cs="Arial"/>
          <w:sz w:val="20"/>
          <w:szCs w:val="20"/>
        </w:rPr>
        <w:t xml:space="preserve"> bilhões, superando em 1</w:t>
      </w:r>
      <w:r>
        <w:rPr>
          <w:rFonts w:ascii="Arial" w:hAnsi="Arial" w:cs="Arial"/>
          <w:sz w:val="20"/>
          <w:szCs w:val="20"/>
        </w:rPr>
        <w:t>1,6</w:t>
      </w:r>
      <w:r w:rsidRPr="00A16A28">
        <w:rPr>
          <w:rFonts w:ascii="Arial" w:hAnsi="Arial" w:cs="Arial"/>
          <w:sz w:val="20"/>
          <w:szCs w:val="20"/>
        </w:rPr>
        <w:t xml:space="preserve">% o valor registrado em igual mês do ano anterior. Do lado da importação, apontou-se crescimento de </w:t>
      </w:r>
      <w:r>
        <w:rPr>
          <w:rFonts w:ascii="Arial" w:hAnsi="Arial" w:cs="Arial"/>
          <w:sz w:val="20"/>
          <w:szCs w:val="20"/>
        </w:rPr>
        <w:t>6,1</w:t>
      </w:r>
      <w:r w:rsidRPr="00A16A28">
        <w:rPr>
          <w:rFonts w:ascii="Arial" w:hAnsi="Arial" w:cs="Arial"/>
          <w:sz w:val="20"/>
          <w:szCs w:val="20"/>
        </w:rPr>
        <w:t>% nas compras, passando para US$ 1,</w:t>
      </w:r>
      <w:r>
        <w:rPr>
          <w:rFonts w:ascii="Arial" w:hAnsi="Arial" w:cs="Arial"/>
          <w:sz w:val="20"/>
          <w:szCs w:val="20"/>
        </w:rPr>
        <w:t>16</w:t>
      </w:r>
      <w:r w:rsidRPr="00A16A28">
        <w:rPr>
          <w:rFonts w:ascii="Arial" w:hAnsi="Arial" w:cs="Arial"/>
          <w:sz w:val="20"/>
          <w:szCs w:val="20"/>
        </w:rPr>
        <w:t xml:space="preserve"> bilhão em </w:t>
      </w:r>
      <w:r>
        <w:rPr>
          <w:rFonts w:ascii="Arial" w:hAnsi="Arial" w:cs="Arial"/>
          <w:sz w:val="20"/>
          <w:szCs w:val="20"/>
        </w:rPr>
        <w:t xml:space="preserve">junho </w:t>
      </w:r>
      <w:r w:rsidRPr="00A16A28">
        <w:rPr>
          <w:rFonts w:ascii="Arial" w:hAnsi="Arial" w:cs="Arial"/>
          <w:sz w:val="20"/>
          <w:szCs w:val="20"/>
        </w:rPr>
        <w:t xml:space="preserve">deste ano. </w:t>
      </w:r>
      <w:r>
        <w:rPr>
          <w:rFonts w:ascii="Arial" w:hAnsi="Arial" w:cs="Arial"/>
          <w:sz w:val="20"/>
          <w:szCs w:val="20"/>
        </w:rPr>
        <w:t xml:space="preserve">Frente a </w:t>
      </w:r>
      <w:r w:rsidRPr="00A16A28">
        <w:rPr>
          <w:rFonts w:ascii="Arial" w:hAnsi="Arial" w:cs="Arial"/>
          <w:sz w:val="20"/>
          <w:szCs w:val="20"/>
        </w:rPr>
        <w:t>esses resultados, neste período comparativo, o superávit comercial do agronegócio brasileiro elevou-se de US$ 7,</w:t>
      </w:r>
      <w:r>
        <w:rPr>
          <w:rFonts w:ascii="Arial" w:hAnsi="Arial" w:cs="Arial"/>
          <w:sz w:val="20"/>
          <w:szCs w:val="20"/>
        </w:rPr>
        <w:t>22</w:t>
      </w:r>
      <w:r w:rsidRPr="00A16A28">
        <w:rPr>
          <w:rFonts w:ascii="Arial" w:hAnsi="Arial" w:cs="Arial"/>
          <w:sz w:val="20"/>
          <w:szCs w:val="20"/>
        </w:rPr>
        <w:t xml:space="preserve"> bilhões para US$ 8,</w:t>
      </w:r>
      <w:r>
        <w:rPr>
          <w:rFonts w:ascii="Arial" w:hAnsi="Arial" w:cs="Arial"/>
          <w:sz w:val="20"/>
          <w:szCs w:val="20"/>
        </w:rPr>
        <w:t>12</w:t>
      </w:r>
      <w:r w:rsidRPr="00A16A28">
        <w:rPr>
          <w:rFonts w:ascii="Arial" w:hAnsi="Arial" w:cs="Arial"/>
          <w:sz w:val="20"/>
          <w:szCs w:val="20"/>
        </w:rPr>
        <w:t xml:space="preserve"> bilhões, sendo o </w:t>
      </w:r>
      <w:r>
        <w:rPr>
          <w:rFonts w:ascii="Arial" w:hAnsi="Arial" w:cs="Arial"/>
          <w:sz w:val="20"/>
          <w:szCs w:val="20"/>
        </w:rPr>
        <w:t>segundo</w:t>
      </w:r>
      <w:r w:rsidRPr="00A16A28">
        <w:rPr>
          <w:rFonts w:ascii="Arial" w:hAnsi="Arial" w:cs="Arial"/>
          <w:sz w:val="20"/>
          <w:szCs w:val="20"/>
        </w:rPr>
        <w:t xml:space="preserve"> maior superávit da série histórica para meses de </w:t>
      </w:r>
      <w:r>
        <w:rPr>
          <w:rFonts w:ascii="Arial" w:hAnsi="Arial" w:cs="Arial"/>
          <w:sz w:val="20"/>
          <w:szCs w:val="20"/>
        </w:rPr>
        <w:t>junho, abaixo apenas do</w:t>
      </w:r>
      <w:r w:rsidRPr="00A16A28">
        <w:rPr>
          <w:rFonts w:ascii="Arial" w:hAnsi="Arial" w:cs="Arial"/>
          <w:sz w:val="20"/>
          <w:szCs w:val="20"/>
        </w:rPr>
        <w:t xml:space="preserve"> valor de </w:t>
      </w:r>
      <w:r>
        <w:rPr>
          <w:rFonts w:ascii="Arial" w:hAnsi="Arial" w:cs="Arial"/>
          <w:sz w:val="20"/>
          <w:szCs w:val="20"/>
        </w:rPr>
        <w:t>junho de 2014, que atingiu US$ 8,40 bilhões</w:t>
      </w:r>
      <w:r w:rsidRPr="00A16A28">
        <w:rPr>
          <w:rFonts w:ascii="Arial" w:hAnsi="Arial" w:cs="Arial"/>
          <w:sz w:val="20"/>
          <w:szCs w:val="20"/>
        </w:rPr>
        <w:t>.</w:t>
      </w:r>
    </w:p>
    <w:p w:rsidR="005F69F8" w:rsidRPr="00A16A28" w:rsidRDefault="005F69F8" w:rsidP="005F69F8"/>
    <w:p w:rsidR="005F69F8" w:rsidRDefault="005F69F8" w:rsidP="005F69F8"/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5F69F8" w:rsidRDefault="005F69F8" w:rsidP="005F69F8"/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exportação brasileira </w:t>
      </w:r>
      <w:r w:rsidRPr="00A16A28">
        <w:rPr>
          <w:rFonts w:ascii="Arial" w:hAnsi="Arial" w:cs="Arial"/>
          <w:sz w:val="20"/>
          <w:szCs w:val="20"/>
        </w:rPr>
        <w:t>do agronegócio foi liderada pelo complexo</w:t>
      </w:r>
      <w:r>
        <w:rPr>
          <w:rFonts w:ascii="Arial" w:hAnsi="Arial" w:cs="Arial"/>
          <w:sz w:val="20"/>
          <w:szCs w:val="20"/>
        </w:rPr>
        <w:t xml:space="preserve"> soja</w:t>
      </w:r>
      <w:r w:rsidRPr="00A16A28">
        <w:rPr>
          <w:rFonts w:ascii="Arial" w:hAnsi="Arial" w:cs="Arial"/>
          <w:sz w:val="20"/>
          <w:szCs w:val="20"/>
        </w:rPr>
        <w:t xml:space="preserve">, cujas vendas atingiram US$ </w:t>
      </w:r>
      <w:r>
        <w:rPr>
          <w:rFonts w:ascii="Arial" w:hAnsi="Arial" w:cs="Arial"/>
          <w:sz w:val="20"/>
          <w:szCs w:val="20"/>
        </w:rPr>
        <w:t>3,96</w:t>
      </w:r>
      <w:r w:rsidRPr="00A16A28">
        <w:rPr>
          <w:rFonts w:ascii="Arial" w:hAnsi="Arial" w:cs="Arial"/>
          <w:sz w:val="20"/>
          <w:szCs w:val="20"/>
        </w:rPr>
        <w:t xml:space="preserve"> bilhões</w:t>
      </w:r>
      <w:r w:rsidRPr="00F172C8">
        <w:rPr>
          <w:rFonts w:ascii="Arial" w:hAnsi="Arial" w:cs="Arial"/>
          <w:sz w:val="20"/>
          <w:szCs w:val="20"/>
        </w:rPr>
        <w:t xml:space="preserve"> </w:t>
      </w:r>
      <w:r w:rsidRPr="00A16A28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junho</w:t>
      </w:r>
      <w:r w:rsidRPr="00A16A28">
        <w:rPr>
          <w:rFonts w:ascii="Arial" w:hAnsi="Arial" w:cs="Arial"/>
          <w:sz w:val="20"/>
          <w:szCs w:val="20"/>
        </w:rPr>
        <w:t xml:space="preserve"> de 2017, significando acréscimo de </w:t>
      </w:r>
      <w:r>
        <w:rPr>
          <w:rFonts w:ascii="Arial" w:hAnsi="Arial" w:cs="Arial"/>
          <w:sz w:val="20"/>
          <w:szCs w:val="20"/>
        </w:rPr>
        <w:t>8,1</w:t>
      </w:r>
      <w:r w:rsidRPr="00A16A28">
        <w:rPr>
          <w:rFonts w:ascii="Arial" w:hAnsi="Arial" w:cs="Arial"/>
          <w:sz w:val="20"/>
          <w:szCs w:val="20"/>
        </w:rPr>
        <w:t xml:space="preserve">% sobre o valor registrado em </w:t>
      </w:r>
      <w:r>
        <w:rPr>
          <w:rFonts w:ascii="Arial" w:hAnsi="Arial" w:cs="Arial"/>
          <w:sz w:val="20"/>
          <w:szCs w:val="20"/>
        </w:rPr>
        <w:t>igual mês de 2016. Este setor representou 42,7% do</w:t>
      </w:r>
      <w:r w:rsidRPr="00A16A28">
        <w:rPr>
          <w:rFonts w:ascii="Arial" w:hAnsi="Arial" w:cs="Arial"/>
          <w:sz w:val="20"/>
          <w:szCs w:val="20"/>
        </w:rPr>
        <w:t xml:space="preserve"> total das exportações do agronegócio</w:t>
      </w:r>
      <w:r>
        <w:rPr>
          <w:rFonts w:ascii="Arial" w:hAnsi="Arial" w:cs="Arial"/>
          <w:sz w:val="20"/>
          <w:szCs w:val="20"/>
        </w:rPr>
        <w:t xml:space="preserve"> no mês, sendo impulsionado</w:t>
      </w:r>
      <w:r w:rsidRPr="00A16A28">
        <w:rPr>
          <w:rFonts w:ascii="Arial" w:hAnsi="Arial" w:cs="Arial"/>
          <w:sz w:val="20"/>
          <w:szCs w:val="20"/>
        </w:rPr>
        <w:t xml:space="preserve"> pelos embarques de soja em grão, </w:t>
      </w:r>
      <w:r>
        <w:rPr>
          <w:rFonts w:ascii="Arial" w:hAnsi="Arial" w:cs="Arial"/>
          <w:sz w:val="20"/>
          <w:szCs w:val="20"/>
        </w:rPr>
        <w:t>cujo volume chegou a 9,20 milhões de toneladas, equivalente à receita de US$ 3,35 bilhões. Comparativamente a junho/2016, a exportação do grão registrou aumento de 12,9% em valor e 18,5% em quantidade. O preço médio de exportação, contudo, recuou 4,8%. As vendas de farelo e óleo complementaram as exportações do complexo, atingindo US$ 472,63 milhões e US$ 132,16 milhões, respectivamente.</w:t>
      </w: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Pr="00A355EF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355EF">
        <w:rPr>
          <w:rFonts w:ascii="Arial" w:hAnsi="Arial" w:cs="Arial"/>
          <w:sz w:val="20"/>
          <w:szCs w:val="20"/>
        </w:rPr>
        <w:t>O complexo sucroalcooleiro aparece em seguida, com exportações de US$ 1,36 bilhão em junho de 2017, contabilizando aumento de 32,9% sobre junho/2016. Esse acréscimo foi puxado pelas vendas de açúcar em bruto, que tiveram incremento de 39,7%, alcançando US$ 1,07 bilhão (2,64 milhões de toneladas). Esse desempenho garantiu recordes em valor e quantidade para o açúcar em bruto, considerando meses de junho. As exportações de açúcar refinado também contribuíram para o resultado positivo do setor, com expansão de 40,8% em valor e 25,4% em quantidade. Já as exportações de álcool recuaram 23,8%</w:t>
      </w:r>
      <w:r>
        <w:rPr>
          <w:rFonts w:ascii="Arial" w:hAnsi="Arial" w:cs="Arial"/>
          <w:sz w:val="20"/>
          <w:szCs w:val="20"/>
        </w:rPr>
        <w:t xml:space="preserve"> em valor e 38,0% em quantidade; já o preço médio aumentou 22,9%.</w:t>
      </w:r>
    </w:p>
    <w:p w:rsidR="005F69F8" w:rsidRPr="00EF2AE2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EF2AE2">
        <w:rPr>
          <w:rFonts w:ascii="Arial" w:hAnsi="Arial" w:cs="Arial"/>
          <w:sz w:val="20"/>
          <w:szCs w:val="20"/>
        </w:rPr>
        <w:t xml:space="preserve">Na terceira posição </w:t>
      </w:r>
      <w:r>
        <w:rPr>
          <w:rFonts w:ascii="Arial" w:hAnsi="Arial" w:cs="Arial"/>
          <w:sz w:val="20"/>
          <w:szCs w:val="20"/>
        </w:rPr>
        <w:t>d</w:t>
      </w:r>
      <w:r w:rsidRPr="00EF2AE2">
        <w:rPr>
          <w:rFonts w:ascii="Arial" w:hAnsi="Arial" w:cs="Arial"/>
          <w:sz w:val="20"/>
          <w:szCs w:val="20"/>
        </w:rPr>
        <w:t xml:space="preserve">a pauta, o setor de carnes registrou exportações de US$ 1,32 bilhão, revelando avanço de 1,7% no valor exportado em junho/2017 sobre igual período do ano anterior. Esse acréscimo foi explicado pelo aumento de 8,5% no preço médio, tendo em vista o decréscimo de 6,3% na quantidade embarcada. As vendas de carne suína obtiveram o melhor desempenho do setor, com elevação de 26,9% sobre junho/2016 (+3,9% em quantidade e +22,1% no preço médio), passando para US$ 154,53 milhões. Ressalte-se que as vendas de carne </w:t>
      </w:r>
      <w:r w:rsidRPr="00EF2AE2">
        <w:rPr>
          <w:rFonts w:ascii="Arial" w:hAnsi="Arial" w:cs="Arial"/>
          <w:sz w:val="20"/>
          <w:szCs w:val="20"/>
        </w:rPr>
        <w:lastRenderedPageBreak/>
        <w:t xml:space="preserve">suína </w:t>
      </w:r>
      <w:r w:rsidRPr="00EF2AE2">
        <w:rPr>
          <w:rFonts w:ascii="Arial" w:hAnsi="Arial" w:cs="Arial"/>
          <w:i/>
          <w:sz w:val="20"/>
          <w:szCs w:val="20"/>
        </w:rPr>
        <w:t>in natura</w:t>
      </w:r>
      <w:r w:rsidRPr="00EF2AE2">
        <w:rPr>
          <w:rFonts w:ascii="Arial" w:hAnsi="Arial" w:cs="Arial"/>
          <w:sz w:val="20"/>
          <w:szCs w:val="20"/>
        </w:rPr>
        <w:t xml:space="preserve"> neste mês assinalaram recorde em quantidade para meses de junho, atingindo 54,0 mil toneladas. Com relação à carne bovina, apontou-se crescimento de 8,7% no valor exportado (+1,5% em quantidade e +7,1% no preço médio), totalizando US$ 509,97 milhões. No segmento, predominam as vendas de carne bovina </w:t>
      </w:r>
      <w:r w:rsidRPr="00EF2AE2">
        <w:rPr>
          <w:rFonts w:ascii="Arial" w:hAnsi="Arial" w:cs="Arial"/>
          <w:i/>
          <w:sz w:val="20"/>
          <w:szCs w:val="20"/>
        </w:rPr>
        <w:t>in natura</w:t>
      </w:r>
      <w:r w:rsidRPr="00EF2AE2">
        <w:rPr>
          <w:rFonts w:ascii="Arial" w:hAnsi="Arial" w:cs="Arial"/>
          <w:sz w:val="20"/>
          <w:szCs w:val="20"/>
        </w:rPr>
        <w:t>, com exportações de US$ 422,34 milhões em junho/2017. Já as exportações de carne de frango</w:t>
      </w:r>
      <w:r>
        <w:rPr>
          <w:rFonts w:ascii="Arial" w:hAnsi="Arial" w:cs="Arial"/>
          <w:sz w:val="20"/>
          <w:szCs w:val="20"/>
        </w:rPr>
        <w:t>, item mais relevante do setor,</w:t>
      </w:r>
      <w:r w:rsidRPr="00EF2AE2">
        <w:rPr>
          <w:rFonts w:ascii="Arial" w:hAnsi="Arial" w:cs="Arial"/>
          <w:sz w:val="20"/>
          <w:szCs w:val="20"/>
        </w:rPr>
        <w:t xml:space="preserve"> recuaram 7,2% em junho/2017 (-10,6% em quantidade e +3,8% no preço médio), caindo para US$ 607,77 milhões.</w:t>
      </w:r>
      <w:r>
        <w:rPr>
          <w:rFonts w:ascii="Arial" w:hAnsi="Arial" w:cs="Arial"/>
          <w:sz w:val="20"/>
          <w:szCs w:val="20"/>
        </w:rPr>
        <w:t xml:space="preserve"> Desse montante, US$ 560,91 milhões correspondeu a carne de frango </w:t>
      </w:r>
      <w:r w:rsidRPr="00455915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>, cifra 7,3% abaixo do valor de junho/2016.</w:t>
      </w:r>
    </w:p>
    <w:p w:rsidR="005F69F8" w:rsidRPr="00523820" w:rsidRDefault="005F69F8" w:rsidP="005F69F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F69F8" w:rsidRPr="002972FF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2972FF">
        <w:rPr>
          <w:rFonts w:ascii="Arial" w:hAnsi="Arial" w:cs="Arial"/>
          <w:sz w:val="20"/>
          <w:szCs w:val="20"/>
        </w:rPr>
        <w:t xml:space="preserve">O destaque seguinte foram as exportações de produtos florestais, que atingiram US$ 1,03 bilhão em junho/2017, superando em 21,0% o resultado de junho/2016. Sobressaíram-se as vendas de celulose, com aumento de 38,5% sobre junho/2016 (+16,9% em quantidade e +18,5% no preço médio), alcançando US$ 620,15 milhões. Assinale-se que as exportações de celulose em junho/2017 foram recordes em valor, considerando todos os meses da série histórica, e em quantidade, levando-se em conta </w:t>
      </w:r>
      <w:r>
        <w:rPr>
          <w:rFonts w:ascii="Arial" w:hAnsi="Arial" w:cs="Arial"/>
          <w:sz w:val="20"/>
          <w:szCs w:val="20"/>
        </w:rPr>
        <w:t xml:space="preserve">somente </w:t>
      </w:r>
      <w:r w:rsidRPr="002972FF">
        <w:rPr>
          <w:rFonts w:ascii="Arial" w:hAnsi="Arial" w:cs="Arial"/>
          <w:sz w:val="20"/>
          <w:szCs w:val="20"/>
        </w:rPr>
        <w:t>os meses de junho. As vendas de madeira e suas obras atingiram US$ 250,73 milhões em junho/2017, com acréscimo de 3,9% (+1,0% em quantidade e +2,9% no preço médio), enquanto as de papel foram de US$ 158,86 milhões, resultado de um recuo de 1,2% (-3,0% em quantidade e +1,8% no preço médio).</w:t>
      </w:r>
    </w:p>
    <w:p w:rsidR="005F69F8" w:rsidRDefault="005F69F8" w:rsidP="005F69F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F69F8" w:rsidRPr="002972FF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2972FF">
        <w:rPr>
          <w:rFonts w:ascii="Arial" w:hAnsi="Arial" w:cs="Arial"/>
          <w:sz w:val="20"/>
          <w:szCs w:val="20"/>
        </w:rPr>
        <w:t xml:space="preserve">O quinto setor da pauta foi o de café, cujas vendas totalizaram US$ 368,96 milhões em junho/2017, registrando aumento de 4,2% sobre junho/2016. O principal item </w:t>
      </w:r>
      <w:r>
        <w:rPr>
          <w:rFonts w:ascii="Arial" w:hAnsi="Arial" w:cs="Arial"/>
          <w:sz w:val="20"/>
          <w:szCs w:val="20"/>
        </w:rPr>
        <w:t>foi</w:t>
      </w:r>
      <w:r w:rsidRPr="002972FF">
        <w:rPr>
          <w:rFonts w:ascii="Arial" w:hAnsi="Arial" w:cs="Arial"/>
          <w:sz w:val="20"/>
          <w:szCs w:val="20"/>
        </w:rPr>
        <w:t xml:space="preserve"> o de café verde, com exportações de US$ 309,30 milhões, cifra 2,0% superior à registrada em junho/2016 (-7,7% em quantidade e +10,5% no preço médio). As exportações de café solúvel somaram US$ 49,52 milhões, significando acréscimo de 9,5% sobre junho/2016 (-15,4% em quantidade e +29,5% no preço médio).</w:t>
      </w:r>
    </w:p>
    <w:p w:rsidR="005F69F8" w:rsidRPr="00523820" w:rsidRDefault="005F69F8" w:rsidP="005F69F8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52382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5F69F8" w:rsidRPr="00BB0594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BB0594">
        <w:rPr>
          <w:rFonts w:ascii="Arial" w:hAnsi="Arial" w:cs="Arial"/>
          <w:sz w:val="20"/>
          <w:szCs w:val="20"/>
        </w:rPr>
        <w:t>Em conjunto, os cinco principais setores da pauta do agronegócio somaram exportações de US$ 8,04 bilhões, representando 86,7% do total das exportações registradas em junho de 2017. Em igual mês do ano anterior, esses setores representaram participação de 86,5%.</w:t>
      </w:r>
    </w:p>
    <w:p w:rsidR="005F69F8" w:rsidRPr="00523820" w:rsidRDefault="005F69F8" w:rsidP="005F69F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No tocante às importações em junho/2017, foram destaques as aquisições de cereais, farinhas e preparações, embora com queda de 7,6% (US$ 202,68 milhões), produtos florestais (US$ 140,38 milhões; +24,6%); pescados (US$ 94,96 milhões; +8,0%), produtos oleaginosos – exclusive soja (US$ 66,38 milhões; +15,1%) e lácteos (US$ 62,19 milhões; -3,3%). Além desses setores, vale citar o forte acréscimo ocorrido nas aquisições de álcool etílico, passando de US$ 17,90 milhões em junho/2016 para US$ 98,73 milhões em junho/2017, oriundas em quase sua totalidade dos Estados Unidos.</w:t>
      </w: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E207EB" w:rsidRDefault="00E207EB" w:rsidP="00E207E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E207EB" w:rsidRDefault="00FB6AD2" w:rsidP="00E207EB">
      <w:r w:rsidRPr="00FB6AD2">
        <w:rPr>
          <w:noProof/>
        </w:rPr>
        <w:drawing>
          <wp:inline distT="0" distB="0" distL="0" distR="0" wp14:anchorId="6E79E6C5" wp14:editId="1E7AECC3">
            <wp:extent cx="6480175" cy="385508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E" w:rsidRDefault="001D51EE" w:rsidP="00A16A28"/>
    <w:p w:rsidR="00A16A28" w:rsidRPr="00A16A28" w:rsidRDefault="00A16A28" w:rsidP="00A16A28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lastRenderedPageBreak/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C46E79" w:rsidRDefault="00C46E7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A Ásia perdeu participação relativa nas exportações brasileiras do agronegócio na comparação entre junho de 2016 e junho de 2017. Em junho de 2016, a participação do continente asiático era de 50,2%, porcentagem que diminuiu para 48,1% em junho de 201</w:t>
      </w:r>
      <w:r>
        <w:rPr>
          <w:rFonts w:ascii="Arial" w:hAnsi="Arial" w:cs="Arial"/>
          <w:sz w:val="20"/>
          <w:szCs w:val="20"/>
        </w:rPr>
        <w:t>7</w:t>
      </w:r>
      <w:r w:rsidRPr="00AF59CE">
        <w:rPr>
          <w:rFonts w:ascii="Arial" w:hAnsi="Arial" w:cs="Arial"/>
          <w:sz w:val="20"/>
          <w:szCs w:val="20"/>
        </w:rPr>
        <w:t>. Essa diminuição de participação ocorreu apesar do aumento de 7,0% no valor adquirido pelo continente em produtos do agronegócio brasileiro. A diminuição pode ser explicada pelo incremento de 11,6</w:t>
      </w:r>
      <w:r>
        <w:rPr>
          <w:rFonts w:ascii="Arial" w:hAnsi="Arial" w:cs="Arial"/>
          <w:sz w:val="20"/>
          <w:szCs w:val="20"/>
        </w:rPr>
        <w:t>%</w:t>
      </w:r>
      <w:r w:rsidRPr="00AF59CE">
        <w:rPr>
          <w:rFonts w:ascii="Arial" w:hAnsi="Arial" w:cs="Arial"/>
          <w:sz w:val="20"/>
          <w:szCs w:val="20"/>
        </w:rPr>
        <w:t xml:space="preserve"> nas exportações totais do agronegócio, índice superior aos 7,0% de elevação das exportações ao bloco asiático. A mencionada expansão de 7,0% fez com que as vendas para a Ásia subissem de US$ 4,17 bilhões em junho de 2016 para US$ 4,47 bilhões em junho de 2017.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A União Europeia ficou na segunda posição entre os principais blocos ou regiões geográficas de destino das exportações brasileiras. O bloco importou US$ 1,48 bilhão em produtos do agronegócio brasileiro (-6,9%), o que significou 16,0% do total exportado pelo Bra</w:t>
      </w:r>
      <w:r>
        <w:rPr>
          <w:rFonts w:ascii="Arial" w:hAnsi="Arial" w:cs="Arial"/>
          <w:sz w:val="20"/>
          <w:szCs w:val="20"/>
        </w:rPr>
        <w:t>sil em produtos do agronegócio.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Duas regiões merecem destaque quanto ao aumento de participação nas exportações brasileiras do agronegócio: o Oriente Médio (de 7,0% em junho de 2016 para 9,4% em junho de 2017) e a África (de 5,4% em junho de 20</w:t>
      </w:r>
      <w:r>
        <w:rPr>
          <w:rFonts w:ascii="Arial" w:hAnsi="Arial" w:cs="Arial"/>
          <w:sz w:val="20"/>
          <w:szCs w:val="20"/>
        </w:rPr>
        <w:t>16 para 7,9% em junho de 2017).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O Oriente Médio aumentou as aquisições de US$ 582,87 milhões em junho de 2016 para US$ 867,27 milhões em junho de 2017 (+48,8%). Os produtos do complexo sucroalcooleiro foram os que mais contribuíram para o aumento das exportações ao Oriente Médio, pois passaram de US$ 136,50 milhões em junho de 2016 para US$ 321,51 milhões em junho de 2017.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Por sua vez, a África elevou suas aquisições de produtos do agronegócio brasileiro de US$ 450,45 milhões em junho de 2016 para US$ 732,44 milhões em junho de 2017 (+62,6%).  Os produtos do complexo sucroalcooleiro também foram os principais responsáveis pelo incremento das exportações à África, com expansão de US$ 236,29 milhões em junho de 2016 para US$ 492,78 milhões em junho de 2017.</w:t>
      </w:r>
    </w:p>
    <w:p w:rsidR="005F69F8" w:rsidRDefault="005F69F8" w:rsidP="005F69F8">
      <w:pPr>
        <w:jc w:val="both"/>
      </w:pPr>
    </w:p>
    <w:p w:rsidR="00AB2FF5" w:rsidRPr="00515548" w:rsidRDefault="00AB2FF5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FB6AD2" w:rsidP="00E207EB">
      <w:pPr>
        <w:jc w:val="both"/>
        <w:rPr>
          <w:rFonts w:ascii="Arial" w:hAnsi="Arial" w:cs="Arial"/>
          <w:sz w:val="20"/>
          <w:szCs w:val="20"/>
        </w:rPr>
      </w:pPr>
      <w:r w:rsidRPr="00FB6AD2">
        <w:rPr>
          <w:noProof/>
        </w:rPr>
        <w:drawing>
          <wp:inline distT="0" distB="0" distL="0" distR="0" wp14:anchorId="06D90890" wp14:editId="3CF2347A">
            <wp:extent cx="6480175" cy="23482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B2FF5" w:rsidRDefault="00AB2FF5" w:rsidP="00AB2FF5"/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A China importou US$ 2,93 bilhões em produtos do agronegócio em junho de 2017. A cifra coloca o país asiático muito à frente dos demais parceiros do agronegócio brasileiro com 31,6% de participação. O segundo maior importador foram os Estados Unidos, que adquiriram US$ 592,48 milhões (</w:t>
      </w:r>
      <w:r>
        <w:rPr>
          <w:rFonts w:ascii="Arial" w:hAnsi="Arial" w:cs="Arial"/>
          <w:sz w:val="20"/>
          <w:szCs w:val="20"/>
        </w:rPr>
        <w:t>+4,0%) ou o equivalente a 6,4%.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Alguns países merecem destaque no mês por terem mais que dobrado o valor adquirido em produtos do agronegócio brasileiro. É o caso do Irã (+102,4%), do Egito (+143,1%) e dos Em</w:t>
      </w:r>
      <w:r>
        <w:rPr>
          <w:rFonts w:ascii="Arial" w:hAnsi="Arial" w:cs="Arial"/>
          <w:sz w:val="20"/>
          <w:szCs w:val="20"/>
        </w:rPr>
        <w:t>irados Árabes Unidos (+207,7%).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 xml:space="preserve">As importações do Irã de produtos agropecuários brasileiros subiram de US$ 138,05 milhões em junho de 2016 para US$ 279,41 milhões em junho de 2017. Esse valor em aquisições colocou o Irã como quarto maior importador de produtos do agronegócio brasileiro em junho. O crescimento das exportações ao Irã se deveu, principalmente, às aquisições de milho (de </w:t>
      </w:r>
      <w:r>
        <w:rPr>
          <w:rFonts w:ascii="Arial" w:hAnsi="Arial" w:cs="Arial"/>
          <w:sz w:val="20"/>
          <w:szCs w:val="20"/>
        </w:rPr>
        <w:t>zero</w:t>
      </w:r>
      <w:r w:rsidRPr="00AF59CE">
        <w:rPr>
          <w:rFonts w:ascii="Arial" w:hAnsi="Arial" w:cs="Arial"/>
          <w:sz w:val="20"/>
          <w:szCs w:val="20"/>
        </w:rPr>
        <w:t xml:space="preserve"> em junho de 2016 para US$ 70,40 milhões em junho de 2017) e soja em grão (de US$ 54,32 milhões em junho de 2016 para US$ 112,55 milhões em junho de 2017).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 xml:space="preserve">Para o Egito, as vendas externas subiram de US$ 88,34 milhões em 2016 para US$ 214,74 milhões em 2017.  O produto que mais impulsionou as exportações ao Egito foi o açúcar de cana em bruto, que teve incremento de venda no período de US$ 7,56 milhões para US$ 109,96 milhões.  Além do açúcar, as exportações de carnes subiram de </w:t>
      </w:r>
      <w:r w:rsidRPr="00AF59CE">
        <w:rPr>
          <w:rFonts w:ascii="Arial" w:hAnsi="Arial" w:cs="Arial"/>
          <w:sz w:val="20"/>
          <w:szCs w:val="20"/>
        </w:rPr>
        <w:lastRenderedPageBreak/>
        <w:t xml:space="preserve">US$ 69,90 milhões para US$ 86,70 milhões e as exportações de soja em grão aumentaram de </w:t>
      </w:r>
      <w:r>
        <w:rPr>
          <w:rFonts w:ascii="Arial" w:hAnsi="Arial" w:cs="Arial"/>
          <w:sz w:val="20"/>
          <w:szCs w:val="20"/>
        </w:rPr>
        <w:t>zero</w:t>
      </w:r>
      <w:r w:rsidRPr="00AF59CE">
        <w:rPr>
          <w:rFonts w:ascii="Arial" w:hAnsi="Arial" w:cs="Arial"/>
          <w:sz w:val="20"/>
          <w:szCs w:val="20"/>
        </w:rPr>
        <w:t xml:space="preserve"> para US$ 10,7</w:t>
      </w:r>
      <w:r>
        <w:rPr>
          <w:rFonts w:ascii="Arial" w:hAnsi="Arial" w:cs="Arial"/>
          <w:sz w:val="20"/>
          <w:szCs w:val="20"/>
        </w:rPr>
        <w:t>0 milhões.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 xml:space="preserve">No caso dos Emirados Árabes Unidos, as exportações subiram de US$ 58,69 milhões para US$ 180,56 milhões. As exportações de açúcar de cana em bruto foram as principais responsáveis pelo incremento nas vendas, pois saíram de zero para US$ 94,12 </w:t>
      </w:r>
      <w:r>
        <w:rPr>
          <w:rFonts w:ascii="Arial" w:hAnsi="Arial" w:cs="Arial"/>
          <w:sz w:val="20"/>
          <w:szCs w:val="20"/>
        </w:rPr>
        <w:t>milhões.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>Outros países que se destacaram no mês foram: Índia (US$ 252,45 milhões; 33,7%); Itália (US$ 243,57 milhões; +66,9%); Tailândia (US$ 208,55 milhões; +76,2%); Argentina (US$ 124,32 milhões; +34,0%); e Bangladesh (US$ 118,27 milhões; +87,6%).</w:t>
      </w:r>
    </w:p>
    <w:p w:rsidR="005F69F8" w:rsidRPr="00AF59CE" w:rsidRDefault="005F69F8" w:rsidP="005F69F8">
      <w:pPr>
        <w:jc w:val="both"/>
        <w:rPr>
          <w:rFonts w:ascii="Arial" w:hAnsi="Arial" w:cs="Arial"/>
          <w:sz w:val="20"/>
          <w:szCs w:val="20"/>
        </w:rPr>
      </w:pPr>
      <w:r w:rsidRPr="00AF59CE">
        <w:rPr>
          <w:rFonts w:ascii="Arial" w:hAnsi="Arial" w:cs="Arial"/>
          <w:sz w:val="20"/>
          <w:szCs w:val="20"/>
        </w:rPr>
        <w:t xml:space="preserve">Os vinte principais mercados apresentados na Tabela 3 foram responsáveis por 77,0% das aquisições de produtos do agronegócio brasileiro em junho de 2017. No mesmo mês de 2016, esses mesmos mercados foram responsáveis por 76,4%. Ou seja, houve uma concentração da pauta de exportações do agronegócio brasileiro entre os vinte principais mercados importadores no período. </w:t>
      </w:r>
    </w:p>
    <w:p w:rsidR="00E207EB" w:rsidRDefault="00E207EB" w:rsidP="00E207EB">
      <w:bookmarkStart w:id="0" w:name="_GoBack"/>
      <w:bookmarkEnd w:id="0"/>
    </w:p>
    <w:p w:rsidR="00917C96" w:rsidRDefault="00FB6AD2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FB6AD2">
        <w:rPr>
          <w:noProof/>
        </w:rPr>
        <w:drawing>
          <wp:inline distT="0" distB="0" distL="0" distR="0" wp14:anchorId="2597198C" wp14:editId="1C614C94">
            <wp:extent cx="6480175" cy="3879215"/>
            <wp:effectExtent l="0" t="0" r="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F" w:rsidRPr="00E34A2F" w:rsidRDefault="00E34A2F" w:rsidP="00E34A2F"/>
    <w:p w:rsidR="00E207EB" w:rsidRDefault="00E207EB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OLE_LINK1"/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Resultados </w:t>
      </w:r>
      <w:r w:rsidR="003E4A98">
        <w:rPr>
          <w:rFonts w:ascii="Arial" w:hAnsi="Arial" w:cs="Arial"/>
          <w:b/>
          <w:sz w:val="20"/>
          <w:szCs w:val="20"/>
        </w:rPr>
        <w:t>do Ano</w:t>
      </w:r>
      <w:r w:rsidR="00EE77CD">
        <w:rPr>
          <w:rFonts w:ascii="Arial" w:hAnsi="Arial" w:cs="Arial"/>
          <w:b/>
          <w:sz w:val="20"/>
          <w:szCs w:val="20"/>
        </w:rPr>
        <w:t xml:space="preserve"> (</w:t>
      </w:r>
      <w:r w:rsidR="003E4A98" w:rsidRPr="003E4A98">
        <w:rPr>
          <w:rFonts w:ascii="Arial" w:hAnsi="Arial" w:cs="Arial"/>
          <w:b/>
          <w:sz w:val="20"/>
          <w:szCs w:val="20"/>
        </w:rPr>
        <w:t>comparativo Janeiro-</w:t>
      </w:r>
      <w:r w:rsidR="003E4A98">
        <w:rPr>
          <w:rFonts w:ascii="Arial" w:hAnsi="Arial" w:cs="Arial"/>
          <w:b/>
          <w:sz w:val="20"/>
          <w:szCs w:val="20"/>
        </w:rPr>
        <w:t>Junho</w:t>
      </w:r>
      <w:r w:rsidR="003E4A98" w:rsidRPr="003E4A98">
        <w:rPr>
          <w:rFonts w:ascii="Arial" w:hAnsi="Arial" w:cs="Arial"/>
          <w:b/>
          <w:sz w:val="20"/>
          <w:szCs w:val="20"/>
        </w:rPr>
        <w:t>/201</w:t>
      </w:r>
      <w:r w:rsidR="003E4A98">
        <w:rPr>
          <w:rFonts w:ascii="Arial" w:hAnsi="Arial" w:cs="Arial"/>
          <w:b/>
          <w:sz w:val="20"/>
          <w:szCs w:val="20"/>
        </w:rPr>
        <w:t>7</w:t>
      </w:r>
      <w:r w:rsidR="003E4A98" w:rsidRPr="003E4A98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="003E4A98" w:rsidRPr="003E4A98">
        <w:rPr>
          <w:rFonts w:ascii="Arial" w:hAnsi="Arial" w:cs="Arial"/>
          <w:b/>
          <w:sz w:val="20"/>
          <w:szCs w:val="20"/>
        </w:rPr>
        <w:t>Janeiro</w:t>
      </w:r>
      <w:proofErr w:type="gramEnd"/>
      <w:r w:rsidR="003E4A98" w:rsidRPr="003E4A98">
        <w:rPr>
          <w:rFonts w:ascii="Arial" w:hAnsi="Arial" w:cs="Arial"/>
          <w:b/>
          <w:sz w:val="20"/>
          <w:szCs w:val="20"/>
        </w:rPr>
        <w:t>-</w:t>
      </w:r>
      <w:r w:rsidR="003E4A98">
        <w:rPr>
          <w:rFonts w:ascii="Arial" w:hAnsi="Arial" w:cs="Arial"/>
          <w:b/>
          <w:sz w:val="20"/>
          <w:szCs w:val="20"/>
        </w:rPr>
        <w:t>Junho/2016</w:t>
      </w:r>
      <w:r w:rsidR="00EE77CD">
        <w:rPr>
          <w:rFonts w:ascii="Arial" w:hAnsi="Arial" w:cs="Arial"/>
          <w:b/>
          <w:sz w:val="20"/>
          <w:szCs w:val="20"/>
        </w:rPr>
        <w:t>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As exportações do agronegócio brasileiro atingiram a cifra de US$ 48,14 bilhões entre janeiro e junho de 2017, com incremento de 7,0% em relação aos US$ 45,0 bilhões exportados no mesmo período de 2016. A participação do agronegócio no total das exportações brasileiras decresceu 5,2 pontos percentuais no período, chegando a 44,7%. As importações do agronegócio totalizaram US$ 7,30 bilhões no primeiro semestre de 2017, o que representou crescimento de 19,8% ante os US$ 6,09 bilhões adquiridos entre janeiro e junho de 2016. Como resultado, o saldo da balança comercial do agronegócio aumentou de US$ 38,91 bilhões para os atuais US$ 40,84 bilhões (+5,0%).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FB6AD2" w:rsidRDefault="00FB6AD2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917C96" w:rsidRDefault="00917C96" w:rsidP="00917C96"/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Os cinco principais setores do agronegócio no período foram: complexo soja, com participação de 41,5% das exportações; carnes, com 15,2%; complexo sucroalcooleiro, com 12,2%; produtos florestais, com 11,3%; e o setor cafeeiro, com participação de 5,5%.  Em conjunto, as vendas externas dos cinco setores mencionados participaram com 85,6% do total exportado pelo agronegócio brasileiro no primeiro semestre de 2017.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 xml:space="preserve">As vendas externas do complexo soja chegaram ao valor de US$ 19,96 bilhões no período em destaque, com expansão de 15,9% em comparação aos números de janeiro a junho de 2016 ou, em valores absolutos, US$ 2,73 bilhões. Tal incremento foi causado tanto pelo crescimento da quantidade comercializada (+9,7%), quanto pelo </w:t>
      </w:r>
      <w:r w:rsidRPr="00A93D6A">
        <w:rPr>
          <w:rFonts w:ascii="Arial" w:hAnsi="Arial" w:cs="Arial"/>
          <w:sz w:val="20"/>
          <w:szCs w:val="20"/>
        </w:rPr>
        <w:lastRenderedPageBreak/>
        <w:t>aumento do preço médio dos produtos do setor no período analisado (+5,6%). O principal item exportado continua sendo a soja em grãos, com exportações recordes para o primeiro semestre tanto em valor (US$ 16,67 bilhões) como em quantidade (43,99 milhões de toneladas). O farelo de soja contribuiu com US$ 2,72 bilhões em vendas (-4,7%) e 7,61 milhões de toneladas comercializadas (-9,9%), com o preço médio crescendo 5,8% no período. As exportações de óleo de soja totalizaram US$ 570,80 milhões (+18,6%) com 748,59 mil toneladas embarcadas (+8,2%).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O segundo setor em valor exportado foi o setor de carnes, com vendas externas de US$ 7,31 bilhões (+4,7%).  A quantidade exportada caiu 6,2%, totalizando 3,23 milhões de toneladas, enquanto o preço médio de suas mercadorias cresceu 11,6%. Com 48,3% das vendas do setor, o principal item negociado foi a carne de frango. Mesmo com a retração de 6,6% na quantidade comercializada nesse primeiro semestre, o aumento de 13,3% no preço médio influenciou positivamente a receita de exportação, que passou de US$ 3,34 bilhões para 3,53 bilhões (+5,8%). As exportações de carne bovina, por sua vez, decresceram 3,4%, passando de US$ 2,73 bilhões entre janeiro e junho de 2016 para US$ 2,63 bilhões nos primeiros seis meses de 2017. Tal queda foi resultado da diminuição dos embarques do produto (-8,5%), uma vez que a cotação média da carne bovina no mercado internacional apresentou incremento no período (+5,6%). Como destaque do setor, as exportações de carne suína in natura alcançaram cifra recorde para os primeiros seis meses do ano, com US$ 740,24 milhões (+29,0%). Já as vendas externas de carne de peru totalizaram US$ 150,25 milhões (+6,6%).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 xml:space="preserve">O complexo sucroalcooleiro ficou na terceira colocação entre os principais setores do agronegócio brasileiro em valor exportado entre janeiro e junho de 2017, com a cifra de US$ 5,88 bilhões (+32,0%) e 13,26 milhões de toneladas negociadas (-0,9%). O açúcar foi o principal item negociado pelo setor, com 93,8% das vendas, alcançando o montante de US$ 5,51 bilhões (+40,4%). Em quantidade, houve incremento de 2,2% no período, totalizando 12,78 milhões de toneladas comercializadas. A cotação do produto no mercado internacional também aumentou, passando de US$ 314 por tonelada para US$ 431 por tonelada (+37,3%). Vale ressaltar que as vendas de açúcar de cana em bruto alcançaram números recordes para o primeiro semestre, com o valor de US$ 4,29 bilhões (+36,4%).  Já as exportações de álcool atingiram a cifra de US$ 358,13 milhões (-31,1%), para um total de 470,94 mil toneladas embarcadas (-45,6%) entre janeiro e junho de 2017. 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Os produtos florestais foram a quarta principal fonte de receita de exportação do agronegócio brasileiro entre janeiro e junho de 2017, com vendas de US$ 5,44 bilhões (+8,4%). O principal item negociado foi a celulose, cujas exportações atingiram números recordes para o primeiro semestre do ano, tanto em valor (US$ 3,01 bilhões) quanto em quantidade (7,10 milhões de toneladas). Em seguida, destacaram-se as exportações de madeiras e suas obras, com a cifra de US$ 1,49 bilhão (+12,9%), e as vendas externas de papel, que totalizaram US$ 929,74 milhões no semestre (-1,6%).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O quinto principal setor exportador do agronegócio brasileiro nos seis primeiros meses de 2017 foi o setor cafeeiro, com vendas externas de US$ 2,63 bilhões (+9,8%). O café verde foi o principal produto negociado no semestre, com o valor de US$ 2,30 bilhões ou 87,5% das vendas totais do setor. O incremento de 9,0% na receita de exportação foi causado pela maior cotação do café verde</w:t>
      </w:r>
      <w:r w:rsidR="00E4284B">
        <w:rPr>
          <w:rFonts w:ascii="Arial" w:hAnsi="Arial" w:cs="Arial"/>
          <w:sz w:val="20"/>
          <w:szCs w:val="20"/>
        </w:rPr>
        <w:t xml:space="preserve"> brasileiro</w:t>
      </w:r>
      <w:r w:rsidRPr="00A93D6A">
        <w:rPr>
          <w:rFonts w:ascii="Arial" w:hAnsi="Arial" w:cs="Arial"/>
          <w:sz w:val="20"/>
          <w:szCs w:val="20"/>
        </w:rPr>
        <w:t xml:space="preserve"> no mercado internacional, que cresceu 17,1% no período. Enquanto isso, o volume comercializado do produto diminuiu 7,0%, alcançando 803,45 mil toneladas. Em seguida destacou-se a exportação de café solúvel, com a cifra de US$ 288,98 milhões (+12,7%).</w:t>
      </w:r>
    </w:p>
    <w:p w:rsidR="0014766D" w:rsidRPr="00A93D6A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</w:p>
    <w:p w:rsidR="0014766D" w:rsidRPr="00E879AF" w:rsidRDefault="0014766D" w:rsidP="0014766D">
      <w:pPr>
        <w:pStyle w:val="Recuodecorpodetexto"/>
        <w:rPr>
          <w:rFonts w:ascii="Arial" w:hAnsi="Arial" w:cs="Arial"/>
          <w:sz w:val="20"/>
          <w:szCs w:val="20"/>
        </w:rPr>
      </w:pPr>
      <w:r w:rsidRPr="00A93D6A">
        <w:rPr>
          <w:rFonts w:ascii="Arial" w:hAnsi="Arial" w:cs="Arial"/>
          <w:sz w:val="20"/>
          <w:szCs w:val="20"/>
        </w:rPr>
        <w:t>No que se refere às importações de produtos do agronegócio, alcançou-se a soma de US$ 7,30 bilhões nos seis primeiros meses de 2017. Os principais produtos adquiridos no período foram: pescados (US$ 741,08 milhões e +25,7%); trigo (US$ 567,54 milhões e +5,9%); papel (US$ 395,85 milhões e +12,4%); lácteos (US$ 334,19 milhões e +24,4%); borracha natural (US$ 198,93 milhões e +47,2%); malte (US$ 193,24 milhões e +13,5%); e óleo de dendê ou de palma (US$ 193,02 milhões e +51,0%).</w:t>
      </w:r>
    </w:p>
    <w:p w:rsidR="007051B7" w:rsidRDefault="007051B7" w:rsidP="004D17C2">
      <w:pPr>
        <w:jc w:val="both"/>
        <w:rPr>
          <w:rFonts w:ascii="Arial" w:hAnsi="Arial" w:cs="Arial"/>
          <w:sz w:val="20"/>
          <w:szCs w:val="20"/>
        </w:rPr>
      </w:pPr>
    </w:p>
    <w:p w:rsidR="007051B7" w:rsidRDefault="007051B7" w:rsidP="004D17C2">
      <w:pPr>
        <w:jc w:val="both"/>
        <w:rPr>
          <w:rFonts w:ascii="Arial" w:hAnsi="Arial" w:cs="Arial"/>
          <w:sz w:val="20"/>
          <w:szCs w:val="20"/>
        </w:rPr>
      </w:pPr>
    </w:p>
    <w:p w:rsidR="001654D4" w:rsidRDefault="001654D4" w:rsidP="004D17C2">
      <w:pPr>
        <w:jc w:val="both"/>
        <w:rPr>
          <w:rFonts w:ascii="Arial" w:hAnsi="Arial" w:cs="Arial"/>
          <w:sz w:val="20"/>
          <w:szCs w:val="20"/>
        </w:rPr>
      </w:pPr>
    </w:p>
    <w:p w:rsidR="0021787B" w:rsidRDefault="0021787B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Pr="004D17C2" w:rsidRDefault="00FB6AD2" w:rsidP="004D17C2">
      <w:pPr>
        <w:jc w:val="both"/>
        <w:rPr>
          <w:rFonts w:ascii="Arial" w:hAnsi="Arial" w:cs="Arial"/>
          <w:sz w:val="20"/>
          <w:szCs w:val="20"/>
        </w:rPr>
      </w:pPr>
      <w:r w:rsidRPr="00FB6AD2">
        <w:rPr>
          <w:noProof/>
        </w:rPr>
        <w:lastRenderedPageBreak/>
        <w:drawing>
          <wp:inline distT="0" distB="0" distL="0" distR="0" wp14:anchorId="1EDE5E36" wp14:editId="2D0786E9">
            <wp:extent cx="6480175" cy="385508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Pr="007C78C4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4D17C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4D17C2">
        <w:rPr>
          <w:rFonts w:ascii="Arial" w:hAnsi="Arial" w:cs="Arial"/>
          <w:sz w:val="20"/>
          <w:szCs w:val="20"/>
        </w:rPr>
        <w:t>II.b</w:t>
      </w:r>
      <w:proofErr w:type="spellEnd"/>
      <w:r w:rsidRPr="004D17C2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2765C2" w:rsidRDefault="002765C2" w:rsidP="002765C2"/>
    <w:p w:rsidR="00531E2F" w:rsidRDefault="00531E2F" w:rsidP="00531E2F">
      <w:pPr>
        <w:pStyle w:val="Recuodecorpodetexto"/>
        <w:rPr>
          <w:rFonts w:ascii="Arial" w:hAnsi="Arial" w:cs="Arial"/>
          <w:sz w:val="20"/>
          <w:szCs w:val="20"/>
        </w:rPr>
      </w:pPr>
      <w:r w:rsidRPr="00531E2F">
        <w:rPr>
          <w:rFonts w:ascii="Arial" w:hAnsi="Arial" w:cs="Arial"/>
          <w:sz w:val="20"/>
          <w:szCs w:val="20"/>
        </w:rPr>
        <w:t>A Ásia aumentou a sua participação nas exportações brasileiras do agronegócio, atingindo praticamente a metade do valor exportado pelo Brasil em produtos do agronegócio nesse primeiro semestre de 2017. As vendas para esse continente subiram de US$ 21,88 bilhões no primeiro semestre de 2016 para US$ 23,70 bilhões no primeiro semestre de 2017 (+8,3%). A China sozinha foi responsável por dois terços do total importado pela Ásia em produtos do agronegócio brasileiro.</w:t>
      </w:r>
    </w:p>
    <w:p w:rsidR="00531E2F" w:rsidRPr="00531E2F" w:rsidRDefault="00531E2F" w:rsidP="00531E2F">
      <w:pPr>
        <w:pStyle w:val="Recuodecorpodetexto"/>
        <w:rPr>
          <w:rFonts w:ascii="Arial" w:hAnsi="Arial" w:cs="Arial"/>
          <w:sz w:val="20"/>
          <w:szCs w:val="20"/>
        </w:rPr>
      </w:pPr>
    </w:p>
    <w:p w:rsidR="00531E2F" w:rsidRDefault="00531E2F" w:rsidP="00531E2F">
      <w:pPr>
        <w:pStyle w:val="Recuodecorpodetexto"/>
        <w:rPr>
          <w:rFonts w:ascii="Arial" w:hAnsi="Arial" w:cs="Arial"/>
          <w:sz w:val="20"/>
          <w:szCs w:val="20"/>
        </w:rPr>
      </w:pPr>
      <w:r w:rsidRPr="00531E2F">
        <w:rPr>
          <w:rFonts w:ascii="Arial" w:hAnsi="Arial" w:cs="Arial"/>
          <w:sz w:val="20"/>
          <w:szCs w:val="20"/>
        </w:rPr>
        <w:t xml:space="preserve">A União Europeia continua na segunda posição como principal parceira do agronegócio brasileiro, embora as vendas para o bloco tenham declinado 6,0%. As exportações para o bloco passaram de US$ 8,73 bilhões no primeiro semestre de 2016 para US$ 8,20 bilhões no primeiro semestre de 2017. Com a queda das exportações, a participação da União Europeia passou de 19,4% para 17,0% no período em análise. </w:t>
      </w:r>
    </w:p>
    <w:p w:rsidR="00531E2F" w:rsidRPr="00531E2F" w:rsidRDefault="00531E2F" w:rsidP="00531E2F">
      <w:pPr>
        <w:pStyle w:val="Recuodecorpodetexto"/>
        <w:rPr>
          <w:rFonts w:ascii="Arial" w:hAnsi="Arial" w:cs="Arial"/>
          <w:sz w:val="20"/>
          <w:szCs w:val="20"/>
        </w:rPr>
      </w:pPr>
    </w:p>
    <w:p w:rsidR="00531E2F" w:rsidRPr="00531E2F" w:rsidRDefault="00531E2F" w:rsidP="00531E2F">
      <w:pPr>
        <w:pStyle w:val="Recuodecorpodetexto"/>
        <w:rPr>
          <w:rFonts w:ascii="Arial" w:hAnsi="Arial" w:cs="Arial"/>
          <w:sz w:val="20"/>
          <w:szCs w:val="20"/>
        </w:rPr>
      </w:pPr>
      <w:r w:rsidRPr="00531E2F">
        <w:rPr>
          <w:rFonts w:ascii="Arial" w:hAnsi="Arial" w:cs="Arial"/>
          <w:sz w:val="20"/>
          <w:szCs w:val="20"/>
        </w:rPr>
        <w:t>Merece destaque no semestre o desempenho de duas regiões: Oriente Médio e África. O Oriente Médio aumentou as aquisições de US$ 3,55 bilhões entre janeiro e junho de 2016 para US$ 4,28 bilhões entre janeiro e junho de 2017. Com tal expansão, a participação do Oriente Médio aumentou de 7,9% no primeiro semestre de 2016 para 8,9% no primeiro semestre de 2017. A África, por sua vez, expandiu as aquisições de US$ 2,63 bilhões entre janeiro e junho de 2016 para US$ 3,17 bilhões entre janeiro e junho de 2017 (+20,4%). O crescimento das exportações à África aumentou a participação do continente africano de 5,8% para 6,6% entre o primeiro semestre de 2016 e o primeiro semestre de 2017.</w:t>
      </w:r>
    </w:p>
    <w:p w:rsidR="002765C2" w:rsidRPr="002765C2" w:rsidRDefault="002765C2" w:rsidP="002765C2"/>
    <w:p w:rsidR="00067C72" w:rsidRDefault="00067C72" w:rsidP="00067C72"/>
    <w:p w:rsidR="003A47B8" w:rsidRPr="004D17C2" w:rsidRDefault="00FB6AD2" w:rsidP="004D17C2">
      <w:pPr>
        <w:jc w:val="both"/>
        <w:rPr>
          <w:rFonts w:ascii="Arial" w:hAnsi="Arial" w:cs="Arial"/>
          <w:sz w:val="20"/>
          <w:szCs w:val="20"/>
        </w:rPr>
      </w:pPr>
      <w:r w:rsidRPr="00FB6AD2">
        <w:rPr>
          <w:noProof/>
        </w:rPr>
        <w:lastRenderedPageBreak/>
        <w:drawing>
          <wp:inline distT="0" distB="0" distL="0" distR="0" wp14:anchorId="15759830" wp14:editId="702FAA29">
            <wp:extent cx="6480175" cy="234823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AF" w:rsidRDefault="00E04FAF" w:rsidP="0022533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17C96" w:rsidRDefault="001F03E4" w:rsidP="0022533F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224F9" w:rsidRDefault="00917C96" w:rsidP="00A224F9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224F9" w:rsidRDefault="00A224F9" w:rsidP="00A224F9"/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primeiro semestre de 2017, a China foi responsável por importar praticamente um terço das exportações de produtos agropecuários brasileiros. As aquisições desse país asiático subiram de US$ 13,56 bilhões no primeiro semestre de 2016 para US$ 15,88 bilhões em igual intervalo de 2017, o que significou um crescimento de 17,1%, superior, portanto, à elevação de 7,0% das exportações do agronegócio brasileiro no período. Com efeito, a participação chinesa subiu 1,9 ponto percentual no período de análise, chegando a 33,0%. </w:t>
      </w: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para a China são concentradas em um único produto do complexo soja: a soja em grão. Nesse primeiro semestre de 2017, foram exportados para a China US$ 12,93 bilhões em soja em grão (+22,0%), cifra que representou 81,4% do valor total exportado para o país asiático (US$ 15,88 bilhões). No primeiro semestre de 2016, as exportações de soja em grão participaram com 78,1% das exportações do agronegócio à China. </w:t>
      </w: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Alguns outros países apresentaram expansão das importações de produtos do agronegócio brasileiro na casa de dois dígitos. Foram eles, por ordem de valor das exportações: Irã (US$ 1,24 bilhão; +40,6%); Rússia (US$ 1,19 bilhão; +20,1%); Espanha (US$ 929,86 milhões; +15,6%); Tailândia (US$ 908,87 milhões; +24,4%); Índia (US$ 813,45 milhões; +31,2%); Emirados Árabes Unidos (US$ 701,89 milhões; +35,9%); Argélia (US$ 668,24 milhões; +32,6%); Argentina (US$ 660,33 milhões; +15,3%); e Bangladesh (US$ 608,93 milhões; +35,8%). </w:t>
      </w: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</w:p>
    <w:p w:rsidR="005F69F8" w:rsidRDefault="005F69F8" w:rsidP="005F69F8">
      <w:pPr>
        <w:pStyle w:val="Recuode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vinte principais mercados importadores de produtos do agronegócio brasileiro são apresentados na Tabela 6, abaixo. Esses países foram responsáveis, em conjunto, por 75,9% das aquisições de produtos do agronegócio brasileiro nesse primeiro semestre de 2017. Uma participação 1,4 ponto percentual superior à participação dos mesmos mercados no primeiro semestre de 2016. Ou seja, na análise do período houve concentração das exportações brasileiras do agronegócio dentre os vinte principais mercados importadores. </w:t>
      </w:r>
    </w:p>
    <w:p w:rsidR="005F69F8" w:rsidRDefault="005F69F8" w:rsidP="005F69F8">
      <w:pPr>
        <w:jc w:val="both"/>
        <w:rPr>
          <w:rFonts w:ascii="Arial" w:hAnsi="Arial" w:cs="Arial"/>
          <w:sz w:val="20"/>
          <w:szCs w:val="20"/>
        </w:rPr>
      </w:pPr>
    </w:p>
    <w:p w:rsidR="005F69F8" w:rsidRDefault="005F69F8" w:rsidP="00531E2F">
      <w:pPr>
        <w:pStyle w:val="Recuodecorpodetexto"/>
        <w:rPr>
          <w:rFonts w:ascii="Arial" w:hAnsi="Arial" w:cs="Arial"/>
          <w:sz w:val="20"/>
          <w:szCs w:val="20"/>
        </w:rPr>
      </w:pPr>
    </w:p>
    <w:p w:rsidR="00A7699A" w:rsidRPr="00561A9B" w:rsidRDefault="00A7699A" w:rsidP="00561A9B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22533F" w:rsidRPr="0022533F" w:rsidRDefault="00FB6AD2" w:rsidP="0022533F">
      <w:r w:rsidRPr="00FB6AD2">
        <w:rPr>
          <w:noProof/>
        </w:rPr>
        <w:lastRenderedPageBreak/>
        <w:drawing>
          <wp:inline distT="0" distB="0" distL="0" distR="0" wp14:anchorId="70CD5750" wp14:editId="2881FF5E">
            <wp:extent cx="6480175" cy="3879215"/>
            <wp:effectExtent l="0" t="0" r="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Default="00917C96" w:rsidP="00917C96"/>
    <w:p w:rsidR="007321B4" w:rsidRDefault="007321B4" w:rsidP="00917C96"/>
    <w:p w:rsidR="00917C96" w:rsidRDefault="00917C96" w:rsidP="00C748F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bookmarkEnd w:id="1"/>
    <w:p w:rsidR="00CA1DF3" w:rsidRDefault="00CA1D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87B02" w:rsidRDefault="00CE04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094EAB">
        <w:rPr>
          <w:rFonts w:ascii="Arial" w:hAnsi="Arial" w:cs="Arial"/>
          <w:b/>
          <w:sz w:val="20"/>
          <w:szCs w:val="20"/>
        </w:rPr>
        <w:t>I – Resultados de J</w:t>
      </w:r>
      <w:r w:rsidR="00FB6AD2">
        <w:rPr>
          <w:rFonts w:ascii="Arial" w:hAnsi="Arial" w:cs="Arial"/>
          <w:b/>
          <w:sz w:val="20"/>
          <w:szCs w:val="20"/>
        </w:rPr>
        <w:t>ulho</w:t>
      </w:r>
      <w:r w:rsidR="004215B4">
        <w:rPr>
          <w:rFonts w:ascii="Arial" w:hAnsi="Arial" w:cs="Arial"/>
          <w:b/>
          <w:sz w:val="20"/>
          <w:szCs w:val="20"/>
        </w:rPr>
        <w:t xml:space="preserve"> de 2016</w:t>
      </w:r>
      <w:r w:rsidR="00C87B02" w:rsidRPr="005211A7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FB6AD2">
        <w:rPr>
          <w:rFonts w:ascii="Arial" w:hAnsi="Arial" w:cs="Arial"/>
          <w:b/>
          <w:sz w:val="20"/>
          <w:szCs w:val="20"/>
        </w:rPr>
        <w:t>Junho</w:t>
      </w:r>
      <w:proofErr w:type="gramEnd"/>
      <w:r w:rsidR="004215B4">
        <w:rPr>
          <w:rFonts w:ascii="Arial" w:hAnsi="Arial" w:cs="Arial"/>
          <w:b/>
          <w:sz w:val="20"/>
          <w:szCs w:val="20"/>
        </w:rPr>
        <w:t xml:space="preserve"> de 2017</w:t>
      </w:r>
      <w:r w:rsidR="006843BB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1E649C" w:rsidRDefault="001E64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Nos últimos doze meses as exportações brasileiras do agronegócio totalizaram US$ 88,07 bilhões, recuando 2,1% sobre os doze meses anteriores (julho/2015 a junho/2016). No mesmo período, as importações atingiram US$ 14,83 bilhões, significando acréscimo de 22,5%. Como resultado, o saldo comercial caiu de US$ 77,86 bilhões para US$ 73,23 bilhões no período comparativo em análise.</w:t>
      </w:r>
    </w:p>
    <w:p w:rsidR="00A16A28" w:rsidRDefault="00A16A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D25C3" w:rsidRDefault="00ED25C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6A28" w:rsidRDefault="00A16A28" w:rsidP="00A16A2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16A28" w:rsidRDefault="00A16A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696EFB" w:rsidRDefault="00696E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Os cinco principais setores da pauta da exportação agrícola brasileira registrada nos últimos doze meses ampliaram sua participação sobre o total exportado, comparado a período imediatamente anterior (julho/2015 a junho/2016), passando de 78,0% para 81,6%. No conjunto, as exportações do complexo soja, carnes, complexo sucroalcooleiro, produtos florestais e café somaram US$ 71,82 bilhões nos últimos doze meses.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As vendas do complexo soja lideraram a pauta, contabilizando exportações de US$ 28,15 bilhões nos últimos doze meses. Não obstante a liderança do setor, as vendas recuaram 3,6%, reflexo, sobretudo, da redução no volume embarcado dos três produtos: soja em grão (-8,1%), farelo de soja (-6,0%) e óleo de soja (-14,6%). O aumento do preço médio de exportação de todos esses produtos (+4,9% em média) não foi suficiente para compensar as perdas no quantum.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As vendas de carnes, segundo setor mais relevante da pauta, atingiram US$ 14,54 bilhões e registraram queda de 1,5% sobre o período anterior. A composição do setor mostrou na liderança as vendas de carne de frango (US$ 6,95 bilhões), seguidas por carne bovina (US$ 5,25 bilhões), carne suína (US$ 1,65 bilhão) e carne de peru (US$ 338,87 milhões). Cabe ressaltar o desempenho das exportações de carne suína in natura, que alcançaram a cifra recorde de US$ 1,52 bilhão (+21,9%).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Já as exportações do complexo sucroalcooleiro registraram acréscimo de 39,7%, passando de US$ 9,14 para US$ 12,77 bilhões. O aumento de 34,4% no preço médio do açúcar impulsionou essas vendas, aliado ao avanço de 11,6% no volume exportado. As exportações de álcool atenuaram o crescimento do setor, em função da queda de 46,0% nos últimos doze meses, caindo de 1,92 milhão de toneladas para 1,04 milhão de toneladas.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lastRenderedPageBreak/>
        <w:t>Na quarta colocação, o setor que engloba os produtos florestais registrou exportações de US$ 10,66 bilhões nos últimos doze meses, cifra 2,6% acima do resultado do período anterior. As vendas de celulose, produto de maior destaque no setor, somaram o montante recorde de US$ 5,84 bilhões (aumento de 1,2% em valor e 8,3% em quantidade). Madeiras e suas obras somaram vendas externas de US$ 2,96 bilhões, decorrente de aumento de 12,5% em valor no período (+16,5% em quantidade e -3,5% em preço), enquanto as vendas de papel recuaram 6,1% em valor (-1,5% em quantidade e -4,6% em preço), caindo para US$ 1,86 bilhão.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As exportações de café foram de US$ 5,71 bilhões nos últimos doze meses. As vendas de café verde, item de maior expressão do setor, registraram crescimento de 4,6% no período (-7,8% em quantidade e +13,5% no preço), retraindo para US$ 5,03 bilhões.</w:t>
      </w: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</w:p>
    <w:p w:rsidR="00ED25C3" w:rsidRPr="00ED25C3" w:rsidRDefault="00ED25C3" w:rsidP="00ED25C3">
      <w:pPr>
        <w:pStyle w:val="Recuodecorpodetexto"/>
        <w:rPr>
          <w:rFonts w:ascii="Arial" w:hAnsi="Arial" w:cs="Arial"/>
          <w:sz w:val="20"/>
          <w:szCs w:val="20"/>
        </w:rPr>
      </w:pPr>
      <w:r w:rsidRPr="00ED25C3">
        <w:rPr>
          <w:rFonts w:ascii="Arial" w:hAnsi="Arial" w:cs="Arial"/>
          <w:sz w:val="20"/>
          <w:szCs w:val="20"/>
        </w:rPr>
        <w:t>Em relação às importações, a pauta foi liderada por cereais, farinhas e preparações, cujas compras somaram US$ 3,38 bilhões nos últimos doze meses. As aquisições de trigo (principal produto do setor) somaram US$ 1,37 bilhão no período, com acréscimo de 21,0% (+31,8% em quantidade e -8,2% no preço).  Cabe destacar, ainda, as aquisições de produtos florestais somaram US$ 1,51 bilhão nos últimos doze meses, aumento de 0,1% sobre o valor do período anterior. As importações de pescados totalizaram US$ 1,31 bilhão (+21,3%), enquanto as de produtos oleaginosos e lácteos foram de US$ 936,66 milhões (+31,7%) e US$ 723,98 milhões (+53,6%), respectivamente.</w:t>
      </w:r>
    </w:p>
    <w:p w:rsidR="001E649C" w:rsidRDefault="001E649C" w:rsidP="001E649C"/>
    <w:p w:rsidR="00D4012C" w:rsidRPr="007C78C4" w:rsidRDefault="00FB6AD2" w:rsidP="006843B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FB6AD2">
        <w:rPr>
          <w:noProof/>
        </w:rPr>
        <w:drawing>
          <wp:inline distT="0" distB="0" distL="0" distR="0" wp14:anchorId="7F87CB16" wp14:editId="3EC7845C">
            <wp:extent cx="6480175" cy="385508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9C" w:rsidRDefault="001E649C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16A28" w:rsidRDefault="00A16A28" w:rsidP="00A16A28"/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>A Ásia reduziu a sua participação nas exportações brasileiras do agronegócio de 45,2% para 44,5% na comparação dos últimos doze meses. As vendas para esse continente caíram de US$ 40,66 bilhões entre julho de 2015 e junho de 2016 para US$ 39,22 bilhões entre julho de 2016 e junho de 2017. Uma diminuição de 3,6% nas vendas externas.</w:t>
      </w: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</w:p>
    <w:p w:rsid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 xml:space="preserve">A União Europeia também reduziu as aquisições de produtos do agronegócio brasileiro nos últimos doze meses, passando de US$ 17,79 bilhões entre julho de 2015 e junho de 2016 para US$ 16,15 bilhões entre julho de 2016 e junho de 2017 (-9,2%). A queda das exportações para o bloco diminuiu a participação relativa do bloco de 19,8% para 18,3%. </w:t>
      </w: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 xml:space="preserve">O Oriente Médio foi a região com maior elevação nas importações de produtos do agronegócio brasileiro no período em análise. As compras da região subiram de US$ 7,39 bilhões entre julho de 2015 e junho de 2016 para US$ 8,60 bilhões entre julho de 2016 e junho de 2017 (+16,4). Esse aumento possibilitou um incremento da participação relativa da região, que subiu 1,6 ponto percentual, passando de 8,2% para 9,8%. Essas estatísticas se encontram na Tabela 8 desta nova. </w:t>
      </w:r>
    </w:p>
    <w:p w:rsidR="001D51EE" w:rsidRDefault="001D51EE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E649C" w:rsidRPr="006029F1" w:rsidRDefault="00FB6AD2" w:rsidP="002F2AA2">
      <w:pPr>
        <w:pStyle w:val="Recuodecorpodetexto"/>
        <w:ind w:firstLine="0"/>
      </w:pPr>
      <w:r w:rsidRPr="00FB6AD2">
        <w:rPr>
          <w:noProof/>
        </w:rPr>
        <w:lastRenderedPageBreak/>
        <w:drawing>
          <wp:inline distT="0" distB="0" distL="0" distR="0" wp14:anchorId="2532AB33" wp14:editId="1520B98E">
            <wp:extent cx="6480175" cy="234823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696EFB" w:rsidRDefault="00696EFB" w:rsidP="00696EFB"/>
    <w:p w:rsid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>Nos últimos doze meses, a China importou US$ 23,15 bilhões em produtos agropecuários brasileiros (+0,2%). Essa cifra representou 26,3% dos US$ 88,07 bilhões exportados pelo Brasil em produtos do agronegócio. Um aumento de 0,7 pontos percentuais na participação do país asiático.</w:t>
      </w: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</w:p>
    <w:p w:rsid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 xml:space="preserve">Alguns países apresentaram expansão que merecem destaque. Foram eles: Irã (US$ 2,49 bilhões; +39,4%); Índia (US$ 1,68 bilhão; +22,2%); Indonésia (US$ 1,57 bilhão; +13,2%); e Emirados Árabes Unidos (US$ 1,56 bilhão; +30,4%). </w:t>
      </w: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</w:p>
    <w:p w:rsidR="00E04FAF" w:rsidRPr="00E04FAF" w:rsidRDefault="00E04FAF" w:rsidP="00E04FAF">
      <w:pPr>
        <w:pStyle w:val="Recuodecorpodetexto"/>
        <w:rPr>
          <w:rFonts w:ascii="Arial" w:hAnsi="Arial" w:cs="Arial"/>
          <w:sz w:val="20"/>
          <w:szCs w:val="20"/>
        </w:rPr>
      </w:pPr>
      <w:r w:rsidRPr="00E04FAF">
        <w:rPr>
          <w:rFonts w:ascii="Arial" w:hAnsi="Arial" w:cs="Arial"/>
          <w:sz w:val="20"/>
          <w:szCs w:val="20"/>
        </w:rPr>
        <w:t xml:space="preserve">Os vinte principais mercados importadores de produtos do agronegócio brasileiro são apresentados na Tabela 9, abaixo. Esses países foram responsáveis, em conjunto, por 73,1% das aquisições de produtos do agronegócio brasileiro nesse primeiro semestre de 2017. Uma participação 0,2 ponto percentual superior à participação dos mesmos mercados no primeiro semestre de 2016. Ou seja, na análise do período houve ligeira concentração das exportações brasileiras do agronegócio entre os vinte principais mercados importadores. </w:t>
      </w:r>
    </w:p>
    <w:p w:rsidR="00E04FAF" w:rsidRDefault="00E04FAF" w:rsidP="00696EFB"/>
    <w:p w:rsidR="00696EFB" w:rsidRPr="00696EFB" w:rsidRDefault="00696EFB" w:rsidP="00696EFB"/>
    <w:p w:rsidR="001E649C" w:rsidRDefault="00FB6AD2" w:rsidP="001E649C">
      <w:r w:rsidRPr="00FB6AD2">
        <w:rPr>
          <w:noProof/>
        </w:rPr>
        <w:drawing>
          <wp:inline distT="0" distB="0" distL="0" distR="0" wp14:anchorId="0B8ACD19" wp14:editId="71AE0073">
            <wp:extent cx="6480175" cy="3879215"/>
            <wp:effectExtent l="0" t="0" r="0" b="698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B4" w:rsidRDefault="004215B4" w:rsidP="007D7D4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FB6AD2">
        <w:rPr>
          <w:rFonts w:ascii="Arial" w:hAnsi="Arial" w:cs="Arial"/>
          <w:sz w:val="20"/>
          <w:szCs w:val="20"/>
        </w:rPr>
        <w:t>07/07</w:t>
      </w:r>
      <w:r w:rsidR="004215B4">
        <w:rPr>
          <w:rFonts w:ascii="Arial" w:hAnsi="Arial" w:cs="Arial"/>
          <w:sz w:val="20"/>
          <w:szCs w:val="20"/>
        </w:rPr>
        <w:t>/2017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86" w:rsidRDefault="00F35186">
      <w:r>
        <w:separator/>
      </w:r>
    </w:p>
  </w:endnote>
  <w:endnote w:type="continuationSeparator" w:id="0">
    <w:p w:rsidR="00F35186" w:rsidRDefault="00F3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5F69F8">
      <w:rPr>
        <w:rStyle w:val="Nmerodepgina"/>
        <w:rFonts w:ascii="Arial" w:hAnsi="Arial" w:cs="Arial"/>
        <w:noProof/>
        <w:sz w:val="16"/>
        <w:szCs w:val="16"/>
      </w:rPr>
      <w:t>11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86" w:rsidRDefault="00F35186">
      <w:r>
        <w:separator/>
      </w:r>
    </w:p>
  </w:footnote>
  <w:footnote w:type="continuationSeparator" w:id="0">
    <w:p w:rsidR="00F35186" w:rsidRDefault="00F3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903"/>
    <w:rsid w:val="00006103"/>
    <w:rsid w:val="00006262"/>
    <w:rsid w:val="00006ECB"/>
    <w:rsid w:val="00007083"/>
    <w:rsid w:val="00007D32"/>
    <w:rsid w:val="00010A70"/>
    <w:rsid w:val="00013C10"/>
    <w:rsid w:val="0001553F"/>
    <w:rsid w:val="000166CF"/>
    <w:rsid w:val="00017D67"/>
    <w:rsid w:val="00017F9E"/>
    <w:rsid w:val="00024620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7101"/>
    <w:rsid w:val="00047F65"/>
    <w:rsid w:val="00053736"/>
    <w:rsid w:val="000542D8"/>
    <w:rsid w:val="00057E53"/>
    <w:rsid w:val="00060DB6"/>
    <w:rsid w:val="00060E48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4FEC"/>
    <w:rsid w:val="000754DD"/>
    <w:rsid w:val="00076763"/>
    <w:rsid w:val="000777E6"/>
    <w:rsid w:val="000838F3"/>
    <w:rsid w:val="0008675A"/>
    <w:rsid w:val="00086BE6"/>
    <w:rsid w:val="00087349"/>
    <w:rsid w:val="00091B8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AEB"/>
    <w:rsid w:val="000A0879"/>
    <w:rsid w:val="000A0E3C"/>
    <w:rsid w:val="000A14AC"/>
    <w:rsid w:val="000A16C5"/>
    <w:rsid w:val="000A3C7F"/>
    <w:rsid w:val="000A412F"/>
    <w:rsid w:val="000A58CA"/>
    <w:rsid w:val="000A6462"/>
    <w:rsid w:val="000A6B29"/>
    <w:rsid w:val="000B1245"/>
    <w:rsid w:val="000B2CCF"/>
    <w:rsid w:val="000B4CB7"/>
    <w:rsid w:val="000B617B"/>
    <w:rsid w:val="000B6F56"/>
    <w:rsid w:val="000B778B"/>
    <w:rsid w:val="000C0B2D"/>
    <w:rsid w:val="000C101E"/>
    <w:rsid w:val="000C1354"/>
    <w:rsid w:val="000C4CA1"/>
    <w:rsid w:val="000C4E0B"/>
    <w:rsid w:val="000C5899"/>
    <w:rsid w:val="000C5BC6"/>
    <w:rsid w:val="000C64AB"/>
    <w:rsid w:val="000C6B89"/>
    <w:rsid w:val="000D0A1C"/>
    <w:rsid w:val="000D0A49"/>
    <w:rsid w:val="000D26FA"/>
    <w:rsid w:val="000D279E"/>
    <w:rsid w:val="000D39E2"/>
    <w:rsid w:val="000D4068"/>
    <w:rsid w:val="000D5591"/>
    <w:rsid w:val="000D5BE5"/>
    <w:rsid w:val="000E03A7"/>
    <w:rsid w:val="000E1F98"/>
    <w:rsid w:val="000E33C3"/>
    <w:rsid w:val="000E398E"/>
    <w:rsid w:val="000E39A2"/>
    <w:rsid w:val="000E3FFC"/>
    <w:rsid w:val="000E4AF7"/>
    <w:rsid w:val="000E4D0B"/>
    <w:rsid w:val="000E7667"/>
    <w:rsid w:val="000E7821"/>
    <w:rsid w:val="000F20EC"/>
    <w:rsid w:val="000F3A73"/>
    <w:rsid w:val="000F4768"/>
    <w:rsid w:val="000F5D88"/>
    <w:rsid w:val="000F67E1"/>
    <w:rsid w:val="000F6FB8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143D"/>
    <w:rsid w:val="001120A0"/>
    <w:rsid w:val="0011278C"/>
    <w:rsid w:val="00112CB5"/>
    <w:rsid w:val="0011359A"/>
    <w:rsid w:val="001145E1"/>
    <w:rsid w:val="001148DB"/>
    <w:rsid w:val="00116244"/>
    <w:rsid w:val="00116DF6"/>
    <w:rsid w:val="001172F2"/>
    <w:rsid w:val="00120C53"/>
    <w:rsid w:val="001214F0"/>
    <w:rsid w:val="00121674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5405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5012C"/>
    <w:rsid w:val="00150D5F"/>
    <w:rsid w:val="00151988"/>
    <w:rsid w:val="00153702"/>
    <w:rsid w:val="00155044"/>
    <w:rsid w:val="001553E1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7C36"/>
    <w:rsid w:val="00180987"/>
    <w:rsid w:val="00181959"/>
    <w:rsid w:val="00181A5E"/>
    <w:rsid w:val="00181F12"/>
    <w:rsid w:val="001845DB"/>
    <w:rsid w:val="001877D0"/>
    <w:rsid w:val="0019065E"/>
    <w:rsid w:val="00191D61"/>
    <w:rsid w:val="00192430"/>
    <w:rsid w:val="00193C52"/>
    <w:rsid w:val="00193F46"/>
    <w:rsid w:val="0019506D"/>
    <w:rsid w:val="001950E2"/>
    <w:rsid w:val="001965D0"/>
    <w:rsid w:val="001A002C"/>
    <w:rsid w:val="001A0A6C"/>
    <w:rsid w:val="001A29EA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F0E"/>
    <w:rsid w:val="001B7C51"/>
    <w:rsid w:val="001C10B3"/>
    <w:rsid w:val="001C2AFB"/>
    <w:rsid w:val="001C2BE2"/>
    <w:rsid w:val="001C3C0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186C"/>
    <w:rsid w:val="00232DF4"/>
    <w:rsid w:val="00233BE6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519E"/>
    <w:rsid w:val="00265916"/>
    <w:rsid w:val="00265B91"/>
    <w:rsid w:val="00266F5A"/>
    <w:rsid w:val="00267384"/>
    <w:rsid w:val="00270FB8"/>
    <w:rsid w:val="00272B5F"/>
    <w:rsid w:val="00273ED5"/>
    <w:rsid w:val="00274325"/>
    <w:rsid w:val="00275FD2"/>
    <w:rsid w:val="002765C2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BF8"/>
    <w:rsid w:val="002905B3"/>
    <w:rsid w:val="00292902"/>
    <w:rsid w:val="00292C37"/>
    <w:rsid w:val="00292F48"/>
    <w:rsid w:val="002954AE"/>
    <w:rsid w:val="0029641D"/>
    <w:rsid w:val="002A0A91"/>
    <w:rsid w:val="002A451B"/>
    <w:rsid w:val="002A4B0B"/>
    <w:rsid w:val="002A50D8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3FF6"/>
    <w:rsid w:val="002B3FFA"/>
    <w:rsid w:val="002B4209"/>
    <w:rsid w:val="002B48DF"/>
    <w:rsid w:val="002B4BFF"/>
    <w:rsid w:val="002B5200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2DE2"/>
    <w:rsid w:val="00353472"/>
    <w:rsid w:val="0035436D"/>
    <w:rsid w:val="00354FF6"/>
    <w:rsid w:val="00355FCD"/>
    <w:rsid w:val="00361C71"/>
    <w:rsid w:val="0036317F"/>
    <w:rsid w:val="00364842"/>
    <w:rsid w:val="00370C77"/>
    <w:rsid w:val="00370F4A"/>
    <w:rsid w:val="003734AA"/>
    <w:rsid w:val="003743B9"/>
    <w:rsid w:val="00374794"/>
    <w:rsid w:val="00374A21"/>
    <w:rsid w:val="003820BA"/>
    <w:rsid w:val="003823A1"/>
    <w:rsid w:val="00382526"/>
    <w:rsid w:val="00382C83"/>
    <w:rsid w:val="00383D01"/>
    <w:rsid w:val="00386C6D"/>
    <w:rsid w:val="003909E2"/>
    <w:rsid w:val="00392E0F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B049D"/>
    <w:rsid w:val="003B0ACC"/>
    <w:rsid w:val="003B0D74"/>
    <w:rsid w:val="003B1517"/>
    <w:rsid w:val="003B1EC6"/>
    <w:rsid w:val="003B2B76"/>
    <w:rsid w:val="003B3718"/>
    <w:rsid w:val="003B6186"/>
    <w:rsid w:val="003B6C9F"/>
    <w:rsid w:val="003B73D5"/>
    <w:rsid w:val="003B7B3B"/>
    <w:rsid w:val="003C13B7"/>
    <w:rsid w:val="003C1449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5703"/>
    <w:rsid w:val="003D62F6"/>
    <w:rsid w:val="003D7895"/>
    <w:rsid w:val="003E091B"/>
    <w:rsid w:val="003E146F"/>
    <w:rsid w:val="003E165E"/>
    <w:rsid w:val="003E2AF6"/>
    <w:rsid w:val="003E31CD"/>
    <w:rsid w:val="003E367B"/>
    <w:rsid w:val="003E4A98"/>
    <w:rsid w:val="003E53C5"/>
    <w:rsid w:val="003E56D8"/>
    <w:rsid w:val="003E7039"/>
    <w:rsid w:val="003F07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130A6"/>
    <w:rsid w:val="0041356D"/>
    <w:rsid w:val="00413ADB"/>
    <w:rsid w:val="0041502E"/>
    <w:rsid w:val="00415075"/>
    <w:rsid w:val="004150FC"/>
    <w:rsid w:val="0041600B"/>
    <w:rsid w:val="004169FB"/>
    <w:rsid w:val="004215B4"/>
    <w:rsid w:val="00422301"/>
    <w:rsid w:val="00422C8B"/>
    <w:rsid w:val="004238B9"/>
    <w:rsid w:val="00426013"/>
    <w:rsid w:val="0042676A"/>
    <w:rsid w:val="00426779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3955"/>
    <w:rsid w:val="00445579"/>
    <w:rsid w:val="00446752"/>
    <w:rsid w:val="00446BC7"/>
    <w:rsid w:val="0044758F"/>
    <w:rsid w:val="004476F8"/>
    <w:rsid w:val="00447760"/>
    <w:rsid w:val="004515A0"/>
    <w:rsid w:val="00452B1D"/>
    <w:rsid w:val="00452EA9"/>
    <w:rsid w:val="004556F3"/>
    <w:rsid w:val="00457AA1"/>
    <w:rsid w:val="00457DB3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237"/>
    <w:rsid w:val="00473872"/>
    <w:rsid w:val="004742BC"/>
    <w:rsid w:val="0047504C"/>
    <w:rsid w:val="0047558D"/>
    <w:rsid w:val="00475ADE"/>
    <w:rsid w:val="004772A2"/>
    <w:rsid w:val="004776F1"/>
    <w:rsid w:val="00480BCC"/>
    <w:rsid w:val="00481D08"/>
    <w:rsid w:val="00482630"/>
    <w:rsid w:val="00482E82"/>
    <w:rsid w:val="004831BB"/>
    <w:rsid w:val="00484481"/>
    <w:rsid w:val="0048481F"/>
    <w:rsid w:val="00485744"/>
    <w:rsid w:val="00487FB1"/>
    <w:rsid w:val="0049292E"/>
    <w:rsid w:val="00492C73"/>
    <w:rsid w:val="004931C5"/>
    <w:rsid w:val="0049405D"/>
    <w:rsid w:val="0049568A"/>
    <w:rsid w:val="00496096"/>
    <w:rsid w:val="004A019B"/>
    <w:rsid w:val="004A0AD4"/>
    <w:rsid w:val="004A12EB"/>
    <w:rsid w:val="004A1E44"/>
    <w:rsid w:val="004A31C4"/>
    <w:rsid w:val="004A4252"/>
    <w:rsid w:val="004A5CAF"/>
    <w:rsid w:val="004A63D2"/>
    <w:rsid w:val="004A68FB"/>
    <w:rsid w:val="004A6A6F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A69"/>
    <w:rsid w:val="004C41CC"/>
    <w:rsid w:val="004C4B68"/>
    <w:rsid w:val="004C5F79"/>
    <w:rsid w:val="004C6E0A"/>
    <w:rsid w:val="004C6EE3"/>
    <w:rsid w:val="004D12C0"/>
    <w:rsid w:val="004D17C2"/>
    <w:rsid w:val="004D46C1"/>
    <w:rsid w:val="004E065A"/>
    <w:rsid w:val="004E0700"/>
    <w:rsid w:val="004E10B6"/>
    <w:rsid w:val="004E3415"/>
    <w:rsid w:val="004E3776"/>
    <w:rsid w:val="004E51AB"/>
    <w:rsid w:val="004E60E3"/>
    <w:rsid w:val="004E71DB"/>
    <w:rsid w:val="004E74B2"/>
    <w:rsid w:val="004F0B9D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E5C"/>
    <w:rsid w:val="005137DD"/>
    <w:rsid w:val="005153C5"/>
    <w:rsid w:val="00515548"/>
    <w:rsid w:val="00517835"/>
    <w:rsid w:val="00520C74"/>
    <w:rsid w:val="005211A7"/>
    <w:rsid w:val="00525E76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EC0"/>
    <w:rsid w:val="00563206"/>
    <w:rsid w:val="00563922"/>
    <w:rsid w:val="00563E31"/>
    <w:rsid w:val="00564C24"/>
    <w:rsid w:val="00564DCC"/>
    <w:rsid w:val="005656C2"/>
    <w:rsid w:val="0057119B"/>
    <w:rsid w:val="005729B2"/>
    <w:rsid w:val="0057461A"/>
    <w:rsid w:val="005747FB"/>
    <w:rsid w:val="00574C37"/>
    <w:rsid w:val="00575079"/>
    <w:rsid w:val="00575363"/>
    <w:rsid w:val="00575449"/>
    <w:rsid w:val="005757C4"/>
    <w:rsid w:val="005765A4"/>
    <w:rsid w:val="00576A24"/>
    <w:rsid w:val="00576B4D"/>
    <w:rsid w:val="00580A75"/>
    <w:rsid w:val="00583441"/>
    <w:rsid w:val="005842E1"/>
    <w:rsid w:val="005863B1"/>
    <w:rsid w:val="0058686F"/>
    <w:rsid w:val="00587010"/>
    <w:rsid w:val="0059163E"/>
    <w:rsid w:val="00592638"/>
    <w:rsid w:val="00592C77"/>
    <w:rsid w:val="00594D75"/>
    <w:rsid w:val="00595490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1238"/>
    <w:rsid w:val="005B173D"/>
    <w:rsid w:val="005B30F3"/>
    <w:rsid w:val="005B5B16"/>
    <w:rsid w:val="005B6B2A"/>
    <w:rsid w:val="005C1DBC"/>
    <w:rsid w:val="005C2FE7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94F"/>
    <w:rsid w:val="005D349E"/>
    <w:rsid w:val="005D3EDB"/>
    <w:rsid w:val="005D497D"/>
    <w:rsid w:val="005D4D9F"/>
    <w:rsid w:val="005D535C"/>
    <w:rsid w:val="005D581A"/>
    <w:rsid w:val="005D7673"/>
    <w:rsid w:val="005E00C1"/>
    <w:rsid w:val="005E387F"/>
    <w:rsid w:val="005E396F"/>
    <w:rsid w:val="005E4BC9"/>
    <w:rsid w:val="005E4C1C"/>
    <w:rsid w:val="005E67DD"/>
    <w:rsid w:val="005E726E"/>
    <w:rsid w:val="005E783E"/>
    <w:rsid w:val="005F216C"/>
    <w:rsid w:val="005F40B5"/>
    <w:rsid w:val="005F45DB"/>
    <w:rsid w:val="005F507B"/>
    <w:rsid w:val="005F5266"/>
    <w:rsid w:val="005F66A0"/>
    <w:rsid w:val="005F69F8"/>
    <w:rsid w:val="005F7682"/>
    <w:rsid w:val="006022F2"/>
    <w:rsid w:val="006029F1"/>
    <w:rsid w:val="00603A63"/>
    <w:rsid w:val="00603C16"/>
    <w:rsid w:val="0060433B"/>
    <w:rsid w:val="00604CE0"/>
    <w:rsid w:val="00604F97"/>
    <w:rsid w:val="006078EA"/>
    <w:rsid w:val="00607CBD"/>
    <w:rsid w:val="00610997"/>
    <w:rsid w:val="006115FE"/>
    <w:rsid w:val="00611A3B"/>
    <w:rsid w:val="00611DCE"/>
    <w:rsid w:val="00615182"/>
    <w:rsid w:val="00616501"/>
    <w:rsid w:val="00616C3F"/>
    <w:rsid w:val="00617839"/>
    <w:rsid w:val="006203F4"/>
    <w:rsid w:val="00623381"/>
    <w:rsid w:val="006237F7"/>
    <w:rsid w:val="006248BE"/>
    <w:rsid w:val="0063124C"/>
    <w:rsid w:val="0063325D"/>
    <w:rsid w:val="006337C9"/>
    <w:rsid w:val="00634E94"/>
    <w:rsid w:val="00634F64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9AF"/>
    <w:rsid w:val="00646F34"/>
    <w:rsid w:val="00647DA6"/>
    <w:rsid w:val="0065028B"/>
    <w:rsid w:val="006513EB"/>
    <w:rsid w:val="00653A3C"/>
    <w:rsid w:val="00653E16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82255"/>
    <w:rsid w:val="00683DAF"/>
    <w:rsid w:val="006843BB"/>
    <w:rsid w:val="00684A7F"/>
    <w:rsid w:val="00684DDA"/>
    <w:rsid w:val="00684DEC"/>
    <w:rsid w:val="00684FDD"/>
    <w:rsid w:val="00686CA6"/>
    <w:rsid w:val="006871A0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1D97"/>
    <w:rsid w:val="006A2369"/>
    <w:rsid w:val="006A38B2"/>
    <w:rsid w:val="006A5836"/>
    <w:rsid w:val="006A7B5D"/>
    <w:rsid w:val="006B018A"/>
    <w:rsid w:val="006B0E1E"/>
    <w:rsid w:val="006B2564"/>
    <w:rsid w:val="006B2DCE"/>
    <w:rsid w:val="006B3017"/>
    <w:rsid w:val="006B43BC"/>
    <w:rsid w:val="006B4D07"/>
    <w:rsid w:val="006B53BB"/>
    <w:rsid w:val="006B5BF9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B36"/>
    <w:rsid w:val="006D3D26"/>
    <w:rsid w:val="006D3DB2"/>
    <w:rsid w:val="006D43E1"/>
    <w:rsid w:val="006D50C1"/>
    <w:rsid w:val="006D6CC0"/>
    <w:rsid w:val="006D7072"/>
    <w:rsid w:val="006E0361"/>
    <w:rsid w:val="006E145A"/>
    <w:rsid w:val="006E15E3"/>
    <w:rsid w:val="006E2387"/>
    <w:rsid w:val="006E24AD"/>
    <w:rsid w:val="006E26A0"/>
    <w:rsid w:val="006E510D"/>
    <w:rsid w:val="006E5173"/>
    <w:rsid w:val="006E5200"/>
    <w:rsid w:val="006E672C"/>
    <w:rsid w:val="006E7BC3"/>
    <w:rsid w:val="006E7BFD"/>
    <w:rsid w:val="006F0571"/>
    <w:rsid w:val="006F182E"/>
    <w:rsid w:val="006F3AE3"/>
    <w:rsid w:val="006F5B00"/>
    <w:rsid w:val="006F7377"/>
    <w:rsid w:val="006F7D59"/>
    <w:rsid w:val="0070000E"/>
    <w:rsid w:val="00700F57"/>
    <w:rsid w:val="00702E28"/>
    <w:rsid w:val="00703EFC"/>
    <w:rsid w:val="0070415B"/>
    <w:rsid w:val="007043A6"/>
    <w:rsid w:val="0070444C"/>
    <w:rsid w:val="007051B7"/>
    <w:rsid w:val="00705217"/>
    <w:rsid w:val="007053D4"/>
    <w:rsid w:val="0070567E"/>
    <w:rsid w:val="00705A22"/>
    <w:rsid w:val="00706146"/>
    <w:rsid w:val="007122A8"/>
    <w:rsid w:val="00713508"/>
    <w:rsid w:val="00713608"/>
    <w:rsid w:val="00716027"/>
    <w:rsid w:val="007162FA"/>
    <w:rsid w:val="00716332"/>
    <w:rsid w:val="00717C33"/>
    <w:rsid w:val="00717EB6"/>
    <w:rsid w:val="007211C8"/>
    <w:rsid w:val="0072273E"/>
    <w:rsid w:val="00724D08"/>
    <w:rsid w:val="00725BD7"/>
    <w:rsid w:val="00727264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579E"/>
    <w:rsid w:val="00746225"/>
    <w:rsid w:val="00746768"/>
    <w:rsid w:val="00750B82"/>
    <w:rsid w:val="007511D9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405C"/>
    <w:rsid w:val="007A4626"/>
    <w:rsid w:val="007A59F1"/>
    <w:rsid w:val="007A5FD1"/>
    <w:rsid w:val="007A62ED"/>
    <w:rsid w:val="007A7222"/>
    <w:rsid w:val="007B075C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E1E"/>
    <w:rsid w:val="007C78C4"/>
    <w:rsid w:val="007C7A97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4F2F"/>
    <w:rsid w:val="007F63F2"/>
    <w:rsid w:val="007F6FE3"/>
    <w:rsid w:val="00800357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F85"/>
    <w:rsid w:val="008229D4"/>
    <w:rsid w:val="008230E8"/>
    <w:rsid w:val="008232CA"/>
    <w:rsid w:val="00823ADA"/>
    <w:rsid w:val="00823B3E"/>
    <w:rsid w:val="00824E01"/>
    <w:rsid w:val="00825C2F"/>
    <w:rsid w:val="00826338"/>
    <w:rsid w:val="00826965"/>
    <w:rsid w:val="00827260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1631"/>
    <w:rsid w:val="0085234F"/>
    <w:rsid w:val="00853282"/>
    <w:rsid w:val="008549FD"/>
    <w:rsid w:val="00855568"/>
    <w:rsid w:val="00855FFD"/>
    <w:rsid w:val="008560AA"/>
    <w:rsid w:val="00856101"/>
    <w:rsid w:val="00857CC3"/>
    <w:rsid w:val="008616E7"/>
    <w:rsid w:val="0086177F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A05B4"/>
    <w:rsid w:val="008A16AF"/>
    <w:rsid w:val="008A1A26"/>
    <w:rsid w:val="008A1D16"/>
    <w:rsid w:val="008A400D"/>
    <w:rsid w:val="008A48EB"/>
    <w:rsid w:val="008A600D"/>
    <w:rsid w:val="008A7119"/>
    <w:rsid w:val="008B07D3"/>
    <w:rsid w:val="008B131C"/>
    <w:rsid w:val="008B1E0A"/>
    <w:rsid w:val="008B1E53"/>
    <w:rsid w:val="008B22B6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7021"/>
    <w:rsid w:val="008E09E2"/>
    <w:rsid w:val="008E1610"/>
    <w:rsid w:val="008E1E4F"/>
    <w:rsid w:val="008E35C2"/>
    <w:rsid w:val="008E74FA"/>
    <w:rsid w:val="008E7876"/>
    <w:rsid w:val="008E7C8C"/>
    <w:rsid w:val="008E7F8D"/>
    <w:rsid w:val="008E7FB7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2823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67F78"/>
    <w:rsid w:val="00970F1D"/>
    <w:rsid w:val="0097115D"/>
    <w:rsid w:val="009713D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A43"/>
    <w:rsid w:val="00990CD5"/>
    <w:rsid w:val="009919E7"/>
    <w:rsid w:val="0099219C"/>
    <w:rsid w:val="00992989"/>
    <w:rsid w:val="009929C8"/>
    <w:rsid w:val="00993241"/>
    <w:rsid w:val="00997281"/>
    <w:rsid w:val="009A08B6"/>
    <w:rsid w:val="009A17C8"/>
    <w:rsid w:val="009A1E68"/>
    <w:rsid w:val="009A3692"/>
    <w:rsid w:val="009A499C"/>
    <w:rsid w:val="009A5127"/>
    <w:rsid w:val="009A5547"/>
    <w:rsid w:val="009A688D"/>
    <w:rsid w:val="009A695F"/>
    <w:rsid w:val="009A7259"/>
    <w:rsid w:val="009A7CAB"/>
    <w:rsid w:val="009B020F"/>
    <w:rsid w:val="009B0584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2063"/>
    <w:rsid w:val="009D255F"/>
    <w:rsid w:val="009D2FA2"/>
    <w:rsid w:val="009D3F28"/>
    <w:rsid w:val="009D66B5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3D33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0558C"/>
    <w:rsid w:val="00A0773C"/>
    <w:rsid w:val="00A114E6"/>
    <w:rsid w:val="00A13A5D"/>
    <w:rsid w:val="00A14063"/>
    <w:rsid w:val="00A15217"/>
    <w:rsid w:val="00A16A06"/>
    <w:rsid w:val="00A16A28"/>
    <w:rsid w:val="00A17AAD"/>
    <w:rsid w:val="00A17CA3"/>
    <w:rsid w:val="00A22329"/>
    <w:rsid w:val="00A224F9"/>
    <w:rsid w:val="00A235D0"/>
    <w:rsid w:val="00A23D17"/>
    <w:rsid w:val="00A250FE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632C"/>
    <w:rsid w:val="00A367CC"/>
    <w:rsid w:val="00A369A1"/>
    <w:rsid w:val="00A408D1"/>
    <w:rsid w:val="00A41354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A3"/>
    <w:rsid w:val="00A54377"/>
    <w:rsid w:val="00A55F87"/>
    <w:rsid w:val="00A5783E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4E18"/>
    <w:rsid w:val="00A8529D"/>
    <w:rsid w:val="00A868FD"/>
    <w:rsid w:val="00A87FD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899"/>
    <w:rsid w:val="00AB2FF5"/>
    <w:rsid w:val="00AB30EB"/>
    <w:rsid w:val="00AB3C6A"/>
    <w:rsid w:val="00AB7D44"/>
    <w:rsid w:val="00AC0044"/>
    <w:rsid w:val="00AC0945"/>
    <w:rsid w:val="00AC0B82"/>
    <w:rsid w:val="00AC296A"/>
    <w:rsid w:val="00AC4B90"/>
    <w:rsid w:val="00AC651B"/>
    <w:rsid w:val="00AC6658"/>
    <w:rsid w:val="00AD02AE"/>
    <w:rsid w:val="00AD06F8"/>
    <w:rsid w:val="00AD1BEF"/>
    <w:rsid w:val="00AD316A"/>
    <w:rsid w:val="00AD3B15"/>
    <w:rsid w:val="00AD3D96"/>
    <w:rsid w:val="00AD402A"/>
    <w:rsid w:val="00AD47F3"/>
    <w:rsid w:val="00AD7BDF"/>
    <w:rsid w:val="00AD7EB2"/>
    <w:rsid w:val="00AD7EEA"/>
    <w:rsid w:val="00AE4CB0"/>
    <w:rsid w:val="00AE631D"/>
    <w:rsid w:val="00AE7134"/>
    <w:rsid w:val="00AE74CE"/>
    <w:rsid w:val="00AF0C76"/>
    <w:rsid w:val="00AF0D0C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10AA6"/>
    <w:rsid w:val="00B114BA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791F"/>
    <w:rsid w:val="00B4029E"/>
    <w:rsid w:val="00B40438"/>
    <w:rsid w:val="00B40C7D"/>
    <w:rsid w:val="00B41E70"/>
    <w:rsid w:val="00B43FC8"/>
    <w:rsid w:val="00B4546D"/>
    <w:rsid w:val="00B456E8"/>
    <w:rsid w:val="00B512FC"/>
    <w:rsid w:val="00B51F2E"/>
    <w:rsid w:val="00B52321"/>
    <w:rsid w:val="00B53930"/>
    <w:rsid w:val="00B5434B"/>
    <w:rsid w:val="00B552A7"/>
    <w:rsid w:val="00B55ABC"/>
    <w:rsid w:val="00B564E6"/>
    <w:rsid w:val="00B62EFA"/>
    <w:rsid w:val="00B63EED"/>
    <w:rsid w:val="00B659AA"/>
    <w:rsid w:val="00B67136"/>
    <w:rsid w:val="00B67968"/>
    <w:rsid w:val="00B70E95"/>
    <w:rsid w:val="00B71106"/>
    <w:rsid w:val="00B72D1A"/>
    <w:rsid w:val="00B732F4"/>
    <w:rsid w:val="00B74506"/>
    <w:rsid w:val="00B77A9C"/>
    <w:rsid w:val="00B80E9D"/>
    <w:rsid w:val="00B81B35"/>
    <w:rsid w:val="00B81E15"/>
    <w:rsid w:val="00B83088"/>
    <w:rsid w:val="00B836A7"/>
    <w:rsid w:val="00B85C47"/>
    <w:rsid w:val="00B86910"/>
    <w:rsid w:val="00B875C0"/>
    <w:rsid w:val="00B87E35"/>
    <w:rsid w:val="00B915C7"/>
    <w:rsid w:val="00B916ED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B26"/>
    <w:rsid w:val="00BD0DBF"/>
    <w:rsid w:val="00BD22B7"/>
    <w:rsid w:val="00BD3AB6"/>
    <w:rsid w:val="00BD5176"/>
    <w:rsid w:val="00BD60FF"/>
    <w:rsid w:val="00BE1894"/>
    <w:rsid w:val="00BE1A5B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D0E"/>
    <w:rsid w:val="00BF7E78"/>
    <w:rsid w:val="00C00500"/>
    <w:rsid w:val="00C02B98"/>
    <w:rsid w:val="00C05376"/>
    <w:rsid w:val="00C05E57"/>
    <w:rsid w:val="00C06FA5"/>
    <w:rsid w:val="00C07BAD"/>
    <w:rsid w:val="00C07CCA"/>
    <w:rsid w:val="00C1036A"/>
    <w:rsid w:val="00C11866"/>
    <w:rsid w:val="00C13E72"/>
    <w:rsid w:val="00C15A13"/>
    <w:rsid w:val="00C16370"/>
    <w:rsid w:val="00C16B6D"/>
    <w:rsid w:val="00C16C19"/>
    <w:rsid w:val="00C17059"/>
    <w:rsid w:val="00C17262"/>
    <w:rsid w:val="00C17ABB"/>
    <w:rsid w:val="00C200AA"/>
    <w:rsid w:val="00C200CA"/>
    <w:rsid w:val="00C20C09"/>
    <w:rsid w:val="00C2360C"/>
    <w:rsid w:val="00C24095"/>
    <w:rsid w:val="00C24C03"/>
    <w:rsid w:val="00C2569A"/>
    <w:rsid w:val="00C25D09"/>
    <w:rsid w:val="00C30902"/>
    <w:rsid w:val="00C31116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DAC"/>
    <w:rsid w:val="00C70734"/>
    <w:rsid w:val="00C70FFC"/>
    <w:rsid w:val="00C71BD8"/>
    <w:rsid w:val="00C748FD"/>
    <w:rsid w:val="00C8049A"/>
    <w:rsid w:val="00C814C7"/>
    <w:rsid w:val="00C82054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BD6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2450"/>
    <w:rsid w:val="00CC55CC"/>
    <w:rsid w:val="00CC5754"/>
    <w:rsid w:val="00CC5B7D"/>
    <w:rsid w:val="00CD0380"/>
    <w:rsid w:val="00CD063B"/>
    <w:rsid w:val="00CD0F10"/>
    <w:rsid w:val="00CD15A0"/>
    <w:rsid w:val="00CD1675"/>
    <w:rsid w:val="00CD2285"/>
    <w:rsid w:val="00CD3C33"/>
    <w:rsid w:val="00CD3E89"/>
    <w:rsid w:val="00CD44D9"/>
    <w:rsid w:val="00CD556D"/>
    <w:rsid w:val="00CE04FD"/>
    <w:rsid w:val="00CE1073"/>
    <w:rsid w:val="00CE13E8"/>
    <w:rsid w:val="00CE1B3B"/>
    <w:rsid w:val="00CE246A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3602"/>
    <w:rsid w:val="00CF37F3"/>
    <w:rsid w:val="00CF562A"/>
    <w:rsid w:val="00CF5D17"/>
    <w:rsid w:val="00D02BCE"/>
    <w:rsid w:val="00D02C19"/>
    <w:rsid w:val="00D039CD"/>
    <w:rsid w:val="00D03F91"/>
    <w:rsid w:val="00D0618A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E7C"/>
    <w:rsid w:val="00D324E9"/>
    <w:rsid w:val="00D34B67"/>
    <w:rsid w:val="00D4012C"/>
    <w:rsid w:val="00D40203"/>
    <w:rsid w:val="00D41833"/>
    <w:rsid w:val="00D42C77"/>
    <w:rsid w:val="00D437F1"/>
    <w:rsid w:val="00D439AE"/>
    <w:rsid w:val="00D47493"/>
    <w:rsid w:val="00D479D1"/>
    <w:rsid w:val="00D479F0"/>
    <w:rsid w:val="00D50BB5"/>
    <w:rsid w:val="00D50C65"/>
    <w:rsid w:val="00D50DED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6560"/>
    <w:rsid w:val="00D773BD"/>
    <w:rsid w:val="00D774E2"/>
    <w:rsid w:val="00D779FC"/>
    <w:rsid w:val="00D80247"/>
    <w:rsid w:val="00D81C64"/>
    <w:rsid w:val="00D81EBF"/>
    <w:rsid w:val="00D8514E"/>
    <w:rsid w:val="00D85A42"/>
    <w:rsid w:val="00D8652F"/>
    <w:rsid w:val="00D8680A"/>
    <w:rsid w:val="00D86FDF"/>
    <w:rsid w:val="00D918B7"/>
    <w:rsid w:val="00D93958"/>
    <w:rsid w:val="00D958BA"/>
    <w:rsid w:val="00D95C18"/>
    <w:rsid w:val="00D97177"/>
    <w:rsid w:val="00D971B8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25AE"/>
    <w:rsid w:val="00DC26A2"/>
    <w:rsid w:val="00DC307F"/>
    <w:rsid w:val="00DC3DA7"/>
    <w:rsid w:val="00DC4BD3"/>
    <w:rsid w:val="00DC6411"/>
    <w:rsid w:val="00DC69A6"/>
    <w:rsid w:val="00DC7211"/>
    <w:rsid w:val="00DC72E0"/>
    <w:rsid w:val="00DD1D74"/>
    <w:rsid w:val="00DD2444"/>
    <w:rsid w:val="00DD3051"/>
    <w:rsid w:val="00DD3216"/>
    <w:rsid w:val="00DD322B"/>
    <w:rsid w:val="00DD5278"/>
    <w:rsid w:val="00DD5B09"/>
    <w:rsid w:val="00DD61AB"/>
    <w:rsid w:val="00DD6B4A"/>
    <w:rsid w:val="00DD7BC2"/>
    <w:rsid w:val="00DE0530"/>
    <w:rsid w:val="00DE128E"/>
    <w:rsid w:val="00DE29AA"/>
    <w:rsid w:val="00DE2E3E"/>
    <w:rsid w:val="00DE3C1D"/>
    <w:rsid w:val="00DE541B"/>
    <w:rsid w:val="00DE5439"/>
    <w:rsid w:val="00DE5EA2"/>
    <w:rsid w:val="00DE65B2"/>
    <w:rsid w:val="00DE6948"/>
    <w:rsid w:val="00DE7351"/>
    <w:rsid w:val="00DF00BD"/>
    <w:rsid w:val="00DF01C2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6DA"/>
    <w:rsid w:val="00E34A2F"/>
    <w:rsid w:val="00E35739"/>
    <w:rsid w:val="00E35872"/>
    <w:rsid w:val="00E40143"/>
    <w:rsid w:val="00E40910"/>
    <w:rsid w:val="00E41D96"/>
    <w:rsid w:val="00E4250F"/>
    <w:rsid w:val="00E4284B"/>
    <w:rsid w:val="00E43C09"/>
    <w:rsid w:val="00E449B9"/>
    <w:rsid w:val="00E456A0"/>
    <w:rsid w:val="00E45A1C"/>
    <w:rsid w:val="00E4771A"/>
    <w:rsid w:val="00E50020"/>
    <w:rsid w:val="00E5135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3C29"/>
    <w:rsid w:val="00E745DD"/>
    <w:rsid w:val="00E76F7E"/>
    <w:rsid w:val="00E81687"/>
    <w:rsid w:val="00E81DAA"/>
    <w:rsid w:val="00E82655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7350"/>
    <w:rsid w:val="00EE766B"/>
    <w:rsid w:val="00EE77CD"/>
    <w:rsid w:val="00EE7C36"/>
    <w:rsid w:val="00EF02C4"/>
    <w:rsid w:val="00EF1ECE"/>
    <w:rsid w:val="00EF201E"/>
    <w:rsid w:val="00EF610A"/>
    <w:rsid w:val="00EF68EE"/>
    <w:rsid w:val="00EF77AD"/>
    <w:rsid w:val="00F01400"/>
    <w:rsid w:val="00F0192F"/>
    <w:rsid w:val="00F05AA4"/>
    <w:rsid w:val="00F05DE3"/>
    <w:rsid w:val="00F06512"/>
    <w:rsid w:val="00F10108"/>
    <w:rsid w:val="00F14B47"/>
    <w:rsid w:val="00F154E9"/>
    <w:rsid w:val="00F165C5"/>
    <w:rsid w:val="00F17D24"/>
    <w:rsid w:val="00F23814"/>
    <w:rsid w:val="00F23AC8"/>
    <w:rsid w:val="00F2598E"/>
    <w:rsid w:val="00F26372"/>
    <w:rsid w:val="00F26462"/>
    <w:rsid w:val="00F3061D"/>
    <w:rsid w:val="00F32065"/>
    <w:rsid w:val="00F35186"/>
    <w:rsid w:val="00F37217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E4D"/>
    <w:rsid w:val="00F7114A"/>
    <w:rsid w:val="00F7116F"/>
    <w:rsid w:val="00F7120A"/>
    <w:rsid w:val="00F71B38"/>
    <w:rsid w:val="00F722B4"/>
    <w:rsid w:val="00F72364"/>
    <w:rsid w:val="00F734AA"/>
    <w:rsid w:val="00F7391E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D21"/>
    <w:rsid w:val="00F95783"/>
    <w:rsid w:val="00F96DFD"/>
    <w:rsid w:val="00F97AC4"/>
    <w:rsid w:val="00F97EC8"/>
    <w:rsid w:val="00FA32B7"/>
    <w:rsid w:val="00FA5348"/>
    <w:rsid w:val="00FA7038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5A3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600D2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masrv208\sri\DAC\INTELIG&#202;NCIA%20COMERCIAL\Site%20CGEC%20e%20Balan&#231;a\1%20-%20Indicadores%20e%20Estat&#237;sticas\1.1%20-%20Balan&#231;a%20Comercial\1.1.1%20-%20Nota%20&#224;%20Imprensa\!Nota%20do%20M&#234;s\Junho%20-%20Tabelas%20da%20nota%20a%20imprensa.xls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t-BR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Gráfico 1 - Balança Comercial do Agronegócio</a:t>
            </a:r>
          </a:p>
          <a:p>
            <a:pPr algn="l"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t-BR" sz="10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Evolução Mensal das Exportações e Importações 2016 e 2017</a:t>
            </a:r>
          </a:p>
        </c:rich>
      </c:tx>
      <c:layout>
        <c:manualLayout>
          <c:xMode val="edge"/>
          <c:yMode val="edge"/>
          <c:x val="0.10374172979267271"/>
          <c:y val="1.343408900083963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954058192955588E-2"/>
          <c:y val="0.12399303641450758"/>
          <c:w val="0.76722817764165385"/>
          <c:h val="0.72776929332196194"/>
        </c:manualLayout>
      </c:layout>
      <c:lineChart>
        <c:grouping val="standard"/>
        <c:varyColors val="0"/>
        <c:ser>
          <c:idx val="3"/>
          <c:order val="0"/>
          <c:tx>
            <c:v>Exp. 2016</c:v>
          </c:tx>
          <c:spPr>
            <a:ln w="38100">
              <a:solidFill>
                <a:srgbClr val="002060"/>
              </a:solidFill>
              <a:prstDash val="solid"/>
            </a:ln>
          </c:spPr>
          <c:marker>
            <c:symbol val="none"/>
          </c:marker>
          <c:cat>
            <c:strLit>
              <c:ptCount val="12"/>
              <c:pt idx="0">
                <c:v>Jan</c:v>
              </c:pt>
              <c:pt idx="1">
                <c:v> Fev</c:v>
              </c:pt>
              <c:pt idx="2">
                <c:v> Mar</c:v>
              </c:pt>
              <c:pt idx="3">
                <c:v> Abr</c:v>
              </c:pt>
              <c:pt idx="4">
                <c:v> Mai</c:v>
              </c:pt>
              <c:pt idx="5">
                <c:v> Jun</c:v>
              </c:pt>
              <c:pt idx="6">
                <c:v> Jul</c:v>
              </c:pt>
              <c:pt idx="7">
                <c:v> Ago</c:v>
              </c:pt>
              <c:pt idx="8">
                <c:v> Set</c:v>
              </c:pt>
              <c:pt idx="9">
                <c:v> Out</c:v>
              </c:pt>
              <c:pt idx="10">
                <c:v> Nov</c:v>
              </c:pt>
              <c:pt idx="11">
                <c:v> Dez</c:v>
              </c:pt>
            </c:strLit>
          </c:cat>
          <c:val>
            <c:numRef>
              <c:f>'Gráf. 1'!$C$7:$C$18</c:f>
              <c:numCache>
                <c:formatCode>#,##0_ ;[Red]\-#,##0\ </c:formatCode>
                <c:ptCount val="12"/>
                <c:pt idx="0">
                  <c:v>4977578214</c:v>
                </c:pt>
                <c:pt idx="1">
                  <c:v>6710279593</c:v>
                </c:pt>
                <c:pt idx="2">
                  <c:v>8345669419</c:v>
                </c:pt>
                <c:pt idx="3">
                  <c:v>8074661951</c:v>
                </c:pt>
                <c:pt idx="4">
                  <c:v>8584917547</c:v>
                </c:pt>
                <c:pt idx="5">
                  <c:v>8310387064</c:v>
                </c:pt>
                <c:pt idx="6">
                  <c:v>7810524417</c:v>
                </c:pt>
                <c:pt idx="7">
                  <c:v>7630148324</c:v>
                </c:pt>
                <c:pt idx="8">
                  <c:v>6918601749</c:v>
                </c:pt>
                <c:pt idx="9">
                  <c:v>5735139217</c:v>
                </c:pt>
                <c:pt idx="10">
                  <c:v>5725467393</c:v>
                </c:pt>
                <c:pt idx="11">
                  <c:v>6111212360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5F-41E2-A0C7-E3B09278EB94}"/>
            </c:ext>
          </c:extLst>
        </c:ser>
        <c:ser>
          <c:idx val="4"/>
          <c:order val="1"/>
          <c:tx>
            <c:v>Imp. 2016</c:v>
          </c:tx>
          <c:spPr>
            <a:ln w="38100">
              <a:solidFill>
                <a:srgbClr val="00B0F0"/>
              </a:solidFill>
              <a:prstDash val="solid"/>
            </a:ln>
          </c:spPr>
          <c:marker>
            <c:symbol val="none"/>
          </c:marker>
          <c:cat>
            <c:strLit>
              <c:ptCount val="12"/>
              <c:pt idx="0">
                <c:v>Jan</c:v>
              </c:pt>
              <c:pt idx="1">
                <c:v> Fev</c:v>
              </c:pt>
              <c:pt idx="2">
                <c:v> Mar</c:v>
              </c:pt>
              <c:pt idx="3">
                <c:v> Abr</c:v>
              </c:pt>
              <c:pt idx="4">
                <c:v> Mai</c:v>
              </c:pt>
              <c:pt idx="5">
                <c:v> Jun</c:v>
              </c:pt>
              <c:pt idx="6">
                <c:v> Jul</c:v>
              </c:pt>
              <c:pt idx="7">
                <c:v> Ago</c:v>
              </c:pt>
              <c:pt idx="8">
                <c:v> Set</c:v>
              </c:pt>
              <c:pt idx="9">
                <c:v> Out</c:v>
              </c:pt>
              <c:pt idx="10">
                <c:v> Nov</c:v>
              </c:pt>
              <c:pt idx="11">
                <c:v> Dez</c:v>
              </c:pt>
            </c:strLit>
          </c:cat>
          <c:val>
            <c:numRef>
              <c:f>'Gráf. 1'!$D$7:$D$18</c:f>
              <c:numCache>
                <c:formatCode>#,##0_ ;[Red]\-#,##0\ </c:formatCode>
                <c:ptCount val="12"/>
                <c:pt idx="0">
                  <c:v>913013556</c:v>
                </c:pt>
                <c:pt idx="1">
                  <c:v>953498771</c:v>
                </c:pt>
                <c:pt idx="2">
                  <c:v>1164602470</c:v>
                </c:pt>
                <c:pt idx="3">
                  <c:v>972629299</c:v>
                </c:pt>
                <c:pt idx="4">
                  <c:v>999205656</c:v>
                </c:pt>
                <c:pt idx="5">
                  <c:v>1091849359</c:v>
                </c:pt>
                <c:pt idx="6">
                  <c:v>1142477271</c:v>
                </c:pt>
                <c:pt idx="7">
                  <c:v>1242437222</c:v>
                </c:pt>
                <c:pt idx="8">
                  <c:v>1307859836</c:v>
                </c:pt>
                <c:pt idx="9">
                  <c:v>1202811227</c:v>
                </c:pt>
                <c:pt idx="10">
                  <c:v>1273741617</c:v>
                </c:pt>
                <c:pt idx="11">
                  <c:v>1363396604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5F-41E2-A0C7-E3B09278EB94}"/>
            </c:ext>
          </c:extLst>
        </c:ser>
        <c:ser>
          <c:idx val="2"/>
          <c:order val="2"/>
          <c:tx>
            <c:v>Exp. 2017</c:v>
          </c:tx>
          <c:spPr>
            <a:ln w="38100">
              <a:solidFill>
                <a:srgbClr val="00B050"/>
              </a:solidFill>
              <a:prstDash val="solid"/>
            </a:ln>
          </c:spPr>
          <c:marker>
            <c:symbol val="triangle"/>
            <c:size val="8"/>
            <c:spPr>
              <a:solidFill>
                <a:srgbClr val="00B050"/>
              </a:solidFill>
              <a:ln>
                <a:noFill/>
                <a:prstDash val="solid"/>
              </a:ln>
            </c:spPr>
          </c:marker>
          <c:cat>
            <c:strLit>
              <c:ptCount val="12"/>
              <c:pt idx="0">
                <c:v>Jan</c:v>
              </c:pt>
              <c:pt idx="1">
                <c:v> Fev</c:v>
              </c:pt>
              <c:pt idx="2">
                <c:v> Mar</c:v>
              </c:pt>
              <c:pt idx="3">
                <c:v> Abr</c:v>
              </c:pt>
              <c:pt idx="4">
                <c:v> Mai</c:v>
              </c:pt>
              <c:pt idx="5">
                <c:v> Jun</c:v>
              </c:pt>
              <c:pt idx="6">
                <c:v> Jul</c:v>
              </c:pt>
              <c:pt idx="7">
                <c:v> Ago</c:v>
              </c:pt>
              <c:pt idx="8">
                <c:v> Set</c:v>
              </c:pt>
              <c:pt idx="9">
                <c:v> Out</c:v>
              </c:pt>
              <c:pt idx="10">
                <c:v> Nov</c:v>
              </c:pt>
              <c:pt idx="11">
                <c:v> Dez</c:v>
              </c:pt>
            </c:strLit>
          </c:cat>
          <c:val>
            <c:numRef>
              <c:f>'Gráf. 1'!$C$20:$C$31</c:f>
              <c:numCache>
                <c:formatCode>#,##0_ ;[Red]\-#,##0\ </c:formatCode>
                <c:ptCount val="12"/>
                <c:pt idx="0">
                  <c:v>5865461489</c:v>
                </c:pt>
                <c:pt idx="1">
                  <c:v>5927150294</c:v>
                </c:pt>
                <c:pt idx="2">
                  <c:v>8727095016</c:v>
                </c:pt>
                <c:pt idx="3">
                  <c:v>8661186755</c:v>
                </c:pt>
                <c:pt idx="4">
                  <c:v>9680333307</c:v>
                </c:pt>
                <c:pt idx="5">
                  <c:v>9274199445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05F-41E2-A0C7-E3B09278EB94}"/>
            </c:ext>
          </c:extLst>
        </c:ser>
        <c:ser>
          <c:idx val="5"/>
          <c:order val="3"/>
          <c:tx>
            <c:v>Imp. 2017</c:v>
          </c:tx>
          <c:spPr>
            <a:ln w="38100">
              <a:solidFill>
                <a:srgbClr val="92D050"/>
              </a:solidFill>
              <a:prstDash val="solid"/>
            </a:ln>
          </c:spPr>
          <c:marker>
            <c:symbol val="diamond"/>
            <c:size val="8"/>
            <c:spPr>
              <a:solidFill>
                <a:srgbClr val="92D050"/>
              </a:solidFill>
              <a:ln>
                <a:noFill/>
                <a:prstDash val="solid"/>
              </a:ln>
            </c:spPr>
          </c:marker>
          <c:cat>
            <c:strLit>
              <c:ptCount val="12"/>
              <c:pt idx="0">
                <c:v>Jan</c:v>
              </c:pt>
              <c:pt idx="1">
                <c:v> Fev</c:v>
              </c:pt>
              <c:pt idx="2">
                <c:v> Mar</c:v>
              </c:pt>
              <c:pt idx="3">
                <c:v> Abr</c:v>
              </c:pt>
              <c:pt idx="4">
                <c:v> Mai</c:v>
              </c:pt>
              <c:pt idx="5">
                <c:v> Jun</c:v>
              </c:pt>
              <c:pt idx="6">
                <c:v> Jul</c:v>
              </c:pt>
              <c:pt idx="7">
                <c:v> Ago</c:v>
              </c:pt>
              <c:pt idx="8">
                <c:v> Set</c:v>
              </c:pt>
              <c:pt idx="9">
                <c:v> Out</c:v>
              </c:pt>
              <c:pt idx="10">
                <c:v> Nov</c:v>
              </c:pt>
              <c:pt idx="11">
                <c:v> Dez</c:v>
              </c:pt>
            </c:strLit>
          </c:cat>
          <c:val>
            <c:numRef>
              <c:f>'Gráf. 1'!$D$20:$D$31</c:f>
              <c:numCache>
                <c:formatCode>#,##0_ ;[Red]\-#,##0\ </c:formatCode>
                <c:ptCount val="12"/>
                <c:pt idx="0">
                  <c:v>1270361868</c:v>
                </c:pt>
                <c:pt idx="1">
                  <c:v>1097886057</c:v>
                </c:pt>
                <c:pt idx="2">
                  <c:v>1387535148</c:v>
                </c:pt>
                <c:pt idx="3">
                  <c:v>1087236901</c:v>
                </c:pt>
                <c:pt idx="4">
                  <c:v>1299013617</c:v>
                </c:pt>
                <c:pt idx="5">
                  <c:v>1158181281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05F-41E2-A0C7-E3B09278E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5099904"/>
        <c:axId val="305099120"/>
      </c:lineChart>
      <c:catAx>
        <c:axId val="305099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305099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05099120"/>
        <c:scaling>
          <c:orientation val="minMax"/>
        </c:scaling>
        <c:delete val="0"/>
        <c:axPos val="l"/>
        <c:numFmt formatCode="#,##0_ ;[Red]\-#,##0\ 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t-BR"/>
          </a:p>
        </c:txPr>
        <c:crossAx val="305099904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7.656967840735069E-3"/>
                <c:y val="0.24534198694376422"/>
              </c:manualLayout>
            </c:layout>
            <c:tx>
              <c:rich>
                <a:bodyPr rot="-5400000" vert="horz"/>
                <a:lstStyle/>
                <a:p>
                  <a:pPr algn="ctr"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r>
                    <a:rPr lang="pt-BR"/>
                    <a:t>U S $  M i l h õ e s</a:t>
                  </a:r>
                </a:p>
              </c:rich>
            </c:tx>
            <c:spPr>
              <a:noFill/>
              <a:ln w="25400">
                <a:noFill/>
              </a:ln>
            </c:spPr>
          </c:dispUnitsLbl>
        </c:dispUnits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217464809781341"/>
          <c:y val="0.14596296369754788"/>
          <c:w val="0.13016840866421941"/>
          <c:h val="0.68944194318279484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3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t-BR"/>
        </a:p>
      </c:txPr>
    </c:legend>
    <c:plotVisOnly val="1"/>
    <c:dispBlanksAs val="gap"/>
    <c:showDLblsOverMax val="0"/>
  </c:chart>
  <c:spPr>
    <a:blipFill dpi="0" rotWithShape="0">
      <a:blip xmlns:r="http://schemas.openxmlformats.org/officeDocument/2006/relationships" r:embed="rId1"/>
      <a:srcRect/>
      <a:stretch>
        <a:fillRect/>
      </a:stretch>
    </a:blip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t-BR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0.09363</cdr:x>
      <cdr:y>0.91906</cdr:y>
    </cdr:from>
    <cdr:to>
      <cdr:x>0.48439</cdr:x>
      <cdr:y>0.99496</cdr:y>
    </cdr:to>
    <cdr:sp macro="" textlink="">
      <cdr:nvSpPr>
        <cdr:cNvPr id="2" name="CaixaDeTexto 1"/>
        <cdr:cNvSpPr txBox="1"/>
      </cdr:nvSpPr>
      <cdr:spPr>
        <a:xfrm xmlns:a="http://schemas.openxmlformats.org/drawingml/2006/main">
          <a:off x="625289" y="3036498"/>
          <a:ext cx="2609610" cy="2507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pt-BR" sz="800">
              <a:latin typeface="Arial" pitchFamily="34" charset="0"/>
              <a:cs typeface="Arial" pitchFamily="34" charset="0"/>
            </a:rPr>
            <a:t>Fonte: AgroStat Brasil a partir dos dados da SECEX/MDIC</a:t>
          </a:r>
        </a:p>
        <a:p xmlns:a="http://schemas.openxmlformats.org/drawingml/2006/main">
          <a:r>
            <a:rPr lang="pt-BR" sz="800">
              <a:latin typeface="Arial" pitchFamily="34" charset="0"/>
              <a:cs typeface="Arial" pitchFamily="34" charset="0"/>
            </a:rPr>
            <a:t>Elaboração:</a:t>
          </a:r>
          <a:r>
            <a:rPr lang="pt-BR" sz="800" baseline="0">
              <a:latin typeface="Arial" pitchFamily="34" charset="0"/>
              <a:cs typeface="Arial" pitchFamily="34" charset="0"/>
            </a:rPr>
            <a:t> MAPA/SRI/DAC</a:t>
          </a:r>
          <a:endParaRPr lang="pt-BR" sz="800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69109-08AE-4BAF-B835-31670BA7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4120</Words>
  <Characters>22264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26332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Luiz Fernando Oliveira Wosch</cp:lastModifiedBy>
  <cp:revision>11</cp:revision>
  <cp:lastPrinted>2015-01-09T11:18:00Z</cp:lastPrinted>
  <dcterms:created xsi:type="dcterms:W3CDTF">2017-07-07T19:52:00Z</dcterms:created>
  <dcterms:modified xsi:type="dcterms:W3CDTF">2017-07-07T20:31:00Z</dcterms:modified>
</cp:coreProperties>
</file>