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w16du="http://schemas.microsoft.com/office/word/2023/wordml/word16du" mc:Ignorable="w14 w15 wp14 w16se w16cid w16 w16cex w16sdtdh w16sdtfl">
  <w:body>
    <w:p xmlns:wp14="http://schemas.microsoft.com/office/word/2010/wordml" w:rsidP="4151692F" wp14:paraId="1A612CF2" wp14:textId="190598A0">
      <w:pPr>
        <w:pStyle w:val="Normal"/>
        <w:jc w:val="center"/>
      </w:pPr>
      <w:r w:rsidRPr="4151692F" w:rsidR="5BD1E144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PROTOCOLO OFICIAL PARA AVALIAÇÃO DA VIABILIDADE E EFICIÊNCIA AGRONÔMICA DE CEPAS, INOCULANTES E TECNOLOGIAS RELACIONADOS AO PROCESSO DE FIXAÇÃO BIOLÓGICA DO NITROGÊNIO EM LEGUMINOSAS. </w:t>
      </w:r>
    </w:p>
    <w:p xmlns:wp14="http://schemas.microsoft.com/office/word/2010/wordml" w:rsidP="4151692F" wp14:paraId="2849BB94" wp14:textId="6F9F374D">
      <w:pPr>
        <w:pStyle w:val="Normal"/>
        <w:jc w:val="both"/>
      </w:pPr>
      <w:r w:rsidRPr="4151692F" w:rsidR="5BD1E144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1. DEFINIÇÕES </w:t>
      </w:r>
    </w:p>
    <w:p xmlns:wp14="http://schemas.microsoft.com/office/word/2010/wordml" w:rsidP="4151692F" wp14:paraId="3709B23E" wp14:textId="510193F6">
      <w:pPr>
        <w:pStyle w:val="Normal"/>
        <w:jc w:val="both"/>
      </w:pPr>
      <w:r w:rsidRPr="4151692F" w:rsidR="5BD1E144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Para os fins deste protocolo considera-se: </w:t>
      </w:r>
    </w:p>
    <w:p xmlns:wp14="http://schemas.microsoft.com/office/word/2010/wordml" w:rsidP="4151692F" wp14:paraId="5F8DC4B9" wp14:textId="56BD35A1">
      <w:pPr>
        <w:pStyle w:val="Normal"/>
        <w:jc w:val="both"/>
      </w:pP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Inoculante – produto que contenha microrganismos com atuação favorável ao crescimento de plantas. Tecnologias – conjunto de procedimentos adotados no uso e aplicação de inoculantes. Cepas – grupo de microrganismos com características genéticas idênticas, distinto de outros grupos dentro da mesma espécie. </w:t>
      </w:r>
    </w:p>
    <w:p xmlns:wp14="http://schemas.microsoft.com/office/word/2010/wordml" w:rsidP="4151692F" wp14:paraId="41B89B4B" wp14:textId="26D9A6F9">
      <w:pPr>
        <w:pStyle w:val="Normal"/>
        <w:jc w:val="both"/>
        <w:rPr>
          <w:rFonts w:ascii="Aptos" w:hAnsi="Aptos" w:eastAsia="Aptos" w:cs="Aptos"/>
          <w:noProof w:val="0"/>
          <w:sz w:val="24"/>
          <w:szCs w:val="24"/>
          <w:lang w:val="pt-BR"/>
        </w:rPr>
      </w:pPr>
    </w:p>
    <w:p xmlns:wp14="http://schemas.microsoft.com/office/word/2010/wordml" w:rsidP="4151692F" wp14:paraId="59BB7A11" wp14:textId="1E5D5003">
      <w:pPr>
        <w:pStyle w:val="Normal"/>
        <w:jc w:val="both"/>
      </w:pPr>
      <w:r w:rsidRPr="4151692F" w:rsidR="5BD1E144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2. CONDIÇÕES BÁSICAS PARA RECOMENDAÇÃO DE PRODUTOS INOCULANTES E TECNOLOGIAS. </w:t>
      </w:r>
    </w:p>
    <w:p xmlns:wp14="http://schemas.microsoft.com/office/word/2010/wordml" w:rsidP="4151692F" wp14:paraId="3331D835" wp14:textId="2B74E963">
      <w:pPr>
        <w:pStyle w:val="Normal"/>
        <w:jc w:val="both"/>
      </w:pPr>
      <w:r w:rsidRPr="4151692F" w:rsidR="5BD1E144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2.1. Apresentação de Relatório Técnico-Científico conclusivo conforme item 4.3.5. O(s) pesquisador(es) coordenador(es) deve(m) necessariamente pertencer a instituição de pesquisa oficial ou credenciada e possuir expertise em microbiologia agrícola. </w:t>
      </w:r>
    </w:p>
    <w:p xmlns:wp14="http://schemas.microsoft.com/office/word/2010/wordml" w:rsidP="4151692F" wp14:paraId="071EE013" wp14:textId="0C8FE2A6">
      <w:pPr>
        <w:pStyle w:val="Normal"/>
        <w:jc w:val="both"/>
        <w:rPr>
          <w:rFonts w:ascii="Aptos" w:hAnsi="Aptos" w:eastAsia="Aptos" w:cs="Aptos"/>
          <w:noProof w:val="0"/>
          <w:sz w:val="24"/>
          <w:szCs w:val="24"/>
          <w:lang w:val="pt-BR"/>
        </w:rPr>
      </w:pP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2.2. </w:t>
      </w: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>Os testes devem contemplar a avaliação de qualidade do produto em laboratório</w:t>
      </w:r>
      <w:r w:rsidRPr="291AFECB" w:rsidR="33DBD929">
        <w:rPr>
          <w:rFonts w:ascii="Aptos" w:hAnsi="Aptos" w:eastAsia="Aptos" w:cs="Aptos"/>
          <w:noProof w:val="0"/>
          <w:sz w:val="24"/>
          <w:szCs w:val="24"/>
          <w:lang w:val="pt-BR"/>
        </w:rPr>
        <w:t>, tanto em relação a identidade e concentração, quanto a pureza</w:t>
      </w:r>
      <w:r w:rsidRPr="291AFECB" w:rsidR="01E5F11C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. Preferencialmente, as análises devem ser </w:t>
      </w:r>
      <w:r w:rsidRPr="291AFECB" w:rsidR="53BE2EE5">
        <w:rPr>
          <w:rFonts w:ascii="Aptos" w:hAnsi="Aptos" w:eastAsia="Aptos" w:cs="Aptos"/>
          <w:noProof w:val="0"/>
          <w:sz w:val="24"/>
          <w:szCs w:val="24"/>
          <w:lang w:val="pt-BR"/>
        </w:rPr>
        <w:t>executadas de</w:t>
      </w:r>
      <w:r w:rsidRPr="291AFECB" w:rsidR="1B671F48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 </w:t>
      </w: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acordo com os métodos oficiais. </w:t>
      </w:r>
      <w:r w:rsidRPr="291AFECB" w:rsidR="0EC77F49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 </w:t>
      </w:r>
      <w:r w:rsidRPr="291AFECB" w:rsidR="1AA28D39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Nos casos em que o método oficial não se </w:t>
      </w:r>
      <w:r w:rsidRPr="291AFECB" w:rsidR="2367DF25">
        <w:rPr>
          <w:rFonts w:ascii="Aptos" w:hAnsi="Aptos" w:eastAsia="Aptos" w:cs="Aptos"/>
          <w:noProof w:val="0"/>
          <w:sz w:val="24"/>
          <w:szCs w:val="24"/>
          <w:lang w:val="pt-BR"/>
        </w:rPr>
        <w:t>adeque</w:t>
      </w:r>
      <w:r w:rsidRPr="291AFECB" w:rsidR="1AA28D39">
        <w:rPr>
          <w:rFonts w:ascii="Aptos" w:hAnsi="Aptos" w:eastAsia="Aptos" w:cs="Aptos"/>
          <w:noProof w:val="0"/>
          <w:sz w:val="24"/>
          <w:szCs w:val="24"/>
          <w:lang w:val="pt-BR"/>
        </w:rPr>
        <w:t>, poderá ser utilizada adaptação ao método oficial ou método alternativo</w:t>
      </w:r>
      <w:r w:rsidRPr="291AFECB" w:rsidR="3A9023DF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 ao método oficial</w:t>
      </w:r>
      <w:r w:rsidRPr="291AFECB" w:rsidR="1AA28D39">
        <w:rPr>
          <w:rFonts w:ascii="Aptos" w:hAnsi="Aptos" w:eastAsia="Aptos" w:cs="Aptos"/>
          <w:noProof w:val="0"/>
          <w:sz w:val="24"/>
          <w:szCs w:val="24"/>
          <w:lang w:val="pt-BR"/>
        </w:rPr>
        <w:t>.</w:t>
      </w:r>
    </w:p>
    <w:p xmlns:wp14="http://schemas.microsoft.com/office/word/2010/wordml" w:rsidP="4151692F" wp14:paraId="063AE027" wp14:textId="222183EC">
      <w:pPr>
        <w:pStyle w:val="Normal"/>
        <w:jc w:val="both"/>
      </w:pPr>
      <w:r w:rsidRPr="4151692F" w:rsidR="5BD1E144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Os ensaios de avaliação de eficiência devem ser conduzidos em casa de vegetação e viveiro ou campo, a depender do modo de ação e da finalidade de uso do inoculantes. Quando as avaliações dos produtos forem realizadas apenas em casa de vegetação ou viveiro, os ensaios deverão ser conduzidos por pelo menos quatro vezes, com o emprego de diferentes cultivares, quando aplicável. As avaliações de campo deverão ser conduzidas em, pelo menos, dois locais em condições edafoclimáticas distintas, tecnicamente adequadas à cultura, por no mínimo duas </w:t>
      </w:r>
      <w:r w:rsidRPr="4151692F" w:rsidR="5BD1E144">
        <w:rPr>
          <w:rFonts w:ascii="Aptos" w:hAnsi="Aptos" w:eastAsia="Aptos" w:cs="Aptos"/>
          <w:noProof w:val="0"/>
          <w:sz w:val="24"/>
          <w:szCs w:val="24"/>
          <w:lang w:val="pt-BR"/>
        </w:rPr>
        <w:t>safras agrícolas</w:t>
      </w:r>
      <w:r w:rsidRPr="4151692F" w:rsidR="5BD1E144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 ou, pelo menos em quatro locais em condições edafoclimáticas distintas tecnicamente adequadas à cultura em questão em uma única safra. Deve ser dada prioridade à condução dos experimentos em locais representativos da cultura. Os ensaios que forem </w:t>
      </w:r>
      <w:r w:rsidRPr="4151692F" w:rsidR="0B974EB3">
        <w:rPr>
          <w:rFonts w:ascii="Aptos" w:hAnsi="Aptos" w:eastAsia="Aptos" w:cs="Aptos"/>
          <w:noProof w:val="0"/>
          <w:sz w:val="24"/>
          <w:szCs w:val="24"/>
          <w:lang w:val="pt-BR"/>
        </w:rPr>
        <w:t>implantados,</w:t>
      </w:r>
      <w:r w:rsidRPr="4151692F" w:rsidR="5BD1E144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 mas não puderem ser colhidos por questões que fujam ao controle dos envolvidos com a pesquisa não serão considerados na totalização de ensaios realizados. </w:t>
      </w:r>
    </w:p>
    <w:p xmlns:wp14="http://schemas.microsoft.com/office/word/2010/wordml" w:rsidP="4151692F" wp14:paraId="3A81D4BB" wp14:textId="65A78DD9">
      <w:pPr>
        <w:pStyle w:val="Normal"/>
        <w:jc w:val="both"/>
      </w:pPr>
      <w:r w:rsidRPr="4151692F" w:rsidR="5BD1E144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A critério do MAPA poderão ser exigidos ensaios de campo para comprovação de eficiência de novas tecnologias de inoculação. </w:t>
      </w:r>
    </w:p>
    <w:p xmlns:wp14="http://schemas.microsoft.com/office/word/2010/wordml" w:rsidP="4151692F" wp14:paraId="665F7E0F" wp14:textId="763F63A7">
      <w:pPr>
        <w:pStyle w:val="Normal"/>
        <w:jc w:val="both"/>
      </w:pPr>
      <w:r w:rsidRPr="4151692F" w:rsidR="5BD1E144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Eventuais desvios do protocolo mínimo aqui apresentado deverão ser justificados tecnicamente no Relatório Técnico-Científico conclusivo (item 4.3.5). </w:t>
      </w:r>
    </w:p>
    <w:p xmlns:wp14="http://schemas.microsoft.com/office/word/2010/wordml" w:rsidP="4151692F" wp14:paraId="2061A8AE" wp14:textId="633F723C">
      <w:pPr>
        <w:pStyle w:val="Normal"/>
        <w:rPr>
          <w:rFonts w:ascii="Aptos" w:hAnsi="Aptos" w:eastAsia="Aptos" w:cs="Aptos"/>
          <w:noProof w:val="0"/>
          <w:sz w:val="24"/>
          <w:szCs w:val="24"/>
          <w:lang w:val="pt-BR"/>
        </w:rPr>
      </w:pPr>
    </w:p>
    <w:p xmlns:wp14="http://schemas.microsoft.com/office/word/2010/wordml" w:rsidP="291AFECB" wp14:paraId="64E8B7DE" wp14:textId="1BC78952">
      <w:pPr>
        <w:pStyle w:val="Normal"/>
        <w:jc w:val="both"/>
      </w:pP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3. CONDIÇÕES BÁSICAS PARA RECOMENDAÇÃO DE NOVAS CEPAS. </w:t>
      </w:r>
    </w:p>
    <w:p xmlns:wp14="http://schemas.microsoft.com/office/word/2010/wordml" w:rsidP="291AFECB" wp14:paraId="088101DB" wp14:textId="7B061423">
      <w:pPr>
        <w:pStyle w:val="Normal"/>
        <w:jc w:val="both"/>
      </w:pP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Apresentação de Relatório Técnico-Científico conclusivo, conforme item 4.3.5, que atenda a todos os requisitos especificados para avaliação de cepas. </w:t>
      </w:r>
    </w:p>
    <w:p xmlns:wp14="http://schemas.microsoft.com/office/word/2010/wordml" w:rsidP="291AFECB" wp14:paraId="7A0F21CB" wp14:textId="0F990CBF">
      <w:pPr>
        <w:pStyle w:val="Normal"/>
        <w:jc w:val="both"/>
        <w:rPr>
          <w:rFonts w:ascii="Aptos" w:hAnsi="Aptos" w:eastAsia="Aptos" w:cs="Aptos"/>
          <w:noProof w:val="0"/>
          <w:sz w:val="24"/>
          <w:szCs w:val="24"/>
          <w:lang w:val="pt-BR"/>
        </w:rPr>
      </w:pPr>
    </w:p>
    <w:p xmlns:wp14="http://schemas.microsoft.com/office/word/2010/wordml" w:rsidP="291AFECB" wp14:paraId="5084F87A" wp14:textId="2C65D80C">
      <w:pPr>
        <w:pStyle w:val="Normal"/>
        <w:jc w:val="both"/>
      </w:pP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4. AVALIAÇÃO DA VIABILIDADE E EFICIÊNCIA AGRONÔMICA DE CEPAS, INOCULANTES E TECNOLOGIAS DE INOCULAÇÃO. </w:t>
      </w:r>
    </w:p>
    <w:p xmlns:wp14="http://schemas.microsoft.com/office/word/2010/wordml" w:rsidP="291AFECB" wp14:paraId="23691A0B" wp14:textId="1138A53E">
      <w:pPr>
        <w:pStyle w:val="Normal"/>
        <w:jc w:val="both"/>
      </w:pP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A metodologia aqui descrita é própria para soja, feijão, caupi e outras leguminosas, com as devidas adaptações técnicas e metodológicas para cada cultura como, por exemplo, exigência climática, espaçamento, época de plantio, cultivar recomendada, adubação e calagem. </w:t>
      </w:r>
    </w:p>
    <w:p xmlns:wp14="http://schemas.microsoft.com/office/word/2010/wordml" w:rsidP="291AFECB" wp14:paraId="5D9308D9" wp14:textId="0D50BBDD">
      <w:pPr>
        <w:pStyle w:val="Normal"/>
        <w:jc w:val="both"/>
      </w:pPr>
      <w:r w:rsidRPr="291AFECB" w:rsidR="10609526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4.1. Testes de Laboratório Cepas: As cepas apresentadas para </w:t>
      </w:r>
      <w:r w:rsidRPr="291AFECB" w:rsidR="10B24343">
        <w:rPr>
          <w:rFonts w:ascii="Aptos" w:hAnsi="Aptos" w:eastAsia="Aptos" w:cs="Aptos"/>
          <w:noProof w:val="0"/>
          <w:sz w:val="24"/>
          <w:szCs w:val="24"/>
          <w:lang w:val="pt-BR"/>
        </w:rPr>
        <w:t>i</w:t>
      </w:r>
      <w:r w:rsidRPr="291AFECB" w:rsidR="10B24343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nclusão na Coleção </w:t>
      </w:r>
      <w:r w:rsidRPr="291AFECB" w:rsidR="10B24343">
        <w:rPr>
          <w:rFonts w:ascii="Aptos" w:hAnsi="Aptos" w:eastAsia="Aptos" w:cs="Aptos"/>
          <w:noProof w:val="0"/>
          <w:sz w:val="24"/>
          <w:szCs w:val="24"/>
          <w:lang w:val="pt-BR"/>
        </w:rPr>
        <w:t>Oficial</w:t>
      </w:r>
      <w:r w:rsidRPr="291AFECB" w:rsidR="10B24343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 dos Microrganismos para a </w:t>
      </w:r>
      <w:r w:rsidRPr="291AFECB" w:rsidR="10B24343">
        <w:rPr>
          <w:rFonts w:ascii="Aptos" w:hAnsi="Aptos" w:eastAsia="Aptos" w:cs="Aptos"/>
          <w:noProof w:val="0"/>
          <w:sz w:val="24"/>
          <w:szCs w:val="24"/>
          <w:lang w:val="pt-BR"/>
        </w:rPr>
        <w:t>Pr</w:t>
      </w:r>
      <w:r w:rsidRPr="291AFECB" w:rsidR="10B24343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odução de </w:t>
      </w:r>
      <w:r w:rsidRPr="291AFECB" w:rsidR="10B24343">
        <w:rPr>
          <w:rFonts w:ascii="Aptos" w:hAnsi="Aptos" w:eastAsia="Aptos" w:cs="Aptos"/>
          <w:noProof w:val="0"/>
          <w:sz w:val="24"/>
          <w:szCs w:val="24"/>
          <w:lang w:val="pt-BR"/>
        </w:rPr>
        <w:t>I</w:t>
      </w:r>
      <w:r w:rsidRPr="291AFECB" w:rsidR="10B24343">
        <w:rPr>
          <w:rFonts w:ascii="Aptos" w:hAnsi="Aptos" w:eastAsia="Aptos" w:cs="Aptos"/>
          <w:noProof w:val="0"/>
          <w:sz w:val="24"/>
          <w:szCs w:val="24"/>
          <w:lang w:val="pt-BR"/>
        </w:rPr>
        <w:t>noculantes</w:t>
      </w:r>
      <w:r w:rsidRPr="291AFECB" w:rsidR="10609526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 deverão ser identificadas </w:t>
      </w:r>
      <w:r w:rsidRPr="291AFECB" w:rsidR="7BE98E62">
        <w:rPr>
          <w:rFonts w:ascii="Aptos" w:hAnsi="Aptos" w:eastAsia="Aptos" w:cs="Aptos"/>
          <w:noProof w:val="0"/>
          <w:sz w:val="24"/>
          <w:szCs w:val="24"/>
          <w:lang w:val="pt-BR"/>
        </w:rPr>
        <w:t>geneticamente e</w:t>
      </w:r>
      <w:r w:rsidRPr="291AFECB" w:rsidR="10609526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 caracterizadas </w:t>
      </w:r>
      <w:r w:rsidRPr="291AFECB" w:rsidR="10609526">
        <w:rPr>
          <w:rFonts w:ascii="Aptos" w:hAnsi="Aptos" w:eastAsia="Aptos" w:cs="Aptos"/>
          <w:noProof w:val="0"/>
          <w:sz w:val="24"/>
          <w:szCs w:val="24"/>
          <w:lang w:val="pt-BR"/>
        </w:rPr>
        <w:t>morfofisiologicamente</w:t>
      </w:r>
      <w:r w:rsidRPr="291AFECB" w:rsidR="10609526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. </w:t>
      </w:r>
      <w:r w:rsidRPr="291AFECB" w:rsidR="703726BB">
        <w:rPr>
          <w:rFonts w:ascii="Aptos" w:hAnsi="Aptos" w:eastAsia="Aptos" w:cs="Aptos"/>
          <w:noProof w:val="0"/>
          <w:sz w:val="24"/>
          <w:szCs w:val="24"/>
          <w:lang w:val="pt-BR"/>
        </w:rPr>
        <w:t>A metodologia de identificação genética empregada deverá possuir poder discriminatório suficiente para distinguir, de forma inequívoca, a cepa proposta d</w:t>
      </w:r>
      <w:r w:rsidRPr="291AFECB" w:rsidR="703726BB">
        <w:rPr>
          <w:rFonts w:ascii="Aptos" w:hAnsi="Aptos" w:eastAsia="Aptos" w:cs="Aptos"/>
          <w:noProof w:val="0"/>
          <w:sz w:val="24"/>
          <w:szCs w:val="24"/>
          <w:lang w:val="pt-BR"/>
        </w:rPr>
        <w:t>e outras</w:t>
      </w:r>
      <w:r w:rsidRPr="291AFECB" w:rsidR="703726BB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 cepas da mesma espécie.</w:t>
      </w:r>
    </w:p>
    <w:p w:rsidR="1A24C9BC" w:rsidP="291AFECB" w:rsidRDefault="1A24C9BC" w14:paraId="1845F74C" w14:textId="03556B4B">
      <w:pPr>
        <w:pStyle w:val="Normal"/>
        <w:jc w:val="both"/>
      </w:pP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>Produtos: Os produtos formulados utilizados nos testes deverão ser caracterizados em laboratório quanto à identidade, pureza e concentração de microrganismos</w:t>
      </w:r>
      <w:r w:rsidRPr="291AFECB" w:rsidR="5179567F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. </w:t>
      </w:r>
      <w:r w:rsidRPr="291AFECB" w:rsidR="5179567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BR"/>
        </w:rPr>
        <w:t xml:space="preserve">Preferencialmente, as análises devem ser executadas de acordo com os métodos oficiais.  </w:t>
      </w:r>
      <w:r w:rsidRPr="291AFECB" w:rsidR="5179567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pt-BR"/>
        </w:rPr>
        <w:t>Nos casos em que o método oficial não se adeque</w:t>
      </w:r>
      <w:r w:rsidRPr="291AFECB" w:rsidR="5179567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BR"/>
        </w:rPr>
        <w:t>, poderá ser utilizada adaptação ao método oficial ou método alternativo ao método oficial.</w:t>
      </w:r>
      <w:r w:rsidRPr="291AFECB" w:rsidR="5179567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pt-BR"/>
        </w:rPr>
        <w:t xml:space="preserve"> Caso o método oficial de análise seja adequado a avaliação do produto, esta informação deve estar claramente declarada no relatório técnico-científico conclusivo</w:t>
      </w:r>
      <w:r w:rsidRPr="291AFECB" w:rsidR="5179567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pt-BR"/>
        </w:rPr>
        <w:t xml:space="preserve">. Caso seja necessária adaptação do método oficial ou método alternativo, o pedido de registro de produto novo deverá ser encaminhado com a metodologia de análise detalhada e com a DECLARAÇÃO DE RESPONSABILIDADE SOBRE O MÉTODO ANALÍTICO PROPOSTO devidamente preenchido e assinado pelo responsável legal do estabelecimento requerente do registro.  </w:t>
      </w:r>
      <w:r w:rsidRPr="291AFECB" w:rsidR="5179567F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 </w:t>
      </w:r>
    </w:p>
    <w:p xmlns:wp14="http://schemas.microsoft.com/office/word/2010/wordml" w:rsidP="291AFECB" wp14:paraId="18FE1A7E" wp14:textId="3F5EA1D5">
      <w:pPr>
        <w:pStyle w:val="Normal"/>
        <w:jc w:val="both"/>
      </w:pP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Tecnologias: </w:t>
      </w:r>
      <w:r w:rsidRPr="291AFECB" w:rsidR="5CB2C0A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BR"/>
        </w:rPr>
        <w:t>Na avaliação de novas tecnologias que envolvam a sobrevivência da bactéria nas sementes deverão ser conduzidos testes laboratoriais de sobrevivência, de acordo com método oficia</w:t>
      </w:r>
      <w:r w:rsidRPr="291AFECB" w:rsidR="5CB2C0A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pt-BR"/>
        </w:rPr>
        <w:t>l, com adaptação do método oficial ou com o método alternativo apresentado por ocasião do registro do produto.</w:t>
      </w:r>
      <w:r w:rsidRPr="291AFECB" w:rsidR="5CB2C0A6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 </w:t>
      </w: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Os tratamentos que reproduzam condições estressantes como </w:t>
      </w: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>pré</w:t>
      </w: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-inoculação ou exposição do inoculante a agentes daninhos às células deverão ser comparados com o tratamento controle. O tratamento controle deverá reproduzir a recomendação técnica, ou seja, determinação da sobrevivência do </w:t>
      </w: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>microrganismo</w:t>
      </w: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 no mesmo dia da inoculação, sendo as bactérias protegidas dos fatores estressantes. </w:t>
      </w:r>
    </w:p>
    <w:p xmlns:wp14="http://schemas.microsoft.com/office/word/2010/wordml" w:rsidP="291AFECB" wp14:paraId="17A85149" wp14:textId="29C31EFB">
      <w:pPr>
        <w:pStyle w:val="Normal"/>
        <w:jc w:val="both"/>
      </w:pP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>4.2. Ensaio em Casa de Vegetação</w:t>
      </w:r>
    </w:p>
    <w:p xmlns:wp14="http://schemas.microsoft.com/office/word/2010/wordml" w:rsidP="291AFECB" wp14:paraId="168B6077" wp14:textId="7C5EE038">
      <w:pPr>
        <w:pStyle w:val="Normal"/>
        <w:jc w:val="both"/>
      </w:pP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Os ensaios em casa de vegetação devem ser conduzidos na avaliação de cepas e de produtos que se destinam ao uso em ambiente protegido. A apresentação de resultados de avaliação em casa de vegetação de outros produtos inoculantes e de tecnologias é opcional. </w:t>
      </w:r>
    </w:p>
    <w:p xmlns:wp14="http://schemas.microsoft.com/office/word/2010/wordml" w:rsidP="291AFECB" wp14:paraId="766CE16A" wp14:textId="67265850">
      <w:pPr>
        <w:pStyle w:val="Normal"/>
        <w:jc w:val="both"/>
      </w:pP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4.2.1. Tratamentos </w:t>
      </w:r>
    </w:p>
    <w:p xmlns:wp14="http://schemas.microsoft.com/office/word/2010/wordml" w:rsidP="291AFECB" wp14:paraId="3EADE7CF" wp14:textId="0CFCB72C">
      <w:pPr>
        <w:pStyle w:val="Normal"/>
        <w:jc w:val="both"/>
      </w:pP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1. Tratamento sem inoculação; </w:t>
      </w:r>
    </w:p>
    <w:p xmlns:wp14="http://schemas.microsoft.com/office/word/2010/wordml" w:rsidP="291AFECB" wp14:paraId="270D98C6" wp14:textId="5348E4AE">
      <w:pPr>
        <w:pStyle w:val="Normal"/>
        <w:jc w:val="both"/>
      </w:pP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2. Tratamento sem inoculação, com N na concentração recomendada para a cultura* 3. Tratamentos com inoculação de cepas já recomendadas para a cultura, testadas separadamente, quando existentes; </w:t>
      </w:r>
    </w:p>
    <w:p xmlns:wp14="http://schemas.microsoft.com/office/word/2010/wordml" w:rsidP="291AFECB" wp14:paraId="19203D4B" wp14:textId="5FCE3FDA">
      <w:pPr>
        <w:pStyle w:val="Normal"/>
        <w:jc w:val="both"/>
      </w:pP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4. Tratamentos com inoculação das cepas a serem testadas separadamente. </w:t>
      </w:r>
    </w:p>
    <w:p xmlns:wp14="http://schemas.microsoft.com/office/word/2010/wordml" w:rsidP="291AFECB" wp14:paraId="35B717F9" wp14:textId="75FCE95E">
      <w:pPr>
        <w:pStyle w:val="Normal"/>
        <w:jc w:val="both"/>
      </w:pP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* O nitrogênio deverá ser parcelado semanalmente. </w:t>
      </w:r>
    </w:p>
    <w:p xmlns:wp14="http://schemas.microsoft.com/office/word/2010/wordml" w:rsidP="291AFECB" wp14:paraId="7BEE48E8" wp14:textId="14DB4594">
      <w:pPr>
        <w:pStyle w:val="Normal"/>
        <w:jc w:val="both"/>
        <w:rPr>
          <w:rFonts w:ascii="Aptos" w:hAnsi="Aptos" w:eastAsia="Aptos" w:cs="Aptos"/>
          <w:noProof w:val="0"/>
          <w:sz w:val="24"/>
          <w:szCs w:val="24"/>
          <w:lang w:val="pt-BR"/>
        </w:rPr>
      </w:pP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>Exemplos de requerimento do nutriente por planta: Soja: 700mg; Feijão e Caupi: 350mg</w:t>
      </w:r>
    </w:p>
    <w:p xmlns:wp14="http://schemas.microsoft.com/office/word/2010/wordml" w:rsidP="291AFECB" wp14:paraId="2D94EB8B" wp14:textId="46983203">
      <w:pPr>
        <w:pStyle w:val="Normal"/>
        <w:jc w:val="both"/>
      </w:pP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>4.2.2. Estágios de avaliação: as cepas ou produtos devem ser avaliados em vasos de Leonard e vasos com solo, com no mínimo quatro repetições para cada tratamento, conforme descrito:</w:t>
      </w:r>
    </w:p>
    <w:p xmlns:wp14="http://schemas.microsoft.com/office/word/2010/wordml" w:rsidP="291AFECB" wp14:paraId="581F3C12" wp14:textId="00DC6356">
      <w:pPr>
        <w:pStyle w:val="Normal"/>
        <w:jc w:val="both"/>
      </w:pP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 4.2.2.1. Vasos de Leonard ou sistemas semelhantes que permitam o cultivo sob condições de substratos estéreis: Colocar sementes desinfestadas e ou plântulas em vasos Leonard autoclavados preenchidos com um substrato e solução nutritiva de Norris </w:t>
      </w: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>1</w:t>
      </w: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>,</w:t>
      </w: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 ou solução equivalente. Inocular conforme os objetivos de cada estudo.</w:t>
      </w:r>
    </w:p>
    <w:p xmlns:wp14="http://schemas.microsoft.com/office/word/2010/wordml" w:rsidP="291AFECB" wp14:paraId="7A89A9F1" wp14:textId="0F5EDE5C">
      <w:pPr>
        <w:pStyle w:val="Normal"/>
        <w:jc w:val="both"/>
      </w:pP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 4.2.2.2. Vasos com solo: Plantar as sementes desinfestadas em vasos com solo, preferencialmente livre ou com baixas populações de rizóbios e baixo teor de nitrogênio. Em solos com teores elevados de matéria orgânica adicionar palha de arroz ou milho na proporção de 1 a 3 gramas de palha por quilograma de solo seco, ou realizar outro procedimento para imobilização do N de fonte orgânica. Inocular conforme os objetivos de cada estudo. </w:t>
      </w:r>
    </w:p>
    <w:p xmlns:wp14="http://schemas.microsoft.com/office/word/2010/wordml" w:rsidP="291AFECB" wp14:paraId="7D03C497" wp14:textId="3B0D03A0">
      <w:pPr>
        <w:pStyle w:val="Normal"/>
        <w:jc w:val="both"/>
      </w:pP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Observação: Cuidados normais de assepsia devem ser observados durante o preparo dos vasos, inoculação e condução dos testes. </w:t>
      </w:r>
    </w:p>
    <w:p xmlns:wp14="http://schemas.microsoft.com/office/word/2010/wordml" w:rsidP="291AFECB" wp14:paraId="5393103B" wp14:textId="2C9F2066">
      <w:pPr>
        <w:pStyle w:val="Normal"/>
        <w:jc w:val="both"/>
      </w:pP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4.2.3. Parâmetros mínimos a serem avaliados: </w:t>
      </w:r>
    </w:p>
    <w:p xmlns:wp14="http://schemas.microsoft.com/office/word/2010/wordml" w:rsidP="291AFECB" wp14:paraId="324E6656" wp14:textId="534C29E7">
      <w:pPr>
        <w:pStyle w:val="Normal"/>
        <w:jc w:val="both"/>
      </w:pP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Especificamente para seleção de cepas deve-se avaliar o número e a massa de nódulos secos (g/planta ou vaso). Na seleção de cepa e na avaliação de inoculantes devem também ser avaliados a massa seca da parte aérea (g/planta) de plantas cortadas no ponto de inserção dos cotilédones e nitrogênio total na massa seca (mg de N/planta). A eficiência nodular (mg de N da massa seca de planta/mg de nódulos secos) pode ser calculada a partir dos parâmetros determinados. Opcionalmente pode ser medido o teor de clorofila nas folhas. </w:t>
      </w:r>
    </w:p>
    <w:p xmlns:wp14="http://schemas.microsoft.com/office/word/2010/wordml" w:rsidP="291AFECB" wp14:paraId="18676ABF" wp14:textId="57375072">
      <w:pPr>
        <w:pStyle w:val="Normal"/>
        <w:jc w:val="both"/>
      </w:pP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Aos 35-40 dias após emergência fazer o corte das plantas e separar as raízes da parte aérea no ponto de inserção dos cotilédones. Separar os nódulos das raízes, contar, secar em estufa a 65° até atingir massa constante, apresentado o resultado em g/planta ou vaso. Secar a parte aérea das plantas, como descrito anteriormente, pesar, moer e determinar os teores de N na massa seca. Apresentar os resultados da massa seca das plantas em g/planta ou vaso, N total na massa seca em mg de N/planta. De posse dos parâmetros N total na massa seca (mg) e massa seca de nódulos (mg) determinar a eficiência nodular que é igual a mg de N total da massa seca dividido por mg de nódulos secos. </w:t>
      </w:r>
    </w:p>
    <w:p xmlns:wp14="http://schemas.microsoft.com/office/word/2010/wordml" w:rsidP="291AFECB" wp14:paraId="6C41C611" wp14:textId="29B4BC2A">
      <w:pPr>
        <w:pStyle w:val="Normal"/>
        <w:jc w:val="both"/>
      </w:pP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4.3. Ensaios no Campo </w:t>
      </w:r>
    </w:p>
    <w:p xmlns:wp14="http://schemas.microsoft.com/office/word/2010/wordml" w:rsidP="291AFECB" wp14:paraId="5EC07A8A" wp14:textId="0D877433">
      <w:pPr>
        <w:pStyle w:val="Normal"/>
        <w:jc w:val="both"/>
      </w:pP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A área a ser utilizada para instalação do experimento deve ser preparada e ter suas características químicas e físicas determinadas. Se possível fazer análise foliar da cultura anterior para facilitar a adubação com </w:t>
      </w: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>os macro</w:t>
      </w: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 e micronutrientes necessários. </w:t>
      </w:r>
    </w:p>
    <w:p xmlns:wp14="http://schemas.microsoft.com/office/word/2010/wordml" w:rsidP="291AFECB" wp14:paraId="4F14DF8D" wp14:textId="075B33D4">
      <w:pPr>
        <w:pStyle w:val="Normal"/>
        <w:jc w:val="both"/>
      </w:pP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O solo a ser utilizado não deverá apresentar população estabelecida do rizóbio em estudo. Na impossibilidade de atendimento deste requisito a população deverá ser quantificada e incluída no relatório técnico-científico. </w:t>
      </w:r>
    </w:p>
    <w:p xmlns:wp14="http://schemas.microsoft.com/office/word/2010/wordml" w:rsidP="291AFECB" wp14:paraId="6B46B0C5" wp14:textId="5F4EDC61">
      <w:pPr>
        <w:pStyle w:val="Normal"/>
        <w:jc w:val="both"/>
      </w:pP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>Os experimentos deverão ser delineados a campo em blocos ao acaso com no mínimo quatro repetições. A semeadura das parcelas deverá ser feita de forma a evitar contaminação entre as parcelas experimentais. As parcelas experimentais deverão ter uma dimensão que possibilite uma área útil experimental suficientemente representativa. No caso específico da soja e feijão as parcelas deverão ter tamanho mínimo de 24,0 e 10 m</w:t>
      </w: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>2 ,</w:t>
      </w: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 área útil mínima de 6,0 e 4,0 m</w:t>
      </w: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>2 ,</w:t>
      </w: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 respectivamente, observados distância mínima entre parcelas de um metro para evitar contaminações. Sugere-se para soja: parcelas de 4 x 6 m (oito linhas espaçadas de 0,5 m) colhendo as 4 linhas centrais ou 5 x 5 m (dez linhas espaçadas 0,5 m) colhendo as seis linhas centrais, deixando sempre um metro de bordadura nas cabeceiras. </w:t>
      </w:r>
    </w:p>
    <w:p xmlns:wp14="http://schemas.microsoft.com/office/word/2010/wordml" w:rsidP="291AFECB" wp14:paraId="45C53C47" wp14:textId="05D7FC14">
      <w:pPr>
        <w:pStyle w:val="Normal"/>
        <w:jc w:val="both"/>
      </w:pP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4.3.1. Tratamentos: </w:t>
      </w:r>
    </w:p>
    <w:p xmlns:wp14="http://schemas.microsoft.com/office/word/2010/wordml" w:rsidP="291AFECB" wp14:paraId="5511CD61" wp14:textId="2979E32D">
      <w:pPr>
        <w:pStyle w:val="Normal"/>
        <w:jc w:val="both"/>
      </w:pP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>O experimento de campo deverá conter, no mínimo, os seguintes tratamentos:</w:t>
      </w:r>
    </w:p>
    <w:p xmlns:wp14="http://schemas.microsoft.com/office/word/2010/wordml" w:rsidP="291AFECB" wp14:paraId="2CEC0687" wp14:textId="7282BDD5">
      <w:pPr>
        <w:pStyle w:val="Normal"/>
        <w:jc w:val="both"/>
      </w:pP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 Tratamento 1. Ausência de fertilizante nitrogenado e de inoculação; </w:t>
      </w:r>
    </w:p>
    <w:p xmlns:wp14="http://schemas.microsoft.com/office/word/2010/wordml" w:rsidP="291AFECB" wp14:paraId="075B0C12" wp14:textId="4482823C">
      <w:pPr>
        <w:pStyle w:val="Normal"/>
        <w:jc w:val="both"/>
      </w:pP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Tratamento 2. Controle com N-mineral; </w:t>
      </w:r>
    </w:p>
    <w:p xmlns:wp14="http://schemas.microsoft.com/office/word/2010/wordml" w:rsidP="291AFECB" wp14:paraId="08AC5163" wp14:textId="702C3DF5">
      <w:pPr>
        <w:pStyle w:val="Normal"/>
        <w:jc w:val="both"/>
      </w:pP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Tratamento 3. Inoculação padrão com inoculante turfoso contendo ao menos uma das cepas recomendadas para a cultura, quando existente. </w:t>
      </w:r>
    </w:p>
    <w:p xmlns:wp14="http://schemas.microsoft.com/office/word/2010/wordml" w:rsidP="291AFECB" wp14:paraId="59FA74F5" wp14:textId="313681CA">
      <w:pPr>
        <w:pStyle w:val="Normal"/>
        <w:jc w:val="both"/>
      </w:pP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Tratamento 4. Demais tratamentos a serem testados – seguir a recomendação técnica do proponente. </w:t>
      </w:r>
    </w:p>
    <w:p xmlns:wp14="http://schemas.microsoft.com/office/word/2010/wordml" w:rsidP="291AFECB" wp14:paraId="4ECDF7BE" wp14:textId="61604C73">
      <w:pPr>
        <w:pStyle w:val="Normal"/>
        <w:jc w:val="both"/>
      </w:pP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Observações: Tratamento 2. As seguintes doses e formas de aplicação de nitrogênio são recomendadas: Soja - 200 kg de N/ha, sendo 50% na semeadura e 50% na floração ou aos 35 dias após emergência, por ocasião da coleta de plantas; Feijão - 80 kg de N/ha, sendo 20 kg no plantio e 60 kg aos 20-25 dias após emergência; Caupi - 70 kg de N/ha, sendo 35 kg no plantio e 35 kg aos 20-25 dias após emergência; </w:t>
      </w:r>
    </w:p>
    <w:p xmlns:wp14="http://schemas.microsoft.com/office/word/2010/wordml" w:rsidP="291AFECB" wp14:paraId="34E2C819" wp14:textId="092456C7">
      <w:pPr>
        <w:pStyle w:val="Normal"/>
        <w:jc w:val="both"/>
      </w:pP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Tratamento 3. A inoculação padrão consiste em umedecer as sementes com água açucarada a 10%, usando no máximo 300 ml por 50 kg de sementes, e aplicação de acordo com a recomendação técnica (em número de UFC por semente) de um inoculante turfoso com população mínima legalmente estabelecida. O cálculo do número de células por semente deve tomar por base que um kg de semente de soja tem 7000 sementes e um kg de feijão ou de caupi tem 5000 sementes. Para outras espécies, considerar o número de sementes por quilograma. As sementes inoculadas devem secar em local fresco e arejado e a semeadura deve ser feita imediatamente após a secagem, em período não superior a duas horas. Como a maioria dos produtos químicos pode ser tóxica quando em contato direto com a bactéria, os insumos usados para tratamento de sementes (micronutrientes, fungicidas e inseticidas) devem ser evitados ou, se utilizados, não devem ter contato direto com o inoculante. No caso de ser necessária a aplicação de micronutrientes, recomenda-se que a aplicação seja feita por pulverização foliar antes da floração na mesma dose recomendada para as sementes ou segundo as recomendações técnicas para cada cultura e região. </w:t>
      </w:r>
    </w:p>
    <w:p xmlns:wp14="http://schemas.microsoft.com/office/word/2010/wordml" w:rsidP="291AFECB" wp14:paraId="4272EC97" wp14:textId="5ED76027">
      <w:pPr>
        <w:pStyle w:val="Normal"/>
        <w:jc w:val="both"/>
      </w:pP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Recomendação Geral: Sempre usar a mesma população de células para a inoculação padrão e para os inoculantes ou cepas em teste. No caso de inoculantes líquidos, o total de líquido a ser aplicado nas sementes não deve ultrapassar 300 ml por 50 kg de sementes. </w:t>
      </w:r>
    </w:p>
    <w:p xmlns:wp14="http://schemas.microsoft.com/office/word/2010/wordml" w:rsidP="291AFECB" wp14:paraId="7B5D58CB" wp14:textId="036D9064">
      <w:pPr>
        <w:pStyle w:val="Normal"/>
        <w:jc w:val="both"/>
      </w:pP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4.3.2. Parâmetros mínimos a serem avaliados a campo: </w:t>
      </w:r>
    </w:p>
    <w:p xmlns:wp14="http://schemas.microsoft.com/office/word/2010/wordml" w:rsidP="291AFECB" wp14:paraId="45668364" wp14:textId="7EFD74AC">
      <w:pPr>
        <w:pStyle w:val="Normal"/>
        <w:jc w:val="both"/>
      </w:pP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4.3.2.1. Caracterização química e física do </w:t>
      </w: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solo </w:t>
      </w:r>
    </w:p>
    <w:p xmlns:wp14="http://schemas.microsoft.com/office/word/2010/wordml" w:rsidP="291AFECB" wp14:paraId="2CF0F7ED" wp14:textId="217AAEF5">
      <w:pPr>
        <w:pStyle w:val="Normal"/>
        <w:jc w:val="both"/>
      </w:pP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>Devem</w:t>
      </w: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 ser realizadas as análises químicas necessárias à verificação do requerimento de adubação. A classificação do solo e sua classe </w:t>
      </w: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>textural</w:t>
      </w: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 deverão ser informadas. </w:t>
      </w:r>
    </w:p>
    <w:p xmlns:wp14="http://schemas.microsoft.com/office/word/2010/wordml" w:rsidP="291AFECB" wp14:paraId="561394EB" wp14:textId="383DE19A">
      <w:pPr>
        <w:pStyle w:val="Normal"/>
        <w:jc w:val="both"/>
      </w:pP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4.3.2.2. População de rizóbio O solo da área experimental deverá ter a população de rizóbios determinada. </w:t>
      </w:r>
    </w:p>
    <w:p xmlns:wp14="http://schemas.microsoft.com/office/word/2010/wordml" w:rsidP="291AFECB" wp14:paraId="766EC7D0" wp14:textId="1564B20C">
      <w:pPr>
        <w:pStyle w:val="Normal"/>
        <w:jc w:val="both"/>
      </w:pP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4.3.2.3. Nodulação Coletar cinco plantas com as raízes intactas, da área central da segunda linha de cada parcela, imediatamente antes da floração (no caso da soja aos 30 - 35 dias após emergência). Apresentar resultados para número de nódulos por planta (no /planta) e massa de nódulos seca por planta (mg/planta). </w:t>
      </w:r>
    </w:p>
    <w:p xmlns:wp14="http://schemas.microsoft.com/office/word/2010/wordml" w:rsidP="291AFECB" wp14:paraId="22E31B39" wp14:textId="3BF3A071">
      <w:pPr>
        <w:pStyle w:val="Normal"/>
        <w:jc w:val="both"/>
      </w:pP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4.3.2.4. A avaliação da biomassa e nitrogênio total da parte aérea das plantas Deve ser feita por ocasião da coleta de nódulos. </w:t>
      </w:r>
    </w:p>
    <w:p xmlns:wp14="http://schemas.microsoft.com/office/word/2010/wordml" w:rsidP="291AFECB" wp14:paraId="70D6C059" wp14:textId="606483AD">
      <w:pPr>
        <w:pStyle w:val="Normal"/>
        <w:jc w:val="both"/>
      </w:pP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4.3.2.5 Rendimento de Grãos O rendimento de grãos deve ser corrigido para 13% de umidade e expresso em kg/ha. Determinar os teores de N nos grãos e expressar em mg/kg e o N total nos grãos expressar em kg de N/ha. </w:t>
      </w:r>
    </w:p>
    <w:p xmlns:wp14="http://schemas.microsoft.com/office/word/2010/wordml" w:rsidP="291AFECB" wp14:paraId="632BC682" wp14:textId="6E623535">
      <w:pPr>
        <w:pStyle w:val="Normal"/>
        <w:jc w:val="both"/>
      </w:pP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4.3.2.6. Demais parâmetros Culturas florestais: Produção de biomassa de plantas (parte aérea e/ou raízes), conforme especificação da cultura, altura de plantas, diâmetro de caule, sobrevivência das mudas e concentração do(s) nutriente(s). </w:t>
      </w:r>
    </w:p>
    <w:p xmlns:wp14="http://schemas.microsoft.com/office/word/2010/wordml" w:rsidP="291AFECB" wp14:paraId="5091AC7F" wp14:textId="483ECDDE">
      <w:pPr>
        <w:pStyle w:val="Normal"/>
        <w:jc w:val="both"/>
      </w:pP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Forrageiras: Produção de biomassa de plantas (parte aérea e/ou raízes), conforme especificação da cultura, altura de plantas, concentração do(s) nutriente(s) em estudo. </w:t>
      </w:r>
    </w:p>
    <w:p xmlns:wp14="http://schemas.microsoft.com/office/word/2010/wordml" w:rsidP="291AFECB" wp14:paraId="3507863B" wp14:textId="45D28259">
      <w:pPr>
        <w:pStyle w:val="Normal"/>
        <w:jc w:val="both"/>
      </w:pP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4.3.3. Análise estatística Os resultados devem ser submetidos à análise de variância e, quando o teste “F” for significativo a 5%, as médias dos tratamentos deverão ser comparadas por um teste de média adequado, também ao nível de 5% de significância. Se o teste de “F” não for </w:t>
      </w: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>significativa</w:t>
      </w: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 a </w:t>
      </w: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>5%</w:t>
      </w: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 mas apresentar significância a 10%, as médias dos tratamentos deverão ser comparadas pelo teste de média, também ao nível de 10% de significância. </w:t>
      </w:r>
    </w:p>
    <w:p xmlns:wp14="http://schemas.microsoft.com/office/word/2010/wordml" w:rsidP="291AFECB" wp14:paraId="7438A47A" wp14:textId="7555DDD6">
      <w:pPr>
        <w:pStyle w:val="Normal"/>
        <w:jc w:val="both"/>
      </w:pP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4.3.4. Interpretação dos Resultados Para recomendação de inoculantes e/ou outras tecnologias, estes devem apresentar resposta igual ou superior à inoculação padrão e/ou às tecnologias já recomendadas, respectivamente, e superior ao controle sem inoculação nos quatro ensaios. Para recomendação de nova cepa, esta deve apresentar resposta igual ou superior a pelo menos uma cepa já recomendada para a mesma cultura, e superior ao controle sem inoculação nos quatro ensaios. No caso da condução de um maior número de experimentos, o </w:t>
      </w: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>numero</w:t>
      </w: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 de casos positivos deve representar pelo menos 70% do total. A produtividade mínima a ser considerada para que o resultado do experimento seja considerado válido deve ser de 2000 kg/ha para soja, de 1000 kg/ha para feijão e de 500kg/ha para </w:t>
      </w: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>Caupi,.</w:t>
      </w: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 </w:t>
      </w:r>
    </w:p>
    <w:p xmlns:wp14="http://schemas.microsoft.com/office/word/2010/wordml" w:rsidP="291AFECB" wp14:paraId="270F1DD2" wp14:textId="057DF369">
      <w:pPr>
        <w:pStyle w:val="Normal"/>
        <w:jc w:val="both"/>
      </w:pP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4.3.5. Relatório Técnico-Científico O relatório técnico-científico deve ser redigido em língua portuguesa, em papel timbrado da instituição e seguir as orientações deste protocolo contendo: revisão bibliográfica enfatizando o objetivo do trabalho, </w:t>
      </w:r>
      <w:r w:rsidRPr="291AFECB" w:rsidR="2199C5D0">
        <w:rPr>
          <w:rFonts w:ascii="Aptos" w:hAnsi="Aptos" w:eastAsia="Aptos" w:cs="Aptos"/>
          <w:noProof w:val="0"/>
          <w:sz w:val="24"/>
          <w:szCs w:val="24"/>
          <w:lang w:val="pt-BR"/>
        </w:rPr>
        <w:t>d</w:t>
      </w:r>
      <w:r w:rsidRPr="291AFECB" w:rsidR="2199C5D0">
        <w:rPr>
          <w:rFonts w:ascii="Aptos" w:hAnsi="Aptos" w:eastAsia="Aptos" w:cs="Aptos"/>
          <w:noProof w:val="0"/>
          <w:sz w:val="24"/>
          <w:szCs w:val="24"/>
          <w:lang w:val="pt-BR"/>
        </w:rPr>
        <w:t>eclaração de que o método oficial se aplica ao produto novo em avalia</w:t>
      </w:r>
      <w:r w:rsidRPr="291AFECB" w:rsidR="11458E53">
        <w:rPr>
          <w:rFonts w:ascii="Aptos" w:hAnsi="Aptos" w:eastAsia="Aptos" w:cs="Aptos"/>
          <w:noProof w:val="0"/>
          <w:sz w:val="24"/>
          <w:szCs w:val="24"/>
          <w:lang w:val="pt-BR"/>
        </w:rPr>
        <w:t>ç</w:t>
      </w:r>
      <w:r w:rsidRPr="291AFECB" w:rsidR="2199C5D0">
        <w:rPr>
          <w:rFonts w:ascii="Aptos" w:hAnsi="Aptos" w:eastAsia="Aptos" w:cs="Aptos"/>
          <w:noProof w:val="0"/>
          <w:sz w:val="24"/>
          <w:szCs w:val="24"/>
          <w:lang w:val="pt-BR"/>
        </w:rPr>
        <w:t>ã</w:t>
      </w:r>
      <w:r w:rsidRPr="291AFECB" w:rsidR="2199C5D0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o ou, no caso de adaptação do </w:t>
      </w:r>
      <w:r w:rsidRPr="291AFECB" w:rsidR="4296C7BC">
        <w:rPr>
          <w:rFonts w:ascii="Aptos" w:hAnsi="Aptos" w:eastAsia="Aptos" w:cs="Aptos"/>
          <w:noProof w:val="0"/>
          <w:sz w:val="24"/>
          <w:szCs w:val="24"/>
          <w:lang w:val="pt-BR"/>
        </w:rPr>
        <w:t>método</w:t>
      </w:r>
      <w:r w:rsidRPr="291AFECB" w:rsidR="2199C5D0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 oficial </w:t>
      </w:r>
      <w:r w:rsidRPr="291AFECB" w:rsidR="7E56D397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ou </w:t>
      </w:r>
      <w:r w:rsidRPr="291AFECB" w:rsidR="19F1010F">
        <w:rPr>
          <w:rFonts w:ascii="Aptos" w:hAnsi="Aptos" w:eastAsia="Aptos" w:cs="Aptos"/>
          <w:noProof w:val="0"/>
          <w:sz w:val="24"/>
          <w:szCs w:val="24"/>
          <w:lang w:val="pt-BR"/>
        </w:rPr>
        <w:t>de apresentação de método</w:t>
      </w:r>
      <w:r w:rsidRPr="291AFECB" w:rsidR="7E56D397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 </w:t>
      </w:r>
      <w:r w:rsidRPr="291AFECB" w:rsidR="7FA81339">
        <w:rPr>
          <w:rFonts w:ascii="Aptos" w:hAnsi="Aptos" w:eastAsia="Aptos" w:cs="Aptos"/>
          <w:noProof w:val="0"/>
          <w:sz w:val="24"/>
          <w:szCs w:val="24"/>
          <w:lang w:val="pt-BR"/>
        </w:rPr>
        <w:t>alternativo</w:t>
      </w:r>
      <w:r w:rsidRPr="291AFECB" w:rsidR="7E56D397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, </w:t>
      </w: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descrição </w:t>
      </w: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completa </w:t>
      </w:r>
      <w:r w:rsidRPr="291AFECB" w:rsidR="4B3D13C6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e detalhada </w:t>
      </w: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>da metodologia, resultados obtidos e conclusão clara sobre a eficiência e recomendação do produto ou tecnologia testada, assim como a(s) assinatura (s) do(s) pesquisador(es) responsável(</w:t>
      </w: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>is</w:t>
      </w: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>). Análise dos custos variáveis entre os controles e o produto ou a tecnologia testada poderá ser incluída, a critério da requerente.</w:t>
      </w:r>
    </w:p>
    <w:p xmlns:wp14="http://schemas.microsoft.com/office/word/2010/wordml" w:rsidP="291AFECB" wp14:paraId="143FB79E" wp14:textId="40FE72E7">
      <w:pPr>
        <w:pStyle w:val="Normal"/>
        <w:jc w:val="both"/>
      </w:pP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1NORRIS, D.O., DATE, R.A. 1976. Legume </w:t>
      </w: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>bacteriology</w:t>
      </w: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. In: SHAW, N.H., BRYAN, W.W. (Eds.) Tropical </w:t>
      </w: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>pasture</w:t>
      </w: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 </w:t>
      </w: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>research</w:t>
      </w: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 - </w:t>
      </w: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>principles</w:t>
      </w: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 </w:t>
      </w: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>and</w:t>
      </w: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 </w:t>
      </w: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>methods</w:t>
      </w: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. Brisbane: CAB. p.134- 173. </w:t>
      </w:r>
    </w:p>
    <w:p xmlns:wp14="http://schemas.microsoft.com/office/word/2010/wordml" w:rsidP="291AFECB" wp14:paraId="1E207724" wp14:textId="1C62F74B">
      <w:pPr>
        <w:pStyle w:val="Normal"/>
        <w:jc w:val="both"/>
      </w:pPr>
      <w:r w:rsidRPr="291AFECB" w:rsidR="1A24C9BC">
        <w:rPr>
          <w:rFonts w:ascii="Aptos" w:hAnsi="Aptos" w:eastAsia="Aptos" w:cs="Aptos"/>
          <w:noProof w:val="0"/>
          <w:sz w:val="24"/>
          <w:szCs w:val="24"/>
          <w:lang w:val="pt-BR"/>
        </w:rPr>
        <w:t>Protocolo elaborado com base no “Protocolo para análise da qualidade e da eficiência agronômica de inoculantes, cepas e outras tecnologias relacionada ao processo de fixação biológica do nitrogênio em leguminosas” descrito nos Anais da 13ª Reunião da Rede de Laboratórios para Recomendação, Padronização e Difusão de Tecnologia de Inoculantes Microbianos de Interesse Agrícola (RELARE). Londrina: EMBRAPA SOJA, 2007. 212 p. – (Documento/Embrapa Soja, n.290).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842EC98"/>
    <w:rsid w:val="00CE0E8D"/>
    <w:rsid w:val="0141E301"/>
    <w:rsid w:val="01707C4B"/>
    <w:rsid w:val="01C11346"/>
    <w:rsid w:val="01E5F11C"/>
    <w:rsid w:val="039D6D96"/>
    <w:rsid w:val="03E7D1AD"/>
    <w:rsid w:val="0520C770"/>
    <w:rsid w:val="094AC055"/>
    <w:rsid w:val="0B974EB3"/>
    <w:rsid w:val="0C8F1DE1"/>
    <w:rsid w:val="0D840CDC"/>
    <w:rsid w:val="0DFA8155"/>
    <w:rsid w:val="0EC77F49"/>
    <w:rsid w:val="0EEE3DBB"/>
    <w:rsid w:val="0F6A845B"/>
    <w:rsid w:val="102B62F9"/>
    <w:rsid w:val="10609526"/>
    <w:rsid w:val="10B24343"/>
    <w:rsid w:val="10D51031"/>
    <w:rsid w:val="11458E53"/>
    <w:rsid w:val="118DDD0A"/>
    <w:rsid w:val="11FE622D"/>
    <w:rsid w:val="13F5786F"/>
    <w:rsid w:val="140DB509"/>
    <w:rsid w:val="1427C63F"/>
    <w:rsid w:val="14E09A56"/>
    <w:rsid w:val="155F7E25"/>
    <w:rsid w:val="188255C4"/>
    <w:rsid w:val="19A3E4D4"/>
    <w:rsid w:val="19F1010F"/>
    <w:rsid w:val="1A2335DE"/>
    <w:rsid w:val="1A24C9BC"/>
    <w:rsid w:val="1A975330"/>
    <w:rsid w:val="1AA28D39"/>
    <w:rsid w:val="1B56DFE4"/>
    <w:rsid w:val="1B671F48"/>
    <w:rsid w:val="1B91BF21"/>
    <w:rsid w:val="1BCE38C5"/>
    <w:rsid w:val="1CB2F5C6"/>
    <w:rsid w:val="1CBCFCC1"/>
    <w:rsid w:val="1E71717A"/>
    <w:rsid w:val="1E925D7B"/>
    <w:rsid w:val="1EA8B972"/>
    <w:rsid w:val="1EB7C03D"/>
    <w:rsid w:val="1ECB8CB8"/>
    <w:rsid w:val="201C4E04"/>
    <w:rsid w:val="20CB8B6D"/>
    <w:rsid w:val="2199C5D0"/>
    <w:rsid w:val="2320FB1F"/>
    <w:rsid w:val="2367DF25"/>
    <w:rsid w:val="24EC675B"/>
    <w:rsid w:val="25007ECB"/>
    <w:rsid w:val="25CDA7BB"/>
    <w:rsid w:val="25F3B7D4"/>
    <w:rsid w:val="26CD3121"/>
    <w:rsid w:val="27A6794B"/>
    <w:rsid w:val="2842EC98"/>
    <w:rsid w:val="291AFECB"/>
    <w:rsid w:val="29C8FCEA"/>
    <w:rsid w:val="2B293C73"/>
    <w:rsid w:val="2C028BDE"/>
    <w:rsid w:val="2CDBE5C4"/>
    <w:rsid w:val="2DE2CE6D"/>
    <w:rsid w:val="2E7659A6"/>
    <w:rsid w:val="2EC1AADA"/>
    <w:rsid w:val="2EE6059B"/>
    <w:rsid w:val="2EF0482C"/>
    <w:rsid w:val="2FC78162"/>
    <w:rsid w:val="30D51552"/>
    <w:rsid w:val="31BE2E8F"/>
    <w:rsid w:val="326207A7"/>
    <w:rsid w:val="32BA12FE"/>
    <w:rsid w:val="338FF7AD"/>
    <w:rsid w:val="33DBD929"/>
    <w:rsid w:val="3429055F"/>
    <w:rsid w:val="34346153"/>
    <w:rsid w:val="349B3CB5"/>
    <w:rsid w:val="35C10A07"/>
    <w:rsid w:val="361EB525"/>
    <w:rsid w:val="363823AC"/>
    <w:rsid w:val="372948BF"/>
    <w:rsid w:val="37E53C69"/>
    <w:rsid w:val="3930F563"/>
    <w:rsid w:val="39423E60"/>
    <w:rsid w:val="3975AADC"/>
    <w:rsid w:val="39A92263"/>
    <w:rsid w:val="3A9023DF"/>
    <w:rsid w:val="3CD68DE6"/>
    <w:rsid w:val="3E46AA86"/>
    <w:rsid w:val="3E7E3FD0"/>
    <w:rsid w:val="40B09658"/>
    <w:rsid w:val="4151692F"/>
    <w:rsid w:val="41B1486F"/>
    <w:rsid w:val="41B412E8"/>
    <w:rsid w:val="41F5931C"/>
    <w:rsid w:val="42718DFB"/>
    <w:rsid w:val="4296C7BC"/>
    <w:rsid w:val="43048912"/>
    <w:rsid w:val="430E62D3"/>
    <w:rsid w:val="44EC815E"/>
    <w:rsid w:val="4590DFCA"/>
    <w:rsid w:val="46CFFFB3"/>
    <w:rsid w:val="47B5D6F5"/>
    <w:rsid w:val="47CF2FAD"/>
    <w:rsid w:val="48BE97D8"/>
    <w:rsid w:val="49486D7D"/>
    <w:rsid w:val="4B3D13C6"/>
    <w:rsid w:val="4C23B759"/>
    <w:rsid w:val="4E2AF078"/>
    <w:rsid w:val="4F2EBD1B"/>
    <w:rsid w:val="4FF368F8"/>
    <w:rsid w:val="513DEF78"/>
    <w:rsid w:val="5179567F"/>
    <w:rsid w:val="520EFD17"/>
    <w:rsid w:val="533656F8"/>
    <w:rsid w:val="5345A311"/>
    <w:rsid w:val="53BE2EE5"/>
    <w:rsid w:val="5467038E"/>
    <w:rsid w:val="55B48AF7"/>
    <w:rsid w:val="56BCD1E1"/>
    <w:rsid w:val="56D968AE"/>
    <w:rsid w:val="5A1D764C"/>
    <w:rsid w:val="5B63CAEE"/>
    <w:rsid w:val="5BD1E144"/>
    <w:rsid w:val="5CB2C0A6"/>
    <w:rsid w:val="5D585EF7"/>
    <w:rsid w:val="6062ECC3"/>
    <w:rsid w:val="61401E48"/>
    <w:rsid w:val="615FD18B"/>
    <w:rsid w:val="62591FC6"/>
    <w:rsid w:val="62DA0AEA"/>
    <w:rsid w:val="64556C6E"/>
    <w:rsid w:val="65806132"/>
    <w:rsid w:val="670B4F59"/>
    <w:rsid w:val="68903B83"/>
    <w:rsid w:val="69206DF1"/>
    <w:rsid w:val="6BD892C5"/>
    <w:rsid w:val="6BEA90D1"/>
    <w:rsid w:val="6C1F012E"/>
    <w:rsid w:val="6CC9CB8D"/>
    <w:rsid w:val="6D331775"/>
    <w:rsid w:val="6EBE780E"/>
    <w:rsid w:val="6EEFBF61"/>
    <w:rsid w:val="703726BB"/>
    <w:rsid w:val="70425AF8"/>
    <w:rsid w:val="7069EA30"/>
    <w:rsid w:val="71263457"/>
    <w:rsid w:val="7250C49B"/>
    <w:rsid w:val="72BD6D91"/>
    <w:rsid w:val="75D885DC"/>
    <w:rsid w:val="76057037"/>
    <w:rsid w:val="760F84E6"/>
    <w:rsid w:val="763927DA"/>
    <w:rsid w:val="768DD978"/>
    <w:rsid w:val="777B945C"/>
    <w:rsid w:val="77DFF5AE"/>
    <w:rsid w:val="7A4E37B3"/>
    <w:rsid w:val="7B44A6C8"/>
    <w:rsid w:val="7BE98E62"/>
    <w:rsid w:val="7DE5D41F"/>
    <w:rsid w:val="7E10C3E2"/>
    <w:rsid w:val="7E56D397"/>
    <w:rsid w:val="7EA4C652"/>
    <w:rsid w:val="7FA81339"/>
    <w:rsid w:val="7FD9C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B5A36C"/>
  <w15:chartTrackingRefBased/>
  <w15:docId w15:val="{BDF08BC8-2F98-48AA-B8DB-6502B5BD586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2026-08-06T19:04:52.2312610Z</dcterms:created>
  <dcterms:modified xsi:type="dcterms:W3CDTF">2026-08-26T20:27:37.1446167Z</dcterms:modified>
  <dc:creator>Laucir Rodrigues Goncalves</dc:creator>
  <lastModifiedBy>Laucir Rodrigues Goncalves</lastModifiedBy>
</coreProperties>
</file>