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E97D21">
        <w:rPr>
          <w:rFonts w:ascii="Times New Roman" w:hAnsi="Times New Roman"/>
          <w:color w:val="FF0000"/>
        </w:rPr>
        <w:t>30</w:t>
      </w:r>
      <w:r w:rsidR="006170EF">
        <w:rPr>
          <w:rFonts w:ascii="Times New Roman" w:hAnsi="Times New Roman"/>
          <w:color w:val="FF0000"/>
        </w:rPr>
        <w:t>-</w:t>
      </w:r>
      <w:r w:rsidR="00E97D21">
        <w:rPr>
          <w:rFonts w:ascii="Times New Roman" w:hAnsi="Times New Roman"/>
          <w:color w:val="FF0000"/>
        </w:rPr>
        <w:t>04</w:t>
      </w:r>
      <w:r>
        <w:rPr>
          <w:rFonts w:ascii="Times New Roman" w:hAnsi="Times New Roman"/>
          <w:color w:val="FF0000"/>
        </w:rPr>
        <w:t>-201</w:t>
      </w:r>
      <w:r w:rsidR="00E97D21">
        <w:rPr>
          <w:rFonts w:ascii="Times New Roman" w:hAnsi="Times New Roman"/>
          <w:color w:val="FF0000"/>
        </w:rPr>
        <w:t>8</w:t>
      </w:r>
    </w:p>
    <w:p w:rsidR="006170EF" w:rsidRPr="000617C0" w:rsidRDefault="006170EF" w:rsidP="00E44E30">
      <w:pPr>
        <w:jc w:val="both"/>
        <w:rPr>
          <w:rFonts w:ascii="Times New Roman" w:hAnsi="Times New Roman"/>
          <w:color w:val="FF0000"/>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DA18AE"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I - em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rsidR="006170EF" w:rsidRDefault="006170EF" w:rsidP="005D1791">
      <w:pPr>
        <w:jc w:val="both"/>
        <w:rPr>
          <w:rFonts w:ascii="Times New Roman" w:hAnsi="Times New Roman"/>
          <w:color w:val="0000FF"/>
        </w:rPr>
      </w:pPr>
    </w:p>
    <w:p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rsidR="006170EF" w:rsidRDefault="006170EF" w:rsidP="005D1791">
      <w:pPr>
        <w:jc w:val="both"/>
        <w:rPr>
          <w:rFonts w:ascii="Times New Roman" w:hAnsi="Times New Roman"/>
          <w:color w:val="0000FF"/>
        </w:rPr>
      </w:pPr>
    </w:p>
    <w:p w:rsidR="004A5082" w:rsidRDefault="004A5082" w:rsidP="004A5082">
      <w:pPr>
        <w:pStyle w:val="NormalWeb"/>
        <w:jc w:val="both"/>
        <w:rPr>
          <w:color w:val="000000"/>
        </w:rPr>
      </w:pPr>
      <w:r>
        <w:rPr>
          <w:color w:val="000000"/>
        </w:rPr>
        <w:t xml:space="preserve">47 </w:t>
      </w:r>
      <w:r>
        <w:t>–</w:t>
      </w:r>
      <w:r>
        <w:rPr>
          <w:color w:val="000000"/>
        </w:rPr>
        <w:t xml:space="preserve"> </w:t>
      </w:r>
      <w:r>
        <w:t xml:space="preserve">ASSUNTO: CÁLCULO DE MULTA PARA EXCESSO DE CONTAMINANTES EM FERTILIZANTE MINERAL COM MACRONUTRIENTE SECUNDÁRIO E MICRONUTRIENTES. Questão: Considerando o seguinte produto que tem como garantias: </w:t>
      </w:r>
      <w:r>
        <w:rPr>
          <w:b/>
          <w:bCs/>
          <w:color w:val="000000"/>
        </w:rPr>
        <w:t>S</w:t>
      </w:r>
      <w:r>
        <w:rPr>
          <w:color w:val="000000"/>
        </w:rPr>
        <w:t xml:space="preserve"> </w:t>
      </w:r>
      <w:r>
        <w:rPr>
          <w:color w:val="000000"/>
          <w:sz w:val="16"/>
          <w:szCs w:val="16"/>
        </w:rPr>
        <w:t>(teor total)</w:t>
      </w:r>
      <w:r>
        <w:rPr>
          <w:color w:val="000000"/>
        </w:rPr>
        <w:t xml:space="preserve"> = 3,0%; </w:t>
      </w:r>
      <w:r>
        <w:rPr>
          <w:b/>
          <w:bCs/>
          <w:color w:val="000000"/>
        </w:rPr>
        <w:t>Zn</w:t>
      </w:r>
      <w:r>
        <w:rPr>
          <w:color w:val="000000"/>
        </w:rPr>
        <w:t xml:space="preserve"> </w:t>
      </w:r>
      <w:r>
        <w:rPr>
          <w:color w:val="000000"/>
          <w:sz w:val="16"/>
          <w:szCs w:val="16"/>
        </w:rPr>
        <w:t>(teor total)</w:t>
      </w:r>
      <w:r>
        <w:rPr>
          <w:color w:val="000000"/>
        </w:rPr>
        <w:t xml:space="preserve"> = 20,0%;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12% e cujos resultados da análise indicaram: a) </w:t>
      </w:r>
      <w:r>
        <w:rPr>
          <w:b/>
          <w:bCs/>
          <w:color w:val="000000"/>
        </w:rPr>
        <w:t>S</w:t>
      </w:r>
      <w:r>
        <w:rPr>
          <w:color w:val="000000"/>
        </w:rPr>
        <w:t xml:space="preserve"> </w:t>
      </w:r>
      <w:r>
        <w:rPr>
          <w:color w:val="000000"/>
          <w:sz w:val="16"/>
          <w:szCs w:val="16"/>
        </w:rPr>
        <w:t>(teor total)</w:t>
      </w:r>
      <w:r>
        <w:rPr>
          <w:color w:val="000000"/>
        </w:rPr>
        <w:t xml:space="preserve"> = 3,62%; </w:t>
      </w:r>
      <w:r>
        <w:rPr>
          <w:b/>
          <w:bCs/>
          <w:color w:val="000000"/>
        </w:rPr>
        <w:t>Zn</w:t>
      </w:r>
      <w:r>
        <w:rPr>
          <w:color w:val="000000"/>
        </w:rPr>
        <w:t xml:space="preserve"> </w:t>
      </w:r>
      <w:r>
        <w:rPr>
          <w:color w:val="000000"/>
          <w:sz w:val="16"/>
          <w:szCs w:val="16"/>
        </w:rPr>
        <w:t>(teor total)</w:t>
      </w:r>
      <w:r>
        <w:rPr>
          <w:color w:val="000000"/>
        </w:rPr>
        <w:t xml:space="preserve"> = 21,3%;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14,44% ; b) para contaminantes: </w:t>
      </w:r>
      <w:proofErr w:type="spellStart"/>
      <w:r>
        <w:rPr>
          <w:color w:val="000000"/>
        </w:rPr>
        <w:t>Cd</w:t>
      </w:r>
      <w:proofErr w:type="spellEnd"/>
      <w:r>
        <w:rPr>
          <w:color w:val="000000"/>
        </w:rPr>
        <w:t xml:space="preserve"> = 218 mg/kg; Cr = 1.380 mg/kg e </w:t>
      </w:r>
      <w:proofErr w:type="spellStart"/>
      <w:r>
        <w:rPr>
          <w:color w:val="000000"/>
        </w:rPr>
        <w:t>Pb</w:t>
      </w:r>
      <w:proofErr w:type="spellEnd"/>
      <w:r>
        <w:rPr>
          <w:color w:val="000000"/>
        </w:rPr>
        <w:t xml:space="preserve"> = 13.110 mg/kg. Na certificação do CAF verificou como irregularidade o excesso para o contaminante </w:t>
      </w:r>
      <w:proofErr w:type="spellStart"/>
      <w:r>
        <w:rPr>
          <w:color w:val="000000"/>
        </w:rPr>
        <w:t>Pb</w:t>
      </w:r>
      <w:proofErr w:type="spellEnd"/>
      <w:r>
        <w:rPr>
          <w:color w:val="000000"/>
        </w:rPr>
        <w:t xml:space="preserve">, da ordem de 3.110 </w:t>
      </w:r>
      <w:proofErr w:type="spellStart"/>
      <w:r>
        <w:rPr>
          <w:color w:val="000000"/>
        </w:rPr>
        <w:t>ppm</w:t>
      </w:r>
      <w:proofErr w:type="spellEnd"/>
      <w:r>
        <w:rPr>
          <w:color w:val="000000"/>
        </w:rPr>
        <w:t xml:space="preserve"> (31,1%). Pergunta-se: Como calcular o valor da multa para o excesso de contaminante verificado?</w:t>
      </w:r>
    </w:p>
    <w:p w:rsidR="004A5082" w:rsidRDefault="004A5082" w:rsidP="004A5082">
      <w:pPr>
        <w:jc w:val="both"/>
        <w:rPr>
          <w:rFonts w:ascii="Times New Roman" w:hAnsi="Times New Roman"/>
          <w:color w:val="0000FF"/>
        </w:rPr>
      </w:pPr>
      <w:r>
        <w:rPr>
          <w:rFonts w:ascii="Times New Roman" w:hAnsi="Times New Roman"/>
          <w:color w:val="0000FF"/>
        </w:rPr>
        <w:t xml:space="preserve">R: Inicialmente deve-se verificar o Valor Máximo Admitido (VMA) para o componente contaminante de acordo com IN 27/2006. No caso do produto acima, a garantia do micronutriente a ser considerada é o Zn (teor total) = 20,0%; o limite máximo estabelecido para chumbo será 20  x 750 = 15.000 limitados a 10.000 </w:t>
      </w:r>
      <w:proofErr w:type="spellStart"/>
      <w:r>
        <w:rPr>
          <w:rFonts w:ascii="Times New Roman" w:hAnsi="Times New Roman"/>
          <w:color w:val="0000FF"/>
        </w:rPr>
        <w:t>ppm</w:t>
      </w:r>
      <w:proofErr w:type="spellEnd"/>
      <w:r>
        <w:rPr>
          <w:rFonts w:ascii="Times New Roman" w:hAnsi="Times New Roman"/>
          <w:color w:val="0000FF"/>
        </w:rPr>
        <w:t xml:space="preserve">, conforme Anexo I da IN 27/2006). A tolerância admitida segundo o art. 3º da IN 27 é de 30% (trinta por cento) dos valores ali definidos, ou seja, se o limite máximo para chumbo, no presente caso é de 10.000 </w:t>
      </w:r>
      <w:proofErr w:type="spellStart"/>
      <w:r>
        <w:rPr>
          <w:rFonts w:ascii="Times New Roman" w:hAnsi="Times New Roman"/>
          <w:color w:val="0000FF"/>
        </w:rPr>
        <w:t>ppm</w:t>
      </w:r>
      <w:proofErr w:type="spellEnd"/>
      <w:r>
        <w:rPr>
          <w:rFonts w:ascii="Times New Roman" w:hAnsi="Times New Roman"/>
          <w:color w:val="0000FF"/>
        </w:rPr>
        <w:t xml:space="preserve">, com a tolerância o valor máximo admitido será de até 13.000 </w:t>
      </w:r>
      <w:proofErr w:type="spellStart"/>
      <w:r>
        <w:rPr>
          <w:rFonts w:ascii="Times New Roman" w:hAnsi="Times New Roman"/>
          <w:color w:val="0000FF"/>
        </w:rPr>
        <w:t>ppm</w:t>
      </w:r>
      <w:proofErr w:type="spellEnd"/>
      <w:r>
        <w:rPr>
          <w:rFonts w:ascii="Times New Roman" w:hAnsi="Times New Roman"/>
          <w:color w:val="0000FF"/>
        </w:rPr>
        <w:t xml:space="preserve">. Como o resultado na análise foi de 13.110 </w:t>
      </w:r>
      <w:proofErr w:type="spellStart"/>
      <w:r>
        <w:rPr>
          <w:rFonts w:ascii="Times New Roman" w:hAnsi="Times New Roman"/>
          <w:color w:val="0000FF"/>
        </w:rPr>
        <w:t>ppm</w:t>
      </w:r>
      <w:proofErr w:type="spellEnd"/>
      <w:r>
        <w:rPr>
          <w:rFonts w:ascii="Times New Roman" w:hAnsi="Times New Roman"/>
          <w:color w:val="0000FF"/>
        </w:rPr>
        <w:t xml:space="preserve"> de chumbo, o valor extrapola o limite de tolerância admitido, portanto houve excesso no teor desse contaminante.</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A infração por excesso de contaminantes além dos limites estabelecidos é classificada como de Natureza</w:t>
      </w:r>
      <w:r>
        <w:rPr>
          <w:rFonts w:ascii="Times New Roman" w:hAnsi="Times New Roman"/>
          <w:b/>
          <w:bCs/>
          <w:color w:val="0000FF"/>
        </w:rPr>
        <w:t xml:space="preserve"> Gravíssima</w:t>
      </w:r>
      <w:r>
        <w:rPr>
          <w:rFonts w:ascii="Times New Roman" w:hAnsi="Times New Roman"/>
          <w:color w:val="0000FF"/>
        </w:rPr>
        <w:t xml:space="preserve"> (alínea “f” do inciso III do §</w:t>
      </w:r>
      <w:r>
        <w:rPr>
          <w:rFonts w:ascii="Times New Roman" w:hAnsi="Times New Roman"/>
        </w:rPr>
        <w:t xml:space="preserve"> </w:t>
      </w:r>
      <w:r>
        <w:rPr>
          <w:rFonts w:ascii="Times New Roman" w:hAnsi="Times New Roman"/>
          <w:color w:val="0000FF"/>
        </w:rPr>
        <w:t>1º do art. 77 do anexo ao Decreto 4954/2004), cujo intervalo da multa vai de R$ 9.501,00 (</w:t>
      </w:r>
      <w:proofErr w:type="spellStart"/>
      <w:r>
        <w:rPr>
          <w:rFonts w:ascii="Times New Roman" w:hAnsi="Times New Roman"/>
          <w:color w:val="0000FF"/>
        </w:rPr>
        <w:t>MMiF</w:t>
      </w:r>
      <w:proofErr w:type="spellEnd"/>
      <w:r>
        <w:rPr>
          <w:rFonts w:ascii="Times New Roman" w:hAnsi="Times New Roman"/>
          <w:color w:val="0000FF"/>
        </w:rPr>
        <w:t>) a 19.000,00 (</w:t>
      </w:r>
      <w:proofErr w:type="spellStart"/>
      <w:r>
        <w:rPr>
          <w:rFonts w:ascii="Times New Roman" w:hAnsi="Times New Roman"/>
          <w:color w:val="0000FF"/>
        </w:rPr>
        <w:t>MMxF</w:t>
      </w:r>
      <w:proofErr w:type="spellEnd"/>
      <w:r>
        <w:rPr>
          <w:rFonts w:ascii="Times New Roman" w:hAnsi="Times New Roman"/>
          <w:color w:val="0000FF"/>
        </w:rPr>
        <w:t>) (inciso III do art. 82 do anexo ao Decreto 4954/2004). Assim, a multa será obtida da seguinte forma:</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TMA = VMA + Tolerância admitida  (30%)</w:t>
      </w:r>
    </w:p>
    <w:p w:rsidR="004A5082" w:rsidRDefault="004A5082" w:rsidP="004A5082">
      <w:pPr>
        <w:jc w:val="both"/>
        <w:rPr>
          <w:rFonts w:ascii="Times New Roman" w:hAnsi="Times New Roman"/>
          <w:color w:val="0000FF"/>
        </w:rPr>
      </w:pPr>
      <w:r>
        <w:rPr>
          <w:rFonts w:ascii="Times New Roman" w:hAnsi="Times New Roman"/>
          <w:color w:val="0000FF"/>
        </w:rPr>
        <w:t>TMA = 10.000 + 3.000 = 13.000</w:t>
      </w:r>
    </w:p>
    <w:p w:rsidR="004A5082" w:rsidRDefault="004A5082" w:rsidP="004A5082">
      <w:pPr>
        <w:jc w:val="both"/>
        <w:rPr>
          <w:rFonts w:ascii="Times New Roman" w:hAnsi="Times New Roman"/>
          <w:color w:val="0000FF"/>
        </w:rPr>
      </w:pPr>
      <w:r>
        <w:rPr>
          <w:rFonts w:ascii="Times New Roman" w:hAnsi="Times New Roman"/>
          <w:color w:val="0000FF"/>
        </w:rPr>
        <w:t>Cálculo da porcentagem que excedeu o teor máximo admitido:</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w:t>
      </w:r>
      <w:proofErr w:type="spellStart"/>
      <w:r>
        <w:rPr>
          <w:rFonts w:ascii="Times New Roman" w:hAnsi="Times New Roman"/>
          <w:color w:val="0000FF"/>
        </w:rPr>
        <w:t>Ta</w:t>
      </w:r>
      <w:proofErr w:type="spellEnd"/>
      <w:r>
        <w:rPr>
          <w:rFonts w:ascii="Times New Roman" w:hAnsi="Times New Roman"/>
          <w:color w:val="0000FF"/>
        </w:rPr>
        <w:t xml:space="preserve"> – TMA)/TMA]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[(13.110 – 13.000)/13.000]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0,846154%</w:t>
      </w:r>
    </w:p>
    <w:p w:rsidR="004A5082" w:rsidRDefault="004A5082" w:rsidP="004A5082">
      <w:pPr>
        <w:jc w:val="both"/>
        <w:rPr>
          <w:rFonts w:cs="Calibri"/>
        </w:rPr>
      </w:pPr>
    </w:p>
    <w:p w:rsidR="004A5082" w:rsidRDefault="004A5082" w:rsidP="004A5082">
      <w:pPr>
        <w:jc w:val="both"/>
        <w:rPr>
          <w:rFonts w:ascii="Times New Roman" w:hAnsi="Times New Roman"/>
          <w:color w:val="0000FF"/>
        </w:rPr>
      </w:pPr>
      <w:r>
        <w:rPr>
          <w:rFonts w:ascii="Times New Roman" w:hAnsi="Times New Roman"/>
          <w:color w:val="0000FF"/>
        </w:rPr>
        <w:t xml:space="preserve">Onde: </w:t>
      </w:r>
      <w:proofErr w:type="spellStart"/>
      <w:r>
        <w:rPr>
          <w:rFonts w:ascii="Times New Roman" w:hAnsi="Times New Roman"/>
          <w:b/>
          <w:bCs/>
          <w:color w:val="0000FF"/>
        </w:rPr>
        <w:t>Ta</w:t>
      </w:r>
      <w:proofErr w:type="spellEnd"/>
      <w:r>
        <w:rPr>
          <w:rFonts w:ascii="Times New Roman" w:hAnsi="Times New Roman"/>
          <w:color w:val="0000FF"/>
        </w:rPr>
        <w:t xml:space="preserve"> = Teor analisado (CAF/CAP); </w:t>
      </w:r>
      <w:r>
        <w:rPr>
          <w:rFonts w:ascii="Times New Roman" w:hAnsi="Times New Roman"/>
          <w:b/>
          <w:bCs/>
          <w:color w:val="0000FF"/>
        </w:rPr>
        <w:t>VMA</w:t>
      </w:r>
      <w:r>
        <w:rPr>
          <w:rFonts w:ascii="Times New Roman" w:hAnsi="Times New Roman"/>
          <w:color w:val="0000FF"/>
        </w:rPr>
        <w:t xml:space="preserve"> = Valor Máximo Admitido para o componente contaminante de acordo com IN 27/2006; </w:t>
      </w:r>
      <w:r>
        <w:rPr>
          <w:rFonts w:ascii="Times New Roman" w:hAnsi="Times New Roman"/>
          <w:b/>
          <w:bCs/>
          <w:color w:val="0000FF"/>
        </w:rPr>
        <w:t>TMA</w:t>
      </w:r>
      <w:r>
        <w:rPr>
          <w:rFonts w:ascii="Times New Roman" w:hAnsi="Times New Roman"/>
          <w:color w:val="0000FF"/>
        </w:rPr>
        <w:t xml:space="preserve"> = Teor Máximo Admitido.</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Mínima na Faixa (</w:t>
      </w:r>
      <w:proofErr w:type="spellStart"/>
      <w:r>
        <w:rPr>
          <w:rFonts w:ascii="Times New Roman" w:hAnsi="Times New Roman"/>
          <w:color w:val="0000FF"/>
        </w:rPr>
        <w:t>MMiF</w:t>
      </w:r>
      <w:proofErr w:type="spellEnd"/>
      <w:r>
        <w:rPr>
          <w:rFonts w:ascii="Times New Roman" w:hAnsi="Times New Roman"/>
          <w:color w:val="0000FF"/>
        </w:rPr>
        <w:t>) = R$ 9.501,00 (inciso III do art. 82 e inciso III do art. 86, ambos do Anexo do Decreto nº 4.954/2004)</w:t>
      </w:r>
    </w:p>
    <w:p w:rsidR="004A5082" w:rsidRDefault="004A5082" w:rsidP="004A5082">
      <w:pPr>
        <w:jc w:val="both"/>
        <w:rPr>
          <w:rFonts w:ascii="Times New Roman" w:hAnsi="Times New Roman"/>
          <w:color w:val="0000FF"/>
        </w:rPr>
      </w:pPr>
      <w:r>
        <w:rPr>
          <w:rFonts w:ascii="Times New Roman" w:hAnsi="Times New Roman"/>
          <w:color w:val="0000FF"/>
        </w:rPr>
        <w:t>Multa Máxima na Faixa (</w:t>
      </w:r>
      <w:proofErr w:type="spellStart"/>
      <w:r>
        <w:rPr>
          <w:rFonts w:ascii="Times New Roman" w:hAnsi="Times New Roman"/>
          <w:color w:val="0000FF"/>
        </w:rPr>
        <w:t>MMxF</w:t>
      </w:r>
      <w:proofErr w:type="spellEnd"/>
      <w:r>
        <w:rPr>
          <w:rFonts w:ascii="Times New Roman" w:hAnsi="Times New Roman"/>
          <w:color w:val="0000FF"/>
        </w:rPr>
        <w:t>) = R$ 19.000,00 (inciso III do art. 82 e inciso III do art. 86 do Anexo do Decreto nº 4.954/2004)</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EMxF</w:t>
      </w:r>
      <w:proofErr w:type="spellEnd"/>
      <w:r>
        <w:rPr>
          <w:rFonts w:ascii="Times New Roman" w:hAnsi="Times New Roman"/>
          <w:color w:val="0000FF"/>
        </w:rPr>
        <w:t xml:space="preserve"> = Eficiência Máxima na Faixa = 100% </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EMiF</w:t>
      </w:r>
      <w:proofErr w:type="spellEnd"/>
      <w:r>
        <w:rPr>
          <w:rFonts w:ascii="Times New Roman" w:hAnsi="Times New Roman"/>
          <w:color w:val="0000FF"/>
        </w:rPr>
        <w:t xml:space="preserve"> = Eficiência Mínima na Faixa = 0% </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 {[(</w:t>
      </w:r>
      <w:proofErr w:type="spellStart"/>
      <w:r>
        <w:rPr>
          <w:rFonts w:ascii="Times New Roman" w:hAnsi="Times New Roman"/>
          <w:color w:val="0000FF"/>
        </w:rPr>
        <w:t>MMxF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r>
        <w:rPr>
          <w:rFonts w:ascii="Times New Roman" w:hAnsi="Times New Roman"/>
          <w:color w:val="0000FF"/>
        </w:rPr>
        <w:t>) / (</w:t>
      </w:r>
      <w:proofErr w:type="spellStart"/>
      <w:r>
        <w:rPr>
          <w:rFonts w:ascii="Times New Roman" w:hAnsi="Times New Roman"/>
          <w:color w:val="0000FF"/>
        </w:rPr>
        <w:t>EMxF</w:t>
      </w:r>
      <w:proofErr w:type="spellEnd"/>
      <w:r>
        <w:rPr>
          <w:rFonts w:ascii="Times New Roman" w:hAnsi="Times New Roman"/>
          <w:color w:val="0000FF"/>
        </w:rPr>
        <w:t xml:space="preserve"> – </w:t>
      </w:r>
      <w:proofErr w:type="spellStart"/>
      <w:r>
        <w:rPr>
          <w:rFonts w:ascii="Times New Roman" w:hAnsi="Times New Roman"/>
          <w:color w:val="0000FF"/>
        </w:rPr>
        <w:t>EMiF</w:t>
      </w:r>
      <w:proofErr w:type="spellEnd"/>
      <w:r>
        <w:rPr>
          <w:rFonts w:ascii="Times New Roman" w:hAnsi="Times New Roman"/>
          <w:color w:val="0000FF"/>
        </w:rPr>
        <w:t>)] x (</w:t>
      </w:r>
      <w:proofErr w:type="spellStart"/>
      <w:r>
        <w:rPr>
          <w:rFonts w:ascii="Times New Roman" w:hAnsi="Times New Roman"/>
          <w:color w:val="0000FF"/>
        </w:rPr>
        <w:t>Exc</w:t>
      </w:r>
      <w:proofErr w:type="spellEnd"/>
      <w:r>
        <w:rPr>
          <w:rFonts w:ascii="Times New Roman" w:hAnsi="Times New Roman"/>
          <w:color w:val="0000FF"/>
        </w:rPr>
        <w:t xml:space="preserve">(TMA) – </w:t>
      </w:r>
      <w:proofErr w:type="spellStart"/>
      <w:r>
        <w:rPr>
          <w:rFonts w:ascii="Times New Roman" w:hAnsi="Times New Roman"/>
          <w:color w:val="0000FF"/>
        </w:rPr>
        <w:t>EMiF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p>
    <w:p w:rsidR="004A5082" w:rsidRDefault="004A5082" w:rsidP="004A5082">
      <w:pPr>
        <w:jc w:val="both"/>
        <w:rPr>
          <w:rFonts w:ascii="Times New Roman" w:hAnsi="Times New Roman"/>
          <w:color w:val="0000FF"/>
        </w:rPr>
      </w:pPr>
      <w:r>
        <w:rPr>
          <w:rFonts w:ascii="Times New Roman" w:hAnsi="Times New Roman"/>
          <w:color w:val="0000FF"/>
        </w:rPr>
        <w:t>Multa = {[(19.000 – 9.501) / (100 – 0)] x (0,846154 – 0)} + 9.501</w:t>
      </w:r>
    </w:p>
    <w:p w:rsidR="004A5082" w:rsidRDefault="004A5082" w:rsidP="004A5082">
      <w:pPr>
        <w:jc w:val="both"/>
        <w:rPr>
          <w:rFonts w:ascii="Times New Roman" w:hAnsi="Times New Roman"/>
          <w:color w:val="0000FF"/>
        </w:rPr>
      </w:pPr>
      <w:r>
        <w:rPr>
          <w:rFonts w:ascii="Times New Roman" w:hAnsi="Times New Roman"/>
          <w:color w:val="0000FF"/>
        </w:rPr>
        <w:t>Multa = {[9.499 / 100] x 0,846154} + 9.501</w:t>
      </w:r>
    </w:p>
    <w:p w:rsidR="004A5082" w:rsidRDefault="004A5082" w:rsidP="004A5082">
      <w:pPr>
        <w:jc w:val="both"/>
        <w:rPr>
          <w:rFonts w:ascii="Times New Roman" w:hAnsi="Times New Roman"/>
          <w:color w:val="0000FF"/>
        </w:rPr>
      </w:pPr>
      <w:r>
        <w:rPr>
          <w:rFonts w:ascii="Times New Roman" w:hAnsi="Times New Roman"/>
          <w:color w:val="0000FF"/>
        </w:rPr>
        <w:t>Multa = 9.581,37</w:t>
      </w:r>
    </w:p>
    <w:p w:rsidR="004A5082" w:rsidRDefault="004A5082" w:rsidP="004A5082">
      <w:pPr>
        <w:jc w:val="both"/>
        <w:rPr>
          <w:rFonts w:ascii="Times New Roman" w:hAnsi="Times New Roman"/>
          <w:color w:val="0000FF"/>
        </w:rPr>
      </w:pPr>
    </w:p>
    <w:p w:rsidR="004A5082" w:rsidRDefault="004A5082" w:rsidP="005D1791">
      <w:pPr>
        <w:jc w:val="both"/>
        <w:rPr>
          <w:rFonts w:ascii="Times New Roman" w:hAnsi="Times New Roman"/>
          <w:color w:val="0000FF"/>
        </w:rPr>
      </w:pPr>
    </w:p>
    <w:p w:rsidR="002579F2" w:rsidRDefault="002579F2" w:rsidP="002579F2">
      <w:pPr>
        <w:pStyle w:val="NormalWeb"/>
        <w:jc w:val="both"/>
        <w:rPr>
          <w:rFonts w:ascii="Calibri" w:hAnsi="Calibri"/>
          <w:color w:val="000000"/>
        </w:rPr>
      </w:pPr>
      <w:r>
        <w:rPr>
          <w:color w:val="000000"/>
        </w:rPr>
        <w:t>48 - Dúvida sobre o cálculo de multa para Deficiência e Excesso na granulometria dos produtos. Nesse ínterim, pergunta-se como se calcula as Eficiências Máximas e Mínimas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para calcular multa de deficiências ou excessos nas peneiras, uma vez que a tabela do Artigo 86, inciso IV, </w:t>
      </w:r>
      <w:proofErr w:type="spellStart"/>
      <w:r>
        <w:rPr>
          <w:color w:val="000000"/>
        </w:rPr>
        <w:t>alinea</w:t>
      </w:r>
      <w:proofErr w:type="spellEnd"/>
      <w:r>
        <w:rPr>
          <w:color w:val="000000"/>
        </w:rPr>
        <w:t xml:space="preserve"> C do Anexo do Decreto 4954/2004 não existe mais, não sei como enquadrar 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de Leve, Grave e </w:t>
      </w:r>
      <w:proofErr w:type="spellStart"/>
      <w:r>
        <w:rPr>
          <w:color w:val="000000"/>
        </w:rPr>
        <w:t>Gravísssima</w:t>
      </w:r>
      <w:proofErr w:type="spellEnd"/>
      <w:r>
        <w:rPr>
          <w:color w:val="000000"/>
        </w:rPr>
        <w:t>.</w:t>
      </w:r>
    </w:p>
    <w:p w:rsidR="002579F2" w:rsidRDefault="002579F2" w:rsidP="002579F2">
      <w:pPr>
        <w:spacing w:before="80" w:after="80"/>
        <w:jc w:val="both"/>
        <w:rPr>
          <w:rFonts w:ascii="Arial" w:hAnsi="Arial" w:cs="Arial"/>
          <w:color w:val="0000FF"/>
        </w:rPr>
      </w:pPr>
      <w:r>
        <w:rPr>
          <w:rFonts w:ascii="Arial" w:hAnsi="Arial" w:cs="Arial"/>
          <w:color w:val="0000FF"/>
        </w:rPr>
        <w:t>R: A partir da nova redação dada pelo Decreto 4954/2004 alterado pelos Decretos 8059/2013 e 8384/2014 e a IN 46/2016 que veio classificar as deficiências em leve, grave e gravíssima e incluir excesso para algumas peneiras, o que não existia antes, não há que se falar mais em Eficiência Máxima ou Mínima (</w:t>
      </w:r>
      <w:proofErr w:type="spellStart"/>
      <w:r>
        <w:rPr>
          <w:rFonts w:ascii="Arial" w:hAnsi="Arial" w:cs="Arial"/>
          <w:color w:val="0000FF"/>
        </w:rPr>
        <w:t>EMxF</w:t>
      </w:r>
      <w:proofErr w:type="spellEnd"/>
      <w:r>
        <w:rPr>
          <w:rFonts w:ascii="Arial" w:hAnsi="Arial" w:cs="Arial"/>
          <w:color w:val="0000FF"/>
        </w:rPr>
        <w:t xml:space="preserve"> e </w:t>
      </w:r>
      <w:proofErr w:type="spellStart"/>
      <w:r>
        <w:rPr>
          <w:rFonts w:ascii="Arial" w:hAnsi="Arial" w:cs="Arial"/>
          <w:color w:val="0000FF"/>
        </w:rPr>
        <w:t>EMiF</w:t>
      </w:r>
      <w:proofErr w:type="spellEnd"/>
      <w:r>
        <w:rPr>
          <w:rFonts w:ascii="Arial" w:hAnsi="Arial" w:cs="Arial"/>
          <w:color w:val="0000FF"/>
        </w:rPr>
        <w:t>), isso acabou:</w:t>
      </w:r>
    </w:p>
    <w:p w:rsidR="002579F2" w:rsidRDefault="002579F2" w:rsidP="002579F2">
      <w:pPr>
        <w:spacing w:before="80" w:after="80"/>
        <w:jc w:val="both"/>
        <w:rPr>
          <w:rFonts w:ascii="Arial" w:hAnsi="Arial" w:cs="Arial"/>
          <w:color w:val="0000FF"/>
        </w:rPr>
      </w:pPr>
      <w:r>
        <w:rPr>
          <w:rFonts w:ascii="Arial" w:hAnsi="Arial" w:cs="Arial"/>
          <w:color w:val="0000FF"/>
        </w:rPr>
        <w:t xml:space="preserve">Vamos ao exemplo da peneira de 2 mm, que dependendo da especificação de natureza física do produto pode ser a não conformidade uma </w:t>
      </w:r>
      <w:r>
        <w:rPr>
          <w:rFonts w:ascii="Arial" w:hAnsi="Arial" w:cs="Arial"/>
          <w:b/>
          <w:color w:val="0000FF"/>
        </w:rPr>
        <w:t>deficiência</w:t>
      </w:r>
      <w:r>
        <w:rPr>
          <w:rFonts w:ascii="Arial" w:hAnsi="Arial" w:cs="Arial"/>
          <w:color w:val="0000FF"/>
        </w:rPr>
        <w:t xml:space="preserve"> ou um </w:t>
      </w:r>
      <w:r>
        <w:rPr>
          <w:rFonts w:ascii="Arial" w:hAnsi="Arial" w:cs="Arial"/>
          <w:b/>
          <w:color w:val="0000FF"/>
        </w:rPr>
        <w:t>excesso</w:t>
      </w:r>
      <w:r>
        <w:rPr>
          <w:rFonts w:ascii="Arial" w:hAnsi="Arial" w:cs="Arial"/>
          <w:color w:val="0000FF"/>
        </w:rPr>
        <w:t xml:space="preserve"> ou seja:</w:t>
      </w:r>
    </w:p>
    <w:p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quando a norma diz </w:t>
      </w:r>
      <w:r>
        <w:rPr>
          <w:rFonts w:ascii="Arial" w:hAnsi="Arial" w:cs="Arial"/>
          <w:b/>
          <w:color w:val="0000FF"/>
          <w:u w:val="single"/>
        </w:rPr>
        <w:t>máximo passante</w:t>
      </w:r>
      <w:r>
        <w:rPr>
          <w:rFonts w:ascii="Arial" w:hAnsi="Arial" w:cs="Arial"/>
          <w:color w:val="0000FF"/>
        </w:rPr>
        <w:t xml:space="preserve">, quer dizer que o que der acima do valor máximo estabelecido pela IN 46, observada a tolerância admitida, indica que o produto está fora da tolerância, portanto não conforme. É o caso dessa peneira para os </w:t>
      </w:r>
      <w:r>
        <w:rPr>
          <w:rFonts w:ascii="Arial" w:hAnsi="Arial" w:cs="Arial"/>
          <w:b/>
          <w:color w:val="0000FF"/>
        </w:rPr>
        <w:t>PRODUTOS DE ESPECIFICAÇÃO DE NATUREZA FÍSICA GRANULADO E MISTURA DE GRÂNULOS</w:t>
      </w:r>
      <w:r>
        <w:rPr>
          <w:rFonts w:ascii="Arial" w:hAnsi="Arial" w:cs="Arial"/>
          <w:color w:val="0000FF"/>
        </w:rPr>
        <w:t xml:space="preserve">. Por exemplo: a norma estabelece que o máximo passante nessa peneira para os granulados e mistura de grânulos é de 40%. Como a tolerância estabelecida para deficiência é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mais no máximo passante</w:t>
      </w:r>
      <w:r>
        <w:rPr>
          <w:rFonts w:ascii="Arial" w:hAnsi="Arial" w:cs="Arial"/>
          <w:color w:val="0000FF"/>
        </w:rPr>
        <w:t xml:space="preserve">, o que estiver acima de 45% está fora das especificações, que na norma nesse caso trata como </w:t>
      </w:r>
      <w:r>
        <w:rPr>
          <w:rFonts w:ascii="Arial" w:hAnsi="Arial" w:cs="Arial"/>
          <w:b/>
          <w:color w:val="0000FF"/>
        </w:rPr>
        <w:t>EXCESSO</w:t>
      </w:r>
      <w:r>
        <w:rPr>
          <w:rFonts w:ascii="Arial" w:hAnsi="Arial" w:cs="Arial"/>
          <w:color w:val="0000FF"/>
        </w:rPr>
        <w:t>, toda vez que se falar em</w:t>
      </w:r>
      <w:r>
        <w:rPr>
          <w:rFonts w:ascii="Arial" w:hAnsi="Arial" w:cs="Arial"/>
          <w:b/>
          <w:color w:val="0000FF"/>
        </w:rPr>
        <w:t xml:space="preserve"> “</w:t>
      </w:r>
      <w:r>
        <w:rPr>
          <w:rFonts w:ascii="Arial" w:hAnsi="Arial" w:cs="Arial"/>
          <w:b/>
          <w:color w:val="0000FF"/>
          <w:u w:val="single"/>
        </w:rPr>
        <w:t>máximo passante</w:t>
      </w:r>
      <w:r>
        <w:rPr>
          <w:rFonts w:ascii="Arial" w:hAnsi="Arial" w:cs="Arial"/>
          <w:b/>
          <w:color w:val="0000FF"/>
        </w:rPr>
        <w:t>”</w:t>
      </w:r>
      <w:r>
        <w:rPr>
          <w:rFonts w:ascii="Arial" w:hAnsi="Arial" w:cs="Arial"/>
          <w:color w:val="0000FF"/>
        </w:rPr>
        <w:t xml:space="preserve">. </w:t>
      </w:r>
    </w:p>
    <w:p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Já no caso dessa peneira para os </w:t>
      </w:r>
      <w:r>
        <w:rPr>
          <w:rFonts w:ascii="Arial" w:hAnsi="Arial" w:cs="Arial"/>
          <w:b/>
          <w:color w:val="0000FF"/>
        </w:rPr>
        <w:t>PRODUTOS DE ESPECIFICAÇÃO DE NATUREZA FÍSICA PÓ</w:t>
      </w:r>
      <w:r>
        <w:rPr>
          <w:rFonts w:ascii="Arial" w:hAnsi="Arial" w:cs="Arial"/>
          <w:color w:val="0000FF"/>
        </w:rPr>
        <w:t>, a norma estabelece que 100% das partículas tem que passar nessa peneira (</w:t>
      </w:r>
      <w:r>
        <w:rPr>
          <w:rFonts w:ascii="Arial" w:hAnsi="Arial" w:cs="Arial"/>
          <w:b/>
          <w:color w:val="0000FF"/>
          <w:u w:val="single"/>
        </w:rPr>
        <w:t>mínimo passante</w:t>
      </w:r>
      <w:r>
        <w:rPr>
          <w:rFonts w:ascii="Arial" w:hAnsi="Arial" w:cs="Arial"/>
          <w:color w:val="0000FF"/>
        </w:rPr>
        <w:t xml:space="preserve">), sendo admitida uma tolerância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menos nesse mínimo passante</w:t>
      </w:r>
      <w:r>
        <w:rPr>
          <w:rFonts w:ascii="Arial" w:hAnsi="Arial" w:cs="Arial"/>
          <w:color w:val="0000FF"/>
        </w:rPr>
        <w:t xml:space="preserve">, de forma que resultado abaixo de 95 % indica que o produto está fora das especificações para essa peneira e nesse caso a norma trata como </w:t>
      </w:r>
      <w:r>
        <w:rPr>
          <w:rFonts w:ascii="Arial" w:hAnsi="Arial" w:cs="Arial"/>
          <w:b/>
          <w:color w:val="0000FF"/>
        </w:rPr>
        <w:t>DEFICIÊNCIA</w:t>
      </w:r>
      <w:r>
        <w:rPr>
          <w:rFonts w:ascii="Arial" w:hAnsi="Arial" w:cs="Arial"/>
          <w:color w:val="0000FF"/>
        </w:rPr>
        <w:t xml:space="preserve">, toda vez que se falar em </w:t>
      </w:r>
      <w:r>
        <w:rPr>
          <w:rFonts w:ascii="Arial" w:hAnsi="Arial" w:cs="Arial"/>
          <w:b/>
          <w:color w:val="0000FF"/>
        </w:rPr>
        <w:t>“</w:t>
      </w:r>
      <w:r>
        <w:rPr>
          <w:rFonts w:ascii="Arial" w:hAnsi="Arial" w:cs="Arial"/>
          <w:b/>
          <w:color w:val="0000FF"/>
          <w:u w:val="single"/>
        </w:rPr>
        <w:t>mínimo passante</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lastRenderedPageBreak/>
        <w:t xml:space="preserve">Assim, para </w:t>
      </w:r>
      <w:r>
        <w:rPr>
          <w:rFonts w:ascii="Arial" w:hAnsi="Arial" w:cs="Arial"/>
          <w:b/>
          <w:color w:val="0000FF"/>
        </w:rPr>
        <w:t>deficiência</w:t>
      </w:r>
      <w:r>
        <w:rPr>
          <w:rFonts w:ascii="Arial" w:hAnsi="Arial" w:cs="Arial"/>
          <w:color w:val="0000FF"/>
        </w:rPr>
        <w:t>, usa-se o inciso I do art. 83 do anexo do Decreto 4954/2004, para classificar a infração em leve, grave e gravíssima que será a base para cálculo da multa no componente analisado.</w:t>
      </w:r>
    </w:p>
    <w:p w:rsidR="002579F2" w:rsidRDefault="002579F2" w:rsidP="002579F2">
      <w:pPr>
        <w:jc w:val="both"/>
        <w:rPr>
          <w:rFonts w:ascii="Arial" w:hAnsi="Arial" w:cs="Arial"/>
          <w:color w:val="0000FF"/>
        </w:rPr>
      </w:pPr>
      <w:r>
        <w:rPr>
          <w:rFonts w:ascii="Arial" w:hAnsi="Arial" w:cs="Arial"/>
          <w:color w:val="0000FF"/>
        </w:rPr>
        <w:t xml:space="preserve">Para melhor esclarecer vamos pegar o exemplo de um fertilizante mineral misto com especificação de natureza física “Mistura de Grânulos, cujo resultado de análise deu o seguinte: </w:t>
      </w:r>
    </w:p>
    <w:p w:rsidR="002579F2" w:rsidRDefault="002579F2" w:rsidP="002579F2">
      <w:pPr>
        <w:jc w:val="both"/>
        <w:rPr>
          <w:rFonts w:ascii="Arial" w:hAnsi="Arial" w:cs="Arial"/>
          <w:color w:val="0000FF"/>
        </w:rPr>
      </w:pPr>
      <w:r>
        <w:rPr>
          <w:rFonts w:ascii="Arial" w:hAnsi="Arial" w:cs="Arial"/>
          <w:color w:val="0000FF"/>
        </w:rPr>
        <w:t xml:space="preserve">-Para a Peneira de 4,8 mm o resultado deu 95% de partículas passantes </w:t>
      </w:r>
    </w:p>
    <w:p w:rsidR="002579F2" w:rsidRDefault="002579F2" w:rsidP="002579F2">
      <w:pPr>
        <w:jc w:val="both"/>
        <w:rPr>
          <w:rFonts w:ascii="Arial" w:hAnsi="Arial" w:cs="Arial"/>
          <w:color w:val="0000FF"/>
        </w:rPr>
      </w:pPr>
      <w:r>
        <w:rPr>
          <w:rFonts w:ascii="Arial" w:hAnsi="Arial" w:cs="Arial"/>
          <w:color w:val="0000FF"/>
        </w:rPr>
        <w:t>-Para a Peneira de 2 mm  o resultado deu 60% de partículas passantes;</w:t>
      </w:r>
    </w:p>
    <w:p w:rsidR="002579F2" w:rsidRDefault="002579F2" w:rsidP="002579F2">
      <w:pPr>
        <w:jc w:val="both"/>
        <w:rPr>
          <w:rFonts w:ascii="Arial" w:hAnsi="Arial" w:cs="Arial"/>
          <w:color w:val="0000FF"/>
        </w:rPr>
      </w:pPr>
      <w:r>
        <w:rPr>
          <w:rFonts w:ascii="Arial" w:hAnsi="Arial" w:cs="Arial"/>
          <w:color w:val="0000FF"/>
        </w:rPr>
        <w:t>-Para a Peneira de 1 mm o resultado deu 5% de partículas passantes.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b/>
          <w:color w:val="0000FF"/>
        </w:rPr>
      </w:pPr>
      <w:r>
        <w:rPr>
          <w:rFonts w:ascii="Arial" w:hAnsi="Arial" w:cs="Arial"/>
          <w:b/>
          <w:color w:val="0000FF"/>
        </w:rPr>
        <w:t xml:space="preserve">I - EM RELAÇÃO À PENEIRA DE 4,8 MM VERIFICAMOS QUE A MESMA ESTÁ </w:t>
      </w:r>
      <w:r>
        <w:rPr>
          <w:rFonts w:ascii="Arial" w:hAnsi="Arial" w:cs="Arial"/>
          <w:b/>
          <w:color w:val="0000FF"/>
          <w:u w:val="single"/>
        </w:rPr>
        <w:t>DEFICIENTE</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Passante mínimo tem que ser 100%, sendo admitida uma tolerância de 2 unidades para menos no mínimo passante, assim teria que passar no mínimo 98% de partículas nessa peneira, portanto a peneira está deficiente, pois passou menos que isso e o cálculo da multa seria feito da seguinte forma:</w:t>
      </w:r>
    </w:p>
    <w:p w:rsidR="002579F2" w:rsidRDefault="002579F2" w:rsidP="002579F2">
      <w:pPr>
        <w:jc w:val="both"/>
        <w:rPr>
          <w:rFonts w:ascii="Arial" w:hAnsi="Arial" w:cs="Arial"/>
        </w:rPr>
      </w:pPr>
      <w:r>
        <w:rPr>
          <w:rFonts w:ascii="Arial" w:hAnsi="Arial" w:cs="Arial"/>
          <w:color w:val="0000FF"/>
        </w:rPr>
        <w:t>1) Enquadramento para classificação da deficiência na peneira de 4,8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 da IN 46/2016): 2 unidades para menos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b) Cálculo da deficiência em unidades e em % (</w:t>
      </w: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e</w:t>
      </w:r>
      <w:r>
        <w:rPr>
          <w:rFonts w:ascii="Arial" w:hAnsi="Arial" w:cs="Arial"/>
          <w:color w:val="0000FF"/>
        </w:rPr>
        <w:t xml:space="preserve"> </w:t>
      </w:r>
      <w:r>
        <w:rPr>
          <w:rFonts w:ascii="Arial" w:hAnsi="Arial" w:cs="Arial"/>
          <w:b/>
          <w:color w:val="0000FF"/>
        </w:rPr>
        <w:t>D</w:t>
      </w:r>
      <w:r>
        <w:rPr>
          <w:rFonts w:ascii="Arial" w:hAnsi="Arial" w:cs="Arial"/>
          <w:b/>
          <w:color w:val="0000FF"/>
          <w:vertAlign w:val="subscript"/>
        </w:rPr>
        <w:t>(calculada em %)</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color w:val="0000FF"/>
        </w:rPr>
        <w:t xml:space="preserve"> = Teor garantido (</w:t>
      </w:r>
      <w:proofErr w:type="spellStart"/>
      <w:r>
        <w:rPr>
          <w:rFonts w:ascii="Arial" w:hAnsi="Arial" w:cs="Arial"/>
          <w:color w:val="0000FF"/>
        </w:rPr>
        <w:t>Tg</w:t>
      </w:r>
      <w:proofErr w:type="spellEnd"/>
      <w:r>
        <w:rPr>
          <w:rFonts w:ascii="Arial" w:hAnsi="Arial" w:cs="Arial"/>
          <w:color w:val="0000FF"/>
        </w:rPr>
        <w:t>) – Teor analisado (</w:t>
      </w:r>
      <w:proofErr w:type="spellStart"/>
      <w:r>
        <w:rPr>
          <w:rFonts w:ascii="Arial" w:hAnsi="Arial" w:cs="Arial"/>
          <w:color w:val="0000FF"/>
        </w:rPr>
        <w:t>Ta</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 </w:t>
      </w:r>
      <w:r>
        <w:rPr>
          <w:rFonts w:ascii="Arial" w:hAnsi="Arial" w:cs="Arial"/>
          <w:color w:val="0000FF"/>
        </w:rPr>
        <w:t xml:space="preserve">100 - 95 =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w:t>
      </w:r>
      <w:proofErr w:type="spellStart"/>
      <w:r>
        <w:rPr>
          <w:rFonts w:ascii="Arial" w:hAnsi="Arial" w:cs="Arial"/>
          <w:color w:val="0000FF"/>
        </w:rPr>
        <w:t>Ta</w:t>
      </w:r>
      <w:proofErr w:type="spellEnd"/>
      <w:r>
        <w:rPr>
          <w:rFonts w:ascii="Arial" w:hAnsi="Arial" w:cs="Arial"/>
          <w:color w:val="0000FF"/>
        </w:rPr>
        <w:t>/</w:t>
      </w:r>
      <w:proofErr w:type="spellStart"/>
      <w:r>
        <w:rPr>
          <w:rFonts w:ascii="Arial" w:hAnsi="Arial" w:cs="Arial"/>
          <w:color w:val="0000FF"/>
        </w:rPr>
        <w:t>Tg</w:t>
      </w:r>
      <w:proofErr w:type="spellEnd"/>
      <w:r>
        <w:rPr>
          <w:rFonts w:ascii="Arial" w:hAnsi="Arial" w:cs="Arial"/>
          <w:color w:val="0000FF"/>
        </w:rPr>
        <w:t>) x 100]</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(95/100) x 100] = </w:t>
      </w:r>
      <w:r>
        <w:rPr>
          <w:rFonts w:ascii="Arial" w:hAnsi="Arial" w:cs="Arial"/>
          <w:b/>
          <w:color w:val="0000FF"/>
        </w:rPr>
        <w:t>5%</w:t>
      </w:r>
    </w:p>
    <w:p w:rsidR="002579F2" w:rsidRDefault="002579F2" w:rsidP="002579F2">
      <w:pPr>
        <w:jc w:val="both"/>
        <w:rPr>
          <w:rFonts w:ascii="Arial" w:hAnsi="Arial" w:cs="Arial"/>
          <w:color w:val="0000FF"/>
        </w:rPr>
      </w:pPr>
      <w:r>
        <w:rPr>
          <w:rFonts w:ascii="Arial" w:hAnsi="Arial" w:cs="Arial"/>
          <w:color w:val="0000FF"/>
        </w:rPr>
        <w:t xml:space="preserve">Conclusão: </w:t>
      </w:r>
      <w:r>
        <w:rPr>
          <w:rFonts w:ascii="Arial" w:hAnsi="Arial" w:cs="Arial"/>
          <w:b/>
          <w:color w:val="0000FF"/>
        </w:rPr>
        <w:t>deficiente</w:t>
      </w:r>
      <w:r>
        <w:rPr>
          <w:rFonts w:ascii="Arial" w:hAnsi="Arial" w:cs="Arial"/>
          <w:color w:val="0000FF"/>
        </w:rPr>
        <w:t xml:space="preserve"> (diferença maior que a tolerância 5&gt;2)</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para classificação da infração:</w:t>
      </w:r>
    </w:p>
    <w:p w:rsidR="002579F2" w:rsidRDefault="002579F2" w:rsidP="002579F2">
      <w:pPr>
        <w:jc w:val="both"/>
        <w:rPr>
          <w:rFonts w:ascii="Arial" w:hAnsi="Arial" w:cs="Arial"/>
          <w:color w:val="0000FF"/>
        </w:rPr>
      </w:pPr>
      <w:r>
        <w:rPr>
          <w:rFonts w:ascii="Arial" w:hAnsi="Arial" w:cs="Arial"/>
          <w:b/>
          <w:color w:val="0000FF"/>
        </w:rPr>
        <w:t>Deficiência Apurada Por componente (DAPC)</w:t>
      </w:r>
      <w:r>
        <w:rPr>
          <w:rFonts w:ascii="Arial" w:hAnsi="Arial" w:cs="Arial"/>
          <w:color w:val="0000FF"/>
        </w:rPr>
        <w:t xml:space="preserve"> = </w:t>
      </w: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Tolerância = 5 / 2</w:t>
      </w:r>
    </w:p>
    <w:p w:rsidR="002579F2" w:rsidRDefault="002579F2" w:rsidP="002579F2">
      <w:pPr>
        <w:jc w:val="both"/>
        <w:rPr>
          <w:rFonts w:ascii="Arial" w:hAnsi="Arial" w:cs="Arial"/>
          <w:color w:val="0000FF"/>
        </w:rPr>
      </w:pPr>
      <w:r>
        <w:rPr>
          <w:rFonts w:ascii="Arial" w:hAnsi="Arial" w:cs="Arial"/>
          <w:b/>
          <w:color w:val="0000FF"/>
        </w:rPr>
        <w:t>DAPC = 2,5</w:t>
      </w:r>
      <w:r>
        <w:rPr>
          <w:rFonts w:ascii="Arial" w:hAnsi="Arial" w:cs="Arial"/>
          <w:color w:val="0000FF"/>
        </w:rPr>
        <w:t xml:space="preserve"> (deficiência superior a 1,5 até 3 vezes o valor da tolerância admitida que é de 2 pp).</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GRAVE</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r>
        <w:rPr>
          <w:rFonts w:ascii="Arial" w:hAnsi="Arial" w:cs="Arial"/>
          <w:color w:val="0000FF"/>
        </w:rPr>
        <w:t>d) Cálculo da multa na peneira de 4,8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w:t>
      </w:r>
      <w:r>
        <w:rPr>
          <w:rFonts w:ascii="Arial" w:hAnsi="Arial" w:cs="Arial"/>
          <w:color w:val="0000FF"/>
        </w:rPr>
        <w:t xml:space="preserve"> </w:t>
      </w:r>
      <w:r>
        <w:rPr>
          <w:rFonts w:ascii="Arial" w:hAnsi="Arial" w:cs="Arial"/>
          <w:b/>
          <w:color w:val="0000FF"/>
        </w:rPr>
        <w:t xml:space="preserve">natureza grave </w:t>
      </w:r>
      <w:r>
        <w:rPr>
          <w:rFonts w:ascii="Arial" w:hAnsi="Arial" w:cs="Arial"/>
          <w:color w:val="0000FF"/>
        </w:rPr>
        <w:t>a mesma vai de R$ 3.501,00 a R$ 9.500,00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DMxF</w:t>
      </w:r>
      <w:proofErr w:type="spellEnd"/>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 (</w:t>
      </w:r>
      <w:r>
        <w:rPr>
          <w:rFonts w:ascii="Arial" w:hAnsi="Arial" w:cs="Arial"/>
          <w:b/>
          <w:color w:val="0000FF"/>
        </w:rPr>
        <w:t>DAPC</w:t>
      </w:r>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ml:space="preserve">)} + </w:t>
      </w:r>
      <w:proofErr w:type="spellStart"/>
      <w:r>
        <w:rPr>
          <w:rFonts w:ascii="Arial" w:hAnsi="Arial" w:cs="Arial"/>
          <w:color w:val="0000FF"/>
        </w:rPr>
        <w:t>MMiF</w:t>
      </w:r>
      <w:proofErr w:type="spellEnd"/>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{(9.500 – 3.500) / (3 – 1,5) x (2,5 – 1,5)} + 3.500 </w:t>
      </w:r>
    </w:p>
    <w:p w:rsidR="002579F2" w:rsidRDefault="002579F2" w:rsidP="002579F2">
      <w:pPr>
        <w:jc w:val="both"/>
        <w:rPr>
          <w:rFonts w:ascii="Arial" w:hAnsi="Arial" w:cs="Arial"/>
          <w:b/>
          <w:color w:val="0000FF"/>
        </w:rPr>
      </w:pPr>
      <w:r>
        <w:rPr>
          <w:rFonts w:ascii="Arial" w:hAnsi="Arial" w:cs="Arial"/>
          <w:b/>
          <w:color w:val="0000FF"/>
        </w:rPr>
        <w:t>Multa</w:t>
      </w:r>
      <w:r>
        <w:rPr>
          <w:rFonts w:ascii="Arial" w:hAnsi="Arial" w:cs="Arial"/>
          <w:b/>
          <w:color w:val="0000FF"/>
          <w:vertAlign w:val="subscript"/>
        </w:rPr>
        <w:t>(p4,8mm)</w:t>
      </w:r>
      <w:r>
        <w:rPr>
          <w:rFonts w:ascii="Arial" w:hAnsi="Arial" w:cs="Arial"/>
          <w:b/>
          <w:color w:val="0000FF"/>
        </w:rPr>
        <w:t xml:space="preserve"> = R$ 7.500,00</w:t>
      </w:r>
    </w:p>
    <w:p w:rsidR="002579F2" w:rsidRDefault="002579F2" w:rsidP="002579F2">
      <w:pPr>
        <w:jc w:val="both"/>
        <w:rPr>
          <w:rFonts w:ascii="Arial" w:hAnsi="Arial" w:cs="Arial"/>
          <w:b/>
        </w:rPr>
      </w:pPr>
    </w:p>
    <w:p w:rsidR="002579F2" w:rsidRDefault="002579F2" w:rsidP="002579F2">
      <w:pPr>
        <w:jc w:val="both"/>
        <w:rPr>
          <w:rFonts w:ascii="Arial" w:hAnsi="Arial" w:cs="Arial"/>
          <w:b/>
          <w:color w:val="0000FF"/>
        </w:rPr>
      </w:pPr>
      <w:r>
        <w:rPr>
          <w:rFonts w:ascii="Arial" w:hAnsi="Arial" w:cs="Arial"/>
          <w:b/>
          <w:color w:val="0000FF"/>
        </w:rPr>
        <w:t xml:space="preserve">II - EM RELAÇÃO À PENEIRA DE 2 MM DESSE PRODUTO, VERIFICAMOS QUE A MESMA ESTÁ COM </w:t>
      </w:r>
      <w:r>
        <w:rPr>
          <w:rFonts w:ascii="Arial" w:hAnsi="Arial" w:cs="Arial"/>
          <w:b/>
          <w:color w:val="0000FF"/>
          <w:u w:val="single"/>
        </w:rPr>
        <w:t>EXCESSO</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 xml:space="preserve">Passante máximo tem que ser 40%, sendo admitida uma tolerância de 5 unidades para mais no máximo passante, assim teria que passar no máximo 45% de partículas nessa peneira que é o </w:t>
      </w:r>
      <w:r>
        <w:rPr>
          <w:rFonts w:ascii="Arial" w:hAnsi="Arial" w:cs="Arial"/>
          <w:b/>
          <w:color w:val="0000FF"/>
        </w:rPr>
        <w:t>TMA (Teor Máximo Admitido)</w:t>
      </w:r>
      <w:r>
        <w:rPr>
          <w:rFonts w:ascii="Arial" w:hAnsi="Arial" w:cs="Arial"/>
          <w:color w:val="0000FF"/>
        </w:rPr>
        <w:t>, portanto passou mais partículas do que a norma permite para essa peneira, assim a classificação da infração e o cálculo da multa seria feito da seguinte forma:</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1) Enquadramento para classificação da deficiência na peneira de 2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II, da IN 46/2016): até 5 unidades para mais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b) TMA = Teor garantido + Tolerância </w:t>
      </w:r>
      <w:r>
        <w:rPr>
          <w:rFonts w:ascii="Arial" w:hAnsi="Arial" w:cs="Arial"/>
          <w:color w:val="0000FF"/>
        </w:rPr>
        <w:sym w:font="Wingdings" w:char="F0E0"/>
      </w:r>
      <w:r>
        <w:rPr>
          <w:rFonts w:ascii="Arial" w:hAnsi="Arial" w:cs="Arial"/>
          <w:color w:val="0000FF"/>
        </w:rPr>
        <w:t xml:space="preserve"> TMA = 40 + 5 </w:t>
      </w:r>
      <w:r>
        <w:rPr>
          <w:rFonts w:ascii="Arial" w:hAnsi="Arial" w:cs="Arial"/>
          <w:color w:val="0000FF"/>
        </w:rPr>
        <w:sym w:font="Wingdings" w:char="F0E0"/>
      </w:r>
      <w:r>
        <w:rPr>
          <w:rFonts w:ascii="Arial" w:hAnsi="Arial" w:cs="Arial"/>
          <w:color w:val="0000FF"/>
        </w:rPr>
        <w:t xml:space="preserve"> </w:t>
      </w:r>
      <w:r>
        <w:rPr>
          <w:rFonts w:ascii="Arial" w:hAnsi="Arial" w:cs="Arial"/>
          <w:b/>
          <w:color w:val="0000FF"/>
        </w:rPr>
        <w:t>TMA = 45 pp</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do Excesso [</w:t>
      </w:r>
      <w:proofErr w:type="spellStart"/>
      <w:r>
        <w:rPr>
          <w:rFonts w:ascii="Arial" w:hAnsi="Arial" w:cs="Arial"/>
          <w:color w:val="0000FF"/>
        </w:rPr>
        <w:t>Exc</w:t>
      </w:r>
      <w:proofErr w:type="spellEnd"/>
      <w:r>
        <w:rPr>
          <w:rFonts w:ascii="Arial" w:hAnsi="Arial" w:cs="Arial"/>
          <w:color w:val="0000FF"/>
        </w:rPr>
        <w:t>(</w:t>
      </w:r>
      <w:proofErr w:type="spellStart"/>
      <w:r>
        <w:rPr>
          <w:rFonts w:ascii="Arial" w:hAnsi="Arial" w:cs="Arial"/>
          <w:color w:val="0000FF"/>
        </w:rPr>
        <w:t>ud</w:t>
      </w:r>
      <w:proofErr w:type="spellEnd"/>
      <w:r>
        <w:rPr>
          <w:rFonts w:ascii="Arial" w:hAnsi="Arial" w:cs="Arial"/>
          <w:color w:val="0000FF"/>
        </w:rPr>
        <w:t xml:space="preserve">)) e </w:t>
      </w:r>
      <w:proofErr w:type="spellStart"/>
      <w:r>
        <w:rPr>
          <w:rFonts w:ascii="Arial" w:hAnsi="Arial" w:cs="Arial"/>
          <w:color w:val="0000FF"/>
        </w:rPr>
        <w:t>Exc</w:t>
      </w:r>
      <w:proofErr w:type="spellEnd"/>
      <w:r>
        <w:rPr>
          <w:rFonts w:ascii="Arial" w:hAnsi="Arial" w:cs="Arial"/>
          <w:color w:val="0000FF"/>
        </w:rPr>
        <w:t>(%)] e classificação da infração:</w:t>
      </w:r>
    </w:p>
    <w:p w:rsidR="002579F2" w:rsidRDefault="002579F2" w:rsidP="002579F2">
      <w:pPr>
        <w:jc w:val="both"/>
        <w:rPr>
          <w:rFonts w:ascii="Arial" w:hAnsi="Arial" w:cs="Arial"/>
          <w:color w:val="0000FF"/>
        </w:rPr>
      </w:pPr>
      <w:r>
        <w:rPr>
          <w:rFonts w:ascii="Arial" w:hAnsi="Arial" w:cs="Arial"/>
          <w:color w:val="0000FF"/>
        </w:rPr>
        <w:t>Excesso calculado em unidades:</w:t>
      </w:r>
    </w:p>
    <w:p w:rsidR="002579F2" w:rsidRDefault="002579F2" w:rsidP="002579F2">
      <w:pPr>
        <w:jc w:val="both"/>
        <w:rPr>
          <w:rFonts w:ascii="Arial" w:hAnsi="Arial" w:cs="Arial"/>
          <w:color w:val="0000FF"/>
        </w:rPr>
      </w:pPr>
      <w:proofErr w:type="spellStart"/>
      <w:r>
        <w:rPr>
          <w:rFonts w:ascii="Arial" w:hAnsi="Arial" w:cs="Arial"/>
          <w:b/>
          <w:color w:val="0000FF"/>
        </w:rPr>
        <w:lastRenderedPageBreak/>
        <w:t>Exc</w:t>
      </w:r>
      <w:proofErr w:type="spellEnd"/>
      <w:r>
        <w:rPr>
          <w:rFonts w:ascii="Arial" w:hAnsi="Arial" w:cs="Arial"/>
          <w:b/>
          <w:color w:val="0000FF"/>
        </w:rPr>
        <w:t xml:space="preserve"> (</w:t>
      </w:r>
      <w:r>
        <w:rPr>
          <w:rFonts w:ascii="Arial" w:hAnsi="Arial" w:cs="Arial"/>
          <w:b/>
          <w:color w:val="0000FF"/>
          <w:vertAlign w:val="subscript"/>
        </w:rPr>
        <w:t xml:space="preserve"> </w:t>
      </w:r>
      <w:proofErr w:type="spellStart"/>
      <w:r>
        <w:rPr>
          <w:rFonts w:ascii="Arial" w:hAnsi="Arial" w:cs="Arial"/>
          <w:b/>
          <w:color w:val="0000FF"/>
          <w:vertAlign w:val="subscript"/>
        </w:rPr>
        <w:t>ud</w:t>
      </w:r>
      <w:proofErr w:type="spellEnd"/>
      <w:r>
        <w:rPr>
          <w:rFonts w:ascii="Arial" w:hAnsi="Arial" w:cs="Arial"/>
          <w:b/>
          <w:color w:val="0000FF"/>
        </w:rPr>
        <w:t>)</w:t>
      </w:r>
      <w:r>
        <w:rPr>
          <w:rFonts w:ascii="Arial" w:hAnsi="Arial" w:cs="Arial"/>
          <w:color w:val="0000FF"/>
        </w:rPr>
        <w:t xml:space="preserve"> = Teor analisado – TMA = 60 – 45 = 15 </w:t>
      </w:r>
      <w:proofErr w:type="spellStart"/>
      <w:r>
        <w:rPr>
          <w:rFonts w:ascii="Arial" w:hAnsi="Arial" w:cs="Arial"/>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Excesso calculado em %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[(Teor analisado – TMA) / TMA] x 100 = [(60 – 45) / 45] x 100 = 33,33%</w:t>
      </w:r>
    </w:p>
    <w:p w:rsidR="002579F2" w:rsidRDefault="002579F2" w:rsidP="002579F2">
      <w:pPr>
        <w:jc w:val="both"/>
        <w:rPr>
          <w:rFonts w:ascii="Arial" w:hAnsi="Arial" w:cs="Arial"/>
          <w:color w:val="0000FF"/>
        </w:rPr>
      </w:pPr>
      <w:r>
        <w:rPr>
          <w:rFonts w:ascii="Arial" w:hAnsi="Arial" w:cs="Arial"/>
          <w:color w:val="0000FF"/>
        </w:rPr>
        <w:t xml:space="preserve">Enquadramento na Faixa do Teor de garantia na peneira: (20 até 40) </w:t>
      </w:r>
      <w:r>
        <w:rPr>
          <w:rFonts w:ascii="Arial" w:hAnsi="Arial" w:cs="Arial"/>
          <w:color w:val="0000FF"/>
        </w:rPr>
        <w:sym w:font="Wingdings" w:char="F0E0"/>
      </w:r>
      <w:r>
        <w:rPr>
          <w:rFonts w:ascii="Arial" w:hAnsi="Arial" w:cs="Arial"/>
          <w:color w:val="0000FF"/>
        </w:rPr>
        <w:t xml:space="preserve"> deu 33,33% de Excesso, portanto acima de 30% (Excesso Apurado Por Componente Além do Teor Máximo Admitido)</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GRAVISSIMA</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d) Cálculo da multa na peneira de 2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 natureza grave</w:t>
      </w:r>
      <w:r>
        <w:rPr>
          <w:rFonts w:ascii="Arial" w:hAnsi="Arial" w:cs="Arial"/>
          <w:color w:val="0000FF"/>
        </w:rPr>
        <w:t xml:space="preserve"> a mesma vai de R$ 9.501,00 a R$ 19.000,00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ExcMxF</w:t>
      </w:r>
      <w:proofErr w:type="spellEnd"/>
      <w:r>
        <w:rPr>
          <w:rFonts w:ascii="Arial" w:hAnsi="Arial" w:cs="Arial"/>
          <w:color w:val="0000FF"/>
        </w:rPr>
        <w:t xml:space="preserve"> – </w:t>
      </w:r>
      <w:proofErr w:type="spellStart"/>
      <w:r>
        <w:rPr>
          <w:rFonts w:ascii="Arial" w:hAnsi="Arial" w:cs="Arial"/>
          <w:color w:val="0000FF"/>
        </w:rPr>
        <w:t>ExcMiF</w:t>
      </w:r>
      <w:proofErr w:type="spellEnd"/>
      <w:r>
        <w:rPr>
          <w:rFonts w:ascii="Arial" w:hAnsi="Arial" w:cs="Arial"/>
          <w:color w:val="0000FF"/>
        </w:rPr>
        <w:t>) x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w:t>
      </w:r>
      <w:proofErr w:type="spellStart"/>
      <w:r>
        <w:rPr>
          <w:rFonts w:ascii="Arial" w:hAnsi="Arial" w:cs="Arial"/>
          <w:color w:val="0000FF"/>
        </w:rPr>
        <w:t>EMiF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{(19.000 – 9.501) / (100 – 30) x (33,33 – 30)} + 9.501</w:t>
      </w:r>
    </w:p>
    <w:p w:rsidR="002579F2" w:rsidRDefault="002579F2" w:rsidP="002579F2">
      <w:pPr>
        <w:jc w:val="both"/>
        <w:rPr>
          <w:rFonts w:ascii="Arial" w:hAnsi="Arial" w:cs="Arial"/>
          <w:b/>
          <w:color w:val="0000FF"/>
        </w:rPr>
      </w:pPr>
      <w:r>
        <w:rPr>
          <w:rFonts w:ascii="Arial" w:hAnsi="Arial" w:cs="Arial"/>
          <w:b/>
          <w:color w:val="0000FF"/>
        </w:rPr>
        <w:t xml:space="preserve">Multa </w:t>
      </w:r>
      <w:r>
        <w:rPr>
          <w:rFonts w:ascii="Arial" w:hAnsi="Arial" w:cs="Arial"/>
          <w:b/>
          <w:color w:val="0000FF"/>
          <w:vertAlign w:val="subscript"/>
        </w:rPr>
        <w:t>(P. 2 mm)</w:t>
      </w:r>
      <w:r>
        <w:rPr>
          <w:rFonts w:ascii="Arial" w:hAnsi="Arial" w:cs="Arial"/>
          <w:b/>
          <w:color w:val="0000FF"/>
        </w:rPr>
        <w:t xml:space="preserve"> = R$ 9.952,88</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Onde: </w:t>
      </w:r>
      <w:proofErr w:type="spellStart"/>
      <w:r>
        <w:rPr>
          <w:rFonts w:ascii="Arial" w:hAnsi="Arial" w:cs="Arial"/>
          <w:color w:val="0000FF"/>
        </w:rPr>
        <w:t>MMxF</w:t>
      </w:r>
      <w:proofErr w:type="spellEnd"/>
      <w:r>
        <w:rPr>
          <w:rFonts w:ascii="Arial" w:hAnsi="Arial" w:cs="Arial"/>
          <w:color w:val="0000FF"/>
        </w:rPr>
        <w:t xml:space="preserve"> = Multa Mínima na Faixa; </w:t>
      </w:r>
      <w:proofErr w:type="spellStart"/>
      <w:r>
        <w:rPr>
          <w:rFonts w:ascii="Arial" w:hAnsi="Arial" w:cs="Arial"/>
          <w:color w:val="0000FF"/>
        </w:rPr>
        <w:t>MMxF</w:t>
      </w:r>
      <w:proofErr w:type="spellEnd"/>
      <w:r>
        <w:rPr>
          <w:rFonts w:ascii="Arial" w:hAnsi="Arial" w:cs="Arial"/>
          <w:color w:val="0000FF"/>
        </w:rPr>
        <w:t xml:space="preserve"> = Multa Máxima na Faixa; </w:t>
      </w:r>
      <w:proofErr w:type="spellStart"/>
      <w:r>
        <w:rPr>
          <w:rFonts w:ascii="Arial" w:hAnsi="Arial" w:cs="Arial"/>
          <w:color w:val="0000FF"/>
        </w:rPr>
        <w:t>ExcMxF</w:t>
      </w:r>
      <w:proofErr w:type="spellEnd"/>
      <w:r>
        <w:rPr>
          <w:rFonts w:ascii="Arial" w:hAnsi="Arial" w:cs="Arial"/>
          <w:color w:val="0000FF"/>
        </w:rPr>
        <w:t xml:space="preserve"> = Excesso Máximo na Faixa; </w:t>
      </w:r>
      <w:proofErr w:type="spellStart"/>
      <w:r>
        <w:rPr>
          <w:rFonts w:ascii="Arial" w:hAnsi="Arial" w:cs="Arial"/>
          <w:color w:val="0000FF"/>
        </w:rPr>
        <w:t>ExcMiF</w:t>
      </w:r>
      <w:proofErr w:type="spellEnd"/>
      <w:r>
        <w:rPr>
          <w:rFonts w:ascii="Arial" w:hAnsi="Arial" w:cs="Arial"/>
          <w:color w:val="0000FF"/>
        </w:rPr>
        <w:t xml:space="preserve"> = Excesso Mínimo na Faixa e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b/>
          <w:color w:val="0000FF"/>
          <w:vertAlign w:val="subscript"/>
        </w:rPr>
        <w:t xml:space="preserve"> </w:t>
      </w:r>
      <w:r>
        <w:rPr>
          <w:rFonts w:ascii="Arial" w:hAnsi="Arial" w:cs="Arial"/>
          <w:color w:val="0000FF"/>
        </w:rPr>
        <w:t>Excesso Calculado em %</w:t>
      </w:r>
    </w:p>
    <w:p w:rsidR="002579F2" w:rsidRDefault="002579F2" w:rsidP="002579F2">
      <w:pPr>
        <w:jc w:val="both"/>
        <w:rPr>
          <w:rFonts w:ascii="Arial" w:hAnsi="Arial" w:cs="Arial"/>
          <w:color w:val="0000FF"/>
        </w:rPr>
      </w:pPr>
      <w:r>
        <w:rPr>
          <w:rFonts w:ascii="Arial" w:hAnsi="Arial" w:cs="Arial"/>
          <w:color w:val="0000FF"/>
        </w:rPr>
        <w:t xml:space="preserve">*Sempre considerar como </w:t>
      </w:r>
      <w:proofErr w:type="spellStart"/>
      <w:r>
        <w:rPr>
          <w:rFonts w:ascii="Arial" w:hAnsi="Arial" w:cs="Arial"/>
          <w:color w:val="0000FF"/>
        </w:rPr>
        <w:t>ExcMxF</w:t>
      </w:r>
      <w:proofErr w:type="spellEnd"/>
      <w:r>
        <w:rPr>
          <w:rFonts w:ascii="Arial" w:hAnsi="Arial" w:cs="Arial"/>
          <w:color w:val="0000FF"/>
        </w:rPr>
        <w:t>, no caso de infração de natureza gravíssima, o valor de 100.</w:t>
      </w:r>
    </w:p>
    <w:p w:rsidR="002579F2" w:rsidRDefault="002579F2" w:rsidP="005D1791">
      <w:pPr>
        <w:jc w:val="both"/>
        <w:rPr>
          <w:rFonts w:ascii="Times New Roman" w:hAnsi="Times New Roman"/>
          <w:color w:val="0000FF"/>
        </w:rPr>
      </w:pPr>
    </w:p>
    <w:p w:rsidR="00DC5AC2" w:rsidRDefault="00DC5AC2" w:rsidP="005D1791">
      <w:pPr>
        <w:jc w:val="both"/>
        <w:rPr>
          <w:rFonts w:ascii="Times New Roman" w:hAnsi="Times New Roman"/>
          <w:color w:val="0000FF"/>
        </w:rPr>
      </w:pPr>
    </w:p>
    <w:p w:rsidR="00DC5AC2" w:rsidRPr="00DA18AE" w:rsidRDefault="00DC5AC2" w:rsidP="00DC5AC2">
      <w:pPr>
        <w:pStyle w:val="NormalWeb"/>
        <w:jc w:val="both"/>
        <w:rPr>
          <w:rFonts w:ascii="Arial" w:hAnsi="Arial" w:cs="Arial"/>
          <w:color w:val="000000"/>
          <w:sz w:val="22"/>
          <w:szCs w:val="22"/>
        </w:rPr>
      </w:pPr>
      <w:r w:rsidRPr="00DA18AE">
        <w:rPr>
          <w:rFonts w:ascii="Arial" w:hAnsi="Arial" w:cs="Arial"/>
          <w:color w:val="000000"/>
          <w:sz w:val="22"/>
          <w:szCs w:val="22"/>
        </w:rPr>
        <w:t>49 – Como calcular multa no caso de deficiência e excesso em granulometria dos produtos, em razão do que passou a vigorar com a edição da IN 46/2016? Essa forma pode ser aplicada no caso de índice salino, condutividade elétrica e outros?</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R.: Sim, essa forma de cálculo de multa pode ser estendida para outros parâmetros, no caso de excesso, como índice salino, condutividade elétrica, etc.</w:t>
      </w:r>
    </w:p>
    <w:p w:rsidR="00DC5AC2" w:rsidRPr="00DA18AE" w:rsidRDefault="00DC5AC2" w:rsidP="00DC5AC2">
      <w:pPr>
        <w:pStyle w:val="NormalWeb"/>
        <w:ind w:firstLine="426"/>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Abaixo segue alguns exemplos para granulometria de produtos no caso de </w:t>
      </w:r>
      <w:proofErr w:type="gramStart"/>
      <w:r w:rsidRPr="00DA18AE">
        <w:rPr>
          <w:rFonts w:ascii="Arial" w:eastAsia="Times New Roman" w:hAnsi="Arial" w:cs="Arial"/>
          <w:color w:val="0000FF"/>
          <w:sz w:val="22"/>
          <w:szCs w:val="22"/>
        </w:rPr>
        <w:t>deficiência  e</w:t>
      </w:r>
      <w:proofErr w:type="gramEnd"/>
      <w:r w:rsidRPr="00DA18AE">
        <w:rPr>
          <w:rFonts w:ascii="Arial" w:eastAsia="Times New Roman" w:hAnsi="Arial" w:cs="Arial"/>
          <w:color w:val="0000FF"/>
          <w:sz w:val="22"/>
          <w:szCs w:val="22"/>
        </w:rPr>
        <w:t xml:space="preserve"> excesso.</w:t>
      </w:r>
    </w:p>
    <w:p w:rsidR="00DC5AC2" w:rsidRPr="00DA18AE" w:rsidRDefault="00DC5AC2" w:rsidP="00DC5AC2">
      <w:pPr>
        <w:pStyle w:val="NormalWeb"/>
        <w:rPr>
          <w:rFonts w:ascii="Arial" w:eastAsia="Times New Roman" w:hAnsi="Arial" w:cs="Arial"/>
          <w:color w:val="0000FF"/>
          <w:sz w:val="22"/>
          <w:szCs w:val="22"/>
        </w:rPr>
      </w:pP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1) EXEMPLO PARA CALCULO DE MULTA NO CASO DE DEFICIÊNCIA GRAVÍSSIMA:</w:t>
      </w:r>
    </w:p>
    <w:p w:rsidR="00DC5AC2" w:rsidRPr="00DA18AE" w:rsidRDefault="00DC5AC2" w:rsidP="00DC5AC2">
      <w:pPr>
        <w:pStyle w:val="NormalWeb"/>
        <w:rPr>
          <w:rFonts w:ascii="Arial" w:eastAsia="Times New Roman" w:hAnsi="Arial" w:cs="Arial"/>
          <w:color w:val="0000FF"/>
          <w:sz w:val="22"/>
          <w:szCs w:val="22"/>
        </w:rPr>
      </w:pP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PRODUTO FARELADO - peneira 2,8 mm - garantia de 80% mínimo passante, tolerância (TL) de até 5 unidades para menos no mínimo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w:t>
      </w:r>
      <w:proofErr w:type="spellStart"/>
      <w:proofErr w:type="gramStart"/>
      <w:r w:rsidRPr="00DA18AE">
        <w:rPr>
          <w:rFonts w:ascii="Arial" w:eastAsia="Times New Roman" w:hAnsi="Arial" w:cs="Arial"/>
          <w:color w:val="0000FF"/>
          <w:sz w:val="22"/>
          <w:szCs w:val="22"/>
        </w:rPr>
        <w:t>Ta</w:t>
      </w:r>
      <w:proofErr w:type="spellEnd"/>
      <w:proofErr w:type="gramEnd"/>
      <w:r w:rsidRPr="00DA18AE">
        <w:rPr>
          <w:rFonts w:ascii="Arial" w:eastAsia="Times New Roman" w:hAnsi="Arial" w:cs="Arial"/>
          <w:color w:val="0000FF"/>
          <w:sz w:val="22"/>
          <w:szCs w:val="22"/>
        </w:rPr>
        <w:t>): 40% passante (= 60% retido)</w:t>
      </w:r>
    </w:p>
    <w:p w:rsidR="00DC5AC2" w:rsidRPr="00DA18AE" w:rsidRDefault="00DC5AC2" w:rsidP="00DC5AC2">
      <w:pPr>
        <w:pStyle w:val="NormalWeb"/>
        <w:rPr>
          <w:rFonts w:ascii="Arial" w:eastAsia="Times New Roman" w:hAnsi="Arial" w:cs="Arial"/>
          <w:color w:val="0000FF"/>
          <w:sz w:val="22"/>
          <w:szCs w:val="22"/>
        </w:rPr>
      </w:pPr>
      <w:proofErr w:type="spellStart"/>
      <w:proofErr w:type="gram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Tg</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Ta</w:t>
      </w:r>
      <w:bookmarkStart w:id="0" w:name="_Hlk493663059"/>
      <w:proofErr w:type="spellEnd"/>
    </w:p>
    <w:p w:rsidR="00DC5AC2" w:rsidRPr="00DA18AE" w:rsidRDefault="00DC5AC2" w:rsidP="00DC5AC2">
      <w:pPr>
        <w:pStyle w:val="NormalWeb"/>
        <w:rPr>
          <w:rFonts w:ascii="Arial" w:eastAsia="Times New Roman" w:hAnsi="Arial" w:cs="Arial"/>
          <w:color w:val="0000FF"/>
          <w:sz w:val="22"/>
          <w:szCs w:val="22"/>
        </w:rPr>
      </w:pPr>
      <w:proofErr w:type="spellStart"/>
      <w:proofErr w:type="gram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40 = 40 unidades </w:t>
      </w:r>
    </w:p>
    <w:bookmarkEnd w:id="0"/>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Calcular a deficiência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ou unidades - (</w:t>
      </w:r>
      <w:proofErr w:type="gramStart"/>
      <w:r w:rsidRPr="00DA18AE">
        <w:rPr>
          <w:rFonts w:ascii="Arial" w:eastAsia="Times New Roman" w:hAnsi="Arial" w:cs="Arial"/>
          <w:color w:val="0000FF"/>
          <w:sz w:val="22"/>
          <w:szCs w:val="22"/>
        </w:rPr>
        <w:t>D(</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gramStart"/>
      <w:r w:rsidRPr="00DA18AE">
        <w:rPr>
          <w:rFonts w:ascii="Arial" w:eastAsia="Times New Roman" w:hAnsi="Arial" w:cs="Arial"/>
          <w:color w:val="0000FF"/>
          <w:sz w:val="22"/>
          <w:szCs w:val="22"/>
        </w:rPr>
        <w:t>D(</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Teor garantido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menos o Teor analisado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80 - 40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 40 unidades, assim, fazer o enquadramento, dividindo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 40 / 5 = 8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ou seja, a deficiência apurada por componente está na faixa de superior a 3 vezes o valor da tolerância (8&gt;3), portanto é classificada como GRAVÍSSIMA (Inciso I do art. 83 do anexo do Decreto 4954/2004).</w:t>
      </w:r>
    </w:p>
    <w:p w:rsidR="00DC5AC2" w:rsidRPr="00DA18AE" w:rsidRDefault="00DC5AC2" w:rsidP="00DC5AC2">
      <w:pPr>
        <w:pStyle w:val="NormalWeb"/>
        <w:jc w:val="both"/>
        <w:rPr>
          <w:rFonts w:ascii="Arial" w:eastAsia="Times New Roman" w:hAnsi="Arial" w:cs="Arial"/>
          <w:color w:val="0000FF"/>
          <w:sz w:val="22"/>
          <w:szCs w:val="22"/>
        </w:rPr>
      </w:pP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CLASSIFICAÇÃO INFRAÇÃO = </w:t>
      </w:r>
      <w:proofErr w:type="spellStart"/>
      <w:proofErr w:type="gram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(tolerância) = 40 / 5 = 8 vezes o valor da TL, portanto superior a 3 vezes o valor da TL admitida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É infração de natureza GRAVÍSSIMA. </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Assim, lembrar que para o cálculo da multa temos que trabalhar com valores de retido, ao invés de passante:</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 80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 (3xTL) = 80 - 15 = 65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35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retido</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(retido) = 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 100%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retido</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x (</w:t>
      </w:r>
      <w:proofErr w:type="spellStart"/>
      <w:proofErr w:type="gramStart"/>
      <w:r w:rsidRPr="00DA18AE">
        <w:rPr>
          <w:rFonts w:ascii="Arial" w:eastAsia="Times New Roman" w:hAnsi="Arial" w:cs="Arial"/>
          <w:color w:val="0000FF"/>
          <w:sz w:val="22"/>
          <w:szCs w:val="22"/>
        </w:rPr>
        <w:t>Ta</w:t>
      </w:r>
      <w:proofErr w:type="spellEnd"/>
      <w:proofErr w:type="gram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{(19.000 - 9.501) / (100 - 35) x (60 - 35)} + 9.501</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lastRenderedPageBreak/>
        <w:t>MULTA = R$ 13.154,46</w:t>
      </w:r>
    </w:p>
    <w:p w:rsidR="00DC5AC2" w:rsidRPr="00DA18AE" w:rsidRDefault="00DC5AC2" w:rsidP="00DC5AC2">
      <w:pPr>
        <w:pStyle w:val="NormalWeb"/>
        <w:rPr>
          <w:rFonts w:ascii="Arial" w:eastAsia="Times New Roman" w:hAnsi="Arial" w:cs="Arial"/>
          <w:color w:val="0000FF"/>
          <w:sz w:val="22"/>
          <w:szCs w:val="22"/>
        </w:rPr>
      </w:pP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2) EXEMPLO DE CÁLCULO DE MULTA NO CASO DE DEFICIÊNCIA LEVE</w:t>
      </w:r>
    </w:p>
    <w:p w:rsidR="00DC5AC2" w:rsidRPr="00DA18AE" w:rsidRDefault="00DC5AC2" w:rsidP="00DC5AC2">
      <w:pPr>
        <w:pStyle w:val="NormalWeb"/>
        <w:rPr>
          <w:rFonts w:ascii="Arial" w:eastAsia="Times New Roman" w:hAnsi="Arial" w:cs="Arial"/>
          <w:color w:val="0000FF"/>
          <w:sz w:val="22"/>
          <w:szCs w:val="22"/>
        </w:rPr>
      </w:pP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PRODUTO FARELADO - peneira 2,8 mm - garantia de 80% mínimo passante, tolerância de até 5 unidades para menos no mínimo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Resultado analítico (teor analisado): 73%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27% RETIDO</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 80% passante - TL = 80 - 5 = 75% passante = 25% RETIDO</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80% passante - 1,5 x TL = 80 - 7,5 = 72,5%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27,5% RETIDO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Calcular a deficiência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ou unidades - (</w:t>
      </w:r>
      <w:proofErr w:type="gramStart"/>
      <w:r w:rsidRPr="00DA18AE">
        <w:rPr>
          <w:rFonts w:ascii="Arial" w:eastAsia="Times New Roman" w:hAnsi="Arial" w:cs="Arial"/>
          <w:color w:val="0000FF"/>
          <w:sz w:val="22"/>
          <w:szCs w:val="22"/>
        </w:rPr>
        <w:t>D(</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gramStart"/>
      <w:r w:rsidRPr="00DA18AE">
        <w:rPr>
          <w:rFonts w:ascii="Arial" w:eastAsia="Times New Roman" w:hAnsi="Arial" w:cs="Arial"/>
          <w:color w:val="0000FF"/>
          <w:sz w:val="22"/>
          <w:szCs w:val="22"/>
        </w:rPr>
        <w:t>D(</w:t>
      </w:r>
      <w:proofErr w:type="spellStart"/>
      <w:proofErr w:type="gramEnd"/>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Teor garantido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menos o Teor analisado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80 - 73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 7 unidades, assim, fazer o enquadramento, dividindo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 7 / 5 = 1,4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ou seja, a deficiência apurada por componente está na faixa de até 1,5 vezes o valor da tolerância, portanto é classificada como LEVE (Inciso I do art. 83 do anexo do Decreto 4954/2004).</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Cálculo da Multa:</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x (</w:t>
      </w:r>
      <w:proofErr w:type="spellStart"/>
      <w:proofErr w:type="gramStart"/>
      <w:r w:rsidRPr="00DA18AE">
        <w:rPr>
          <w:rFonts w:ascii="Arial" w:eastAsia="Times New Roman" w:hAnsi="Arial" w:cs="Arial"/>
          <w:color w:val="0000FF"/>
          <w:sz w:val="22"/>
          <w:szCs w:val="22"/>
        </w:rPr>
        <w:t>Ta</w:t>
      </w:r>
      <w:proofErr w:type="spellEnd"/>
      <w:proofErr w:type="gram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MMiF</w:t>
      </w:r>
      <w:proofErr w:type="spellEnd"/>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{(3.500 - 1.000) / (27,5 - 25) x (27 - 25)} + 1.000</w:t>
      </w:r>
    </w:p>
    <w:p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MULTA = R$ 3.000,00</w:t>
      </w:r>
    </w:p>
    <w:p w:rsidR="00DC5AC2" w:rsidRPr="00DA18AE" w:rsidRDefault="00DC5AC2" w:rsidP="00DC5AC2">
      <w:pPr>
        <w:rPr>
          <w:rFonts w:ascii="Arial" w:eastAsia="Times New Roman" w:hAnsi="Arial" w:cs="Arial"/>
          <w:color w:val="0000FF"/>
        </w:rPr>
      </w:pPr>
    </w:p>
    <w:p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3) EXEMPLO DE CÁLCULO DE MULTA PARA EXCESSO GRAVÍSSIMO*1 (entre o excesso mínimo da faixa e um excesso de 100%):</w:t>
      </w:r>
    </w:p>
    <w:p w:rsidR="00DC5AC2" w:rsidRPr="00DA18AE" w:rsidRDefault="00DC5AC2" w:rsidP="00DC5AC2">
      <w:pPr>
        <w:rPr>
          <w:rFonts w:ascii="Arial" w:eastAsia="Times New Roman" w:hAnsi="Arial" w:cs="Arial"/>
          <w:color w:val="0000FF"/>
        </w:rPr>
      </w:pPr>
    </w:p>
    <w:p w:rsidR="00DC5AC2" w:rsidRPr="00DA18AE" w:rsidRDefault="00DC5AC2" w:rsidP="00DC5AC2">
      <w:pPr>
        <w:pStyle w:val="NormalWeb"/>
        <w:jc w:val="both"/>
        <w:rPr>
          <w:rFonts w:ascii="Arial" w:eastAsia="Times New Roman" w:hAnsi="Arial" w:cs="Arial"/>
          <w:color w:val="0000FF"/>
          <w:sz w:val="22"/>
          <w:szCs w:val="22"/>
        </w:rPr>
      </w:pPr>
      <w:bookmarkStart w:id="1" w:name="_Hlk493744276"/>
      <w:r w:rsidRPr="00DA18AE">
        <w:rPr>
          <w:rFonts w:ascii="Arial" w:eastAsia="Times New Roman" w:hAnsi="Arial" w:cs="Arial"/>
          <w:color w:val="0000FF"/>
          <w:sz w:val="22"/>
          <w:szCs w:val="22"/>
        </w:rPr>
        <w:t>PRODUTO FARELADO - peneira 0,84 mm - garantia de 25% máximo passante, tolerância de até 5 unidades para mais no máximo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55%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TMA (Teor Máximo </w:t>
      </w:r>
      <w:proofErr w:type="gramStart"/>
      <w:r w:rsidRPr="00DA18AE">
        <w:rPr>
          <w:rFonts w:ascii="Arial" w:eastAsia="Times New Roman" w:hAnsi="Arial" w:cs="Arial"/>
          <w:color w:val="0000FF"/>
          <w:sz w:val="22"/>
          <w:szCs w:val="22"/>
        </w:rPr>
        <w:t>Admitido)=</w:t>
      </w:r>
      <w:proofErr w:type="gramEnd"/>
      <w:r w:rsidRPr="00DA18AE">
        <w:rPr>
          <w:rFonts w:ascii="Arial" w:eastAsia="Times New Roman" w:hAnsi="Arial" w:cs="Arial"/>
          <w:color w:val="0000FF"/>
          <w:sz w:val="22"/>
          <w:szCs w:val="22"/>
        </w:rPr>
        <w:t xml:space="preserve"> </w:t>
      </w:r>
      <w:proofErr w:type="spellStart"/>
      <w:r w:rsidRPr="00DA18AE">
        <w:rPr>
          <w:rFonts w:ascii="Arial" w:eastAsia="Times New Roman" w:hAnsi="Arial" w:cs="Arial"/>
          <w:color w:val="0000FF"/>
          <w:sz w:val="22"/>
          <w:szCs w:val="22"/>
        </w:rPr>
        <w:t>Tg</w:t>
      </w:r>
      <w:proofErr w:type="spellEnd"/>
      <w:r w:rsidRPr="00DA18AE">
        <w:rPr>
          <w:rFonts w:ascii="Arial" w:eastAsia="Times New Roman" w:hAnsi="Arial" w:cs="Arial"/>
          <w:color w:val="0000FF"/>
          <w:sz w:val="22"/>
          <w:szCs w:val="22"/>
        </w:rPr>
        <w:t xml:space="preserve"> (teor garantido) + TL (tolerância)</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TMA = 25 + 5 = 30% passante na peneira de 0,84 mm</w:t>
      </w:r>
    </w:p>
    <w:p w:rsidR="00DC5AC2" w:rsidRPr="00DA18AE" w:rsidRDefault="00DC5AC2" w:rsidP="00DC5AC2">
      <w:pPr>
        <w:pStyle w:val="NormalWeb"/>
        <w:rPr>
          <w:rFonts w:ascii="Arial" w:eastAsia="Times New Roman" w:hAnsi="Arial" w:cs="Arial"/>
          <w:color w:val="0000FF"/>
          <w:sz w:val="22"/>
          <w:szCs w:val="22"/>
        </w:rPr>
      </w:pPr>
      <w:bookmarkStart w:id="2" w:name="_Hlk493687162"/>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gramStart"/>
      <w:r w:rsidRPr="00DA18AE">
        <w:rPr>
          <w:rFonts w:ascii="Arial" w:eastAsia="Times New Roman" w:hAnsi="Arial" w:cs="Arial"/>
          <w:color w:val="0000FF"/>
          <w:sz w:val="22"/>
          <w:szCs w:val="22"/>
        </w:rPr>
        <w:t>[(</w:t>
      </w:r>
      <w:proofErr w:type="spellStart"/>
      <w:proofErr w:type="gramEnd"/>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(teor analisado) - TMA) / TMA] x 100</w:t>
      </w:r>
      <w:bookmarkEnd w:id="2"/>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gramStart"/>
      <w:r w:rsidRPr="00DA18AE">
        <w:rPr>
          <w:rFonts w:ascii="Arial" w:eastAsia="Times New Roman" w:hAnsi="Arial" w:cs="Arial"/>
          <w:color w:val="0000FF"/>
          <w:sz w:val="22"/>
          <w:szCs w:val="22"/>
        </w:rPr>
        <w:t>[(</w:t>
      </w:r>
      <w:proofErr w:type="gramEnd"/>
      <w:r w:rsidRPr="00DA18AE">
        <w:rPr>
          <w:rFonts w:ascii="Arial" w:eastAsia="Times New Roman" w:hAnsi="Arial" w:cs="Arial"/>
          <w:color w:val="0000FF"/>
          <w:sz w:val="22"/>
          <w:szCs w:val="22"/>
        </w:rPr>
        <w:t>55 - 30) / 30] x 100</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83,33% </w:t>
      </w:r>
    </w:p>
    <w:bookmarkEnd w:id="1"/>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Fazer o enquadramento comparando 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apurado por componente além do teor máximo admitido com o estabelecido no inciso II do art. 83 do anexo do Decreto 4954/2004, ou seja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83,33% é maior do que 30% para teores de garantia que vão de 20 até 40 (máximo passante na peneira é 25), portanto a infração é classificada como GRAVÍSSIMA.</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30% passante (inciso II do art. 83 do Decreto)</w:t>
      </w:r>
    </w:p>
    <w:p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100%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{(19.000 - 9.501) / (100 - 30) x (83,33 - 30)} + 9.501</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R$ 16.737,88</w:t>
      </w:r>
    </w:p>
    <w:p w:rsidR="00DC5AC2" w:rsidRPr="00DA18AE" w:rsidRDefault="00DC5AC2" w:rsidP="00DC5AC2">
      <w:pPr>
        <w:rPr>
          <w:rFonts w:ascii="Arial" w:eastAsia="Times New Roman" w:hAnsi="Arial" w:cs="Arial"/>
          <w:color w:val="0000FF"/>
        </w:rPr>
      </w:pPr>
    </w:p>
    <w:p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4) EXEMPLO PARA CÁLCULO DE MULTA NO CASO DE EXCESSO LEVE</w:t>
      </w:r>
    </w:p>
    <w:p w:rsidR="00DC5AC2" w:rsidRPr="00DA18AE" w:rsidRDefault="00DC5AC2" w:rsidP="00DC5AC2">
      <w:pPr>
        <w:pStyle w:val="NormalWeb"/>
        <w:rPr>
          <w:rFonts w:ascii="Arial" w:eastAsia="Times New Roman" w:hAnsi="Arial" w:cs="Arial"/>
          <w:color w:val="0000FF"/>
          <w:sz w:val="22"/>
          <w:szCs w:val="22"/>
        </w:rPr>
      </w:pPr>
      <w:bookmarkStart w:id="3" w:name="_Hlk493744475"/>
      <w:r w:rsidRPr="00DA18AE">
        <w:rPr>
          <w:rFonts w:ascii="Arial" w:eastAsia="Times New Roman" w:hAnsi="Arial" w:cs="Arial"/>
          <w:color w:val="0000FF"/>
          <w:sz w:val="22"/>
          <w:szCs w:val="22"/>
        </w:rPr>
        <w:t>PRODUTO FARELADO - peneira 0,84 mm - garantia de 25% máximo passante, tolerância de até 5 unidades para mais no máximo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32%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TMA = 25 + 5 = 30% passante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gramStart"/>
      <w:r w:rsidRPr="00DA18AE">
        <w:rPr>
          <w:rFonts w:ascii="Arial" w:eastAsia="Times New Roman" w:hAnsi="Arial" w:cs="Arial"/>
          <w:color w:val="0000FF"/>
          <w:sz w:val="22"/>
          <w:szCs w:val="22"/>
        </w:rPr>
        <w:t>[(</w:t>
      </w:r>
      <w:proofErr w:type="spellStart"/>
      <w:proofErr w:type="gramEnd"/>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 TMA) / TMA] x 100</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gramStart"/>
      <w:r w:rsidRPr="00DA18AE">
        <w:rPr>
          <w:rFonts w:ascii="Arial" w:eastAsia="Times New Roman" w:hAnsi="Arial" w:cs="Arial"/>
          <w:color w:val="0000FF"/>
          <w:sz w:val="22"/>
          <w:szCs w:val="22"/>
        </w:rPr>
        <w:t>[(</w:t>
      </w:r>
      <w:proofErr w:type="gramEnd"/>
      <w:r w:rsidRPr="00DA18AE">
        <w:rPr>
          <w:rFonts w:ascii="Arial" w:eastAsia="Times New Roman" w:hAnsi="Arial" w:cs="Arial"/>
          <w:color w:val="0000FF"/>
          <w:sz w:val="22"/>
          <w:szCs w:val="22"/>
        </w:rPr>
        <w:t>32 - 30) / 30] x 100</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6,67%</w:t>
      </w:r>
    </w:p>
    <w:bookmarkEnd w:id="3"/>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0%</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15% (inciso II do art. 83 do Decreto)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lastRenderedPageBreak/>
        <w:t>CLASSIFICAÇÃO INFRAÇÃO:</w:t>
      </w: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Fazer o enquadramento conforme, comparando 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apurado por componente com o estabelecido no inciso II do art. 83 do anexo do Decreto 4954/2004, ou seja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6,67% é menor do que 15% para teores de garantia que vão de 20 até 40 (máximo passante na peneira é 25), portanto a infração é classificada como LEVE.</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Cálculo da Multa:</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{(3.500 - 1.000) / (15 - 0) x (6,67 - 0)} + 1.000</w:t>
      </w:r>
    </w:p>
    <w:p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R$ 2.111,67</w:t>
      </w:r>
    </w:p>
    <w:p w:rsidR="00DC5AC2" w:rsidRPr="00DA18AE" w:rsidRDefault="00DC5AC2" w:rsidP="00DC5AC2">
      <w:pPr>
        <w:pStyle w:val="NormalWeb"/>
        <w:jc w:val="both"/>
        <w:rPr>
          <w:rFonts w:ascii="Arial" w:eastAsia="Times New Roman" w:hAnsi="Arial" w:cs="Arial"/>
          <w:color w:val="0000FF"/>
          <w:sz w:val="22"/>
          <w:szCs w:val="22"/>
        </w:rPr>
      </w:pPr>
    </w:p>
    <w:p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*1 Observação: Para excessos que extrapolam os 100%, aplicar, por extensão, o que dispõe o inciso III do art. 86 do Anexo do Decreto 4.954/2004, que estipula a aplicação de multa </w:t>
      </w:r>
      <w:proofErr w:type="gramStart"/>
      <w:r w:rsidRPr="00DA18AE">
        <w:rPr>
          <w:rFonts w:ascii="Arial" w:eastAsia="Times New Roman" w:hAnsi="Arial" w:cs="Arial"/>
          <w:color w:val="0000FF"/>
          <w:sz w:val="22"/>
          <w:szCs w:val="22"/>
        </w:rPr>
        <w:t>no  valor</w:t>
      </w:r>
      <w:proofErr w:type="gramEnd"/>
      <w:r w:rsidRPr="00DA18AE">
        <w:rPr>
          <w:rFonts w:ascii="Arial" w:eastAsia="Times New Roman" w:hAnsi="Arial" w:cs="Arial"/>
          <w:color w:val="0000FF"/>
          <w:sz w:val="22"/>
          <w:szCs w:val="22"/>
        </w:rPr>
        <w:t xml:space="preserve"> máximo da faixa de gradação para infrações  gravíssimas a excessos superiores a 100% em contaminantes, ou seja, o excesso  apurado  ultrapassou os 100%, aplica-se automaticamente o valor máximo de R$ 19.000,00.</w:t>
      </w:r>
    </w:p>
    <w:p w:rsidR="00DC5AC2" w:rsidRPr="00DA18AE" w:rsidRDefault="00DC5AC2" w:rsidP="005D1791">
      <w:pPr>
        <w:jc w:val="both"/>
        <w:rPr>
          <w:rFonts w:ascii="Times New Roman" w:hAnsi="Times New Roman"/>
          <w:color w:val="0000FF"/>
        </w:rPr>
      </w:pPr>
    </w:p>
    <w:p w:rsidR="00E97D21" w:rsidRPr="00DA18AE" w:rsidRDefault="00E97D21" w:rsidP="005D1791">
      <w:pPr>
        <w:jc w:val="both"/>
        <w:rPr>
          <w:rFonts w:ascii="Times New Roman" w:hAnsi="Times New Roman"/>
          <w:color w:val="0000FF"/>
        </w:rPr>
      </w:pPr>
    </w:p>
    <w:p w:rsidR="00E97D21" w:rsidRPr="00DA18AE" w:rsidRDefault="00E97D21" w:rsidP="00E97D21">
      <w:pPr>
        <w:jc w:val="both"/>
        <w:rPr>
          <w:rFonts w:ascii="Arial" w:hAnsi="Arial" w:cs="Arial"/>
        </w:rPr>
      </w:pPr>
      <w:r w:rsidRPr="00DA18AE">
        <w:rPr>
          <w:rFonts w:ascii="Arial" w:hAnsi="Arial" w:cs="Arial"/>
        </w:rPr>
        <w:t xml:space="preserve">50 - </w:t>
      </w:r>
      <w:r w:rsidRPr="00DA18AE">
        <w:rPr>
          <w:rFonts w:ascii="Arial" w:hAnsi="Arial" w:cs="Arial"/>
        </w:rPr>
        <w:t>Solicito esclarecimento sobre os valores de pH e CE que devem constar nos rótulos de fertilizantes, de acordo com a nova IN.</w:t>
      </w:r>
    </w:p>
    <w:p w:rsidR="00E97D21" w:rsidRPr="00DA18AE" w:rsidRDefault="00E97D21" w:rsidP="00E97D21">
      <w:pPr>
        <w:jc w:val="both"/>
        <w:rPr>
          <w:rFonts w:ascii="Arial" w:hAnsi="Arial" w:cs="Arial"/>
        </w:rPr>
      </w:pPr>
      <w:r w:rsidRPr="00DA18AE">
        <w:rPr>
          <w:rFonts w:ascii="Arial" w:hAnsi="Arial" w:cs="Arial"/>
        </w:rPr>
        <w:t>Entendo que a maior relação soluto solvente é um parâmetro utilizado na realização das análises de pH e CE e deve coincidir com a maior recomendação de uso indicada no rótulo.</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r w:rsidRPr="00DA18AE">
        <w:rPr>
          <w:rFonts w:ascii="Arial" w:hAnsi="Arial" w:cs="Arial"/>
        </w:rPr>
        <w:t>Veja um exemplo prático:</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proofErr w:type="gramStart"/>
      <w:r w:rsidRPr="00DA18AE">
        <w:rPr>
          <w:rFonts w:ascii="Arial" w:hAnsi="Arial" w:cs="Arial"/>
        </w:rPr>
        <w:t>MAP Purificado</w:t>
      </w:r>
      <w:proofErr w:type="gramEnd"/>
      <w:r w:rsidRPr="00DA18AE">
        <w:rPr>
          <w:rFonts w:ascii="Arial" w:hAnsi="Arial" w:cs="Arial"/>
        </w:rPr>
        <w:t xml:space="preserve"> 12-61-00</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r w:rsidRPr="00DA18AE">
        <w:rPr>
          <w:rFonts w:ascii="Arial" w:hAnsi="Arial" w:cs="Arial"/>
        </w:rPr>
        <w:t>Abaixo seguem análises de pH e CE em três diferentes relações de soluto/solvente (1, 20 e 200 g/L)</w:t>
      </w:r>
    </w:p>
    <w:p w:rsidR="00E97D21" w:rsidRPr="00DA18AE" w:rsidRDefault="00E97D21" w:rsidP="00E97D21"/>
    <w:tbl>
      <w:tblPr>
        <w:tblW w:w="8201" w:type="dxa"/>
        <w:tblInd w:w="-3" w:type="dxa"/>
        <w:tblCellMar>
          <w:left w:w="0" w:type="dxa"/>
          <w:right w:w="0" w:type="dxa"/>
        </w:tblCellMar>
        <w:tblLook w:val="04A0" w:firstRow="1" w:lastRow="0" w:firstColumn="1" w:lastColumn="0" w:noHBand="0" w:noVBand="1"/>
      </w:tblPr>
      <w:tblGrid>
        <w:gridCol w:w="1220"/>
        <w:gridCol w:w="1221"/>
        <w:gridCol w:w="529"/>
        <w:gridCol w:w="1391"/>
        <w:gridCol w:w="469"/>
        <w:gridCol w:w="1451"/>
        <w:gridCol w:w="469"/>
        <w:gridCol w:w="1451"/>
      </w:tblGrid>
      <w:tr w:rsidR="00E97D21" w:rsidRPr="00DA18AE" w:rsidTr="00E97D21">
        <w:trPr>
          <w:trHeight w:val="300"/>
        </w:trPr>
        <w:tc>
          <w:tcPr>
            <w:tcW w:w="122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E97D21" w:rsidRPr="00DA18AE" w:rsidRDefault="00E97D21">
            <w:pPr>
              <w:jc w:val="center"/>
              <w:rPr>
                <w:b/>
                <w:bCs/>
                <w:color w:val="000000"/>
                <w:lang w:eastAsia="pt-BR"/>
              </w:rPr>
            </w:pPr>
            <w:r w:rsidRPr="00DA18AE">
              <w:rPr>
                <w:b/>
                <w:bCs/>
                <w:color w:val="000000"/>
                <w:lang w:eastAsia="pt-BR"/>
              </w:rPr>
              <w:t>PRODUTO</w:t>
            </w:r>
          </w:p>
        </w:tc>
        <w:tc>
          <w:tcPr>
            <w:tcW w:w="1221" w:type="dxa"/>
            <w:tcBorders>
              <w:top w:val="single" w:sz="8" w:space="0" w:color="auto"/>
              <w:left w:val="nil"/>
              <w:bottom w:val="nil"/>
              <w:right w:val="nil"/>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GARANTIAS</w:t>
            </w: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E97D21" w:rsidRPr="00DA18AE" w:rsidRDefault="00E97D21">
            <w:pPr>
              <w:rPr>
                <w:b/>
                <w:bCs/>
                <w:color w:val="000000"/>
                <w:lang w:eastAsia="pt-BR"/>
              </w:rPr>
            </w:pPr>
            <w:r w:rsidRPr="00DA18AE">
              <w:rPr>
                <w:b/>
                <w:bCs/>
                <w:color w:val="000000"/>
                <w:lang w:eastAsia="pt-BR"/>
              </w:rPr>
              <w:t>                       1 g/l</w:t>
            </w:r>
          </w:p>
        </w:tc>
        <w:tc>
          <w:tcPr>
            <w:tcW w:w="1920"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20 g/l</w:t>
            </w:r>
          </w:p>
        </w:tc>
        <w:tc>
          <w:tcPr>
            <w:tcW w:w="1920"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200 g/l</w:t>
            </w:r>
          </w:p>
        </w:tc>
      </w:tr>
      <w:tr w:rsidR="00E97D21" w:rsidRPr="00DA18AE" w:rsidTr="00E97D21">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97D21" w:rsidRPr="00DA18AE" w:rsidRDefault="00E97D21">
            <w:pPr>
              <w:rPr>
                <w:rFonts w:cs="Calibri"/>
                <w:b/>
                <w:bCs/>
                <w:color w:val="000000"/>
                <w:lang w:eastAsia="pt-BR"/>
              </w:rPr>
            </w:pPr>
          </w:p>
        </w:tc>
        <w:tc>
          <w:tcPr>
            <w:tcW w:w="122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NPK</w:t>
            </w:r>
          </w:p>
        </w:tc>
        <w:tc>
          <w:tcPr>
            <w:tcW w:w="5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proofErr w:type="gramStart"/>
            <w:r w:rsidRPr="00DA18AE">
              <w:rPr>
                <w:b/>
                <w:bCs/>
                <w:color w:val="000000"/>
                <w:lang w:eastAsia="pt-BR"/>
              </w:rPr>
              <w:t>pH</w:t>
            </w:r>
            <w:proofErr w:type="gramEnd"/>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proofErr w:type="gramStart"/>
            <w:r w:rsidRPr="00DA18AE">
              <w:rPr>
                <w:b/>
                <w:bCs/>
                <w:color w:val="000000"/>
                <w:lang w:eastAsia="pt-BR"/>
              </w:rPr>
              <w:t>pH</w:t>
            </w:r>
            <w:proofErr w:type="gramEnd"/>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proofErr w:type="gramStart"/>
            <w:r w:rsidRPr="00DA18AE">
              <w:rPr>
                <w:b/>
                <w:bCs/>
                <w:color w:val="000000"/>
                <w:lang w:eastAsia="pt-BR"/>
              </w:rPr>
              <w:t>pH</w:t>
            </w:r>
            <w:proofErr w:type="gramEnd"/>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r>
      <w:tr w:rsidR="00E97D21" w:rsidRPr="00DA18AE" w:rsidTr="00E97D21">
        <w:trPr>
          <w:trHeight w:val="300"/>
        </w:trPr>
        <w:tc>
          <w:tcPr>
            <w:tcW w:w="1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MAP</w:t>
            </w:r>
          </w:p>
        </w:tc>
        <w:tc>
          <w:tcPr>
            <w:tcW w:w="122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12-61-</w:t>
            </w:r>
            <w:proofErr w:type="gramStart"/>
            <w:r w:rsidRPr="00DA18AE">
              <w:rPr>
                <w:color w:val="000000"/>
                <w:lang w:eastAsia="pt-BR"/>
              </w:rPr>
              <w:t>0</w:t>
            </w:r>
            <w:proofErr w:type="gramEnd"/>
          </w:p>
        </w:tc>
        <w:tc>
          <w:tcPr>
            <w:tcW w:w="5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4,9</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0,95</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4,6</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11,61</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4,1</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7D21" w:rsidRPr="00DA18AE" w:rsidRDefault="00E97D21">
            <w:pPr>
              <w:jc w:val="center"/>
              <w:rPr>
                <w:color w:val="000000"/>
                <w:lang w:eastAsia="pt-BR"/>
              </w:rPr>
            </w:pPr>
            <w:r w:rsidRPr="00DA18AE">
              <w:rPr>
                <w:color w:val="000000"/>
                <w:lang w:eastAsia="pt-BR"/>
              </w:rPr>
              <w:t>29,90</w:t>
            </w:r>
          </w:p>
        </w:tc>
      </w:tr>
    </w:tbl>
    <w:p w:rsidR="00E97D21" w:rsidRPr="00DA18AE" w:rsidRDefault="00E97D21" w:rsidP="00E97D21">
      <w:pPr>
        <w:rPr>
          <w:rFonts w:cs="Calibri"/>
        </w:rPr>
      </w:pPr>
    </w:p>
    <w:p w:rsidR="00E97D21" w:rsidRPr="00DA18AE" w:rsidRDefault="00E97D21" w:rsidP="00E97D21">
      <w:pPr>
        <w:jc w:val="both"/>
        <w:rPr>
          <w:rFonts w:ascii="Arial" w:hAnsi="Arial" w:cs="Arial"/>
        </w:rPr>
      </w:pPr>
      <w:r w:rsidRPr="00DA18AE">
        <w:rPr>
          <w:rFonts w:ascii="Arial" w:hAnsi="Arial" w:cs="Arial"/>
        </w:rPr>
        <w:t>A maior recomendação de uso do produto é 200 g/L, portanto a maior relação soluto solvente é 200 g/L.</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r w:rsidRPr="00DA18AE">
        <w:rPr>
          <w:rFonts w:ascii="Arial" w:hAnsi="Arial" w:cs="Arial"/>
        </w:rPr>
        <w:t xml:space="preserve">Antes da nova IN usávamos os valores de pH e CE a 1g/L. Agora, de acordo com as análises acima, tenho que usar pH 4,1 e CE 29,90 </w:t>
      </w:r>
      <w:proofErr w:type="spellStart"/>
      <w:r w:rsidRPr="00DA18AE">
        <w:rPr>
          <w:rFonts w:ascii="Arial" w:hAnsi="Arial" w:cs="Arial"/>
        </w:rPr>
        <w:t>mS</w:t>
      </w:r>
      <w:proofErr w:type="spellEnd"/>
      <w:r w:rsidRPr="00DA18AE">
        <w:rPr>
          <w:rFonts w:ascii="Arial" w:hAnsi="Arial" w:cs="Arial"/>
        </w:rPr>
        <w:t>/cm, correto?</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r w:rsidRPr="00DA18AE">
        <w:rPr>
          <w:rFonts w:ascii="Arial" w:hAnsi="Arial" w:cs="Arial"/>
        </w:rPr>
        <w:t xml:space="preserve">Pergunta: Posso usar </w:t>
      </w:r>
      <w:proofErr w:type="gramStart"/>
      <w:r w:rsidRPr="00DA18AE">
        <w:rPr>
          <w:rFonts w:ascii="Arial" w:hAnsi="Arial" w:cs="Arial"/>
        </w:rPr>
        <w:t>duas relação</w:t>
      </w:r>
      <w:proofErr w:type="gramEnd"/>
      <w:r w:rsidRPr="00DA18AE">
        <w:rPr>
          <w:rFonts w:ascii="Arial" w:hAnsi="Arial" w:cs="Arial"/>
        </w:rPr>
        <w:t xml:space="preserve"> soluto solvente, uma para recomendação de uso e outra para pH e CE?</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rPr>
      </w:pPr>
      <w:r w:rsidRPr="00DA18AE">
        <w:rPr>
          <w:rFonts w:ascii="Arial" w:hAnsi="Arial" w:cs="Arial"/>
        </w:rPr>
        <w:t>Pergunto isso porque os produtores não estão habituados com esse valor de CE e isso pode trazer muita confusão.</w:t>
      </w:r>
    </w:p>
    <w:p w:rsidR="00E97D21" w:rsidRPr="00DA18AE" w:rsidRDefault="00E97D21" w:rsidP="00E97D21">
      <w:pPr>
        <w:jc w:val="both"/>
        <w:rPr>
          <w:rFonts w:ascii="Arial" w:hAnsi="Arial" w:cs="Arial"/>
        </w:rPr>
      </w:pPr>
    </w:p>
    <w:p w:rsidR="00E97D21" w:rsidRPr="00DA18AE" w:rsidRDefault="00E97D21" w:rsidP="00E97D21">
      <w:pPr>
        <w:jc w:val="both"/>
        <w:rPr>
          <w:rFonts w:ascii="Arial" w:hAnsi="Arial" w:cs="Arial"/>
          <w:color w:val="FF0000"/>
        </w:rPr>
      </w:pPr>
      <w:r w:rsidRPr="00DA18AE">
        <w:rPr>
          <w:rFonts w:ascii="Arial" w:hAnsi="Arial" w:cs="Arial"/>
          <w:color w:val="FF0000"/>
        </w:rPr>
        <w:t>Resposta:</w:t>
      </w:r>
    </w:p>
    <w:p w:rsidR="00E97D21" w:rsidRPr="00DA18AE" w:rsidRDefault="00E97D21" w:rsidP="00E97D21">
      <w:pPr>
        <w:jc w:val="both"/>
        <w:rPr>
          <w:rFonts w:ascii="Times New Roman" w:hAnsi="Times New Roman"/>
        </w:rPr>
      </w:pPr>
    </w:p>
    <w:p w:rsidR="00E97D21" w:rsidRPr="00DA18AE" w:rsidRDefault="00E97D21" w:rsidP="00E97D21">
      <w:pPr>
        <w:jc w:val="both"/>
        <w:rPr>
          <w:rFonts w:ascii="Arial" w:hAnsi="Arial" w:cs="Arial"/>
          <w:color w:val="4472C4" w:themeColor="accent1"/>
        </w:rPr>
      </w:pPr>
      <w:r w:rsidRPr="00DA18AE">
        <w:rPr>
          <w:rFonts w:ascii="Arial" w:hAnsi="Arial" w:cs="Arial"/>
          <w:color w:val="4472C4" w:themeColor="accent1"/>
        </w:rPr>
        <w:t xml:space="preserve">Antes da nova IN usávamos os valores de pH e CE a 1g/L. Agora, de acordo com as análises acima, tenho que usar pH 4,1 e CE 29,90 </w:t>
      </w:r>
      <w:proofErr w:type="spellStart"/>
      <w:r w:rsidRPr="00DA18AE">
        <w:rPr>
          <w:rFonts w:ascii="Arial" w:hAnsi="Arial" w:cs="Arial"/>
          <w:color w:val="4472C4" w:themeColor="accent1"/>
        </w:rPr>
        <w:t>mS</w:t>
      </w:r>
      <w:proofErr w:type="spellEnd"/>
      <w:r w:rsidRPr="00DA18AE">
        <w:rPr>
          <w:rFonts w:ascii="Arial" w:hAnsi="Arial" w:cs="Arial"/>
          <w:color w:val="4472C4" w:themeColor="accent1"/>
        </w:rPr>
        <w:t>/cm, correto?</w:t>
      </w:r>
    </w:p>
    <w:p w:rsidR="00E97D21" w:rsidRPr="00DA18AE" w:rsidRDefault="00E97D21" w:rsidP="00E97D21">
      <w:pPr>
        <w:jc w:val="both"/>
        <w:rPr>
          <w:rFonts w:ascii="Arial" w:hAnsi="Arial" w:cs="Arial"/>
          <w:b/>
          <w:color w:val="4472C4" w:themeColor="accent1"/>
        </w:rPr>
      </w:pPr>
      <w:r w:rsidRPr="00DA18AE">
        <w:rPr>
          <w:rFonts w:ascii="Arial" w:hAnsi="Arial" w:cs="Arial"/>
          <w:b/>
          <w:color w:val="4472C4" w:themeColor="accent1"/>
        </w:rPr>
        <w:t xml:space="preserve">R.: </w:t>
      </w:r>
      <w:r w:rsidRPr="00DA18AE">
        <w:rPr>
          <w:rFonts w:ascii="Arial" w:hAnsi="Arial" w:cs="Arial"/>
          <w:b/>
          <w:color w:val="4472C4" w:themeColor="accent1"/>
        </w:rPr>
        <w:t>Correto</w:t>
      </w:r>
    </w:p>
    <w:p w:rsidR="00E97D21" w:rsidRPr="00DA18AE" w:rsidRDefault="00E97D21" w:rsidP="00E97D21">
      <w:pPr>
        <w:jc w:val="both"/>
        <w:rPr>
          <w:rFonts w:ascii="Arial" w:hAnsi="Arial" w:cs="Arial"/>
          <w:color w:val="4472C4" w:themeColor="accent1"/>
        </w:rPr>
      </w:pPr>
    </w:p>
    <w:p w:rsidR="00E97D21" w:rsidRPr="00DA18AE" w:rsidRDefault="00E97D21" w:rsidP="00E97D21">
      <w:pPr>
        <w:jc w:val="both"/>
        <w:rPr>
          <w:rFonts w:ascii="Arial" w:hAnsi="Arial" w:cs="Arial"/>
          <w:color w:val="4472C4" w:themeColor="accent1"/>
        </w:rPr>
      </w:pPr>
      <w:r w:rsidRPr="00DA18AE">
        <w:rPr>
          <w:rFonts w:ascii="Arial" w:hAnsi="Arial" w:cs="Arial"/>
          <w:color w:val="4472C4" w:themeColor="accent1"/>
        </w:rPr>
        <w:t xml:space="preserve">Pergunta: Posso usar </w:t>
      </w:r>
      <w:proofErr w:type="gramStart"/>
      <w:r w:rsidRPr="00DA18AE">
        <w:rPr>
          <w:rFonts w:ascii="Arial" w:hAnsi="Arial" w:cs="Arial"/>
          <w:color w:val="4472C4" w:themeColor="accent1"/>
        </w:rPr>
        <w:t>duas relação</w:t>
      </w:r>
      <w:proofErr w:type="gramEnd"/>
      <w:r w:rsidRPr="00DA18AE">
        <w:rPr>
          <w:rFonts w:ascii="Arial" w:hAnsi="Arial" w:cs="Arial"/>
          <w:color w:val="4472C4" w:themeColor="accent1"/>
        </w:rPr>
        <w:t xml:space="preserve"> soluto solvente, uma para recomendação de uso e outra para pH e CE?</w:t>
      </w:r>
      <w:bookmarkStart w:id="4" w:name="_GoBack"/>
      <w:bookmarkEnd w:id="4"/>
    </w:p>
    <w:p w:rsidR="00E97D21" w:rsidRPr="00DA18AE" w:rsidRDefault="00E97D21" w:rsidP="00E97D21">
      <w:pPr>
        <w:jc w:val="both"/>
        <w:rPr>
          <w:rFonts w:ascii="Arial" w:hAnsi="Arial" w:cs="Arial"/>
          <w:color w:val="4472C4" w:themeColor="accent1"/>
        </w:rPr>
      </w:pPr>
      <w:r w:rsidRPr="00DA18AE">
        <w:rPr>
          <w:rFonts w:ascii="Arial" w:hAnsi="Arial" w:cs="Arial"/>
          <w:b/>
          <w:color w:val="4472C4" w:themeColor="accent1"/>
        </w:rPr>
        <w:lastRenderedPageBreak/>
        <w:t>R.: Sim.</w:t>
      </w:r>
      <w:r w:rsidRPr="00DA18AE">
        <w:rPr>
          <w:rFonts w:ascii="Arial" w:hAnsi="Arial" w:cs="Arial"/>
          <w:color w:val="4472C4" w:themeColor="accent1"/>
        </w:rPr>
        <w:t xml:space="preserve"> O produtor pode fazer as recomendações de uso como tradicionalmente são feitas e pode escrever em local à parte, a maior relação soluto/solvente, para que o AFFA quando coletar amostra para fins fiscais, anote este parâmetro de maior relação soluto/solvente para informar ao laboratório que procederá à análise.</w:t>
      </w:r>
    </w:p>
    <w:sectPr w:rsidR="00E97D21" w:rsidRPr="00DA18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56710B9"/>
    <w:multiLevelType w:val="hybridMultilevel"/>
    <w:tmpl w:val="3544DF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579F2"/>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A5082"/>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A18AE"/>
    <w:rsid w:val="00DC445A"/>
    <w:rsid w:val="00DC5AC2"/>
    <w:rsid w:val="00DE0302"/>
    <w:rsid w:val="00DE716F"/>
    <w:rsid w:val="00E13AF2"/>
    <w:rsid w:val="00E44E30"/>
    <w:rsid w:val="00E63A3C"/>
    <w:rsid w:val="00E81CB7"/>
    <w:rsid w:val="00E9126F"/>
    <w:rsid w:val="00E97D21"/>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0A46"/>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925067753">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875998177">
      <w:bodyDiv w:val="1"/>
      <w:marLeft w:val="0"/>
      <w:marRight w:val="0"/>
      <w:marTop w:val="0"/>
      <w:marBottom w:val="0"/>
      <w:divBdr>
        <w:top w:val="none" w:sz="0" w:space="0" w:color="auto"/>
        <w:left w:val="none" w:sz="0" w:space="0" w:color="auto"/>
        <w:bottom w:val="none" w:sz="0" w:space="0" w:color="auto"/>
        <w:right w:val="none" w:sz="0" w:space="0" w:color="auto"/>
      </w:divBdr>
    </w:div>
    <w:div w:id="1931770349">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EF0B-6736-46C5-AA70-167415E0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11383</Words>
  <Characters>61471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3</cp:revision>
  <dcterms:created xsi:type="dcterms:W3CDTF">2018-04-30T14:59:00Z</dcterms:created>
  <dcterms:modified xsi:type="dcterms:W3CDTF">2018-04-30T15:02:00Z</dcterms:modified>
</cp:coreProperties>
</file>