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rsidR="00691BEE" w:rsidRDefault="000617C0" w:rsidP="00E44E30">
      <w:pPr>
        <w:jc w:val="both"/>
        <w:rPr>
          <w:rFonts w:ascii="Times New Roman" w:hAnsi="Times New Roman"/>
          <w:color w:val="FF0000"/>
        </w:rPr>
      </w:pPr>
      <w:r w:rsidRPr="000617C0">
        <w:rPr>
          <w:rFonts w:ascii="Times New Roman" w:hAnsi="Times New Roman"/>
          <w:color w:val="FF0000"/>
        </w:rPr>
        <w:t xml:space="preserve">Atualizado em </w:t>
      </w:r>
      <w:r w:rsidR="00A32955">
        <w:rPr>
          <w:rFonts w:ascii="Times New Roman" w:hAnsi="Times New Roman"/>
          <w:color w:val="FF0000"/>
        </w:rPr>
        <w:t>2</w:t>
      </w:r>
      <w:r w:rsidR="004A5082">
        <w:rPr>
          <w:rFonts w:ascii="Times New Roman" w:hAnsi="Times New Roman"/>
          <w:color w:val="FF0000"/>
        </w:rPr>
        <w:t>8</w:t>
      </w:r>
      <w:r w:rsidR="006170EF">
        <w:rPr>
          <w:rFonts w:ascii="Times New Roman" w:hAnsi="Times New Roman"/>
          <w:color w:val="FF0000"/>
        </w:rPr>
        <w:t>-</w:t>
      </w:r>
      <w:r w:rsidR="004A5082">
        <w:rPr>
          <w:rFonts w:ascii="Times New Roman" w:hAnsi="Times New Roman"/>
          <w:color w:val="FF0000"/>
        </w:rPr>
        <w:t>7</w:t>
      </w:r>
      <w:bookmarkStart w:id="0" w:name="_GoBack"/>
      <w:bookmarkEnd w:id="0"/>
      <w:r>
        <w:rPr>
          <w:rFonts w:ascii="Times New Roman" w:hAnsi="Times New Roman"/>
          <w:color w:val="FF0000"/>
        </w:rPr>
        <w:t>-2017</w:t>
      </w:r>
    </w:p>
    <w:p w:rsidR="006170EF" w:rsidRPr="000617C0" w:rsidRDefault="006170EF" w:rsidP="00E44E30">
      <w:pPr>
        <w:jc w:val="both"/>
        <w:rPr>
          <w:rFonts w:ascii="Times New Roman" w:hAnsi="Times New Roman"/>
          <w:color w:val="FF0000"/>
        </w:rPr>
      </w:pPr>
    </w:p>
    <w:p w:rsidR="00691BEE" w:rsidRPr="00A36166" w:rsidRDefault="00691BEE" w:rsidP="00E9126F">
      <w:pPr>
        <w:spacing w:before="80" w:after="80"/>
        <w:jc w:val="both"/>
        <w:rPr>
          <w:rFonts w:ascii="Times New Roman" w:hAnsi="Times New Roman"/>
        </w:rPr>
      </w:pPr>
      <w:r w:rsidRPr="00A36166">
        <w:rPr>
          <w:rFonts w:ascii="Times New Roman" w:hAnsi="Times New Roman"/>
        </w:rPr>
        <w:t>1 – Quando o teor de 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 superfosfato triplo (400 kg) + cloreto de potássio (300 kg) + enxofre-S0 (100 kg) corresponderia ao produto final com as seguintes garantias:</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rsidR="00691BEE" w:rsidRPr="00A36166" w:rsidRDefault="004A5082"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do(s) composto(s) químicos em referência.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 xml:space="preserve">mesmo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 xml:space="preserve">R: A exigência de solubilidade diz respeito a produto sólido com modo de aplicação via foliar, fertirrigação e </w:t>
      </w:r>
      <w:proofErr w:type="spellStart"/>
      <w:r w:rsidRPr="00A36166">
        <w:rPr>
          <w:rFonts w:ascii="Times New Roman" w:hAnsi="Times New Roman"/>
          <w:color w:val="0000FF"/>
        </w:rPr>
        <w:t>hidroponia</w:t>
      </w:r>
      <w:proofErr w:type="spellEnd"/>
      <w:r w:rsidRPr="00A36166">
        <w:rPr>
          <w:rFonts w:ascii="Times New Roman" w:hAnsi="Times New Roman"/>
          <w:color w:val="0000FF"/>
        </w:rPr>
        <w:t>, medida em água a 20ºC e expressa em g.L-1. A questão da tolerância para resíduos sólidos consta do inciso V, do § 2º do art. 20 da IN.</w:t>
      </w:r>
    </w:p>
    <w:p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rsidR="0058482E"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58482E" w:rsidRPr="0058482E">
        <w:rPr>
          <w:rFonts w:ascii="Times New Roman" w:hAnsi="Times New Roman"/>
          <w:color w:val="0000FF"/>
        </w:rPr>
        <w:t xml:space="preserve">No caso de comercialização exclusiva de fertilizante mineral simples, deverá constar como matéria-prima/componente o nome </w:t>
      </w:r>
      <w:r w:rsidR="0058482E">
        <w:rPr>
          <w:rFonts w:ascii="Times New Roman" w:hAnsi="Times New Roman"/>
          <w:color w:val="0000FF"/>
        </w:rPr>
        <w:t xml:space="preserve">por extenso do mineral simples </w:t>
      </w:r>
      <w:r w:rsidR="0058482E" w:rsidRPr="0058482E">
        <w:rPr>
          <w:rFonts w:ascii="Times New Roman" w:hAnsi="Times New Roman"/>
          <w:color w:val="0000FF"/>
        </w:rPr>
        <w:t xml:space="preserve">ou a abreviatura </w:t>
      </w:r>
      <w:r w:rsidR="0058482E">
        <w:rPr>
          <w:rFonts w:ascii="Times New Roman" w:hAnsi="Times New Roman"/>
          <w:color w:val="0000FF"/>
        </w:rPr>
        <w:t>autorizada do mesmo</w:t>
      </w:r>
      <w:r w:rsidR="0058482E" w:rsidRPr="0058482E">
        <w:rPr>
          <w:rFonts w:ascii="Times New Roman" w:hAnsi="Times New Roman"/>
          <w:color w:val="0000FF"/>
        </w:rPr>
        <w:t>, ou ainda a sua fórmula química, tal como consta do anexo I da IN 46/2016.</w:t>
      </w:r>
    </w:p>
    <w:p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 xml:space="preserve">R: a) Por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4.1. obrigatório para os produtos constantes do Anexo I desta Instrução Normativa que tenham esta especificação de solubilidade;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4.2. obrigatório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4.3. facultativo para as demais misturas.</w:t>
      </w:r>
    </w:p>
    <w:p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r w:rsidRPr="00A36166">
        <w:rPr>
          <w:rFonts w:ascii="Times New Roman" w:hAnsi="Times New Roman"/>
        </w:rPr>
        <w:t xml:space="preserve">são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é  inviável.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 Em relação ao inciso II do parágrafo 5 do artigo 3, poderia nos dar um exemplo, pois não está claro o que seria um produto uniforme no 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w:t>
      </w:r>
      <w:r w:rsidR="0003086A" w:rsidRPr="00A36166">
        <w:rPr>
          <w:color w:val="000000"/>
          <w:sz w:val="22"/>
          <w:szCs w:val="22"/>
        </w:rPr>
        <w:lastRenderedPageBreak/>
        <w:t>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(4) Qual o exemplo prático dessa situação?</w:t>
      </w:r>
    </w:p>
    <w:p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art. 9º da IN 46/2016) é que pelo menos um dos micronutrientes atinja o teor mínimo estabelecido, de outra forma qual seria a razão de se adicionar tal fonte numa mistura NPK? Obviamente se os </w:t>
      </w:r>
      <w:r w:rsidRPr="00A36166">
        <w:rPr>
          <w:rFonts w:ascii="Times New Roman" w:hAnsi="Times New Roman"/>
          <w:color w:val="0000FF"/>
        </w:rPr>
        <w:lastRenderedPageBreak/>
        <w:t>teores dos outros micronutrientes não atingirem o valor mínimo estabelecido estes não podem ser declarados.</w:t>
      </w:r>
    </w:p>
    <w:p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(N,P,K),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 1º A exigência prevista no inciso II deste artigo pode ser dispensada quando o estabelecimento comprovar, perante o órgão de fiscalização competente do MAPA, que dispõe de tecnologia </w:t>
      </w:r>
      <w:r w:rsidRPr="00A36166">
        <w:rPr>
          <w:rFonts w:ascii="Times New Roman" w:hAnsi="Times New Roman"/>
          <w:color w:val="000000"/>
          <w:lang w:eastAsia="pt-BR"/>
        </w:rPr>
        <w:lastRenderedPageBreak/>
        <w:t>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rsidR="00D66091" w:rsidRPr="00A36166" w:rsidRDefault="00D66091" w:rsidP="00D66091">
      <w:pPr>
        <w:jc w:val="both"/>
        <w:rPr>
          <w:rFonts w:ascii="Times New Roman" w:hAnsi="Times New Roman"/>
          <w:color w:val="000000"/>
          <w:lang w:eastAsia="pt-BR"/>
        </w:rPr>
      </w:pP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Algumas tecnologias haviam sido anteriormente descritas nos processos de registro dos estabelecimentos, como a adição de solução ou suspensão (fluido) na massa do fertilizantes, porém sem a apresentação de estudo de eficiência; nestes casos, há necessidade da apresentação dos estudos neste momento, certo?</w:t>
      </w:r>
    </w:p>
    <w:p w:rsidR="00D66091" w:rsidRPr="00A36166" w:rsidRDefault="00D66091" w:rsidP="00D66091">
      <w:pPr>
        <w:rPr>
          <w:rFonts w:ascii="Times New Roman" w:hAnsi="Times New Roman"/>
          <w:color w:val="000000"/>
          <w:lang w:eastAsia="pt-BR"/>
        </w:rPr>
      </w:pP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As empresas podem utilizar duas matérias-primas granuladas com o mesmo nutriente para alcançar os 5% ? (</w:t>
      </w:r>
      <w:proofErr w:type="spellStart"/>
      <w:r w:rsidRPr="00A36166">
        <w:rPr>
          <w:rFonts w:ascii="Times New Roman" w:hAnsi="Times New Roman"/>
        </w:rPr>
        <w:t>ex</w:t>
      </w:r>
      <w:proofErr w:type="spell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rsidR="00D31657" w:rsidRPr="00A36166" w:rsidRDefault="00D31657" w:rsidP="00D31657">
      <w:pPr>
        <w:jc w:val="both"/>
        <w:rPr>
          <w:rFonts w:ascii="Times New Roman" w:hAnsi="Times New Roman"/>
        </w:rPr>
      </w:pPr>
      <w:r w:rsidRPr="00A36166">
        <w:rPr>
          <w:rFonts w:ascii="Times New Roman" w:hAnsi="Times New Roman"/>
        </w:rPr>
        <w:lastRenderedPageBreak/>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r w:rsidRPr="00A36166">
        <w:rPr>
          <w:rFonts w:ascii="Times New Roman" w:hAnsi="Times New Roman"/>
        </w:rPr>
        <w:t>ex</w:t>
      </w:r>
      <w:proofErr w:type="spell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Art. 6º, inciso I, alínea b) item 2, resumindo, um produto NPK com a matéria prima MAP fornecedora de fosforo, as empresas devem declarar o N total , P205 sol em CNA mais água ( agora também o P205 em água) e K20 Sol. em água.</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rsidR="00B22D8D" w:rsidRPr="00A36166" w:rsidRDefault="00B22D8D" w:rsidP="00E81CB7">
      <w:pPr>
        <w:pStyle w:val="NormalWeb"/>
        <w:jc w:val="both"/>
        <w:rPr>
          <w:color w:val="000000"/>
          <w:sz w:val="22"/>
          <w:szCs w:val="22"/>
        </w:rPr>
      </w:pPr>
      <w:r w:rsidRPr="00A36166">
        <w:rPr>
          <w:color w:val="000000"/>
          <w:sz w:val="22"/>
          <w:szCs w:val="22"/>
        </w:rPr>
        <w:t>Resumindo: como interpreto?</w:t>
      </w:r>
    </w:p>
    <w:p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Já no caso dos dessa peneira de 2 mm para os produtos de especificação de natureza física pó, a norma estabelece que 100% das partículas tem que passar nessa peneira, sendo admitida uma </w:t>
      </w:r>
      <w:r w:rsidRPr="00A36166">
        <w:rPr>
          <w:rFonts w:ascii="Times New Roman" w:hAnsi="Times New Roman"/>
          <w:color w:val="0000FF"/>
        </w:rPr>
        <w:lastRenderedPageBreak/>
        <w:t xml:space="preserve">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14,4  (uma casa após a virgula)</w:t>
      </w:r>
      <w:r w:rsidR="009A2C79"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Na  IN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Pergunta-se:</w:t>
      </w:r>
    </w:p>
    <w:p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rsidR="008A5A49" w:rsidRPr="00A36166" w:rsidRDefault="007D0810" w:rsidP="008A5A49">
      <w:pPr>
        <w:pStyle w:val="NormalWeb"/>
        <w:jc w:val="both"/>
        <w:rPr>
          <w:color w:val="000000"/>
          <w:sz w:val="22"/>
          <w:szCs w:val="22"/>
        </w:rPr>
      </w:pPr>
      <w:r w:rsidRPr="00A36166">
        <w:rPr>
          <w:color w:val="000000"/>
          <w:sz w:val="22"/>
          <w:szCs w:val="22"/>
        </w:rPr>
        <w:t xml:space="preserve">b) </w:t>
      </w:r>
      <w:r w:rsidR="008A5A49" w:rsidRPr="00A36166">
        <w:rPr>
          <w:color w:val="000000"/>
          <w:sz w:val="22"/>
          <w:szCs w:val="22"/>
        </w:rPr>
        <w:t>As 4 casas após a virgula seriam somente para resultados Fiscais e Periciais?</w:t>
      </w:r>
    </w:p>
    <w:p w:rsidR="008A5A49" w:rsidRPr="00A36166" w:rsidRDefault="007D0810" w:rsidP="008A5A49">
      <w:pPr>
        <w:pStyle w:val="NormalWeb"/>
        <w:jc w:val="both"/>
        <w:rPr>
          <w:color w:val="000000"/>
          <w:sz w:val="22"/>
          <w:szCs w:val="22"/>
        </w:rPr>
      </w:pPr>
      <w:r w:rsidRPr="00A36166">
        <w:rPr>
          <w:color w:val="000000"/>
          <w:sz w:val="22"/>
          <w:szCs w:val="22"/>
        </w:rPr>
        <w:t xml:space="preserve">c) </w:t>
      </w:r>
      <w:r w:rsidR="008A5A49" w:rsidRPr="00A36166">
        <w:rPr>
          <w:color w:val="000000"/>
          <w:sz w:val="22"/>
          <w:szCs w:val="22"/>
        </w:rPr>
        <w:t>Quem define com quantas casas após a virgula tem-se que apresentar nos laudos/planilhas – Controle de qualidade interno da empresa?</w:t>
      </w:r>
    </w:p>
    <w:p w:rsidR="008A5A49" w:rsidRPr="00A36166" w:rsidRDefault="007D0810" w:rsidP="008A5A49">
      <w:pPr>
        <w:pStyle w:val="NormalWeb"/>
        <w:jc w:val="both"/>
        <w:rPr>
          <w:color w:val="000000"/>
          <w:sz w:val="22"/>
          <w:szCs w:val="22"/>
        </w:rPr>
      </w:pPr>
      <w:r w:rsidRPr="00A36166">
        <w:rPr>
          <w:color w:val="000000"/>
          <w:sz w:val="22"/>
          <w:szCs w:val="22"/>
        </w:rPr>
        <w:t xml:space="preserve">d) </w:t>
      </w:r>
      <w:r w:rsidR="008A5A49" w:rsidRPr="00A36166">
        <w:rPr>
          <w:color w:val="000000"/>
          <w:sz w:val="22"/>
          <w:szCs w:val="22"/>
        </w:rPr>
        <w:t xml:space="preserve">Pode-se definir o limite/valor da tolerância, </w:t>
      </w:r>
      <w:r w:rsidRPr="00A36166">
        <w:rPr>
          <w:color w:val="000000"/>
          <w:sz w:val="22"/>
          <w:szCs w:val="22"/>
        </w:rPr>
        <w:t>t</w:t>
      </w:r>
      <w:r w:rsidR="008A5A49" w:rsidRPr="00A36166">
        <w:rPr>
          <w:color w:val="000000"/>
          <w:sz w:val="22"/>
          <w:szCs w:val="22"/>
        </w:rPr>
        <w:t>runcado com uma casa após a vírgula?</w:t>
      </w:r>
    </w:p>
    <w:p w:rsidR="008A5A49" w:rsidRPr="00A36166" w:rsidRDefault="008A5A49" w:rsidP="008A5A49">
      <w:pPr>
        <w:pStyle w:val="NormalWeb"/>
        <w:jc w:val="both"/>
        <w:rPr>
          <w:color w:val="000000"/>
          <w:sz w:val="22"/>
          <w:szCs w:val="22"/>
        </w:rPr>
      </w:pPr>
    </w:p>
    <w:p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 xml:space="preserve">a) </w:t>
      </w:r>
      <w:r w:rsidR="000D672E" w:rsidRPr="00A36166">
        <w:rPr>
          <w:rFonts w:ascii="Times New Roman" w:hAnsi="Times New Roman"/>
          <w:color w:val="0000FF"/>
        </w:rPr>
        <w:t>Se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 xml:space="preserve">Sim. Contudo nada impede que os resultados obtidos no cálculo das tolerâncias admitidas sejam truncados em uma, duas ou três casas decimais, de acordo com o número de casas decimais em que estes resultados analíticos são apresentados, ou seja, se o resultado analítico é apresentado </w:t>
      </w:r>
      <w:r w:rsidR="00193CED" w:rsidRPr="00A36166">
        <w:rPr>
          <w:rFonts w:ascii="Times New Roman" w:hAnsi="Times New Roman"/>
          <w:color w:val="0000FF"/>
        </w:rPr>
        <w:lastRenderedPageBreak/>
        <w:t>com três casas decimais, o cálculo da tolerância admitida pode ser truncado em três casas decimais;</w:t>
      </w:r>
    </w:p>
    <w:p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rsidR="00956D81" w:rsidRPr="00A36166" w:rsidRDefault="00F24A64" w:rsidP="008B59EC">
      <w:pPr>
        <w:spacing w:before="80" w:after="80"/>
        <w:jc w:val="both"/>
        <w:rPr>
          <w:rFonts w:ascii="Times New Roman" w:hAnsi="Times New Roman"/>
          <w:color w:val="0000FF"/>
        </w:rPr>
      </w:pPr>
      <w:r w:rsidRPr="00A36166">
        <w:rPr>
          <w:rFonts w:ascii="Times New Roman" w:hAnsi="Times New Roman"/>
          <w:color w:val="0000FF"/>
        </w:rPr>
        <w:t xml:space="preserve">d) Sim, desde que tanto a garantia do nutriente, quanto o resultado da análise sejam expressos com uma casa decimal também. </w:t>
      </w:r>
      <w:r w:rsidR="00193CED" w:rsidRPr="00A36166">
        <w:rPr>
          <w:rFonts w:ascii="Times New Roman" w:hAnsi="Times New Roman"/>
          <w:color w:val="0000FF"/>
        </w:rPr>
        <w:t xml:space="preserve"> </w:t>
      </w:r>
    </w:p>
    <w:p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Na IN 46 de 22/11/16 em seu art. 26 diz que os estabelecimentos que já exercem as atividades previstas terão o prazo de cento e oitenta dias, ou seja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comercializados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Em se tratando de produtos fabricados e embalados até o final da vigência do prazo de 180 dias para adequação, podem os mesmos serem comercializados até a sua data de validade, observando que se forem produzidos após 05/06/2017, já devem estar adequados à nova IN.</w:t>
      </w:r>
    </w:p>
    <w:p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rsidR="005C4683" w:rsidRPr="00A36166" w:rsidRDefault="005C4683" w:rsidP="005C4683">
      <w:pPr>
        <w:pStyle w:val="NormalWeb"/>
        <w:ind w:left="720"/>
        <w:jc w:val="both"/>
        <w:rPr>
          <w:color w:val="000000"/>
          <w:sz w:val="22"/>
          <w:szCs w:val="22"/>
        </w:rPr>
      </w:pPr>
      <w:r w:rsidRPr="00A36166">
        <w:rPr>
          <w:color w:val="000000"/>
          <w:sz w:val="22"/>
          <w:szCs w:val="22"/>
        </w:rPr>
        <w:t>Dados.</w:t>
      </w:r>
    </w:p>
    <w:p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[(38,9 – 25,86)/25,86]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fazem  necessários  para atendermos as exigências  comerciais para exportação a alguns países. Desta forma, gostaríamos de obter orientação sobre como solicitar os Certificados.</w:t>
      </w:r>
    </w:p>
    <w:p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rsidR="004D6841" w:rsidRPr="00A36166" w:rsidRDefault="004D6841" w:rsidP="004D6841">
      <w:pPr>
        <w:jc w:val="both"/>
        <w:rPr>
          <w:rFonts w:ascii="Times New Roman" w:hAnsi="Times New Roman"/>
          <w:color w:val="0000FF"/>
        </w:rPr>
      </w:pPr>
    </w:p>
    <w:p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15,8 / 15,8]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rsidR="008A5A49" w:rsidRPr="00A36166" w:rsidRDefault="008A5A49" w:rsidP="008A5A49">
      <w:pPr>
        <w:pStyle w:val="NormalWeb"/>
        <w:jc w:val="both"/>
        <w:rPr>
          <w:color w:val="000000"/>
          <w:sz w:val="22"/>
          <w:szCs w:val="22"/>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x 12</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rsidR="0019490E" w:rsidRPr="00A36166" w:rsidRDefault="0019490E" w:rsidP="0019490E">
      <w:pPr>
        <w:jc w:val="both"/>
        <w:rPr>
          <w:rFonts w:ascii="Times New Roman" w:hAnsi="Times New Roman"/>
          <w:color w:val="0000FF"/>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[(20,4 – 18 / 18]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rsidR="0019490E" w:rsidRPr="00A36166" w:rsidRDefault="0019490E" w:rsidP="0019490E">
      <w:pPr>
        <w:jc w:val="both"/>
        <w:rPr>
          <w:rFonts w:ascii="Times New Roman" w:hAnsi="Times New Roman"/>
        </w:rPr>
      </w:pPr>
      <w:r w:rsidRPr="00A36166">
        <w:rPr>
          <w:rFonts w:ascii="Times New Roman" w:hAnsi="Times New Roman"/>
        </w:rPr>
        <w:t>        I - em relação ao produto:</w:t>
      </w:r>
    </w:p>
    <w:p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rsidR="0019490E" w:rsidRPr="00A36166" w:rsidRDefault="0019490E" w:rsidP="0019490E">
      <w:pPr>
        <w:jc w:val="both"/>
        <w:rPr>
          <w:rFonts w:ascii="Times New Roman" w:hAnsi="Times New Roman"/>
        </w:rPr>
      </w:pPr>
      <w:r w:rsidRPr="00A36166">
        <w:rPr>
          <w:rFonts w:ascii="Times New Roman" w:hAnsi="Times New Roman"/>
        </w:rPr>
        <w:t>      § 5</w:t>
      </w:r>
      <w:r w:rsidR="00042DF5" w:rsidRPr="00A36166">
        <w:rPr>
          <w:rFonts w:ascii="Times New Roman" w:hAnsi="Times New Roman"/>
        </w:rPr>
        <w:t>º</w:t>
      </w:r>
      <w:r w:rsidRPr="00A36166">
        <w:rPr>
          <w:rFonts w:ascii="Times New Roman" w:hAnsi="Times New Roman"/>
        </w:rPr>
        <w:t xml:space="preserve">  Para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rsidR="0019490E" w:rsidRPr="00A36166" w:rsidRDefault="0019490E" w:rsidP="0019490E">
      <w:pPr>
        <w:jc w:val="both"/>
        <w:rPr>
          <w:rFonts w:ascii="Times New Roman" w:hAnsi="Times New Roman"/>
        </w:rPr>
      </w:pPr>
      <w:r w:rsidRPr="00A36166">
        <w:rPr>
          <w:rFonts w:ascii="Times New Roman" w:hAnsi="Times New Roman"/>
        </w:rPr>
        <w:t xml:space="preserve">- a data do cometimento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a data do trânsito em julgado da infração anterior;</w:t>
      </w:r>
    </w:p>
    <w:p w:rsidR="0019490E" w:rsidRPr="00A36166" w:rsidRDefault="0019490E" w:rsidP="0019490E">
      <w:pPr>
        <w:jc w:val="both"/>
        <w:rPr>
          <w:rFonts w:ascii="Times New Roman" w:hAnsi="Times New Roman"/>
        </w:rPr>
      </w:pPr>
      <w:r w:rsidRPr="00A36166">
        <w:rPr>
          <w:rFonts w:ascii="Times New Roman" w:hAnsi="Times New Roman"/>
        </w:rPr>
        <w:t xml:space="preserve">- a data do pagamento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o cumprimento da sanção imposta (no caso de multa, a própria data do pagamento).</w:t>
      </w:r>
    </w:p>
    <w:p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rsidR="005D1791"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(RE)/100,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p w:rsidR="006170EF" w:rsidRDefault="006170EF" w:rsidP="005D1791">
      <w:pPr>
        <w:jc w:val="both"/>
        <w:rPr>
          <w:rFonts w:ascii="Times New Roman" w:hAnsi="Times New Roman"/>
          <w:color w:val="0000FF"/>
        </w:rPr>
      </w:pPr>
    </w:p>
    <w:p w:rsidR="006170EF" w:rsidRPr="006170EF" w:rsidRDefault="006170EF" w:rsidP="006170EF">
      <w:pPr>
        <w:jc w:val="both"/>
        <w:rPr>
          <w:rFonts w:ascii="Times New Roman" w:hAnsi="Times New Roman"/>
        </w:rPr>
      </w:pPr>
      <w:r w:rsidRPr="006170EF">
        <w:rPr>
          <w:rFonts w:ascii="Times New Roman" w:hAnsi="Times New Roman"/>
        </w:rPr>
        <w:t>45 - A dúvida diz respeito aos dados obrigatórios que devem constar das notas fiscais de fertilizantes. Deve ser dado atendimento ao que estabelece o art. 37 do anexo do Decreto nº 4.954/2004 com os detalhes impostos para cada tipo de produto na IN 46/2016? Nesse ínterim, os itens listados nos §§ 1º e 2º do art. 17 da IN 46/2016 diz respeito somente às embalagens e não se aplicam às notas fiscais?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R: O art. 37 do Anexo do Decreto nº 4954/2004 estabelece minimamente o que deve constar da nota fiscal de fertilizantes, corretivos, </w:t>
      </w:r>
      <w:proofErr w:type="spellStart"/>
      <w:r w:rsidRPr="006170EF">
        <w:rPr>
          <w:rFonts w:ascii="Times New Roman" w:hAnsi="Times New Roman"/>
          <w:color w:val="0000FF"/>
        </w:rPr>
        <w:t>inoculantes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biofertilizantes</w:t>
      </w:r>
      <w:proofErr w:type="spellEnd"/>
      <w:r w:rsidRPr="006170EF">
        <w:rPr>
          <w:rFonts w:ascii="Times New Roman" w:hAnsi="Times New Roman"/>
          <w:color w:val="0000FF"/>
        </w:rPr>
        <w:t xml:space="preserve">, </w:t>
      </w:r>
      <w:proofErr w:type="spellStart"/>
      <w:r w:rsidRPr="006170EF">
        <w:rPr>
          <w:rFonts w:ascii="Times New Roman" w:hAnsi="Times New Roman"/>
          <w:color w:val="0000FF"/>
        </w:rPr>
        <w:t>remineralizadores</w:t>
      </w:r>
      <w:proofErr w:type="spellEnd"/>
      <w:r w:rsidRPr="006170EF">
        <w:rPr>
          <w:rFonts w:ascii="Times New Roman" w:hAnsi="Times New Roman"/>
          <w:color w:val="0000FF"/>
        </w:rPr>
        <w:t xml:space="preserve"> e substratos para plantas, independentemente se produto embalado ou a granel ou seja: números de registro de estabelecimento e produto, as suas garantias (registradas e declaradas) e, conforme o caso, a composição e o número do lote. </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No caso específico de estabelecimento comercial que revenda produtos embalados, o § 4º desse mesmo artigo reduz as exigências de informações a constar das notas fiscais para: (i) o número de registro de estabelecimento responsável pelo produto (EP ou EI); (</w:t>
      </w:r>
      <w:proofErr w:type="spellStart"/>
      <w:r w:rsidRPr="006170EF">
        <w:rPr>
          <w:rFonts w:ascii="Times New Roman" w:hAnsi="Times New Roman"/>
          <w:color w:val="0000FF"/>
        </w:rPr>
        <w:t>ii</w:t>
      </w:r>
      <w:proofErr w:type="spellEnd"/>
      <w:r w:rsidRPr="006170EF">
        <w:rPr>
          <w:rFonts w:ascii="Times New Roman" w:hAnsi="Times New Roman"/>
          <w:color w:val="0000FF"/>
        </w:rPr>
        <w:t>) número do lote e (</w:t>
      </w:r>
      <w:proofErr w:type="spellStart"/>
      <w:r w:rsidRPr="006170EF">
        <w:rPr>
          <w:rFonts w:ascii="Times New Roman" w:hAnsi="Times New Roman"/>
          <w:color w:val="0000FF"/>
        </w:rPr>
        <w:t>iii</w:t>
      </w:r>
      <w:proofErr w:type="spellEnd"/>
      <w:r w:rsidRPr="006170EF">
        <w:rPr>
          <w:rFonts w:ascii="Times New Roman" w:hAnsi="Times New Roman"/>
          <w:color w:val="0000FF"/>
        </w:rPr>
        <w:t>) número de registro de produto ou as suas garantias.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O § 4º do art. 12 da IN 53/2013 estabelece que para os produtos comercializados a granel, as informações exigidas devem constar da nota fiscal ou DANFE.</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Já o art. 17 da IN 46/2016 estabelece as exigências em relação aos dados do estabelecimento e aos produtos (por tipo) a constarem do rótulo, quando se tratar de fertilizantes embalados.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 xml:space="preserve">Complementarmente 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estabelecem proibições, obrigações e orientam sobre a menção de outros dados e informações a constarem das embalagens, notas fiscais/DANFE e folhetos complementares.</w:t>
      </w:r>
    </w:p>
    <w:p w:rsidR="006170EF" w:rsidRPr="006170EF" w:rsidRDefault="006170EF" w:rsidP="006170EF">
      <w:pPr>
        <w:jc w:val="both"/>
        <w:rPr>
          <w:rFonts w:ascii="Times New Roman" w:hAnsi="Times New Roman"/>
          <w:color w:val="0000FF"/>
        </w:rPr>
      </w:pPr>
      <w:r w:rsidRPr="006170EF">
        <w:rPr>
          <w:rFonts w:ascii="Times New Roman" w:hAnsi="Times New Roman"/>
          <w:color w:val="0000FF"/>
        </w:rPr>
        <w:t>Isto posto, podemos depreender, levando em conta a dúvida suscitada, o seguinte: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embalagens, quando se tratar de produtos acondicionados</w:t>
      </w:r>
      <w:r w:rsidRPr="006170EF">
        <w:rPr>
          <w:rFonts w:ascii="Times New Roman" w:hAnsi="Times New Roman"/>
          <w:color w:val="0000FF"/>
        </w:rPr>
        <w:t>, deve ser dado cumprimento, na íntegra, ao que a respeito disciplina o art. 17 da IN 46/2016 quanto as informações que devem constar do rótulo, observando os dados obrigatórios por tipo/categoria e modo de aplicação do fertilizante;</w:t>
      </w:r>
    </w:p>
    <w:p w:rsidR="006170EF" w:rsidRPr="006170EF" w:rsidRDefault="006170EF" w:rsidP="006170EF">
      <w:pPr>
        <w:numPr>
          <w:ilvl w:val="0"/>
          <w:numId w:val="7"/>
        </w:numPr>
        <w:jc w:val="both"/>
        <w:rPr>
          <w:rFonts w:ascii="Times New Roman" w:hAnsi="Times New Roman"/>
          <w:color w:val="0000FF"/>
        </w:rPr>
      </w:pPr>
      <w:r w:rsidRPr="006170EF">
        <w:rPr>
          <w:rFonts w:ascii="Times New Roman" w:hAnsi="Times New Roman"/>
          <w:b/>
          <w:bCs/>
          <w:color w:val="0000FF"/>
        </w:rPr>
        <w:t>Em relação às informações a constarem da Nota Fiscal/DANFE</w:t>
      </w:r>
      <w:r w:rsidRPr="006170EF">
        <w:rPr>
          <w:rFonts w:ascii="Times New Roman" w:hAnsi="Times New Roman"/>
          <w:color w:val="0000FF"/>
        </w:rPr>
        <w:t xml:space="preserve">, observado o disposto nos </w:t>
      </w:r>
      <w:proofErr w:type="spellStart"/>
      <w:r w:rsidRPr="006170EF">
        <w:rPr>
          <w:rFonts w:ascii="Times New Roman" w:hAnsi="Times New Roman"/>
          <w:color w:val="0000FF"/>
        </w:rPr>
        <w:t>arts</w:t>
      </w:r>
      <w:proofErr w:type="spellEnd"/>
      <w:r w:rsidRPr="006170EF">
        <w:rPr>
          <w:rFonts w:ascii="Times New Roman" w:hAnsi="Times New Roman"/>
          <w:color w:val="0000FF"/>
        </w:rPr>
        <w:t>. 18 e 19 da IN 46/2016, deve-se considerar os aspectos de comercialização de produtos embalados e de produtos a granel, a saber:</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Quanto se tratar de produto embalado</w:t>
      </w:r>
      <w:r w:rsidRPr="006170EF">
        <w:rPr>
          <w:rFonts w:ascii="Times New Roman" w:hAnsi="Times New Roman"/>
          <w:color w:val="0000FF"/>
        </w:rPr>
        <w:t xml:space="preserve">, </w:t>
      </w:r>
      <w:r w:rsidRPr="006170EF">
        <w:rPr>
          <w:rFonts w:ascii="Times New Roman" w:hAnsi="Times New Roman"/>
          <w:b/>
          <w:bCs/>
          <w:color w:val="0000FF"/>
        </w:rPr>
        <w:t>a Nota Fiscal/DANFE</w:t>
      </w:r>
      <w:r w:rsidRPr="006170EF">
        <w:rPr>
          <w:rFonts w:ascii="Times New Roman" w:hAnsi="Times New Roman"/>
          <w:color w:val="0000FF"/>
        </w:rPr>
        <w:t>, observado o disposto no art. 37 do Anexo do Decreto nº 4954/2004 e no art. 17 da IN 46/2016, deve mencionar minimamente o seguinte: (i) o nome empresarial, endereço, CNPJ e números de registros de registros de estabelecimento e produto; (</w:t>
      </w:r>
      <w:proofErr w:type="spellStart"/>
      <w:r w:rsidRPr="006170EF">
        <w:rPr>
          <w:rFonts w:ascii="Times New Roman" w:hAnsi="Times New Roman"/>
          <w:color w:val="0000FF"/>
        </w:rPr>
        <w:t>ii</w:t>
      </w:r>
      <w:proofErr w:type="spellEnd"/>
      <w:r w:rsidRPr="006170EF">
        <w:rPr>
          <w:rFonts w:ascii="Times New Roman" w:hAnsi="Times New Roman"/>
          <w:color w:val="0000FF"/>
        </w:rPr>
        <w:t>) as garantias (registradas e declaradas) do produto; e, (</w:t>
      </w:r>
      <w:proofErr w:type="spellStart"/>
      <w:r w:rsidRPr="006170EF">
        <w:rPr>
          <w:rFonts w:ascii="Times New Roman" w:hAnsi="Times New Roman"/>
          <w:color w:val="0000FF"/>
        </w:rPr>
        <w:t>iii</w:t>
      </w:r>
      <w:proofErr w:type="spellEnd"/>
      <w:r w:rsidRPr="006170EF">
        <w:rPr>
          <w:rFonts w:ascii="Times New Roman" w:hAnsi="Times New Roman"/>
          <w:color w:val="0000FF"/>
        </w:rPr>
        <w:t xml:space="preserve">)  o número do lote; </w:t>
      </w:r>
    </w:p>
    <w:p w:rsidR="006170EF" w:rsidRPr="006170EF" w:rsidRDefault="006170EF" w:rsidP="006170EF">
      <w:pPr>
        <w:numPr>
          <w:ilvl w:val="1"/>
          <w:numId w:val="7"/>
        </w:numPr>
        <w:jc w:val="both"/>
        <w:rPr>
          <w:rFonts w:ascii="Times New Roman" w:hAnsi="Times New Roman"/>
          <w:color w:val="0000FF"/>
        </w:rPr>
      </w:pPr>
      <w:r w:rsidRPr="006170EF">
        <w:rPr>
          <w:rFonts w:ascii="Times New Roman" w:hAnsi="Times New Roman"/>
          <w:b/>
          <w:bCs/>
          <w:color w:val="0000FF"/>
        </w:rPr>
        <w:t xml:space="preserve">Quando se tratar de produto a granel, a Nota Fiscal/DANFE </w:t>
      </w:r>
      <w:r w:rsidRPr="006170EF">
        <w:rPr>
          <w:rFonts w:ascii="Times New Roman" w:hAnsi="Times New Roman"/>
          <w:color w:val="0000FF"/>
        </w:rPr>
        <w:t>deve mencionar,</w:t>
      </w:r>
      <w:r w:rsidRPr="006170EF">
        <w:rPr>
          <w:rFonts w:ascii="Times New Roman" w:hAnsi="Times New Roman"/>
          <w:b/>
          <w:bCs/>
          <w:color w:val="0000FF"/>
        </w:rPr>
        <w:t xml:space="preserve"> </w:t>
      </w:r>
      <w:r w:rsidRPr="006170EF">
        <w:rPr>
          <w:rFonts w:ascii="Times New Roman" w:hAnsi="Times New Roman"/>
          <w:color w:val="0000FF"/>
        </w:rPr>
        <w:t xml:space="preserve">além das informações constantes do subitem 2.1 acima, a data de fabricação, o prazo ou data de validade e a composição do produto, entenda-se as matérias primas/componentes (podendo ser utilizadas as abreviaturas autorizadas, por exemplo: MP: </w:t>
      </w:r>
      <w:proofErr w:type="spellStart"/>
      <w:r w:rsidRPr="006170EF">
        <w:rPr>
          <w:rFonts w:ascii="Times New Roman" w:hAnsi="Times New Roman"/>
          <w:color w:val="0000FF"/>
        </w:rPr>
        <w:t>Ureia+SSP+KCl</w:t>
      </w:r>
      <w:proofErr w:type="spellEnd"/>
      <w:r w:rsidRPr="006170EF">
        <w:rPr>
          <w:rFonts w:ascii="Times New Roman" w:hAnsi="Times New Roman"/>
          <w:color w:val="0000FF"/>
        </w:rPr>
        <w:t>).</w:t>
      </w:r>
    </w:p>
    <w:p w:rsidR="006170EF" w:rsidRPr="006170EF" w:rsidRDefault="006170EF" w:rsidP="006170EF">
      <w:pPr>
        <w:jc w:val="both"/>
        <w:rPr>
          <w:rFonts w:ascii="Times New Roman" w:hAnsi="Times New Roman"/>
          <w:color w:val="0000FF"/>
        </w:rPr>
      </w:pPr>
      <w:r w:rsidRPr="006170EF">
        <w:rPr>
          <w:rFonts w:ascii="Times New Roman" w:hAnsi="Times New Roman"/>
          <w:b/>
          <w:bCs/>
          <w:color w:val="0000FF"/>
        </w:rPr>
        <w:t>Observação:</w:t>
      </w:r>
      <w:r w:rsidRPr="006170EF">
        <w:rPr>
          <w:rFonts w:ascii="Times New Roman" w:hAnsi="Times New Roman"/>
          <w:color w:val="0000FF"/>
        </w:rPr>
        <w:t xml:space="preserve"> Quando for necessário, por força de exigência legal ou em razão das características intrínsecas do produto,  o aporte de informações relativas ao fertilizante a ser comercializado (como por exemplo:  indicação e recomendação de uso e armazenagem, restrições e precauções, contraindicações, incompatibilidades e riscos que possam apresentar à saúde humana, animal e ao meio ambiente, dentre outras) e estas informações não caberem no rótulo ou na nota fiscal/DANFE, deve ser utilizado folheto complementar, fazendo-se menção de sua existência no rótulo ou  na nota fiscal/DANFE.</w:t>
      </w:r>
    </w:p>
    <w:p w:rsidR="00673F64" w:rsidRPr="00673F64" w:rsidRDefault="00673F64" w:rsidP="00673F64">
      <w:pPr>
        <w:jc w:val="both"/>
        <w:rPr>
          <w:rFonts w:ascii="Times New Roman" w:hAnsi="Times New Roman"/>
        </w:rPr>
      </w:pPr>
      <w:r w:rsidRPr="00673F64">
        <w:rPr>
          <w:rFonts w:ascii="Times New Roman" w:hAnsi="Times New Roman"/>
        </w:rPr>
        <w:lastRenderedPageBreak/>
        <w:t>46 – Considerando tratar-se de um fertilizante mineral simples - Carbonato de Cálcio e Magnésio, com as seguintes garantias: 32,5% Ca e 3,3% Mg e que o resultado da análise fiscal indicou 28,8% Ca e 1,3% Mg. Pergunta-se como se faz o cálculo para enquadrar as deficiências dos nutrientes em leve, grave e gravíssima, objetivando-se efetuar o cálculo da multa?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R: 1) Enquadramento para classificação da deficiência de Cálcio: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(0,0333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+ 0,6667 = (0,0333 x 32,5) + 0,6667 </w:t>
      </w:r>
      <w:r w:rsidRPr="00673F64">
        <w:rPr>
          <w:rFonts w:ascii="Times New Roman" w:hAnsi="Times New Roman"/>
          <w:color w:val="0000FF"/>
        </w:rPr>
        <w:t xml:space="preserve"> Tolerância = 1,74895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32,5 - 28,8 = 3,7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3,7/1,74895 = 2,12</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Interpretação: Infração grave (art. 83, I, Anexo ao Decreto 4.954/2004)</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2) Enquadramento para classificação da deficiência de Magnésio:</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a) Cálculo da tolerância: (art. 20, § 1º, I, da IN 46/2016)</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T(</w:t>
      </w:r>
      <w:proofErr w:type="spellStart"/>
      <w:r w:rsidRPr="00673F64">
        <w:rPr>
          <w:rFonts w:ascii="Times New Roman" w:hAnsi="Times New Roman"/>
          <w:color w:val="0000FF"/>
        </w:rPr>
        <w:t>p.p</w:t>
      </w:r>
      <w:proofErr w:type="spellEnd"/>
      <w:r w:rsidRPr="00673F64">
        <w:rPr>
          <w:rFonts w:ascii="Times New Roman" w:hAnsi="Times New Roman"/>
          <w:color w:val="0000FF"/>
        </w:rPr>
        <w:t xml:space="preserve">.) = (0,1375 x </w:t>
      </w:r>
      <w:proofErr w:type="spellStart"/>
      <w:r w:rsidRPr="00673F64">
        <w:rPr>
          <w:rFonts w:ascii="Times New Roman" w:hAnsi="Times New Roman"/>
          <w:color w:val="0000FF"/>
        </w:rPr>
        <w:t>Tg</w:t>
      </w:r>
      <w:proofErr w:type="spellEnd"/>
      <w:r w:rsidRPr="00673F64">
        <w:rPr>
          <w:rFonts w:ascii="Times New Roman" w:hAnsi="Times New Roman"/>
          <w:color w:val="0000FF"/>
        </w:rPr>
        <w:t xml:space="preserve">) + 0,0625 = (0,1375 x 3,3) + ,0625 </w:t>
      </w:r>
      <w:r w:rsidRPr="00673F64">
        <w:rPr>
          <w:rFonts w:ascii="Times New Roman" w:hAnsi="Times New Roman"/>
          <w:color w:val="0000FF"/>
        </w:rPr>
        <w:t xml:space="preserve"> Tolerância = 0,51625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b) Diferença entre o teor garantido e o analisado: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 xml:space="preserve">D = 3,3 - 1,3 = 2 </w:t>
      </w:r>
      <w:proofErr w:type="spellStart"/>
      <w:r w:rsidRPr="00673F64">
        <w:rPr>
          <w:rFonts w:ascii="Times New Roman" w:hAnsi="Times New Roman"/>
          <w:color w:val="0000FF"/>
        </w:rPr>
        <w:t>p.p</w:t>
      </w:r>
      <w:proofErr w:type="spellEnd"/>
      <w:r w:rsidRPr="00673F64">
        <w:rPr>
          <w:rFonts w:ascii="Times New Roman" w:hAnsi="Times New Roman"/>
          <w:color w:val="0000FF"/>
        </w:rPr>
        <w:t>.</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Conclusão: deficiente (diferença maior que a tolerância)</w:t>
      </w:r>
    </w:p>
    <w:p w:rsidR="00673F64" w:rsidRPr="00673F64" w:rsidRDefault="00673F64" w:rsidP="00673F64">
      <w:pPr>
        <w:jc w:val="both"/>
        <w:rPr>
          <w:rFonts w:ascii="Times New Roman" w:hAnsi="Times New Roman"/>
          <w:color w:val="0000FF"/>
        </w:rPr>
      </w:pP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 Cálculo para classificação da infração:</w:t>
      </w:r>
    </w:p>
    <w:p w:rsidR="00673F64" w:rsidRPr="00673F64" w:rsidRDefault="00673F64" w:rsidP="00673F64">
      <w:pPr>
        <w:jc w:val="both"/>
        <w:rPr>
          <w:rFonts w:ascii="Times New Roman" w:hAnsi="Times New Roman"/>
          <w:color w:val="0000FF"/>
        </w:rPr>
      </w:pPr>
      <w:r w:rsidRPr="00673F64">
        <w:rPr>
          <w:rFonts w:ascii="Times New Roman" w:hAnsi="Times New Roman"/>
          <w:color w:val="0000FF"/>
        </w:rPr>
        <w:t>Classificação = D/T = 2/0,51625 = 3,87</w:t>
      </w:r>
    </w:p>
    <w:p w:rsidR="006170EF" w:rsidRPr="006170EF" w:rsidRDefault="00673F64" w:rsidP="00673F64">
      <w:pPr>
        <w:jc w:val="both"/>
        <w:rPr>
          <w:rFonts w:ascii="Times New Roman" w:hAnsi="Times New Roman"/>
          <w:color w:val="0000FF"/>
        </w:rPr>
      </w:pPr>
      <w:r w:rsidRPr="00673F64">
        <w:rPr>
          <w:rFonts w:ascii="Times New Roman" w:hAnsi="Times New Roman"/>
          <w:color w:val="0000FF"/>
        </w:rPr>
        <w:t>Interpretação: Infração gravíssima (art. 83, I, Anexo ao Decreto 4.954/2004)</w:t>
      </w:r>
    </w:p>
    <w:p w:rsidR="006170EF" w:rsidRDefault="006170EF" w:rsidP="005D1791">
      <w:pPr>
        <w:jc w:val="both"/>
        <w:rPr>
          <w:rFonts w:ascii="Times New Roman" w:hAnsi="Times New Roman"/>
          <w:color w:val="0000FF"/>
        </w:rPr>
      </w:pPr>
    </w:p>
    <w:p w:rsidR="004A5082" w:rsidRDefault="004A5082" w:rsidP="004A5082">
      <w:pPr>
        <w:pStyle w:val="NormalWeb"/>
        <w:jc w:val="both"/>
        <w:rPr>
          <w:color w:val="000000"/>
        </w:rPr>
      </w:pPr>
      <w:r>
        <w:rPr>
          <w:color w:val="000000"/>
        </w:rPr>
        <w:t>4</w:t>
      </w:r>
      <w:r>
        <w:rPr>
          <w:color w:val="000000"/>
        </w:rPr>
        <w:t>7</w:t>
      </w:r>
      <w:r>
        <w:rPr>
          <w:color w:val="000000"/>
        </w:rPr>
        <w:t xml:space="preserve"> </w:t>
      </w:r>
      <w:r>
        <w:t>–</w:t>
      </w:r>
      <w:r>
        <w:rPr>
          <w:color w:val="000000"/>
        </w:rPr>
        <w:t xml:space="preserve"> </w:t>
      </w:r>
      <w:r>
        <w:t xml:space="preserve">ASSUNTO: CÁLCULO DE MULTA PARA EXCESSO DE CONTAMINANTES EM FERTILIZANTE MINERAL COM MACRONUTRIENTE SECUNDÁRIO E MICRONUTRIENTES. Questão: Considerando o seguinte produto que tem como garantias: </w:t>
      </w:r>
      <w:r>
        <w:rPr>
          <w:b/>
          <w:bCs/>
          <w:color w:val="000000"/>
        </w:rPr>
        <w:t>S</w:t>
      </w:r>
      <w:r>
        <w:rPr>
          <w:color w:val="000000"/>
        </w:rPr>
        <w:t xml:space="preserve"> </w:t>
      </w:r>
      <w:r>
        <w:rPr>
          <w:color w:val="000000"/>
          <w:sz w:val="16"/>
          <w:szCs w:val="16"/>
        </w:rPr>
        <w:t>(teor total)</w:t>
      </w:r>
      <w:r>
        <w:rPr>
          <w:color w:val="000000"/>
        </w:rPr>
        <w:t xml:space="preserve"> = 3,0%; </w:t>
      </w:r>
      <w:r>
        <w:rPr>
          <w:b/>
          <w:bCs/>
          <w:color w:val="000000"/>
        </w:rPr>
        <w:t>Zn</w:t>
      </w:r>
      <w:r>
        <w:rPr>
          <w:color w:val="000000"/>
        </w:rPr>
        <w:t xml:space="preserve"> </w:t>
      </w:r>
      <w:r>
        <w:rPr>
          <w:color w:val="000000"/>
          <w:sz w:val="16"/>
          <w:szCs w:val="16"/>
        </w:rPr>
        <w:t>(teor total)</w:t>
      </w:r>
      <w:r>
        <w:rPr>
          <w:color w:val="000000"/>
        </w:rPr>
        <w:t xml:space="preserve"> = 20,0%;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12% e cujos resultados da análise indicaram: a) </w:t>
      </w:r>
      <w:r>
        <w:rPr>
          <w:b/>
          <w:bCs/>
          <w:color w:val="000000"/>
        </w:rPr>
        <w:t>S</w:t>
      </w:r>
      <w:r>
        <w:rPr>
          <w:color w:val="000000"/>
        </w:rPr>
        <w:t xml:space="preserve"> </w:t>
      </w:r>
      <w:r>
        <w:rPr>
          <w:color w:val="000000"/>
          <w:sz w:val="16"/>
          <w:szCs w:val="16"/>
        </w:rPr>
        <w:t>(teor total)</w:t>
      </w:r>
      <w:r>
        <w:rPr>
          <w:color w:val="000000"/>
        </w:rPr>
        <w:t xml:space="preserve"> = 3,62%; </w:t>
      </w:r>
      <w:r>
        <w:rPr>
          <w:b/>
          <w:bCs/>
          <w:color w:val="000000"/>
        </w:rPr>
        <w:t>Zn</w:t>
      </w:r>
      <w:r>
        <w:rPr>
          <w:color w:val="000000"/>
        </w:rPr>
        <w:t xml:space="preserve"> </w:t>
      </w:r>
      <w:r>
        <w:rPr>
          <w:color w:val="000000"/>
          <w:sz w:val="16"/>
          <w:szCs w:val="16"/>
        </w:rPr>
        <w:t>(teor total)</w:t>
      </w:r>
      <w:r>
        <w:rPr>
          <w:color w:val="000000"/>
        </w:rPr>
        <w:t xml:space="preserve"> = 21,3%; e </w:t>
      </w:r>
      <w:r>
        <w:rPr>
          <w:b/>
          <w:bCs/>
          <w:color w:val="000000"/>
        </w:rPr>
        <w:t>Zn</w:t>
      </w:r>
      <w:r>
        <w:rPr>
          <w:color w:val="000000"/>
        </w:rPr>
        <w:t xml:space="preserve"> </w:t>
      </w:r>
      <w:r>
        <w:rPr>
          <w:color w:val="000000"/>
          <w:sz w:val="16"/>
          <w:szCs w:val="16"/>
        </w:rPr>
        <w:t xml:space="preserve">(teor sol. </w:t>
      </w:r>
      <w:proofErr w:type="spellStart"/>
      <w:r>
        <w:rPr>
          <w:color w:val="000000"/>
          <w:sz w:val="16"/>
          <w:szCs w:val="16"/>
        </w:rPr>
        <w:t>ác</w:t>
      </w:r>
      <w:proofErr w:type="spellEnd"/>
      <w:r>
        <w:rPr>
          <w:color w:val="000000"/>
          <w:sz w:val="16"/>
          <w:szCs w:val="16"/>
        </w:rPr>
        <w:t>. Cit.)</w:t>
      </w:r>
      <w:r>
        <w:rPr>
          <w:color w:val="000000"/>
        </w:rPr>
        <w:t xml:space="preserve"> = 14,44% ; b) para contaminantes: </w:t>
      </w:r>
      <w:proofErr w:type="spellStart"/>
      <w:r>
        <w:rPr>
          <w:color w:val="000000"/>
        </w:rPr>
        <w:t>Cd</w:t>
      </w:r>
      <w:proofErr w:type="spellEnd"/>
      <w:r>
        <w:rPr>
          <w:color w:val="000000"/>
        </w:rPr>
        <w:t xml:space="preserve"> = 218 mg/kg; Cr = 1.380 mg/kg e </w:t>
      </w:r>
      <w:proofErr w:type="spellStart"/>
      <w:r>
        <w:rPr>
          <w:color w:val="000000"/>
        </w:rPr>
        <w:t>Pb</w:t>
      </w:r>
      <w:proofErr w:type="spellEnd"/>
      <w:r>
        <w:rPr>
          <w:color w:val="000000"/>
        </w:rPr>
        <w:t xml:space="preserve"> = 13.110 mg/kg. Na certificação do CAF verificou como irregularidade o excesso para o contaminante </w:t>
      </w:r>
      <w:proofErr w:type="spellStart"/>
      <w:r>
        <w:rPr>
          <w:color w:val="000000"/>
        </w:rPr>
        <w:t>Pb</w:t>
      </w:r>
      <w:proofErr w:type="spellEnd"/>
      <w:r>
        <w:rPr>
          <w:color w:val="000000"/>
        </w:rPr>
        <w:t xml:space="preserve">, da ordem de 3.110 </w:t>
      </w:r>
      <w:proofErr w:type="spellStart"/>
      <w:r>
        <w:rPr>
          <w:color w:val="000000"/>
        </w:rPr>
        <w:t>ppm</w:t>
      </w:r>
      <w:proofErr w:type="spellEnd"/>
      <w:r>
        <w:rPr>
          <w:color w:val="000000"/>
        </w:rPr>
        <w:t xml:space="preserve"> (31,1%). Pergunta-se: Como calcular o valor da multa para o excesso de contaminante verificado?</w:t>
      </w:r>
    </w:p>
    <w:p w:rsidR="004A5082" w:rsidRDefault="004A5082" w:rsidP="004A5082">
      <w:pPr>
        <w:jc w:val="both"/>
        <w:rPr>
          <w:rFonts w:ascii="Times New Roman" w:hAnsi="Times New Roman"/>
          <w:color w:val="0000FF"/>
        </w:rPr>
      </w:pPr>
      <w:r>
        <w:rPr>
          <w:rFonts w:ascii="Times New Roman" w:hAnsi="Times New Roman"/>
          <w:color w:val="0000FF"/>
        </w:rPr>
        <w:t xml:space="preserve">R: Inicialmente deve-se verificar o Valor Máximo Admitido (VMA) para o componente contaminante de acordo com IN 27/2006. No caso do produto acima, a garantia do micronutriente a ser considerada é o Zn (teor total) = 20,0%; o limite máximo estabelecido para chumbo será 20  x 750 = 15.000 limitados a 10.000 </w:t>
      </w:r>
      <w:proofErr w:type="spellStart"/>
      <w:r>
        <w:rPr>
          <w:rFonts w:ascii="Times New Roman" w:hAnsi="Times New Roman"/>
          <w:color w:val="0000FF"/>
        </w:rPr>
        <w:t>ppm</w:t>
      </w:r>
      <w:proofErr w:type="spellEnd"/>
      <w:r>
        <w:rPr>
          <w:rFonts w:ascii="Times New Roman" w:hAnsi="Times New Roman"/>
          <w:color w:val="0000FF"/>
        </w:rPr>
        <w:t xml:space="preserve">, conforme Anexo I da IN 27/2006). A tolerância admitida segundo o art. 3º da IN 27 é de 30% (trinta por cento) dos valores ali definidos, ou seja, se o limite máximo para chumbo, no presente caso é de 10.000 </w:t>
      </w:r>
      <w:proofErr w:type="spellStart"/>
      <w:r>
        <w:rPr>
          <w:rFonts w:ascii="Times New Roman" w:hAnsi="Times New Roman"/>
          <w:color w:val="0000FF"/>
        </w:rPr>
        <w:t>ppm</w:t>
      </w:r>
      <w:proofErr w:type="spellEnd"/>
      <w:r>
        <w:rPr>
          <w:rFonts w:ascii="Times New Roman" w:hAnsi="Times New Roman"/>
          <w:color w:val="0000FF"/>
        </w:rPr>
        <w:t xml:space="preserve">, com a tolerância o valor máximo admitido será de até 13.000 </w:t>
      </w:r>
      <w:proofErr w:type="spellStart"/>
      <w:r>
        <w:rPr>
          <w:rFonts w:ascii="Times New Roman" w:hAnsi="Times New Roman"/>
          <w:color w:val="0000FF"/>
        </w:rPr>
        <w:t>ppm</w:t>
      </w:r>
      <w:proofErr w:type="spellEnd"/>
      <w:r>
        <w:rPr>
          <w:rFonts w:ascii="Times New Roman" w:hAnsi="Times New Roman"/>
          <w:color w:val="0000FF"/>
        </w:rPr>
        <w:t xml:space="preserve">. Como o resultado na análise foi de 13.110 </w:t>
      </w:r>
      <w:proofErr w:type="spellStart"/>
      <w:r>
        <w:rPr>
          <w:rFonts w:ascii="Times New Roman" w:hAnsi="Times New Roman"/>
          <w:color w:val="0000FF"/>
        </w:rPr>
        <w:t>ppm</w:t>
      </w:r>
      <w:proofErr w:type="spellEnd"/>
      <w:r>
        <w:rPr>
          <w:rFonts w:ascii="Times New Roman" w:hAnsi="Times New Roman"/>
          <w:color w:val="0000FF"/>
        </w:rPr>
        <w:t xml:space="preserve"> de chumbo, o valor extrapola o limite de tolerância admitido, portanto houve excesso no teor desse contaminante.</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A infração por excesso de contaminantes além dos limites estabelecidos é classificada como de Natureza</w:t>
      </w:r>
      <w:r>
        <w:rPr>
          <w:rFonts w:ascii="Times New Roman" w:hAnsi="Times New Roman"/>
          <w:b/>
          <w:bCs/>
          <w:color w:val="0000FF"/>
        </w:rPr>
        <w:t xml:space="preserve"> Gravíssima</w:t>
      </w:r>
      <w:r>
        <w:rPr>
          <w:rFonts w:ascii="Times New Roman" w:hAnsi="Times New Roman"/>
          <w:color w:val="0000FF"/>
        </w:rPr>
        <w:t xml:space="preserve"> (alínea “f” do inciso III do §</w:t>
      </w:r>
      <w:r>
        <w:rPr>
          <w:rFonts w:ascii="Times New Roman" w:hAnsi="Times New Roman"/>
        </w:rPr>
        <w:t xml:space="preserve"> </w:t>
      </w:r>
      <w:r>
        <w:rPr>
          <w:rFonts w:ascii="Times New Roman" w:hAnsi="Times New Roman"/>
          <w:color w:val="0000FF"/>
        </w:rPr>
        <w:t>1º do art. 77 do anexo ao Decreto 4954/2004), cujo intervalo da multa vai de R$ 9.501,00 (</w:t>
      </w:r>
      <w:proofErr w:type="spellStart"/>
      <w:r>
        <w:rPr>
          <w:rFonts w:ascii="Times New Roman" w:hAnsi="Times New Roman"/>
          <w:color w:val="0000FF"/>
        </w:rPr>
        <w:t>MMiF</w:t>
      </w:r>
      <w:proofErr w:type="spellEnd"/>
      <w:r>
        <w:rPr>
          <w:rFonts w:ascii="Times New Roman" w:hAnsi="Times New Roman"/>
          <w:color w:val="0000FF"/>
        </w:rPr>
        <w:t>) a 19.000,00 (</w:t>
      </w:r>
      <w:proofErr w:type="spellStart"/>
      <w:r>
        <w:rPr>
          <w:rFonts w:ascii="Times New Roman" w:hAnsi="Times New Roman"/>
          <w:color w:val="0000FF"/>
        </w:rPr>
        <w:t>MMxF</w:t>
      </w:r>
      <w:proofErr w:type="spellEnd"/>
      <w:r>
        <w:rPr>
          <w:rFonts w:ascii="Times New Roman" w:hAnsi="Times New Roman"/>
          <w:color w:val="0000FF"/>
        </w:rPr>
        <w:t>) (inciso III do art. 82 do anexo ao Decreto 4954/2004). Assim, a multa será obtida da seguinte forma:</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TMA = VMA + Tolerância admitida  (30%)</w:t>
      </w:r>
    </w:p>
    <w:p w:rsidR="004A5082" w:rsidRDefault="004A5082" w:rsidP="004A5082">
      <w:pPr>
        <w:jc w:val="both"/>
        <w:rPr>
          <w:rFonts w:ascii="Times New Roman" w:hAnsi="Times New Roman"/>
          <w:color w:val="0000FF"/>
        </w:rPr>
      </w:pPr>
      <w:r>
        <w:rPr>
          <w:rFonts w:ascii="Times New Roman" w:hAnsi="Times New Roman"/>
          <w:color w:val="0000FF"/>
        </w:rPr>
        <w:t>TMA = 10.000 + 3.000 = 13.000</w:t>
      </w:r>
    </w:p>
    <w:p w:rsidR="004A5082" w:rsidRDefault="004A5082" w:rsidP="004A5082">
      <w:pPr>
        <w:jc w:val="both"/>
        <w:rPr>
          <w:rFonts w:ascii="Times New Roman" w:hAnsi="Times New Roman"/>
          <w:color w:val="0000FF"/>
        </w:rPr>
      </w:pPr>
      <w:r>
        <w:rPr>
          <w:rFonts w:ascii="Times New Roman" w:hAnsi="Times New Roman"/>
          <w:color w:val="0000FF"/>
        </w:rPr>
        <w:t>Cálculo da porcentagem que excedeu o teor máximo admitido:</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w:t>
      </w:r>
      <w:proofErr w:type="spellStart"/>
      <w:r>
        <w:rPr>
          <w:rFonts w:ascii="Times New Roman" w:hAnsi="Times New Roman"/>
          <w:color w:val="0000FF"/>
        </w:rPr>
        <w:t>Ta</w:t>
      </w:r>
      <w:proofErr w:type="spellEnd"/>
      <w:r>
        <w:rPr>
          <w:rFonts w:ascii="Times New Roman" w:hAnsi="Times New Roman"/>
          <w:color w:val="0000FF"/>
        </w:rPr>
        <w:t xml:space="preserve"> – TMA)/TMA]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[(13.110 – 13.000)/13.000] x 100</w:t>
      </w:r>
    </w:p>
    <w:p w:rsidR="004A5082" w:rsidRDefault="004A5082" w:rsidP="004A5082">
      <w:pPr>
        <w:jc w:val="both"/>
        <w:rPr>
          <w:rFonts w:ascii="Times New Roman" w:hAnsi="Times New Roman"/>
          <w:color w:val="0000FF"/>
        </w:rPr>
      </w:pPr>
      <w:r>
        <w:rPr>
          <w:rFonts w:ascii="Times New Roman" w:hAnsi="Times New Roman"/>
          <w:color w:val="0000FF"/>
        </w:rPr>
        <w:t xml:space="preserve">% </w:t>
      </w:r>
      <w:proofErr w:type="spellStart"/>
      <w:r>
        <w:rPr>
          <w:rFonts w:ascii="Times New Roman" w:hAnsi="Times New Roman"/>
          <w:color w:val="0000FF"/>
        </w:rPr>
        <w:t>Exc</w:t>
      </w:r>
      <w:proofErr w:type="spellEnd"/>
      <w:r>
        <w:rPr>
          <w:rFonts w:ascii="Times New Roman" w:hAnsi="Times New Roman"/>
          <w:color w:val="0000FF"/>
        </w:rPr>
        <w:t xml:space="preserve"> (além do TMA) = 0,846154%</w:t>
      </w:r>
    </w:p>
    <w:p w:rsidR="004A5082" w:rsidRDefault="004A5082" w:rsidP="004A5082">
      <w:pPr>
        <w:jc w:val="both"/>
        <w:rPr>
          <w:rFonts w:cs="Calibri"/>
        </w:rPr>
      </w:pPr>
    </w:p>
    <w:p w:rsidR="004A5082" w:rsidRDefault="004A5082" w:rsidP="004A5082">
      <w:pPr>
        <w:jc w:val="both"/>
        <w:rPr>
          <w:rFonts w:ascii="Times New Roman" w:hAnsi="Times New Roman"/>
          <w:color w:val="0000FF"/>
        </w:rPr>
      </w:pPr>
      <w:r>
        <w:rPr>
          <w:rFonts w:ascii="Times New Roman" w:hAnsi="Times New Roman"/>
          <w:color w:val="0000FF"/>
        </w:rPr>
        <w:t xml:space="preserve">Onde: </w:t>
      </w:r>
      <w:proofErr w:type="spellStart"/>
      <w:r>
        <w:rPr>
          <w:rFonts w:ascii="Times New Roman" w:hAnsi="Times New Roman"/>
          <w:b/>
          <w:bCs/>
          <w:color w:val="0000FF"/>
        </w:rPr>
        <w:t>Ta</w:t>
      </w:r>
      <w:proofErr w:type="spellEnd"/>
      <w:r>
        <w:rPr>
          <w:rFonts w:ascii="Times New Roman" w:hAnsi="Times New Roman"/>
          <w:color w:val="0000FF"/>
        </w:rPr>
        <w:t xml:space="preserve"> = Teor analisado (CAF/CAP); </w:t>
      </w:r>
      <w:r>
        <w:rPr>
          <w:rFonts w:ascii="Times New Roman" w:hAnsi="Times New Roman"/>
          <w:b/>
          <w:bCs/>
          <w:color w:val="0000FF"/>
        </w:rPr>
        <w:t>VMA</w:t>
      </w:r>
      <w:r>
        <w:rPr>
          <w:rFonts w:ascii="Times New Roman" w:hAnsi="Times New Roman"/>
          <w:color w:val="0000FF"/>
        </w:rPr>
        <w:t xml:space="preserve"> = Valor Máximo Admitido para o componente contaminante de acordo com IN 27/2006; </w:t>
      </w:r>
      <w:r>
        <w:rPr>
          <w:rFonts w:ascii="Times New Roman" w:hAnsi="Times New Roman"/>
          <w:b/>
          <w:bCs/>
          <w:color w:val="0000FF"/>
        </w:rPr>
        <w:t>TMA</w:t>
      </w:r>
      <w:r>
        <w:rPr>
          <w:rFonts w:ascii="Times New Roman" w:hAnsi="Times New Roman"/>
          <w:color w:val="0000FF"/>
        </w:rPr>
        <w:t xml:space="preserve"> = Teor Máximo Admitido.</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Mínima na Faixa (</w:t>
      </w:r>
      <w:proofErr w:type="spellStart"/>
      <w:r>
        <w:rPr>
          <w:rFonts w:ascii="Times New Roman" w:hAnsi="Times New Roman"/>
          <w:color w:val="0000FF"/>
        </w:rPr>
        <w:t>MMiF</w:t>
      </w:r>
      <w:proofErr w:type="spellEnd"/>
      <w:r>
        <w:rPr>
          <w:rFonts w:ascii="Times New Roman" w:hAnsi="Times New Roman"/>
          <w:color w:val="0000FF"/>
        </w:rPr>
        <w:t>) = R$ 9.501,00 (inciso III do art. 82 e inciso III do art. 86, ambos do Anexo do Decreto nº 4.954/2004)</w:t>
      </w:r>
    </w:p>
    <w:p w:rsidR="004A5082" w:rsidRDefault="004A5082" w:rsidP="004A5082">
      <w:pPr>
        <w:jc w:val="both"/>
        <w:rPr>
          <w:rFonts w:ascii="Times New Roman" w:hAnsi="Times New Roman"/>
          <w:color w:val="0000FF"/>
        </w:rPr>
      </w:pPr>
      <w:r>
        <w:rPr>
          <w:rFonts w:ascii="Times New Roman" w:hAnsi="Times New Roman"/>
          <w:color w:val="0000FF"/>
        </w:rPr>
        <w:t>Multa Máxima na Faixa (</w:t>
      </w:r>
      <w:proofErr w:type="spellStart"/>
      <w:r>
        <w:rPr>
          <w:rFonts w:ascii="Times New Roman" w:hAnsi="Times New Roman"/>
          <w:color w:val="0000FF"/>
        </w:rPr>
        <w:t>MMxF</w:t>
      </w:r>
      <w:proofErr w:type="spellEnd"/>
      <w:r>
        <w:rPr>
          <w:rFonts w:ascii="Times New Roman" w:hAnsi="Times New Roman"/>
          <w:color w:val="0000FF"/>
        </w:rPr>
        <w:t>) = R$ 19.000,00 (inciso III do art. 82 e inciso III do art. 86 do Anexo do Decreto nº 4.954/2004)</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EMxF</w:t>
      </w:r>
      <w:proofErr w:type="spellEnd"/>
      <w:r>
        <w:rPr>
          <w:rFonts w:ascii="Times New Roman" w:hAnsi="Times New Roman"/>
          <w:color w:val="0000FF"/>
        </w:rPr>
        <w:t xml:space="preserve"> = Eficiência Máxima na Faixa = 100% </w:t>
      </w:r>
    </w:p>
    <w:p w:rsidR="004A5082" w:rsidRDefault="004A5082" w:rsidP="004A5082">
      <w:pPr>
        <w:jc w:val="both"/>
        <w:rPr>
          <w:rFonts w:ascii="Times New Roman" w:hAnsi="Times New Roman"/>
          <w:color w:val="0000FF"/>
        </w:rPr>
      </w:pPr>
      <w:proofErr w:type="spellStart"/>
      <w:r>
        <w:rPr>
          <w:rFonts w:ascii="Times New Roman" w:hAnsi="Times New Roman"/>
          <w:color w:val="0000FF"/>
        </w:rPr>
        <w:t>EMiF</w:t>
      </w:r>
      <w:proofErr w:type="spellEnd"/>
      <w:r>
        <w:rPr>
          <w:rFonts w:ascii="Times New Roman" w:hAnsi="Times New Roman"/>
          <w:color w:val="0000FF"/>
        </w:rPr>
        <w:t xml:space="preserve"> = Eficiência Mínima na Faixa = 0% </w:t>
      </w:r>
    </w:p>
    <w:p w:rsidR="004A5082" w:rsidRDefault="004A5082" w:rsidP="004A5082">
      <w:pPr>
        <w:jc w:val="both"/>
        <w:rPr>
          <w:rFonts w:ascii="Times New Roman" w:hAnsi="Times New Roman"/>
          <w:color w:val="0000FF"/>
        </w:rPr>
      </w:pPr>
    </w:p>
    <w:p w:rsidR="004A5082" w:rsidRDefault="004A5082" w:rsidP="004A5082">
      <w:pPr>
        <w:jc w:val="both"/>
        <w:rPr>
          <w:rFonts w:ascii="Times New Roman" w:hAnsi="Times New Roman"/>
          <w:color w:val="0000FF"/>
        </w:rPr>
      </w:pPr>
      <w:r>
        <w:rPr>
          <w:rFonts w:ascii="Times New Roman" w:hAnsi="Times New Roman"/>
          <w:color w:val="0000FF"/>
        </w:rPr>
        <w:t>Multa = {[(</w:t>
      </w:r>
      <w:proofErr w:type="spellStart"/>
      <w:r>
        <w:rPr>
          <w:rFonts w:ascii="Times New Roman" w:hAnsi="Times New Roman"/>
          <w:color w:val="0000FF"/>
        </w:rPr>
        <w:t>MMxF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r>
        <w:rPr>
          <w:rFonts w:ascii="Times New Roman" w:hAnsi="Times New Roman"/>
          <w:color w:val="0000FF"/>
        </w:rPr>
        <w:t>) / (</w:t>
      </w:r>
      <w:proofErr w:type="spellStart"/>
      <w:r>
        <w:rPr>
          <w:rFonts w:ascii="Times New Roman" w:hAnsi="Times New Roman"/>
          <w:color w:val="0000FF"/>
        </w:rPr>
        <w:t>EMxF</w:t>
      </w:r>
      <w:proofErr w:type="spellEnd"/>
      <w:r>
        <w:rPr>
          <w:rFonts w:ascii="Times New Roman" w:hAnsi="Times New Roman"/>
          <w:color w:val="0000FF"/>
        </w:rPr>
        <w:t xml:space="preserve"> – </w:t>
      </w:r>
      <w:proofErr w:type="spellStart"/>
      <w:r>
        <w:rPr>
          <w:rFonts w:ascii="Times New Roman" w:hAnsi="Times New Roman"/>
          <w:color w:val="0000FF"/>
        </w:rPr>
        <w:t>EMiF</w:t>
      </w:r>
      <w:proofErr w:type="spellEnd"/>
      <w:r>
        <w:rPr>
          <w:rFonts w:ascii="Times New Roman" w:hAnsi="Times New Roman"/>
          <w:color w:val="0000FF"/>
        </w:rPr>
        <w:t>)] x (</w:t>
      </w:r>
      <w:proofErr w:type="spellStart"/>
      <w:r>
        <w:rPr>
          <w:rFonts w:ascii="Times New Roman" w:hAnsi="Times New Roman"/>
          <w:color w:val="0000FF"/>
        </w:rPr>
        <w:t>Exc</w:t>
      </w:r>
      <w:proofErr w:type="spellEnd"/>
      <w:r>
        <w:rPr>
          <w:rFonts w:ascii="Times New Roman" w:hAnsi="Times New Roman"/>
          <w:color w:val="0000FF"/>
        </w:rPr>
        <w:t xml:space="preserve">(TMA) – </w:t>
      </w:r>
      <w:proofErr w:type="spellStart"/>
      <w:r>
        <w:rPr>
          <w:rFonts w:ascii="Times New Roman" w:hAnsi="Times New Roman"/>
          <w:color w:val="0000FF"/>
        </w:rPr>
        <w:t>EMiF</w:t>
      </w:r>
      <w:proofErr w:type="spellEnd"/>
      <w:r>
        <w:rPr>
          <w:rFonts w:ascii="Times New Roman" w:hAnsi="Times New Roman"/>
          <w:color w:val="0000FF"/>
        </w:rPr>
        <w:t xml:space="preserve">)} + </w:t>
      </w:r>
      <w:proofErr w:type="spellStart"/>
      <w:r>
        <w:rPr>
          <w:rFonts w:ascii="Times New Roman" w:hAnsi="Times New Roman"/>
          <w:color w:val="0000FF"/>
        </w:rPr>
        <w:t>MMiF</w:t>
      </w:r>
      <w:proofErr w:type="spellEnd"/>
    </w:p>
    <w:p w:rsidR="004A5082" w:rsidRDefault="004A5082" w:rsidP="004A5082">
      <w:pPr>
        <w:jc w:val="both"/>
        <w:rPr>
          <w:rFonts w:ascii="Times New Roman" w:hAnsi="Times New Roman"/>
          <w:color w:val="0000FF"/>
        </w:rPr>
      </w:pPr>
      <w:r>
        <w:rPr>
          <w:rFonts w:ascii="Times New Roman" w:hAnsi="Times New Roman"/>
          <w:color w:val="0000FF"/>
        </w:rPr>
        <w:t>Multa = {[(19.000 – 9.501) / (100 – 0)] x (0,846154 – 0)} + 9.501</w:t>
      </w:r>
    </w:p>
    <w:p w:rsidR="004A5082" w:rsidRDefault="004A5082" w:rsidP="004A5082">
      <w:pPr>
        <w:jc w:val="both"/>
        <w:rPr>
          <w:rFonts w:ascii="Times New Roman" w:hAnsi="Times New Roman"/>
          <w:color w:val="0000FF"/>
        </w:rPr>
      </w:pPr>
      <w:r>
        <w:rPr>
          <w:rFonts w:ascii="Times New Roman" w:hAnsi="Times New Roman"/>
          <w:color w:val="0000FF"/>
        </w:rPr>
        <w:t>Multa = {[9.499 / 100] x 0,846154} + 9.501</w:t>
      </w:r>
    </w:p>
    <w:p w:rsidR="004A5082" w:rsidRDefault="004A5082" w:rsidP="004A5082">
      <w:pPr>
        <w:jc w:val="both"/>
        <w:rPr>
          <w:rFonts w:ascii="Times New Roman" w:hAnsi="Times New Roman"/>
          <w:color w:val="0000FF"/>
        </w:rPr>
      </w:pPr>
      <w:r>
        <w:rPr>
          <w:rFonts w:ascii="Times New Roman" w:hAnsi="Times New Roman"/>
          <w:color w:val="0000FF"/>
        </w:rPr>
        <w:t>Multa = 9.581,37</w:t>
      </w:r>
    </w:p>
    <w:p w:rsidR="004A5082" w:rsidRDefault="004A5082" w:rsidP="004A5082">
      <w:pPr>
        <w:jc w:val="both"/>
        <w:rPr>
          <w:rFonts w:ascii="Times New Roman" w:hAnsi="Times New Roman"/>
          <w:color w:val="0000FF"/>
        </w:rPr>
      </w:pPr>
    </w:p>
    <w:p w:rsidR="004A5082" w:rsidRPr="00A36166" w:rsidRDefault="004A5082" w:rsidP="005D1791">
      <w:pPr>
        <w:jc w:val="both"/>
        <w:rPr>
          <w:rFonts w:ascii="Times New Roman" w:hAnsi="Times New Roman"/>
          <w:color w:val="0000FF"/>
        </w:rPr>
      </w:pPr>
    </w:p>
    <w:sectPr w:rsidR="004A5082" w:rsidRPr="00A36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FC607D"/>
    <w:multiLevelType w:val="multilevel"/>
    <w:tmpl w:val="D1E4AA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EE"/>
    <w:rsid w:val="00014FE4"/>
    <w:rsid w:val="0003086A"/>
    <w:rsid w:val="00042DF5"/>
    <w:rsid w:val="000617C0"/>
    <w:rsid w:val="0007484C"/>
    <w:rsid w:val="000C13BE"/>
    <w:rsid w:val="000D672E"/>
    <w:rsid w:val="00124D28"/>
    <w:rsid w:val="001629D2"/>
    <w:rsid w:val="001708F7"/>
    <w:rsid w:val="00182419"/>
    <w:rsid w:val="00192E2F"/>
    <w:rsid w:val="00193CED"/>
    <w:rsid w:val="0019490E"/>
    <w:rsid w:val="0025486B"/>
    <w:rsid w:val="002D4428"/>
    <w:rsid w:val="002D7D51"/>
    <w:rsid w:val="002F30CD"/>
    <w:rsid w:val="003530BA"/>
    <w:rsid w:val="0036239A"/>
    <w:rsid w:val="003706AB"/>
    <w:rsid w:val="004273F9"/>
    <w:rsid w:val="00437CFB"/>
    <w:rsid w:val="00442BFE"/>
    <w:rsid w:val="00455444"/>
    <w:rsid w:val="004562B8"/>
    <w:rsid w:val="00461441"/>
    <w:rsid w:val="004813D0"/>
    <w:rsid w:val="00483B59"/>
    <w:rsid w:val="00487D5C"/>
    <w:rsid w:val="004A0FA8"/>
    <w:rsid w:val="004A5082"/>
    <w:rsid w:val="004B738A"/>
    <w:rsid w:val="004D2828"/>
    <w:rsid w:val="004D6841"/>
    <w:rsid w:val="00516077"/>
    <w:rsid w:val="0055563D"/>
    <w:rsid w:val="0058482E"/>
    <w:rsid w:val="005910EE"/>
    <w:rsid w:val="005C4683"/>
    <w:rsid w:val="005D1791"/>
    <w:rsid w:val="00603CC5"/>
    <w:rsid w:val="006170EF"/>
    <w:rsid w:val="0065061F"/>
    <w:rsid w:val="00655441"/>
    <w:rsid w:val="00673F64"/>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2955"/>
    <w:rsid w:val="00A36166"/>
    <w:rsid w:val="00B04BE5"/>
    <w:rsid w:val="00B1104F"/>
    <w:rsid w:val="00B22D8D"/>
    <w:rsid w:val="00BF3B4B"/>
    <w:rsid w:val="00C527CC"/>
    <w:rsid w:val="00C651AD"/>
    <w:rsid w:val="00CB3091"/>
    <w:rsid w:val="00CD1E5F"/>
    <w:rsid w:val="00CE49D5"/>
    <w:rsid w:val="00CE68CB"/>
    <w:rsid w:val="00CF1C51"/>
    <w:rsid w:val="00D31657"/>
    <w:rsid w:val="00D62D56"/>
    <w:rsid w:val="00D66091"/>
    <w:rsid w:val="00D8075F"/>
    <w:rsid w:val="00DC445A"/>
    <w:rsid w:val="00DE0302"/>
    <w:rsid w:val="00DE716F"/>
    <w:rsid w:val="00E13AF2"/>
    <w:rsid w:val="00E44E30"/>
    <w:rsid w:val="00E63A3C"/>
    <w:rsid w:val="00E81CB7"/>
    <w:rsid w:val="00E9126F"/>
    <w:rsid w:val="00EC332D"/>
    <w:rsid w:val="00EC3B6F"/>
    <w:rsid w:val="00EC7A4B"/>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230A"/>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925067753">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FE31-CFB1-4BF9-899A-67E3FDDE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9377</Words>
  <Characters>50642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Nanshiu Maezoe</cp:lastModifiedBy>
  <cp:revision>2</cp:revision>
  <dcterms:created xsi:type="dcterms:W3CDTF">2017-07-28T10:07:00Z</dcterms:created>
  <dcterms:modified xsi:type="dcterms:W3CDTF">2017-07-28T10:07:00Z</dcterms:modified>
</cp:coreProperties>
</file>